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92.png" ContentType="image/png"/>
  <Override PartName="/word/media/rId180.png" ContentType="image/png"/>
  <Override PartName="/word/media/rId176.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alone</w:t>
      </w:r>
      <w:r>
        <w:t xml:space="preserve"> </w:t>
      </w:r>
      <w:r>
        <w:t xml:space="preserve">fails</w:t>
      </w:r>
      <w:r>
        <w:t xml:space="preserve"> </w:t>
      </w:r>
      <w:r>
        <w:t xml:space="preserve">to</w:t>
      </w:r>
      <w:r>
        <w:t xml:space="preserve"> </w:t>
      </w:r>
      <w:r>
        <w:t xml:space="preserve">explain</w:t>
      </w:r>
      <w:r>
        <w:t xml:space="preserve"> </w:t>
      </w:r>
      <w:r>
        <w:t xml:space="preserve">the</w:t>
      </w:r>
      <w:r>
        <w:t xml:space="preserve"> </w:t>
      </w:r>
      <w:r>
        <w:t xml:space="preserve">asymmetry</w:t>
      </w:r>
      <w:r>
        <w:t xml:space="preserve"> </w:t>
      </w:r>
      <w:r>
        <w:t xml:space="preserve">of</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facilitated by the Mio-Pliocene closure of the isthmus of Panama. For some groups, in particular land mammals, this faunal exchange was asymmetric: a greater number of North American lineages successfully established southwards, meanwhile many South Americans went extinct. Despite the unquestionable nature of this macroecological imbalance, the mechanisms underlying such an asymmetry remain debated. Here, coupling a mechanistic eco-evolutionary simulator with palaeoclimatic reconstructions for the last 5 million years, we test fundamental hypotheses relating such a biogeographic asymmetry to palaeoclimate dynamics. When climatic variables are the only constraints to species’ dispersal, contrary to what could be expected based on empirical observations, our simulations indicate that taxa from South America disperse to the North more easily than the other way around, mostly within the tropical biome. In addition, our models fail to explain the higher representation of temperate-adapted taxa in the fossil record of successfully-exchanged land mammals, particularly of North American origin, but suggest that successful colonisers from North America occupy larger areas in South America than the other way around. Hence, our findings stress that spatio-temporal palaeoclimate dynamics could not have made South America easier to reach than North America, suggesting additional factors were at play to shape the colonising (comprising reaching and successfully establishing within the new area) imbalance that characterised the GABI. This study offers new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Biotic Interchange; Eco-evolutionary simulations;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and intensified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biotic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continental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Pleistocene, the ability of migrant lineages to maintain and diversify in the newly-colonised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no clear consensus regarding the drivers underlying this asymmetry has been established yet. On the one hand, biotic interactions involving migrant and native species have often been proposed to explain such an asymmetry.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the role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views consist of relating pulses of transcontinental mammal exchanges with Pleistocene climatic oscillations, promoting the transition from tropical rainforest to savannah-like environments in Central America as climate cooled down (</w:t>
      </w:r>
      <w:hyperlink w:anchor="fig-hypotheses">
        <w:r>
          <w:rPr>
            <w:rStyle w:val="Hyperlink"/>
          </w:rPr>
          <w:t xml:space="preserve">Figure 1</w:t>
        </w:r>
      </w:hyperlink>
      <w:r>
        <w:t xml:space="preserve">). Motivated by the migrant fossil record across both sides of the isthmus of Panama, Webb</w:t>
      </w:r>
      <w:r>
        <w:rPr>
          <w:vertAlign w:val="superscript"/>
        </w:rPr>
        <w:t xml:space="preserve">14</w:t>
      </w:r>
      <w:r>
        <w:t xml:space="preserve"> </w:t>
      </w:r>
      <w:r>
        <w:t xml:space="preserve">proposed that this climate-driven landscape opening would have facilitated the dispersal of open-adapted taxa. As those were assumed to be more numerous in North than in South America – the former continent offering more high-latitude temperate-to-cold environments than the latter –, a larger number of North American taxa would be predicted to disperse to the South than the other way around (</w:t>
      </w:r>
      <w:hyperlink w:anchor="fig-hypotheses">
        <w:r>
          <w:rPr>
            <w:rStyle w:val="Hyperlink"/>
          </w:rPr>
          <w:t xml:space="preserve">Figure 1</w:t>
        </w:r>
      </w:hyperlink>
      <w:r>
        <w:t xml:space="preserve"> </w:t>
      </w:r>
      <w:r>
        <w:t xml:space="preserve">A). The resulting exchanges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In addition, Vrba</w:t>
      </w:r>
      <w:r>
        <w:rPr>
          <w:vertAlign w:val="superscript"/>
        </w:rPr>
        <w:t xml:space="preserve">24</w:t>
      </w:r>
      <w:r>
        <w:t xml:space="preserve"> </w:t>
      </w:r>
      <w:r>
        <w:t xml:space="preserve">proposed the contraction of tropical habitats towards the equator promoted by the aforementioned periodical climatic cooling to have mechanically attracted taxa suited to tropical environments southwards (</w:t>
      </w:r>
      <w:hyperlink w:anchor="fig-hypotheses">
        <w:r>
          <w:rPr>
            <w:rStyle w:val="Hyperlink"/>
          </w:rPr>
          <w:t xml:space="preserve">Figure 1</w:t>
        </w:r>
      </w:hyperlink>
      <w:r>
        <w:t xml:space="preserve"> </w:t>
      </w:r>
      <w:r>
        <w:t xml:space="preserve">B). However, studies supporting these views have only been descriptive, tackling the issue from a pattern-oriented perspective driven by fossil data but, to our knowledge, never from a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w:t>
      </w:r>
      <w:r>
        <w:rPr>
          <w:vertAlign w:val="superscript"/>
        </w:rPr>
        <w:t xml:space="preserve">32</w:t>
      </w:r>
      <w:r>
        <w:t xml:space="preserve">. Recently, this class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test Webb and Vrba’s hypotheses on the role of palaeoclimate dynamics in the asymmetry of the GABI using a spatially-explicit mechanistic biodiversity simulator coupled with palaeoclimate reconstructions across the last 5 million years. Our simulations tracked the diversification of a clade originating either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and (iii) successful interchange would be more frequently achieved among biome generalists, extratropical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w:t>
      </w:r>
      <w:r>
        <w:t xml:space="preserve">(</w:t>
      </w:r>
      <w:hyperlink w:anchor="fig-framework">
        <w:r>
          <w:rPr>
            <w:rStyle w:val="Hyperlink"/>
          </w:rPr>
          <w:t xml:space="preserve">Figure 2</w:t>
        </w:r>
      </w:hyperlink>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approximately a factor of two – when starting from South America than from North America (</w:t>
      </w:r>
      <w:hyperlink w:anchor="fig-propsuccess">
        <w:r>
          <w:rPr>
            <w:rStyle w:val="Hyperlink"/>
          </w:rPr>
          <w:t xml:space="preserve">Figure 3</w:t>
        </w:r>
      </w:hyperlink>
      <w:r>
        <w:t xml:space="preserve">). This imbalance holds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although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This imbalance was also maintained when standardising initial distances to the isthmus of Panama for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of Panama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spatial standardisation procedure.</w:t>
      </w:r>
    </w:p>
    <w:bookmarkEnd w:id="23"/>
    <w:bookmarkStart w:id="24" w:name="X3f8917345488c3542ef7817a04a0a44ace1cdf0"/>
    <w:p>
      <w:pPr>
        <w:pStyle w:val="Heading2"/>
      </w:pPr>
      <w:r>
        <w:t xml:space="preserve">Successful establishment on the newly-colonised continent</w:t>
      </w:r>
    </w:p>
    <w:p>
      <w:pPr>
        <w:pStyle w:val="FirstParagraph"/>
      </w:pPr>
      <w:r>
        <w:t xml:space="preserve">Irrespective of the initial continent, our findings highlight that successful simulations generated under models allowing species climatic niches to evolve (</w:t>
      </w:r>
      <m:oMath>
        <m:r>
          <m:t>M</m:t>
        </m:r>
        <m:r>
          <m:t>1</m:t>
        </m:r>
        <m:r>
          <m:rPr>
            <m:sty m:val="p"/>
          </m:rPr>
          <m:t>−</m:t>
        </m:r>
        <m:r>
          <m:t>M</m:t>
        </m:r>
        <m:r>
          <m:t>3</m:t>
        </m:r>
      </m:oMath>
      <w:r>
        <w:t xml:space="preserve">) colonised a larger area on the newly-colonised continent – quantified as the ratio between the number of pixels recording a presence in the landmass to colonise and the total number of pixels in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4</w:t>
        </w:r>
      </w:hyperlink>
      <w:r>
        <w:t xml:space="preserve"> </w:t>
      </w:r>
      <w:r>
        <w:t xml:space="preserve">A). Furthermore, species of North American origin that successfully made it to South America generally colonised a greater area than those of South American origin reaching North America (</w:t>
      </w:r>
      <w:hyperlink w:anchor="fig-metrics">
        <w:r>
          <w:rPr>
            <w:rStyle w:val="Hyperlink"/>
          </w:rPr>
          <w:t xml:space="preserve">Figure 4</w:t>
        </w:r>
      </w:hyperlink>
      <w:r>
        <w:t xml:space="preserve"> </w:t>
      </w:r>
      <w:r>
        <w:t xml:space="preserve">A). This pattern is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and holds for all but the</w:t>
      </w:r>
      <w:r>
        <w:t xml:space="preserve"> </w:t>
      </w:r>
      <m:oMath>
        <m:r>
          <m:t>M</m:t>
        </m:r>
        <m:r>
          <m:t>3</m:t>
        </m:r>
      </m:oMath>
      <w:r>
        <w:t xml:space="preserve"> </w:t>
      </w:r>
      <w:r>
        <w:t xml:space="preserve">model – relaxing the precipitation constraint on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2</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S12).</w:t>
      </w:r>
    </w:p>
    <w:p>
      <w:pPr>
        <w:pStyle w:val="BodyText"/>
      </w:pPr>
      <w:r>
        <w:t xml:space="preserve">Besides, contrary to the proportion of colonised area for a given ancestral continent, colonised diversity (</w:t>
      </w:r>
      <w:r>
        <w:rPr>
          <w:i/>
          <w:iCs/>
        </w:rPr>
        <w:t xml:space="preserve">i</w:t>
      </w:r>
      <w:r>
        <w:t xml:space="preserve">.</w:t>
      </w:r>
      <w:r>
        <w:rPr>
          <w:i/>
          <w:iCs/>
        </w:rPr>
        <w:t xml:space="preserve">e</w:t>
      </w:r>
      <w:r>
        <w:t xml:space="preserve">., the number of taxa within the colonised continent) does not vary significantly across our four models. However, a significant decrease is evident in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4</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newly-colonised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of Panama than those starting from South America (</w:t>
      </w:r>
      <w:hyperlink w:anchor="fig-metrics">
        <w:r>
          <w:rPr>
            <w:rStyle w:val="Hyperlink"/>
          </w:rPr>
          <w:t xml:space="preserve">Figure 4</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5</w:t>
        </w:r>
      </w:hyperlink>
      <w:r>
        <w:t xml:space="preserve"> </w:t>
      </w:r>
      <w:r>
        <w:t xml:space="preserve">A). For each simulation, the ancestral species was therefore assigned an initial biome based on the location of the site where it originated, randomly drawn within an equal-area grid overlaying our landscape (see</w:t>
      </w:r>
      <w:r>
        <w:t xml:space="preserve"> </w:t>
      </w:r>
      <w:r>
        <w:rPr>
          <w:i/>
          <w:iCs/>
        </w:rPr>
        <w:t xml:space="preserve">STAR Methods</w:t>
      </w:r>
      <w:r>
        <w:t xml:space="preserve">). Simulations generated under the</w:t>
      </w:r>
      <w:r>
        <w:t xml:space="preserve"> </w:t>
      </w:r>
      <m:oMath>
        <m:r>
          <m:t>M</m:t>
        </m:r>
        <m:r>
          <m:t>0</m:t>
        </m:r>
      </m:oMath>
      <w:r>
        <w:t xml:space="preserve"> </w:t>
      </w:r>
      <w:r>
        <w:t xml:space="preserve">model – where climatic niche does not evolve –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5</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rPr>
          <w:t xml:space="preserve">Figure 5</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biomes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5</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of Panama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5</w:t>
        </w:r>
      </w:hyperlink>
      <w:r>
        <w:t xml:space="preserve"> </w:t>
      </w:r>
      <w:r>
        <w:t xml:space="preserve">C</w:t>
      </w:r>
      <w:r>
        <w:t xml:space="preserve"> </w:t>
      </w:r>
      <m:oMath>
        <m:r>
          <m:t>M</m:t>
        </m:r>
        <m:r>
          <m:t>1</m:t>
        </m:r>
        <m:r>
          <m:rPr>
            <m:sty m:val="p"/>
          </m:rPr>
          <m:t>−</m:t>
        </m:r>
        <m:r>
          <m:t>2</m:t>
        </m:r>
      </m:oMath>
      <w:r>
        <w:t xml:space="preserve">). Note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5</w:t>
        </w:r>
      </w:hyperlink>
      <w:r>
        <w:t xml:space="preserve"> </w:t>
      </w:r>
      <w:r>
        <w:t xml:space="preserve">C</w:t>
      </w:r>
      <w:r>
        <w:t xml:space="preserve"> </w:t>
      </w:r>
      <m:oMath>
        <m:r>
          <m:t>M</m:t>
        </m:r>
        <m:r>
          <m:t>3</m:t>
        </m:r>
      </m:oMath>
      <w:r>
        <w:t xml:space="preserve">). All this still holds when standardising initial distances to the isthmus of Panama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regardless of the biome where they originate (</w:t>
      </w:r>
      <w:hyperlink w:anchor="fig-biome">
        <w:r>
          <w:rPr>
            <w:rStyle w:val="Hyperlink"/>
          </w:rPr>
          <w:t xml:space="preserve">Figure 5</w:t>
        </w:r>
      </w:hyperlink>
      <w:r>
        <w:t xml:space="preserve"> </w:t>
      </w:r>
      <w:r>
        <w:t xml:space="preserve">C</w:t>
      </w:r>
      <w:r>
        <w:t xml:space="preserve"> </w:t>
      </w:r>
      <m:oMath>
        <m:r>
          <m:t>M</m:t>
        </m:r>
        <m:r>
          <m:t>1</m:t>
        </m:r>
        <m:r>
          <m:rPr>
            <m:sty m:val="p"/>
          </m:rPr>
          <m:t>−</m:t>
        </m:r>
        <m:r>
          <m:t>3</m:t>
        </m:r>
      </m:oMath>
      <w:r>
        <w:t xml:space="preserve">).</w:t>
      </w:r>
    </w:p>
    <w:bookmarkEnd w:id="25"/>
    <w:bookmarkEnd w:id="26"/>
    <w:bookmarkStart w:id="30"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newly-colonised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3</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 exchange that resulted from the GABI must have been shaped by additional factors than climate alone. This result might have broader implications in biogeography, a discipline where climate has been used as the main factor explaining the distribution limits and the range dynamic of species.</w:t>
      </w:r>
    </w:p>
    <w:p>
      <w:pPr>
        <w:pStyle w:val="BodyText"/>
      </w:pPr>
      <w:r>
        <w:t xml:space="preserve">Seminal works primarily interpreted the empirically-derived asymmetry of the GABI under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Following this framework, Marshall et al.</w:t>
      </w:r>
      <w:r>
        <w:rPr>
          <w:vertAlign w:val="superscript"/>
        </w:rPr>
        <w:t xml:space="preserve">2</w:t>
      </w:r>
      <w:r>
        <w:t xml:space="preserve"> </w:t>
      </w:r>
      <w:r>
        <w:t xml:space="preserve">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w:t>
      </w:r>
      <w:r>
        <w:rPr>
          <w:vertAlign w:val="superscript"/>
        </w:rPr>
        <w:t xml:space="preserve">36</w:t>
      </w:r>
      <w:r>
        <w:t xml:space="preserve">. 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3</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suggested by our findings goes in contradiction with the mammal fossil record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w:t>
      </w:r>
      <w:r>
        <w:t xml:space="preserve">, it actually echoes inter-American exchange patterns suggested by other groups of vertebrates. For instance, the extant South American amphibian fauna is almost entirely endemic</w:t>
      </w:r>
      <w:r>
        <w:rPr>
          <w:vertAlign w:val="superscript"/>
        </w:rPr>
        <w:t xml:space="preserve">47</w:t>
      </w:r>
      <w:r>
        <w:t xml:space="preserve">. By contrast, the North American frog fauna is composed of four families of southern origin, and only three of northern origin</w:t>
      </w:r>
      <w:r>
        <w:rPr>
          <w:vertAlign w:val="superscript"/>
        </w:rPr>
        <w:t xml:space="preserve">47</w:t>
      </w:r>
      <w:r>
        <w:t xml:space="preserve">.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however be noted that, due to the requirement for connected freshwater networks, the magnitude of the faunal admixture among freshwater fishes has been greatly limited compared to land groups. Next, despite the higher dispersal abilities of birds (suggested by their mode of locomotion), phylogenetic evidence has shown a significant influence of the closure of the Panamanian Seaway in the rates of exchange between both continent’s avifaunas</w:t>
      </w:r>
      <w:r>
        <w:rPr>
          <w:vertAlign w:val="superscript"/>
        </w:rPr>
        <w:t xml:space="preserve">50,51</w:t>
      </w:r>
      <w:r>
        <w:t xml:space="preserve">.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w:t>
      </w:r>
      <w:r>
        <w:rPr>
          <w:vertAlign w:val="superscript"/>
        </w:rPr>
        <w:t xml:space="preserve">49,51</w:t>
      </w:r>
      <w:r>
        <w:t xml:space="preserve">. That being said, notable exceptions of South American bird groups that successfully diversified in North America (including within temperate regions) exist, such as hummingbirds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w:t>
      </w:r>
      <w:r>
        <w:t xml:space="preserve">. However, the lack of fossil record for all the aforementioned groups greatly hampers the understanding of the processes behind their biogeographic history. Last, the Central American flora has been characterised as a mixture of lineages of North and South American origins, but phylogenetic evidence have suggested that the arrival of taxa from South America largely predated the established timeline of the GABI</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53</w:t>
      </w:r>
      <w:r>
        <w:t xml:space="preserve">. Nevertheless, the orchid flora of the Chocó region, bridging the north-western coast of South America and southern Panama, was found to be primarily made up with Andean − thus, South American − lineages that radiated locally not earlier than 5 million years ago</w:t>
      </w:r>
      <w:r>
        <w:rPr>
          <w:vertAlign w:val="superscript"/>
        </w:rPr>
        <w:t xml:space="preserve">54</w:t>
      </w:r>
      <w:r>
        <w:t xml:space="preserve">.</w:t>
      </w:r>
    </w:p>
    <w:bookmarkEnd w:id="27"/>
    <w:bookmarkStart w:id="28" w:name="X7b3b63bb3145a2ec4443db944233242b9757c90"/>
    <w:p>
      <w:pPr>
        <w:pStyle w:val="Heading2"/>
      </w:pPr>
      <w:r>
        <w:t xml:space="preserve">Revisiting climatic paradigms of the Great American Biotic Interchange</w:t>
      </w:r>
    </w:p>
    <w:p>
      <w:pPr>
        <w:pStyle w:val="FirstParagraph"/>
      </w:pPr>
      <w:r>
        <w:t xml:space="preserve">One of the predictions of Vrba’s resource-use hypothesis, formulated within the framework of habitat theory and applied to the GABI, is that tropical specialists would have been naturally attracted towards the equator following the contraction of the tropical belt in the aftermath of the global cooling occurring at the Plio-Pleistocene boundary (</w:t>
      </w:r>
      <w:hyperlink w:anchor="fig-hypotheses">
        <w:r>
          <w:rPr>
            <w:rStyle w:val="Hyperlink"/>
          </w:rPr>
          <w:t xml:space="preserve">Figure 1</w:t>
        </w:r>
      </w:hyperlink>
      <w:r>
        <w:t xml:space="preserve"> </w:t>
      </w:r>
      <w:r>
        <w:t xml:space="preserve">B;</w:t>
      </w:r>
      <w:r>
        <w:t xml:space="preserve"> </w:t>
      </w:r>
      <w:hyperlink w:anchor="fig-framework">
        <w:r>
          <w:rPr>
            <w:rStyle w:val="Hyperlink"/>
          </w:rPr>
          <w:t xml:space="preserve">Figure 2</w:t>
        </w:r>
      </w:hyperlink>
      <w:r>
        <w:t xml:space="preserve">, from</w:t>
      </w:r>
      <w:r>
        <w:t xml:space="preserve"> </w:t>
      </w:r>
      <w:r>
        <w:rPr>
          <w:i/>
          <w:iCs/>
        </w:rPr>
        <w:t xml:space="preserve">ca</w:t>
      </w:r>
      <w:r>
        <w:t xml:space="preserve">. 3 Ma). This would have actively promoted the establishment of North American tropical specialists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55</w:t>
      </w:r>
      <w:r>
        <w:t xml:space="preserve">. The latter hypothesis views the high diversity in the (Neo)tropics as a result of past climatic fragmentation of the tropical climatic region, generating discontinuities within populations of tropical taxa. In case of climatic disruption, tropical taxa would therefore follow the contraction-expansion of their habitat, in turn driving speciation by vicariance on evolutionary timescales</w:t>
      </w:r>
      <w:r>
        <w:rPr>
          <w:vertAlign w:val="superscript"/>
        </w:rPr>
        <w:t xml:space="preserve">55</w:t>
      </w:r>
      <w:r>
        <w:t xml:space="preserve">. Here, our virtual experiments partially corroborate these historical predictions. Indeed, simulated tropical generalists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5</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5</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could reflect an attenuated magnitude of the climatic fragmentation of the Panamanian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5</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composed of taxa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for instance equids, proboscids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w:t>
      </w:r>
      <w:r>
        <w:rPr>
          <w:vertAlign w:val="superscript"/>
        </w:rPr>
        <w:t xml:space="preserve">14</w:t>
      </w:r>
      <w:r>
        <w:t xml:space="preserve">. Under such an assumption, the majority of exchanged taxa would therefore have ecologies suited to open habitats, and would have preferentially dispersed during Pleistocene glaciations</w:t>
      </w:r>
      <w:r>
        <w:rPr>
          <w:vertAlign w:val="superscript"/>
        </w:rPr>
        <w:t xml:space="preserve">11,13</w:t>
      </w:r>
      <w:r>
        <w:t xml:space="preserve"> </w:t>
      </w:r>
      <w:r>
        <w:t xml:space="preserve">(</w:t>
      </w:r>
      <w:hyperlink w:anchor="fig-hypotheses">
        <w:r>
          <w:rPr>
            <w:rStyle w:val="Hyperlink"/>
          </w:rPr>
          <w:t xml:space="preserve">Figure 1</w:t>
        </w:r>
      </w:hyperlink>
      <w:r>
        <w:t xml:space="preserve"> </w:t>
      </w:r>
      <w:r>
        <w:t xml:space="preserve">A). As mentioned by Weir</w:t>
      </w:r>
      <w:r>
        <w:rPr>
          <w:vertAlign w:val="superscript"/>
        </w:rPr>
        <w:t xml:space="preserve">50</w:t>
      </w:r>
      <w:r>
        <w:t xml:space="preserve">, the American mammal fossil record is highly biased, with few occurrences coming from low-latitude tropical regions, which is particularly striking in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Furthermore, evidence from extant mammal taxa suggest a strong tropical niche conservatism, that is, the trend according to which newly-originated tropical taxa would remain inhabiting under tropical climates</w:t>
      </w:r>
      <w:r>
        <w:rPr>
          <w:vertAlign w:val="superscript"/>
        </w:rPr>
        <w:t xml:space="preserve">49,58</w:t>
      </w:r>
      <w:r>
        <w:t xml:space="preserve">. Thus, the fossil-derived number of mammal exchanges must have been greatly underestimated, with little fossil evidence of interchange constrained to the tropical biome, as stressed by Carrillo</w:t>
      </w:r>
      <w:r>
        <w:rPr>
          <w:vertAlign w:val="superscript"/>
        </w:rPr>
        <w:t xml:space="preserve">16</w:t>
      </w:r>
      <w:r>
        <w:t xml:space="preserve">. Thus, one can wonder: could the empirically-derived migration imbalance in favour of North American taxa dispersing southwards be altered by the tropical niche conservatism of south-to-north migrants, thereby obscuring the actual number of intercontinental exchanges?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4</w:t>
        </w:r>
      </w:hyperlink>
      <w:r>
        <w:t xml:space="preserve"> </w:t>
      </w:r>
      <w:r>
        <w:t xml:space="preserve">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w:t>
      </w:r>
      <w:r>
        <w:t xml:space="preserve"> </w:t>
      </w:r>
      <m:oMath>
        <m:r>
          <m:t>M</m:t>
        </m:r>
        <m:r>
          <m:t>0</m:t>
        </m:r>
      </m:oMath>
      <w:r>
        <w:t xml:space="preserve"> </w:t>
      </w:r>
      <w:r>
        <w:t xml:space="preserve">(Figure S12). This mirrors the fact that simulated tropical specialists from South America were more intensively exchanged than other simulated biome specialists (</w:t>
      </w:r>
      <w:hyperlink w:anchor="fig-biome">
        <w:r>
          <w:rPr>
            <w:rStyle w:val="Hyperlink"/>
          </w:rPr>
          <w:t xml:space="preserve">Figure 5</w:t>
        </w:r>
      </w:hyperlink>
      <w:r>
        <w:t xml:space="preserve"> </w:t>
      </w:r>
      <w:r>
        <w:t xml:space="preserve">C). The imposed tropical niche conservatism therefore constrained them to remain in tropical regions of North America, that are less represented in tropical North America than in South America (</w:t>
      </w:r>
      <w:hyperlink w:anchor="fig-biome">
        <w:r>
          <w:rPr>
            <w:rStyle w:val="Hyperlink"/>
          </w:rPr>
          <w:t xml:space="preserve">Figure 5</w:t>
        </w:r>
      </w:hyperlink>
      <w:r>
        <w:t xml:space="preserve"> </w:t>
      </w:r>
      <w:r>
        <w:t xml:space="preserve">A). This adds some evidence supporting the fact that climate would have permitted South-to-North tropical exchanges to take place, but might have been obscured by a subsequent taphonomic bias in the fossil record, as suggested by studies relying on dated phylogenies</w:t>
      </w:r>
      <w:r>
        <w:rPr>
          <w:vertAlign w:val="superscript"/>
        </w:rPr>
        <w:t xml:space="preserve">12,16</w:t>
      </w:r>
      <w:r>
        <w:t xml:space="preserve">. Hence, our study calls for thinking about the distinction between the ability to disperse towards, and ability to maintain within the newly-colonised area. Those two distinct processes may have been ruled by different factors.</w:t>
      </w:r>
    </w:p>
    <w:p>
      <w:pPr>
        <w:pStyle w:val="BodyText"/>
      </w:pPr>
      <w:r>
        <w:t xml:space="preserve">Our simulations cast doubt on the interplay between the aforementioned exchange pulses and temperature fluctuations, as exemplified by the combined times of occurrence of all successful exchanges (either southwards or northwards, depending on whether the simulation started from North or South America) occurring in all the simulations generated under a given landmass-scenario combination (Figure S11). In the case of northwards dispersal events, a gradual increase in exchange frequency from the Plio-Pleistocene boundary onwards is to be reported (Figure S11,</w:t>
      </w:r>
      <w:r>
        <w:t xml:space="preserve"> </w:t>
      </w:r>
      <w:r>
        <w:rPr>
          <w:i/>
          <w:iCs/>
        </w:rPr>
        <w:t xml:space="preserve">right</w:t>
      </w:r>
      <w:r>
        <w:t xml:space="preserve">). This might reflect the average waiting time that virtual radiations take to reach the isthmian zone, directly proportional to their initial distance to the isthmus (Figure S4−5). Note that this explanation does not invoke any implication of climate. Regarding southwards exchanges, the same pattern seems to arise for simulations generated under the</w:t>
      </w:r>
      <w:r>
        <w:t xml:space="preserve"> </w:t>
      </w:r>
      <m:oMath>
        <m:r>
          <m:t>M</m:t>
        </m:r>
        <m:r>
          <m:t>1</m:t>
        </m:r>
      </m:oMath>
      <w:r>
        <w:t xml:space="preserve"> </w:t>
      </w:r>
      <w:r>
        <w:t xml:space="preserve">model, but not under</w:t>
      </w:r>
      <w:r>
        <w:t xml:space="preserve"> </w:t>
      </w:r>
      <m:oMath>
        <m:r>
          <m:t>M</m:t>
        </m:r>
        <m:r>
          <m:t>0</m:t>
        </m:r>
      </m:oMath>
      <w:r>
        <w:t xml:space="preserve"> </w:t>
      </w:r>
      <w:r>
        <w:t xml:space="preserve">(Figure S11). The distribution of the exchange times in the latter case rather exhibits sporadic pulses</w:t>
      </w:r>
      <w:r>
        <w:t xml:space="preserve"> </w:t>
      </w:r>
      <w:r>
        <w:rPr>
          <w:i/>
          <w:iCs/>
        </w:rPr>
        <w:t xml:space="preserve">ca.</w:t>
      </w:r>
      <w:r>
        <w:t xml:space="preserve"> </w:t>
      </w:r>
      <w:r>
        <w:t xml:space="preserve">0.2, 0.5, 0.8, 1.2, 1.9, 2.5 Ma, which could match with some temperature minima, but accurately testing such an observation would require additional data. Rather, the sporadic character of exchange pulses in that case could simply come from the relatively low amount of successful simulations as compared to other modelling scenarios (Table S2). Overall, our simulations suggest that the relationship between temperature minima and pulses of faunal exchange between the Americas seems to be more complex than previously stated</w:t>
      </w:r>
      <w:r>
        <w:t xml:space="preserve"> </w:t>
      </w:r>
      <m:oMath>
        <m:sSup>
          <m:e>
            <m:r>
              <m:t>​</m:t>
            </m:r>
          </m:e>
          <m:sup>
            <m:r>
              <m:t>e</m:t>
            </m:r>
            <m:r>
              <m:rPr>
                <m:sty m:val="p"/>
              </m:rPr>
              <m:t>.</m:t>
            </m:r>
            <m:r>
              <m:t>g</m:t>
            </m:r>
            <m:r>
              <m:rPr>
                <m:sty m:val="p"/>
              </m:rPr>
              <m:t>.</m:t>
            </m:r>
            <m:r>
              <m:rPr>
                <m:sty m:val="p"/>
              </m:rPr>
              <m:t>,</m:t>
            </m:r>
          </m:sup>
        </m:sSup>
      </m:oMath>
      <w:r>
        <w:rPr>
          <w:vertAlign w:val="superscript"/>
        </w:rPr>
        <w:t xml:space="preserve">11,14,24,29,30</w:t>
      </w:r>
      <w:r>
        <w:t xml:space="preserve">.</w:t>
      </w:r>
    </w:p>
    <w:p>
      <w:pPr>
        <w:pStyle w:val="BodyText"/>
      </w:pPr>
      <w:r>
        <w:t xml:space="preserve">Our findings nevertheless leave some space for possible random effects purely related to geography. Indeed, irrespective of the initial landmass, successful simulations originated on average closer to the isthmus of Panama than unsuccessful ones (Figures S6–7). This may suggest that some simulations were unsuccessful not only because of climatic filters, but also because they simply started too far from the landbridge and did not have the chance to reach it throughout the duration of the simulation. The relationship between the success of a taxon to make it to the other continent and the distance between its geographic range and the isthmus of Panama has long been postulated in the literature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Webb</w:t>
      </w:r>
      <w:r>
        <w:rPr>
          <w:vertAlign w:val="superscript"/>
        </w:rPr>
        <w:t xml:space="preserve">14</w:t>
      </w:r>
      <w:r>
        <w:t xml:space="preserve"> </w:t>
      </w:r>
      <w:r>
        <w:t xml:space="preserve">greatly illustrated this view with the example of antilocaprids, that</w:t>
      </w:r>
      <w:r>
        <w:t xml:space="preserve"> </w:t>
      </w:r>
      <w:r>
        <w:t xml:space="preserve">“</w:t>
      </w:r>
      <w:r>
        <w:t xml:space="preserve">were probably capable of living somewhere in the Andes, [but] were simply too far from the isthmian link to make the exodus</w:t>
      </w:r>
      <w:r>
        <w:t xml:space="preserve">”</w:t>
      </w:r>
      <w:r>
        <w:t xml:space="preserve">. Pursuing such a reasoning, a recent study characterised a negative correlation between the proportion of migrant taxa within fossil assemblages of either North or South America and the distance of the fossil assemblage to the Panamanian landbridge</w:t>
      </w:r>
      <w:r>
        <w:rPr>
          <w:vertAlign w:val="superscript"/>
        </w:rPr>
        <w:t xml:space="preserve">59</w:t>
      </w:r>
      <w:r>
        <w:t xml:space="preserve">. Therefore, geographic contingency must have also had a significant role to play in the asymmetry of the GABI.</w:t>
      </w:r>
    </w:p>
    <w:bookmarkEnd w:id="28"/>
    <w:bookmarkStart w:id="29" w:name="limitations-and-perspectives"/>
    <w:p>
      <w:pPr>
        <w:pStyle w:val="Heading2"/>
      </w:pPr>
      <w:r>
        <w:t xml:space="preserve">Limitations and perspectives</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vertAlign w:val="superscript"/>
        </w:rPr>
        <w:t xml:space="preserve">2</w:t>
      </w:r>
      <w:r>
        <w:t xml:space="preserve"> </w:t>
      </w:r>
      <w:r>
        <w:t xml:space="preserve">highlighted that northern immigrant genera experienced notoriously higher origination and lower extinction rates than native lineages in South America. More recently, using a Bayesian framework accounting for preservation heterogeneities to infer fossil-based macroevolutionary trends, Carrillo et al.</w:t>
      </w:r>
      <w:r>
        <w:rPr>
          <w:vertAlign w:val="superscript"/>
        </w:rPr>
        <w:t xml:space="preserve">16</w:t>
      </w:r>
      <w:r>
        <w:t xml:space="preserve"> </w:t>
      </w:r>
      <w:r>
        <w:t xml:space="preserve">showed that the asymmetry of the GABI was not due to differences in origination or dispersal rates, but rather in extinction rates: native South American lineages experienced more extinctions in their home range than migrant lineages. In our simulations, for a species to go extinct, it needs to disappear from each cell across the landscape. As environmental filtering – in our case, the only force driving diversification – acts at the scale of a pixel, species extinction is therefore very rare. As a result, our framework did not allow us to relate the simulated environment-dependent inter-American faunal exchange with any diversification process. Realistic modelling of macroevolutionary processes is therefore an avenue towards improvements among mechanistic eco-evolutionary simulators, particularly in the framework of the GABI.</w:t>
      </w:r>
    </w:p>
    <w:p>
      <w:pPr>
        <w:pStyle w:val="BodyText"/>
      </w:pPr>
      <w:r>
        <w:t xml:space="preserve">Also, we evidenced a nuance between the proportion of colonised area and the absolute colonised area (</w:t>
      </w:r>
      <w:hyperlink w:anchor="fig-metrics">
        <w:r>
          <w:rPr>
            <w:rStyle w:val="Hyperlink"/>
          </w:rPr>
          <w:t xml:space="preserve">Figure 4</w:t>
        </w:r>
      </w:hyperlink>
      <w:r>
        <w:t xml:space="preserve"> </w:t>
      </w:r>
      <w:r>
        <w:t xml:space="preserve">and S12) simply comes from the imbalanced number of pixels between the two landmasses, being around two times larger for North America than for South America (</w:t>
      </w:r>
      <w:hyperlink w:anchor="fig-framework">
        <w:r>
          <w:rPr>
            <w:rStyle w:val="Hyperlink"/>
          </w:rPr>
          <w:t xml:space="preserve">Figure 2</w:t>
        </w:r>
      </w:hyperlink>
      <w:r>
        <w:t xml:space="preserve">). A possible avenue to avoid such confusions when carrying eco-evolutionary simulations at such a broad spatial scale (here from</w:t>
      </w:r>
      <w:r>
        <w:t xml:space="preserve"> </w:t>
      </w:r>
      <w:r>
        <w:rPr>
          <w:i/>
          <w:iCs/>
        </w:rPr>
        <w:t xml:space="preserve">ca</w:t>
      </w:r>
      <w:r>
        <w:t xml:space="preserve">. 80° N to</w:t>
      </w:r>
      <w:r>
        <w:t xml:space="preserve"> </w:t>
      </w:r>
      <w:r>
        <w:rPr>
          <w:i/>
          <w:iCs/>
        </w:rPr>
        <w:t xml:space="preserve">ca</w:t>
      </w:r>
      <w:r>
        <w:t xml:space="preserve">. 40° S lat) would be to use equal-area landscapes. In our case, this would require conversions in the palaeoclimate simulations that we use, as well as adapting dispersal probabilities based on actual distances rather than equal-degree pixels.</w:t>
      </w:r>
    </w:p>
    <w:p>
      <w:pPr>
        <w:pStyle w:val="BodyText"/>
      </w:pPr>
      <w:r>
        <w:t xml:space="preserve">In addition, the main message of our study is that climate alone is not sufficient to explain the asymmetry of the GABI. This suggests that other factors, unaccounted here, might have been at work to shape the uneven faunal exchange that occurred across the Americas.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60</w:t>
      </w:r>
      <w:r>
        <w:t xml:space="preserve"> </w:t>
      </w:r>
      <w:r>
        <w:t xml:space="preserve">– that followed the establishment of northern lineages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Convinced that the overwhelming success of North American mammals in South America could</w:t>
      </w:r>
      <w:r>
        <w:t xml:space="preserve"> </w:t>
      </w:r>
      <w:r>
        <w:t xml:space="preserve">“</w:t>
      </w:r>
      <w:r>
        <w:rPr>
          <w:i/>
          <w:iCs/>
        </w:rPr>
        <w:t xml:space="preserve">not be pure coincidence</w:t>
      </w:r>
      <w:r>
        <w:t xml:space="preserve">”</w:t>
      </w:r>
      <w:r>
        <w:t xml:space="preserve">, Simpson</w:t>
      </w:r>
      <w:r>
        <w:rPr>
          <w:vertAlign w:val="superscript"/>
        </w:rPr>
        <w:t xml:space="preserve">61</w:t>
      </w:r>
      <w:r>
        <w:t xml:space="preserve"> </w:t>
      </w:r>
      <w:r>
        <w:t xml:space="preserve">proposed this imbalance to come from the different levels of connectivity with other landmasses between North and South America throughout the Cenozoic. Whereas South America mostly evolved as an isolated continent, North America has been repeatedly connected to other landmasses, promoting faunal exchanges. Lineages that maintained in the aftermath of such connections therefore had to cope with eventual competition with other groups, which was not the case of South American fauna. However, several process-based analyses of the fossil record provided no evidence for biotic interactions involving native South American mammals and their northern counterparts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25,26</w:t>
      </w:r>
      <w:r>
        <w:t xml:space="preserve">. Hence, incorporating biotic compounds in mechanistic frameworks such as the one we have implemented here would be a worthy avenue for future studies tackling the asymmetry behind the GABI.</w:t>
      </w:r>
    </w:p>
    <w:p>
      <w:pPr>
        <w:pStyle w:val="BodyText"/>
      </w:pPr>
      <w:r>
        <w:t xml:space="preserve">Last, the landscape designed for the purpose of this study (</w:t>
      </w:r>
      <w:hyperlink w:anchor="fig-framework">
        <w:r>
          <w:rPr>
            <w:rStyle w:val="Hyperlink"/>
          </w:rPr>
          <w:t xml:space="preserve">Figure 2</w:t>
        </w:r>
      </w:hyperlink>
      <w:r>
        <w:t xml:space="preserve">) only permitted transcontinental faunal exchange via the isthmus of Panama, the closure of which being assumed to be the main trigger of the GABI</w:t>
      </w:r>
      <w:r>
        <w:rPr>
          <w:vertAlign w:val="superscript"/>
        </w:rPr>
        <w:t xml:space="preserve">2</w:t>
      </w:r>
      <w:r>
        <w:t xml:space="preserve">. Yet, the fossil record of the Caribbean Islands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62,63</w:t>
      </w:r>
      <w:r>
        <w:t xml:space="preserve">. Although over-water dispersal has long been regarded as the prevailing mechanism</w:t>
      </w:r>
      <w:r>
        <w:rPr>
          <w:vertAlign w:val="superscript"/>
        </w:rPr>
        <w:t xml:space="preserve">62</w:t>
      </w:r>
      <w:r>
        <w:t xml:space="preserve">, recent geological advances have provided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64</w:t>
      </w:r>
      <w:r>
        <w:t xml:space="preserve">. Hence, it would make sense to consider the Caribbean Islands as an alternative dispersal pathway between the Americas, as shown to be the case in earlier time frames, for instance, near the Eocene–Oligocene boundary (</w:t>
      </w:r>
      <w:r>
        <w:rPr>
          <w:i/>
          <w:iCs/>
        </w:rPr>
        <w:t xml:space="preserve">i</w:t>
      </w:r>
      <w:r>
        <w:t xml:space="preserve">.</w:t>
      </w:r>
      <w:r>
        <w:rPr>
          <w:i/>
          <w:iCs/>
        </w:rPr>
        <w:t xml:space="preserve">e</w:t>
      </w:r>
      <w:r>
        <w:t xml:space="preserve">., GAARlandia hypothesis)</w:t>
      </w:r>
      <w:r>
        <w:rPr>
          <w:vertAlign w:val="superscript"/>
        </w:rPr>
        <w:t xml:space="preserve">64,65</w:t>
      </w:r>
      <w:r>
        <w:t xml:space="preserve">.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66</w:t>
      </w:r>
      <w:r>
        <w:t xml:space="preserve"> </w:t>
      </w:r>
      <w:r>
        <w:t xml:space="preserve">as well as the poor mention of the Caribbean Islands as a stepping-stone in the literature of the GABI, we believe that considering this alternative route in our framework would rather deserve to be the topic of another study.</w:t>
      </w:r>
    </w:p>
    <w:p>
      <w:pPr>
        <w:pStyle w:val="BodyText"/>
      </w:pPr>
      <w:r>
        <w:t xml:space="preserve">In summary, our findings do not support hypotheses exclusively relating the asymmetry of the GABI to palaeoclimate dynamics. Rather, our virtual experiments suggest that palaeoclimate would not have acted against exchange between tropical faunas of both continents, in turn stressing that the tropics did not act as a barrier, as previously stated. As they largely rely on the mammal fossil record, hypotheses relating the asymmetry of the GABI to palaeoclimate dynamics must have been affected by taphonomic bias, given the scarcity of fossil material in the tropical areas of the Americas. All this ultimately suggests that, despite being virtually able to make it to the other landmass, other factors unconsidered here must have been at play to prevent the establishment of endemic land mammals from South America in the other continent, in turn shaping the imbalance of the GABI.</w:t>
      </w:r>
    </w:p>
    <w:bookmarkEnd w:id="29"/>
    <w:bookmarkEnd w:id="30"/>
    <w:bookmarkStart w:id="31"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feedback on the present work. L.B. was funded by a grant offered by the École Normale Supérieure de Lyon.</w:t>
      </w:r>
    </w:p>
    <w:bookmarkEnd w:id="31"/>
    <w:bookmarkStart w:id="32" w:name="author-contribution"/>
    <w:p>
      <w:pPr>
        <w:pStyle w:val="Heading1"/>
      </w:pPr>
      <w:r>
        <w:t xml:space="preserve">Author Contribution</w:t>
      </w:r>
    </w:p>
    <w:p>
      <w:pPr>
        <w:pStyle w:val="FirstParagraph"/>
      </w:pPr>
      <w:r>
        <w:t xml:space="preserve">S.V. and L.B. designed the project. L.B. ran the simulations, performed the analyses, produced the figures and wrote the manuscript with inputs from all co-authors.</w:t>
      </w:r>
    </w:p>
    <w:bookmarkEnd w:id="32"/>
    <w:bookmarkStart w:id="33" w:name="declaration-of-interests"/>
    <w:p>
      <w:pPr>
        <w:pStyle w:val="Heading1"/>
      </w:pPr>
      <w:r>
        <w:t xml:space="preserve">Declaration of Interests</w:t>
      </w:r>
    </w:p>
    <w:p>
      <w:pPr>
        <w:pStyle w:val="FirstParagraph"/>
      </w:pPr>
      <w:r>
        <w:t xml:space="preserve">The authors declare having no competing interests.</w:t>
      </w:r>
    </w:p>
    <w:p>
      <w:r>
        <w:br w:type="page"/>
      </w:r>
    </w:p>
    <w:bookmarkEnd w:id="33"/>
    <w:bookmarkStart w:id="175" w:name="references"/>
    <w:p>
      <w:pPr>
        <w:pStyle w:val="Heading1"/>
      </w:pPr>
      <w:r>
        <w:t xml:space="preserve">References</w:t>
      </w:r>
    </w:p>
    <w:bookmarkStart w:id="174" w:name="refs"/>
    <w:bookmarkStart w:id="35" w:name="ref-webb1976"/>
    <w:p>
      <w:pPr>
        <w:pStyle w:val="Bibliography"/>
      </w:pPr>
      <w:r>
        <w:t xml:space="preserve">1.</w:t>
      </w:r>
      <w:r>
        <w:t xml:space="preserve"> </w:t>
      </w:r>
      <w:r>
        <w:t xml:space="preserve">	</w:t>
      </w:r>
      <w:r>
        <w:t xml:space="preserve">Webb, S.D. (1976).</w:t>
      </w:r>
      <w:r>
        <w:t xml:space="preserve"> </w:t>
      </w:r>
      <w:hyperlink r:id="rId34">
        <w:r>
          <w:rPr>
            <w:rStyle w:val="Hyperlink"/>
          </w:rPr>
          <w:t xml:space="preserve">M</w:t>
        </w:r>
        <w:r>
          <w:rPr>
            <w:rStyle w:val="Hyperlink"/>
          </w:rPr>
          <w:t xml:space="preserve">ammalian</w:t>
        </w:r>
        <w:r>
          <w:rPr>
            <w:rStyle w:val="Hyperlink"/>
          </w:rPr>
          <w:t xml:space="preserve"> </w:t>
        </w:r>
        <w:r>
          <w:rPr>
            <w:rStyle w:val="Hyperlink"/>
          </w:rPr>
          <w:t xml:space="preserve">F</w:t>
        </w:r>
        <w:r>
          <w:rPr>
            <w:rStyle w:val="Hyperlink"/>
          </w:rPr>
          <w:t xml:space="preserve">aunal</w:t>
        </w:r>
        <w:r>
          <w:rPr>
            <w:rStyle w:val="Hyperlink"/>
          </w:rPr>
          <w:t xml:space="preserve"> </w:t>
        </w:r>
        <w:r>
          <w:rPr>
            <w:rStyle w:val="Hyperlink"/>
          </w:rPr>
          <w:t xml:space="preserve">D</w:t>
        </w:r>
        <w:r>
          <w:rPr>
            <w:rStyle w:val="Hyperlink"/>
          </w:rPr>
          <w:t xml:space="preserve">ynamics of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Paleobiology</w:t>
      </w:r>
      <w:r>
        <w:t xml:space="preserve"> </w:t>
      </w:r>
      <w:r>
        <w:rPr>
          <w:i/>
          <w:iCs/>
        </w:rPr>
        <w:t xml:space="preserve">2</w:t>
      </w:r>
      <w:r>
        <w:t xml:space="preserve">, 220–234.</w:t>
      </w:r>
    </w:p>
    <w:bookmarkEnd w:id="35"/>
    <w:bookmarkStart w:id="37" w:name="ref-marshall1982"/>
    <w:p>
      <w:pPr>
        <w:pStyle w:val="Bibliography"/>
      </w:pPr>
      <w:r>
        <w:t xml:space="preserve">2.</w:t>
      </w:r>
      <w:r>
        <w:t xml:space="preserve"> </w:t>
      </w:r>
      <w:r>
        <w:t xml:space="preserve">	</w:t>
      </w:r>
      <w:r>
        <w:t xml:space="preserve">Marshall, L.G., Webb, S.D., Sepkoski, J.J., and Raup, D.M. (1982).</w:t>
      </w:r>
      <w:r>
        <w:t xml:space="preserve"> </w:t>
      </w:r>
      <w:hyperlink r:id="rId36">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w:t>
      </w:r>
      <w:r>
        <w:t xml:space="preserve"> </w:t>
      </w:r>
      <w:r>
        <w:rPr>
          <w:i/>
          <w:iCs/>
        </w:rPr>
        <w:t xml:space="preserve">215</w:t>
      </w:r>
      <w:r>
        <w:t xml:space="preserve">, 1351–1357.</w:t>
      </w:r>
    </w:p>
    <w:bookmarkEnd w:id="37"/>
    <w:bookmarkStart w:id="39" w:name="ref-stehli_great_1985"/>
    <w:p>
      <w:pPr>
        <w:pStyle w:val="Bibliography"/>
      </w:pPr>
      <w:r>
        <w:t xml:space="preserve">3.</w:t>
      </w:r>
      <w:r>
        <w:t xml:space="preserve"> </w:t>
      </w:r>
      <w:r>
        <w:t xml:space="preserve">	</w:t>
      </w:r>
      <w:r>
        <w:t xml:space="preserve">Stehli, F.G., and Webb, S.D. eds. (1985).</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Plenum Press. (Springer</w:t>
      </w:r>
      <w:r>
        <w:t xml:space="preserve"> </w:t>
      </w:r>
      <w:r>
        <w:t xml:space="preserve">US</w:t>
      </w:r>
      <w:r>
        <w:t xml:space="preserve">)</w:t>
      </w:r>
      <w:r>
        <w:t xml:space="preserve"> </w:t>
      </w:r>
      <w:hyperlink r:id="rId38">
        <w:r>
          <w:rPr>
            <w:rStyle w:val="Hyperlink"/>
          </w:rPr>
          <w:t xml:space="preserve">https://doi.org/10.1007/978-1-4684-9181-4</w:t>
        </w:r>
      </w:hyperlink>
      <w:r>
        <w:t xml:space="preserve">.</w:t>
      </w:r>
    </w:p>
    <w:bookmarkEnd w:id="39"/>
    <w:bookmarkStart w:id="41"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w:t>
      </w:r>
      <w:r>
        <w:t xml:space="preserve"> </w:t>
      </w:r>
      <w:r>
        <w:t xml:space="preserve">M</w:t>
      </w:r>
      <w:r>
        <w:t xml:space="preserve">iddle</w:t>
      </w:r>
      <w:r>
        <w:t xml:space="preserve"> </w:t>
      </w:r>
      <w:r>
        <w:t xml:space="preserve">M</w:t>
      </w:r>
      <w:r>
        <w:t xml:space="preserve">iocene closure of the</w:t>
      </w:r>
      <w:r>
        <w:t xml:space="preserve"> </w:t>
      </w:r>
      <w:r>
        <w:t xml:space="preserve">C</w:t>
      </w:r>
      <w:r>
        <w:t xml:space="preserve">entral</w:t>
      </w:r>
      <w:r>
        <w:t xml:space="preserve"> </w:t>
      </w:r>
      <w:r>
        <w:t xml:space="preserve">A</w:t>
      </w:r>
      <w:r>
        <w:t xml:space="preserve">merican</w:t>
      </w:r>
      <w:r>
        <w:t xml:space="preserve"> </w:t>
      </w:r>
      <w:r>
        <w:t xml:space="preserve">S</w:t>
      </w:r>
      <w:r>
        <w:t xml:space="preserve">eaway. Science</w:t>
      </w:r>
      <w:r>
        <w:t xml:space="preserve"> </w:t>
      </w:r>
      <w:r>
        <w:rPr>
          <w:i/>
          <w:iCs/>
        </w:rPr>
        <w:t xml:space="preserve">348</w:t>
      </w:r>
      <w:r>
        <w:t xml:space="preserve">, 226–229.</w:t>
      </w:r>
      <w:r>
        <w:t xml:space="preserve"> </w:t>
      </w:r>
      <w:hyperlink r:id="rId40">
        <w:r>
          <w:rPr>
            <w:rStyle w:val="Hyperlink"/>
          </w:rPr>
          <w:t xml:space="preserve">https://doi.org/10.1126/science.aaa2815</w:t>
        </w:r>
      </w:hyperlink>
      <w:r>
        <w:t xml:space="preserve">.</w:t>
      </w:r>
    </w:p>
    <w:bookmarkEnd w:id="41"/>
    <w:bookmarkStart w:id="43" w:name="ref-jaramillo2018"/>
    <w:p>
      <w:pPr>
        <w:pStyle w:val="Bibliography"/>
      </w:pPr>
      <w:r>
        <w:t xml:space="preserve">5.</w:t>
      </w:r>
      <w:r>
        <w:t xml:space="preserve"> </w:t>
      </w:r>
      <w:r>
        <w:t xml:space="preserve">	</w:t>
      </w:r>
      <w:r>
        <w:t xml:space="preserve">Jaramillo, C.A. (2018).</w:t>
      </w:r>
      <w:r>
        <w:t xml:space="preserve"> </w:t>
      </w:r>
      <w:hyperlink r:id="rId42">
        <w:r>
          <w:rPr>
            <w:rStyle w:val="Hyperlink"/>
          </w:rPr>
          <w:t xml:space="preserve">E</w:t>
        </w:r>
        <w:r>
          <w:rPr>
            <w:rStyle w:val="Hyperlink"/>
          </w:rPr>
          <w:t xml:space="preserve">volution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r>
          <w:rPr>
            <w:rStyle w:val="Hyperlink"/>
          </w:rPr>
          <w:t xml:space="preserve"> </w:t>
        </w:r>
        <w:r>
          <w:rPr>
            <w:rStyle w:val="Hyperlink"/>
          </w:rPr>
          <w:t xml:space="preserve">B</w:t>
        </w:r>
        <w:r>
          <w:rPr>
            <w:rStyle w:val="Hyperlink"/>
          </w:rPr>
          <w:t xml:space="preserve">iological,</w:t>
        </w:r>
        <w:r>
          <w:rPr>
            <w:rStyle w:val="Hyperlink"/>
          </w:rPr>
          <w:t xml:space="preserve"> </w:t>
        </w:r>
        <w:r>
          <w:rPr>
            <w:rStyle w:val="Hyperlink"/>
          </w:rPr>
          <w:t xml:space="preserve">P</w:t>
        </w:r>
        <w:r>
          <w:rPr>
            <w:rStyle w:val="Hyperlink"/>
          </w:rPr>
          <w:t xml:space="preserve">aleoceanographic and</w:t>
        </w:r>
        <w:r>
          <w:rPr>
            <w:rStyle w:val="Hyperlink"/>
          </w:rPr>
          <w:t xml:space="preserve"> </w:t>
        </w:r>
        <w:r>
          <w:rPr>
            <w:rStyle w:val="Hyperlink"/>
          </w:rPr>
          <w:t xml:space="preserve">P</w:t>
        </w:r>
        <w:r>
          <w:rPr>
            <w:rStyle w:val="Hyperlink"/>
          </w:rPr>
          <w:t xml:space="preserve">aleoclimatological</w:t>
        </w:r>
        <w:r>
          <w:rPr>
            <w:rStyle w:val="Hyperlink"/>
          </w:rPr>
          <w:t xml:space="preserve"> </w:t>
        </w:r>
        <w:r>
          <w:rPr>
            <w:rStyle w:val="Hyperlink"/>
          </w:rPr>
          <w:t xml:space="preserve">I</w:t>
        </w:r>
        <w:r>
          <w:rPr>
            <w:rStyle w:val="Hyperlink"/>
          </w:rPr>
          <w:t xml:space="preserve">mplications</w:t>
        </w:r>
      </w:hyperlink>
      <w:r>
        <w:t xml:space="preserve">. In (John Wiley &amp; Sons).</w:t>
      </w:r>
    </w:p>
    <w:bookmarkEnd w:id="43"/>
    <w:bookmarkStart w:id="45"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w:t>
      </w:r>
      <w:r>
        <w:t xml:space="preserve"> </w:t>
      </w:r>
      <w:r>
        <w:t xml:space="preserve">F</w:t>
      </w:r>
      <w:r>
        <w:t xml:space="preserve">ormation of the</w:t>
      </w:r>
      <w:r>
        <w:t xml:space="preserve"> </w:t>
      </w:r>
      <w:r>
        <w:t xml:space="preserve">I</w:t>
      </w:r>
      <w:r>
        <w:t xml:space="preserve">sthmus of</w:t>
      </w:r>
      <w:r>
        <w:t xml:space="preserve"> </w:t>
      </w:r>
      <w:r>
        <w:t xml:space="preserve">P</w:t>
      </w:r>
      <w:r>
        <w:t xml:space="preserve">anama. Science Advances</w:t>
      </w:r>
      <w:r>
        <w:t xml:space="preserve"> </w:t>
      </w:r>
      <w:r>
        <w:rPr>
          <w:i/>
          <w:iCs/>
        </w:rPr>
        <w:t xml:space="preserve">2</w:t>
      </w:r>
      <w:r>
        <w:t xml:space="preserve">, e1600883.</w:t>
      </w:r>
      <w:r>
        <w:t xml:space="preserve"> </w:t>
      </w:r>
      <w:hyperlink r:id="rId44">
        <w:r>
          <w:rPr>
            <w:rStyle w:val="Hyperlink"/>
          </w:rPr>
          <w:t xml:space="preserve">https://doi.org/10.1126/sciadv.1600883</w:t>
        </w:r>
      </w:hyperlink>
      <w:r>
        <w:t xml:space="preserve">.</w:t>
      </w:r>
    </w:p>
    <w:bookmarkEnd w:id="45"/>
    <w:bookmarkStart w:id="47" w:name="ref-bourke2025"/>
    <w:p>
      <w:pPr>
        <w:pStyle w:val="Bibliography"/>
      </w:pPr>
      <w:r>
        <w:t xml:space="preserve">7.</w:t>
      </w:r>
      <w:r>
        <w:t xml:space="preserve"> </w:t>
      </w:r>
      <w:r>
        <w:t xml:space="preserve">	</w:t>
      </w:r>
      <w:r>
        <w:t xml:space="preserve">Bourke, J.R., Link, F., Long, M.D., and Wright, J. (2025).</w:t>
      </w:r>
      <w:r>
        <w:t xml:space="preserve"> </w:t>
      </w:r>
      <w:r>
        <w:t xml:space="preserve">E</w:t>
      </w:r>
      <w:r>
        <w:t xml:space="preserve">vidence for</w:t>
      </w:r>
      <w:r>
        <w:t xml:space="preserve"> </w:t>
      </w:r>
      <w:r>
        <w:t xml:space="preserve">C</w:t>
      </w:r>
      <w:r>
        <w:t xml:space="preserve">aribbean</w:t>
      </w:r>
      <w:r>
        <w:t xml:space="preserve"> </w:t>
      </w:r>
      <w:r>
        <w:t xml:space="preserve">P</w:t>
      </w:r>
      <w:r>
        <w:t xml:space="preserve">late</w:t>
      </w:r>
      <w:r>
        <w:t xml:space="preserve"> </w:t>
      </w:r>
      <w:r>
        <w:t xml:space="preserve">S</w:t>
      </w:r>
      <w:r>
        <w:t xml:space="preserve">ubduction</w:t>
      </w:r>
      <w:r>
        <w:t xml:space="preserve"> </w:t>
      </w:r>
      <w:r>
        <w:t xml:space="preserve">B</w:t>
      </w:r>
      <w:r>
        <w:t xml:space="preserve">eneath the</w:t>
      </w:r>
      <w:r>
        <w:t xml:space="preserve"> </w:t>
      </w:r>
      <w:r>
        <w:t xml:space="preserve">I</w:t>
      </w:r>
      <w:r>
        <w:t xml:space="preserve">sthmus of</w:t>
      </w:r>
      <w:r>
        <w:t xml:space="preserve"> </w:t>
      </w:r>
      <w:r>
        <w:t xml:space="preserve">P</w:t>
      </w:r>
      <w:r>
        <w:t xml:space="preserve">anama and</w:t>
      </w:r>
      <w:r>
        <w:t xml:space="preserve"> </w:t>
      </w:r>
      <w:r>
        <w:t xml:space="preserve">I</w:t>
      </w:r>
      <w:r>
        <w:t xml:space="preserve">mplications for</w:t>
      </w:r>
      <w:r>
        <w:t xml:space="preserve"> </w:t>
      </w:r>
      <w:r>
        <w:t xml:space="preserve">S</w:t>
      </w:r>
      <w:r>
        <w:t xml:space="preserve">ubduction</w:t>
      </w:r>
      <w:r>
        <w:t xml:space="preserve"> </w:t>
      </w:r>
      <w:r>
        <w:t xml:space="preserve">I</w:t>
      </w:r>
      <w:r>
        <w:t xml:space="preserve">nitiation and the</w:t>
      </w:r>
      <w:r>
        <w:t xml:space="preserve"> </w:t>
      </w:r>
      <w:r>
        <w:t xml:space="preserve">C</w:t>
      </w:r>
      <w:r>
        <w:t xml:space="preserve">losure of the</w:t>
      </w:r>
      <w:r>
        <w:t xml:space="preserve"> </w:t>
      </w:r>
      <w:r>
        <w:t xml:space="preserve">C</w:t>
      </w:r>
      <w:r>
        <w:t xml:space="preserve">entral</w:t>
      </w:r>
      <w:r>
        <w:t xml:space="preserve"> </w:t>
      </w:r>
      <w:r>
        <w:t xml:space="preserve">A</w:t>
      </w:r>
      <w:r>
        <w:t xml:space="preserve">merican</w:t>
      </w:r>
      <w:r>
        <w:t xml:space="preserve"> </w:t>
      </w:r>
      <w:r>
        <w:t xml:space="preserve">I</w:t>
      </w:r>
      <w:r>
        <w:t xml:space="preserve">sthmus</w:t>
      </w:r>
      <w:r>
        <w:t xml:space="preserve"> </w:t>
      </w:r>
      <w:r>
        <w:t xml:space="preserve">D</w:t>
      </w:r>
      <w:r>
        <w:t xml:space="preserve">uring the</w:t>
      </w:r>
      <w:r>
        <w:t xml:space="preserve"> </w:t>
      </w:r>
      <w:r>
        <w:t xml:space="preserve">M</w:t>
      </w:r>
      <w:r>
        <w:t xml:space="preserve">iocene. Geochemistry, Geophysics, Geosystems</w:t>
      </w:r>
      <w:r>
        <w:t xml:space="preserve"> </w:t>
      </w:r>
      <w:r>
        <w:rPr>
          <w:i/>
          <w:iCs/>
        </w:rPr>
        <w:t xml:space="preserve">26</w:t>
      </w:r>
      <w:r>
        <w:t xml:space="preserve">, e2025GC012288.</w:t>
      </w:r>
      <w:r>
        <w:t xml:space="preserve"> </w:t>
      </w:r>
      <w:hyperlink r:id="rId46">
        <w:r>
          <w:rPr>
            <w:rStyle w:val="Hyperlink"/>
          </w:rPr>
          <w:t xml:space="preserve">https://doi.org/10.1029/2025GC012288</w:t>
        </w:r>
      </w:hyperlink>
      <w:r>
        <w:t xml:space="preserve">.</w:t>
      </w:r>
    </w:p>
    <w:bookmarkEnd w:id="47"/>
    <w:bookmarkStart w:id="49" w:name="ref-verzi2008"/>
    <w:p>
      <w:pPr>
        <w:pStyle w:val="Bibliography"/>
      </w:pPr>
      <w:r>
        <w:t xml:space="preserve">8.</w:t>
      </w:r>
      <w:r>
        <w:t xml:space="preserve"> </w:t>
      </w:r>
      <w:r>
        <w:t xml:space="preserve">	</w:t>
      </w:r>
      <w:r>
        <w:t xml:space="preserve">Verzi, D.H., Montalvo, C.I., and Deschamps, C.M. (2008).</w:t>
      </w:r>
      <w:r>
        <w:t xml:space="preserve"> </w:t>
      </w:r>
      <w:r>
        <w:t xml:space="preserve">B</w:t>
      </w:r>
      <w:r>
        <w:t xml:space="preserve">iostratigraphy and biochronology of the</w:t>
      </w:r>
      <w:r>
        <w:t xml:space="preserve"> </w:t>
      </w:r>
      <w:r>
        <w:t xml:space="preserve">L</w:t>
      </w:r>
      <w:r>
        <w:t xml:space="preserve">ate</w:t>
      </w:r>
      <w:r>
        <w:t xml:space="preserve"> </w:t>
      </w:r>
      <w:r>
        <w:t xml:space="preserve">M</w:t>
      </w:r>
      <w:r>
        <w:t xml:space="preserve">iocene of central</w:t>
      </w:r>
      <w:r>
        <w:t xml:space="preserve"> </w:t>
      </w:r>
      <w:r>
        <w:t xml:space="preserve">A</w:t>
      </w:r>
      <w:r>
        <w:t xml:space="preserve">rgentina:</w:t>
      </w:r>
      <w:r>
        <w:t xml:space="preserve"> </w:t>
      </w:r>
      <w:r>
        <w:t xml:space="preserve">E</w:t>
      </w:r>
      <w:r>
        <w:t xml:space="preserve">vidence from rodents and taphonomy. Geobios</w:t>
      </w:r>
      <w:r>
        <w:t xml:space="preserve"> </w:t>
      </w:r>
      <w:r>
        <w:rPr>
          <w:i/>
          <w:iCs/>
        </w:rPr>
        <w:t xml:space="preserve">41</w:t>
      </w:r>
      <w:r>
        <w:t xml:space="preserve">, 145–155.</w:t>
      </w:r>
      <w:r>
        <w:t xml:space="preserve"> </w:t>
      </w:r>
      <w:hyperlink r:id="rId48">
        <w:r>
          <w:rPr>
            <w:rStyle w:val="Hyperlink"/>
          </w:rPr>
          <w:t xml:space="preserve">https://doi.org/10.1016/j.geobios.2006.09.005</w:t>
        </w:r>
      </w:hyperlink>
      <w:r>
        <w:t xml:space="preserve">.</w:t>
      </w:r>
    </w:p>
    <w:bookmarkEnd w:id="49"/>
    <w:bookmarkStart w:id="51"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0">
        <w:r>
          <w:rPr>
            <w:rStyle w:val="Hyperlink"/>
          </w:rPr>
          <w:t xml:space="preserve">6.</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iochronology of the</w:t>
        </w:r>
        <w:r>
          <w:rPr>
            <w:rStyle w:val="Hyperlink"/>
          </w:rPr>
          <w:t xml:space="preserve"> </w:t>
        </w:r>
        <w:r>
          <w:rPr>
            <w:rStyle w:val="Hyperlink"/>
          </w:rPr>
          <w:t xml:space="preserve">A</w:t>
        </w:r>
        <w:r>
          <w:rPr>
            <w:rStyle w:val="Hyperlink"/>
          </w:rPr>
          <w:t xml:space="preserve">rikareean</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H</w:t>
        </w:r>
        <w:r>
          <w:rPr>
            <w:rStyle w:val="Hyperlink"/>
          </w:rPr>
          <w:t xml:space="preserve">emphillian</w:t>
        </w:r>
        <w:r>
          <w:rPr>
            <w:rStyle w:val="Hyperlink"/>
          </w:rPr>
          <w:t xml:space="preserve"> </w:t>
        </w:r>
        <w:r>
          <w:rPr>
            <w:rStyle w:val="Hyperlink"/>
          </w:rPr>
          <w:t xml:space="preserve">I</w:t>
        </w:r>
        <w:r>
          <w:rPr>
            <w:rStyle w:val="Hyperlink"/>
          </w:rPr>
          <w:t xml:space="preserve">nterval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w:t>
        </w:r>
        <w:r>
          <w:rPr>
            <w:rStyle w:val="Hyperlink"/>
          </w:rPr>
          <w:t xml:space="preserve"> </w:t>
        </w:r>
        <w:r>
          <w:rPr>
            <w:rStyle w:val="Hyperlink"/>
          </w:rPr>
          <w:t xml:space="preserve">E</w:t>
        </w:r>
        <w:r>
          <w:rPr>
            <w:rStyle w:val="Hyperlink"/>
          </w:rPr>
          <w:t xml:space="preserve">pochs)</w:t>
        </w:r>
      </w:hyperlink>
      <w:r>
        <w:t xml:space="preserve">. In, M. O. Woodburne, ed. (Columbia University Press), pp. 169–231.</w:t>
      </w:r>
    </w:p>
    <w:bookmarkEnd w:id="51"/>
    <w:bookmarkStart w:id="53" w:name="ref-carrillo2015"/>
    <w:p>
      <w:pPr>
        <w:pStyle w:val="Bibliography"/>
      </w:pPr>
      <w:r>
        <w:t xml:space="preserve">10.</w:t>
      </w:r>
      <w:r>
        <w:t xml:space="preserve"> </w:t>
      </w:r>
      <w:r>
        <w:t xml:space="preserve">	</w:t>
      </w:r>
      <w:r>
        <w:t xml:space="preserve">Carrillo, J.D., Forasiepi, A., Jaramillo, C., and Sánchez-Villagra, M.R. (2015).</w:t>
      </w:r>
      <w:r>
        <w:t xml:space="preserve"> </w:t>
      </w:r>
      <w:r>
        <w:t xml:space="preserve">N</w:t>
      </w:r>
      <w:r>
        <w:t xml:space="preserve">eotropical mammal diversity and the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Spatial and temporal variation in</w:t>
      </w:r>
      <w:r>
        <w:t xml:space="preserve"> </w:t>
      </w:r>
      <w:r>
        <w:t xml:space="preserve">S</w:t>
      </w:r>
      <w:r>
        <w:t xml:space="preserve">outh</w:t>
      </w:r>
      <w:r>
        <w:t xml:space="preserve"> </w:t>
      </w:r>
      <w:r>
        <w:t xml:space="preserve">A</w:t>
      </w:r>
      <w:r>
        <w:t xml:space="preserve">merica’s fossil record. Frontiers in Genetics</w:t>
      </w:r>
      <w:r>
        <w:t xml:space="preserve"> </w:t>
      </w:r>
      <w:r>
        <w:rPr>
          <w:i/>
          <w:iCs/>
        </w:rPr>
        <w:t xml:space="preserve">5</w:t>
      </w:r>
      <w:r>
        <w:t xml:space="preserve">.</w:t>
      </w:r>
      <w:r>
        <w:t xml:space="preserve"> </w:t>
      </w:r>
      <w:hyperlink r:id="rId52">
        <w:r>
          <w:rPr>
            <w:rStyle w:val="Hyperlink"/>
          </w:rPr>
          <w:t xml:space="preserve">https://doi.org/10.3389/fgene.2014.00451</w:t>
        </w:r>
      </w:hyperlink>
      <w:r>
        <w:t xml:space="preserve">.</w:t>
      </w:r>
    </w:p>
    <w:bookmarkEnd w:id="53"/>
    <w:bookmarkStart w:id="55" w:name="ref-woodburne2010"/>
    <w:p>
      <w:pPr>
        <w:pStyle w:val="Bibliography"/>
      </w:pPr>
      <w:r>
        <w:t xml:space="preserve">11.</w:t>
      </w:r>
      <w:r>
        <w:t xml:space="preserve"> </w:t>
      </w:r>
      <w:r>
        <w:t xml:space="preserve">	</w:t>
      </w:r>
      <w:r>
        <w:t xml:space="preserve">Woodburne, M.O. (2010).</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w:t>
      </w:r>
      <w:r>
        <w:t xml:space="preserve"> </w:t>
      </w:r>
      <w:r>
        <w:t xml:space="preserve">D</w:t>
      </w:r>
      <w:r>
        <w:t xml:space="preserve">ispersals,</w:t>
      </w:r>
      <w:r>
        <w:t xml:space="preserve"> </w:t>
      </w:r>
      <w:r>
        <w:t xml:space="preserve">T</w:t>
      </w:r>
      <w:r>
        <w:t xml:space="preserve">ectonics,</w:t>
      </w:r>
      <w:r>
        <w:t xml:space="preserve"> </w:t>
      </w:r>
      <w:r>
        <w:t xml:space="preserve">C</w:t>
      </w:r>
      <w:r>
        <w:t xml:space="preserve">limate,</w:t>
      </w:r>
      <w:r>
        <w:t xml:space="preserve"> </w:t>
      </w:r>
      <w:r>
        <w:t xml:space="preserve">S</w:t>
      </w:r>
      <w:r>
        <w:t xml:space="preserve">ea</w:t>
      </w:r>
      <w:r>
        <w:t xml:space="preserve"> </w:t>
      </w:r>
      <w:r>
        <w:t xml:space="preserve">L</w:t>
      </w:r>
      <w:r>
        <w:t xml:space="preserve">evel and</w:t>
      </w:r>
      <w:r>
        <w:t xml:space="preserve"> </w:t>
      </w:r>
      <w:r>
        <w:t xml:space="preserve">H</w:t>
      </w:r>
      <w:r>
        <w:t xml:space="preserve">olding</w:t>
      </w:r>
      <w:r>
        <w:t xml:space="preserve"> </w:t>
      </w:r>
      <w:r>
        <w:t xml:space="preserve">P</w:t>
      </w:r>
      <w:r>
        <w:t xml:space="preserve">ens. Journal of Mammalian Evolution</w:t>
      </w:r>
      <w:r>
        <w:t xml:space="preserve"> </w:t>
      </w:r>
      <w:r>
        <w:rPr>
          <w:i/>
          <w:iCs/>
        </w:rPr>
        <w:t xml:space="preserve">17</w:t>
      </w:r>
      <w:r>
        <w:t xml:space="preserve">, 245–264.</w:t>
      </w:r>
      <w:r>
        <w:t xml:space="preserve"> </w:t>
      </w:r>
      <w:hyperlink r:id="rId54">
        <w:r>
          <w:rPr>
            <w:rStyle w:val="Hyperlink"/>
          </w:rPr>
          <w:t xml:space="preserve">https://doi.org/10.1007/s10914-010-9144-8</w:t>
        </w:r>
      </w:hyperlink>
      <w:r>
        <w:t xml:space="preserve">.</w:t>
      </w:r>
    </w:p>
    <w:bookmarkEnd w:id="55"/>
    <w:bookmarkStart w:id="57" w:name="ref-bacon2015"/>
    <w:p>
      <w:pPr>
        <w:pStyle w:val="Bibliography"/>
      </w:pPr>
      <w:r>
        <w:t xml:space="preserve">12.</w:t>
      </w:r>
      <w:r>
        <w:t xml:space="preserve"> </w:t>
      </w:r>
      <w:r>
        <w:t xml:space="preserve">	</w:t>
      </w:r>
      <w:r>
        <w:t xml:space="preserve">Bacon, C.D., Silvestro, D., Jaramillo, C., Smith, B.T., Chakrabarty, P., and Antonelli, A. (2015).</w:t>
      </w:r>
      <w:r>
        <w:t xml:space="preserve"> </w:t>
      </w:r>
      <w:r>
        <w:t xml:space="preserve">B</w:t>
      </w:r>
      <w:r>
        <w:t xml:space="preserve">iological evidence supports an early and complex emergence of the</w:t>
      </w:r>
      <w:r>
        <w:t xml:space="preserve"> </w:t>
      </w:r>
      <w:r>
        <w:t xml:space="preserve">I</w:t>
      </w:r>
      <w:r>
        <w:t xml:space="preserve">sthmus of</w:t>
      </w:r>
      <w:r>
        <w:t xml:space="preserve"> </w:t>
      </w:r>
      <w:r>
        <w:t xml:space="preserve">P</w:t>
      </w:r>
      <w:r>
        <w:t xml:space="preserve">anama. Proceedings of the National Academy of Sciences</w:t>
      </w:r>
      <w:r>
        <w:t xml:space="preserve"> </w:t>
      </w:r>
      <w:r>
        <w:rPr>
          <w:i/>
          <w:iCs/>
        </w:rPr>
        <w:t xml:space="preserve">112</w:t>
      </w:r>
      <w:r>
        <w:t xml:space="preserve">, 6110–6115.</w:t>
      </w:r>
      <w:r>
        <w:t xml:space="preserve"> </w:t>
      </w:r>
      <w:hyperlink r:id="rId56">
        <w:r>
          <w:rPr>
            <w:rStyle w:val="Hyperlink"/>
          </w:rPr>
          <w:t xml:space="preserve">https://doi.org/10.1073/pnas.1423853112</w:t>
        </w:r>
      </w:hyperlink>
      <w:r>
        <w:t xml:space="preserve">.</w:t>
      </w:r>
    </w:p>
    <w:bookmarkEnd w:id="57"/>
    <w:bookmarkStart w:id="59" w:name="ref-bacon2016"/>
    <w:p>
      <w:pPr>
        <w:pStyle w:val="Bibliography"/>
      </w:pPr>
      <w:r>
        <w:t xml:space="preserve">13.</w:t>
      </w:r>
      <w:r>
        <w:t xml:space="preserve"> </w:t>
      </w:r>
      <w:r>
        <w:t xml:space="preserve">	</w:t>
      </w:r>
      <w:r>
        <w:t xml:space="preserve">Bacon, C.D., Molnar, P., Antonelli, A., Crawford, A.J., Montes, C., and Vallejo-Pareja, M.C. (2016).</w:t>
      </w:r>
      <w:r>
        <w:t xml:space="preserve"> </w:t>
      </w:r>
      <w:r>
        <w:t xml:space="preserve">Q</w:t>
      </w:r>
      <w:r>
        <w:t xml:space="preserve">uaternary glaciation and the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Geology</w:t>
      </w:r>
      <w:r>
        <w:t xml:space="preserve"> </w:t>
      </w:r>
      <w:r>
        <w:rPr>
          <w:i/>
          <w:iCs/>
        </w:rPr>
        <w:t xml:space="preserve">44</w:t>
      </w:r>
      <w:r>
        <w:t xml:space="preserve">, 375–378.</w:t>
      </w:r>
      <w:r>
        <w:t xml:space="preserve"> </w:t>
      </w:r>
      <w:hyperlink r:id="rId58">
        <w:r>
          <w:rPr>
            <w:rStyle w:val="Hyperlink"/>
          </w:rPr>
          <w:t xml:space="preserve">https://doi.org/10.1130/G37624.1</w:t>
        </w:r>
      </w:hyperlink>
      <w:r>
        <w:t xml:space="preserve">.</w:t>
      </w:r>
    </w:p>
    <w:bookmarkEnd w:id="59"/>
    <w:bookmarkStart w:id="61" w:name="ref-webb1991"/>
    <w:p>
      <w:pPr>
        <w:pStyle w:val="Bibliography"/>
      </w:pPr>
      <w:r>
        <w:t xml:space="preserve">14.</w:t>
      </w:r>
      <w:r>
        <w:t xml:space="preserve"> </w:t>
      </w:r>
      <w:r>
        <w:t xml:space="preserve">	</w:t>
      </w:r>
      <w:r>
        <w:t xml:space="preserve">Webb, S.D. (1991).</w:t>
      </w:r>
      <w:r>
        <w:t xml:space="preserve"> </w:t>
      </w:r>
      <w:r>
        <w:t xml:space="preserve">E</w:t>
      </w:r>
      <w:r>
        <w:t xml:space="preserve">cogeography and the</w:t>
      </w:r>
      <w:r>
        <w:t xml:space="preserve"> </w:t>
      </w:r>
      <w:r>
        <w:t xml:space="preserve">G</w:t>
      </w:r>
      <w:r>
        <w:t xml:space="preserve">reat</w:t>
      </w:r>
      <w:r>
        <w:t xml:space="preserve"> </w:t>
      </w:r>
      <w:r>
        <w:t xml:space="preserve">A</w:t>
      </w:r>
      <w:r>
        <w:t xml:space="preserve">merican</w:t>
      </w:r>
      <w:r>
        <w:t xml:space="preserve"> </w:t>
      </w:r>
      <w:r>
        <w:t xml:space="preserve">I</w:t>
      </w:r>
      <w:r>
        <w:t xml:space="preserve">nterchange. Paleobiology</w:t>
      </w:r>
      <w:r>
        <w:t xml:space="preserve"> </w:t>
      </w:r>
      <w:r>
        <w:rPr>
          <w:i/>
          <w:iCs/>
        </w:rPr>
        <w:t xml:space="preserve">17</w:t>
      </w:r>
      <w:r>
        <w:t xml:space="preserve">, 266–280.</w:t>
      </w:r>
      <w:r>
        <w:t xml:space="preserve"> </w:t>
      </w:r>
      <w:hyperlink r:id="rId60">
        <w:r>
          <w:rPr>
            <w:rStyle w:val="Hyperlink"/>
          </w:rPr>
          <w:t xml:space="preserve">https://doi.org/10.1017/S0094837300010605</w:t>
        </w:r>
      </w:hyperlink>
      <w:r>
        <w:t xml:space="preserve">.</w:t>
      </w:r>
    </w:p>
    <w:bookmarkEnd w:id="61"/>
    <w:bookmarkStart w:id="63"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2">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r>
          <w:rPr>
            <w:rStyle w:val="Hyperlink"/>
          </w:rPr>
          <w:t xml:space="preserve"> </w:t>
        </w:r>
        <w:r>
          <w:rPr>
            <w:rStyle w:val="Hyperlink"/>
          </w:rPr>
          <w:t xml:space="preserve">A</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P</w:t>
        </w:r>
        <w:r>
          <w:rPr>
            <w:rStyle w:val="Hyperlink"/>
          </w:rPr>
          <w:t xml:space="preserve">erspective</w:t>
        </w:r>
      </w:hyperlink>
      <w:r>
        <w:t xml:space="preserve"> </w:t>
      </w:r>
      <w:r>
        <w:t xml:space="preserve">(Springer Netherlands).</w:t>
      </w:r>
    </w:p>
    <w:bookmarkEnd w:id="63"/>
    <w:bookmarkStart w:id="65" w:name="ref-carrillo2020"/>
    <w:p>
      <w:pPr>
        <w:pStyle w:val="Bibliography"/>
      </w:pPr>
      <w:r>
        <w:t xml:space="preserve">16.</w:t>
      </w:r>
      <w:r>
        <w:t xml:space="preserve"> </w:t>
      </w:r>
      <w:r>
        <w:t xml:space="preserve">	</w:t>
      </w:r>
      <w:r>
        <w:t xml:space="preserve">Carrillo, J.D., Faurby, S., Silvestro, D., Zizka, A., Jaramillo, C., Bacon, C.D., and Antonelli, A. (2020).</w:t>
      </w:r>
      <w:r>
        <w:t xml:space="preserve"> </w:t>
      </w:r>
      <w:r>
        <w:t xml:space="preserve">D</w:t>
      </w:r>
      <w:r>
        <w:t xml:space="preserve">isproportionate extinction of</w:t>
      </w:r>
      <w:r>
        <w:t xml:space="preserve"> </w:t>
      </w:r>
      <w:r>
        <w:t xml:space="preserve">S</w:t>
      </w:r>
      <w:r>
        <w:t xml:space="preserve">outh</w:t>
      </w:r>
      <w:r>
        <w:t xml:space="preserve"> </w:t>
      </w:r>
      <w:r>
        <w:t xml:space="preserve">A</w:t>
      </w:r>
      <w:r>
        <w:t xml:space="preserve">merican mammals drove the asymmetry of the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Proceedings of the National Academy of Sciences</w:t>
      </w:r>
      <w:r>
        <w:t xml:space="preserve"> </w:t>
      </w:r>
      <w:r>
        <w:rPr>
          <w:i/>
          <w:iCs/>
        </w:rPr>
        <w:t xml:space="preserve">117</w:t>
      </w:r>
      <w:r>
        <w:t xml:space="preserve">, 26281–26287.</w:t>
      </w:r>
      <w:r>
        <w:t xml:space="preserve"> </w:t>
      </w:r>
      <w:hyperlink r:id="rId64">
        <w:r>
          <w:rPr>
            <w:rStyle w:val="Hyperlink"/>
          </w:rPr>
          <w:t xml:space="preserve">https://doi.org/10.1073/pnas.2009397117</w:t>
        </w:r>
      </w:hyperlink>
      <w:r>
        <w:t xml:space="preserve">.</w:t>
      </w:r>
    </w:p>
    <w:bookmarkEnd w:id="65"/>
    <w:bookmarkStart w:id="67" w:name="ref-croft2020"/>
    <w:p>
      <w:pPr>
        <w:pStyle w:val="Bibliography"/>
      </w:pPr>
      <w:r>
        <w:t xml:space="preserve">17.</w:t>
      </w:r>
      <w:r>
        <w:t xml:space="preserve"> </w:t>
      </w:r>
      <w:r>
        <w:t xml:space="preserve">	</w:t>
      </w:r>
      <w:r>
        <w:t xml:space="preserve">Croft, D.A., Gelfo, J.N., and López, G.M. (2020).</w:t>
      </w:r>
      <w:r>
        <w:t xml:space="preserve"> </w:t>
      </w:r>
      <w:r>
        <w:t xml:space="preserve">S</w:t>
      </w:r>
      <w:r>
        <w:t xml:space="preserve">plendid</w:t>
      </w:r>
      <w:r>
        <w:t xml:space="preserve"> </w:t>
      </w:r>
      <w:r>
        <w:t xml:space="preserve">I</w:t>
      </w:r>
      <w:r>
        <w:t xml:space="preserve">nnovation:</w:t>
      </w:r>
      <w:r>
        <w:t xml:space="preserve"> </w:t>
      </w:r>
      <w:r>
        <w:t xml:space="preserve">T</w:t>
      </w:r>
      <w:r>
        <w:t xml:space="preserve">he</w:t>
      </w:r>
      <w:r>
        <w:t xml:space="preserve"> </w:t>
      </w:r>
      <w:r>
        <w:t xml:space="preserve">E</w:t>
      </w:r>
      <w:r>
        <w:t xml:space="preserve">xtinct</w:t>
      </w:r>
      <w:r>
        <w:t xml:space="preserve"> </w:t>
      </w:r>
      <w:r>
        <w:t xml:space="preserve">S</w:t>
      </w:r>
      <w:r>
        <w:t xml:space="preserve">outh</w:t>
      </w:r>
      <w:r>
        <w:t xml:space="preserve"> </w:t>
      </w:r>
      <w:r>
        <w:t xml:space="preserve">A</w:t>
      </w:r>
      <w:r>
        <w:t xml:space="preserve">merican</w:t>
      </w:r>
      <w:r>
        <w:t xml:space="preserve"> </w:t>
      </w:r>
      <w:r>
        <w:t xml:space="preserve">N</w:t>
      </w:r>
      <w:r>
        <w:t xml:space="preserve">ative</w:t>
      </w:r>
      <w:r>
        <w:t xml:space="preserve"> </w:t>
      </w:r>
      <w:r>
        <w:t xml:space="preserve">U</w:t>
      </w:r>
      <w:r>
        <w:t xml:space="preserve">ngulates. Annual Review of Earth and Planetary Sciences</w:t>
      </w:r>
      <w:r>
        <w:t xml:space="preserve"> </w:t>
      </w:r>
      <w:r>
        <w:rPr>
          <w:i/>
          <w:iCs/>
        </w:rPr>
        <w:t xml:space="preserve">48</w:t>
      </w:r>
      <w:r>
        <w:t xml:space="preserve">, 259–290.</w:t>
      </w:r>
      <w:r>
        <w:t xml:space="preserve"> </w:t>
      </w:r>
      <w:hyperlink r:id="rId66">
        <w:r>
          <w:rPr>
            <w:rStyle w:val="Hyperlink"/>
          </w:rPr>
          <w:t xml:space="preserve">https://doi.org/10.1146/annurev-earth-072619-060126</w:t>
        </w:r>
      </w:hyperlink>
      <w:r>
        <w:t xml:space="preserve">.</w:t>
      </w:r>
    </w:p>
    <w:bookmarkEnd w:id="67"/>
    <w:bookmarkStart w:id="69"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w:t>
      </w:r>
      <w:r>
        <w:t xml:space="preserve"> </w:t>
      </w:r>
      <w:r>
        <w:t xml:space="preserve">T</w:t>
      </w:r>
      <w:r>
        <w:t xml:space="preserve">he emergence and demise of giant sloths. Science</w:t>
      </w:r>
      <w:r>
        <w:t xml:space="preserve"> </w:t>
      </w:r>
      <w:r>
        <w:rPr>
          <w:i/>
          <w:iCs/>
        </w:rPr>
        <w:t xml:space="preserve">388</w:t>
      </w:r>
      <w:r>
        <w:t xml:space="preserve">, 864–868.</w:t>
      </w:r>
      <w:r>
        <w:t xml:space="preserve"> </w:t>
      </w:r>
      <w:hyperlink r:id="rId68">
        <w:r>
          <w:rPr>
            <w:rStyle w:val="Hyperlink"/>
          </w:rPr>
          <w:t xml:space="preserve">https://doi.org/10.1126/science.adu0704</w:t>
        </w:r>
      </w:hyperlink>
      <w:r>
        <w:t xml:space="preserve">.</w:t>
      </w:r>
    </w:p>
    <w:bookmarkEnd w:id="69"/>
    <w:bookmarkStart w:id="70" w:name="ref-simpson1980"/>
    <w:p>
      <w:pPr>
        <w:pStyle w:val="Bibliography"/>
      </w:pPr>
      <w:r>
        <w:t xml:space="preserve">19.</w:t>
      </w:r>
      <w:r>
        <w:t xml:space="preserve"> </w:t>
      </w:r>
      <w:r>
        <w:t xml:space="preserve">	</w:t>
      </w:r>
      <w:r>
        <w:t xml:space="preserve">Simpson, G.G.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70"/>
    <w:bookmarkStart w:id="72" w:name="ref-domingo2020"/>
    <w:p>
      <w:pPr>
        <w:pStyle w:val="Bibliography"/>
      </w:pPr>
      <w:r>
        <w:t xml:space="preserve">20.</w:t>
      </w:r>
      <w:r>
        <w:t xml:space="preserve"> </w:t>
      </w:r>
      <w:r>
        <w:t xml:space="preserve">	</w:t>
      </w:r>
      <w:r>
        <w:t xml:space="preserve">Domingo, L., Tomassini, R.L., Montalvo, C.I., Sanz-Pérez, D., and Alberdi, M.T. (2020).</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revisited: a new perspective from the stable isotope record of</w:t>
      </w:r>
      <w:r>
        <w:t xml:space="preserve"> </w:t>
      </w:r>
      <w:r>
        <w:t xml:space="preserve">A</w:t>
      </w:r>
      <w:r>
        <w:t xml:space="preserve">rgentine</w:t>
      </w:r>
      <w:r>
        <w:t xml:space="preserve"> </w:t>
      </w:r>
      <w:r>
        <w:t xml:space="preserve">P</w:t>
      </w:r>
      <w:r>
        <w:t xml:space="preserve">ampas fossil mammals. Scientific Reports</w:t>
      </w:r>
      <w:r>
        <w:t xml:space="preserve"> </w:t>
      </w:r>
      <w:r>
        <w:rPr>
          <w:i/>
          <w:iCs/>
        </w:rPr>
        <w:t xml:space="preserve">10</w:t>
      </w:r>
      <w:r>
        <w:t xml:space="preserve">, 1608.</w:t>
      </w:r>
      <w:r>
        <w:t xml:space="preserve"> </w:t>
      </w:r>
      <w:hyperlink r:id="rId71">
        <w:r>
          <w:rPr>
            <w:rStyle w:val="Hyperlink"/>
          </w:rPr>
          <w:t xml:space="preserve">https://doi.org/10.1038/s41598-020-58575-6</w:t>
        </w:r>
      </w:hyperlink>
      <w:r>
        <w:t xml:space="preserve">.</w:t>
      </w:r>
    </w:p>
    <w:bookmarkEnd w:id="72"/>
    <w:bookmarkStart w:id="73" w:name="ref-marshall1990"/>
    <w:p>
      <w:pPr>
        <w:pStyle w:val="Bibliography"/>
      </w:pPr>
      <w:r>
        <w:t xml:space="preserve">21.</w:t>
      </w:r>
      <w:r>
        <w:t xml:space="preserve"> </w:t>
      </w:r>
      <w:r>
        <w:t xml:space="preserve">	</w:t>
      </w:r>
      <w:r>
        <w:t xml:space="preserve">Marshall, L.G., and Cifelli, R.L. (1990).</w:t>
      </w:r>
      <w:r>
        <w:t xml:space="preserve"> </w:t>
      </w:r>
      <w:r>
        <w:t xml:space="preserve">A</w:t>
      </w:r>
      <w:r>
        <w:t xml:space="preserve">nalysis of changing diversity patterns in</w:t>
      </w:r>
      <w:r>
        <w:t xml:space="preserve"> </w:t>
      </w:r>
      <w:r>
        <w:t xml:space="preserve">C</w:t>
      </w:r>
      <w:r>
        <w:t xml:space="preserve">enozoic land mammal age faunas,</w:t>
      </w:r>
      <w:r>
        <w:t xml:space="preserve"> </w:t>
      </w:r>
      <w:r>
        <w:t xml:space="preserve">S</w:t>
      </w:r>
      <w:r>
        <w:t xml:space="preserve">outh</w:t>
      </w:r>
      <w:r>
        <w:t xml:space="preserve"> </w:t>
      </w:r>
      <w:r>
        <w:t xml:space="preserve">A</w:t>
      </w:r>
      <w:r>
        <w:t xml:space="preserve">merica. Palaeovertebrata</w:t>
      </w:r>
      <w:r>
        <w:t xml:space="preserve"> </w:t>
      </w:r>
      <w:r>
        <w:rPr>
          <w:i/>
          <w:iCs/>
        </w:rPr>
        <w:t xml:space="preserve">19</w:t>
      </w:r>
      <w:r>
        <w:t xml:space="preserve">, 169–210.</w:t>
      </w:r>
    </w:p>
    <w:bookmarkEnd w:id="73"/>
    <w:bookmarkStart w:id="75" w:name="ref-faurby2016"/>
    <w:p>
      <w:pPr>
        <w:pStyle w:val="Bibliography"/>
      </w:pPr>
      <w:r>
        <w:t xml:space="preserve">22.</w:t>
      </w:r>
      <w:r>
        <w:t xml:space="preserve"> </w:t>
      </w:r>
      <w:r>
        <w:t xml:space="preserve">	</w:t>
      </w:r>
      <w:r>
        <w:t xml:space="preserve">Faurby, S., and Svenning, J.-C. (2016).</w:t>
      </w:r>
      <w:r>
        <w:t xml:space="preserve"> </w:t>
      </w:r>
      <w:r>
        <w:t xml:space="preserve">T</w:t>
      </w:r>
      <w:r>
        <w:t xml:space="preserve">he asymmetry in the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4">
        <w:r>
          <w:rPr>
            <w:rStyle w:val="Hyperlink"/>
          </w:rPr>
          <w:t xml:space="preserve">https://doi.org/10.1111/geb.12504</w:t>
        </w:r>
      </w:hyperlink>
      <w:r>
        <w:t xml:space="preserve">.</w:t>
      </w:r>
    </w:p>
    <w:bookmarkEnd w:id="75"/>
    <w:bookmarkStart w:id="77"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w:t>
      </w:r>
      <w:r>
        <w:t xml:space="preserve"> </w:t>
      </w:r>
      <w:r>
        <w:t xml:space="preserve">M</w:t>
      </w:r>
      <w:r>
        <w:t xml:space="preserve">iddle</w:t>
      </w:r>
      <w:r>
        <w:t xml:space="preserve"> </w:t>
      </w:r>
      <w:r>
        <w:t xml:space="preserve">P</w:t>
      </w:r>
      <w:r>
        <w:t xml:space="preserve">leistocene revelations: unravelling taphonomic processes in mammals including</w:t>
      </w:r>
      <w:r>
        <w:t xml:space="preserve"> </w:t>
      </w:r>
      <w:r>
        <w:t xml:space="preserve">M</w:t>
      </w:r>
      <w:r>
        <w:t xml:space="preserve">esotherium cristatum (</w:t>
      </w:r>
      <w:r>
        <w:t xml:space="preserve">M</w:t>
      </w:r>
      <w:r>
        <w:t xml:space="preserve">esotheriidae,</w:t>
      </w:r>
      <w:r>
        <w:t xml:space="preserve"> </w:t>
      </w:r>
      <w:r>
        <w:t xml:space="preserve">N</w:t>
      </w:r>
      <w:r>
        <w:t xml:space="preserve">otoungulata),</w:t>
      </w:r>
      <w:r>
        <w:t xml:space="preserve"> </w:t>
      </w:r>
      <w:r>
        <w:t xml:space="preserve">C</w:t>
      </w:r>
      <w:r>
        <w:t xml:space="preserve">orralito</w:t>
      </w:r>
      <w:r>
        <w:t xml:space="preserve"> </w:t>
      </w:r>
      <w:r>
        <w:t xml:space="preserve">S</w:t>
      </w:r>
      <w:r>
        <w:t xml:space="preserve">ite,</w:t>
      </w:r>
      <w:r>
        <w:t xml:space="preserve"> </w:t>
      </w:r>
      <w:r>
        <w:t xml:space="preserve">C</w:t>
      </w:r>
      <w:r>
        <w:t xml:space="preserve">órdoba</w:t>
      </w:r>
      <w:r>
        <w:t xml:space="preserve"> </w:t>
      </w:r>
      <w:r>
        <w:t xml:space="preserve">P</w:t>
      </w:r>
      <w:r>
        <w:t xml:space="preserve">rovince,</w:t>
      </w:r>
      <w:r>
        <w:t xml:space="preserve"> </w:t>
      </w:r>
      <w:r>
        <w:t xml:space="preserve">A</w:t>
      </w:r>
      <w:r>
        <w:t xml:space="preserve">rgentina. Palaeontology</w:t>
      </w:r>
      <w:r>
        <w:t xml:space="preserve"> </w:t>
      </w:r>
      <w:r>
        <w:rPr>
          <w:i/>
          <w:iCs/>
        </w:rPr>
        <w:t xml:space="preserve">68</w:t>
      </w:r>
      <w:r>
        <w:t xml:space="preserve">, e70012.</w:t>
      </w:r>
      <w:r>
        <w:t xml:space="preserve"> </w:t>
      </w:r>
      <w:hyperlink r:id="rId76">
        <w:r>
          <w:rPr>
            <w:rStyle w:val="Hyperlink"/>
          </w:rPr>
          <w:t xml:space="preserve">https://doi.org/10.1111/pala.70012</w:t>
        </w:r>
      </w:hyperlink>
      <w:r>
        <w:t xml:space="preserve">.</w:t>
      </w:r>
    </w:p>
    <w:bookmarkEnd w:id="77"/>
    <w:bookmarkStart w:id="79" w:name="ref-vrba1992"/>
    <w:p>
      <w:pPr>
        <w:pStyle w:val="Bibliography"/>
      </w:pPr>
      <w:r>
        <w:t xml:space="preserve">24.</w:t>
      </w:r>
      <w:r>
        <w:t xml:space="preserve"> </w:t>
      </w:r>
      <w:r>
        <w:t xml:space="preserve">	</w:t>
      </w:r>
      <w:r>
        <w:t xml:space="preserve">Vrba, E.S. (1992).</w:t>
      </w:r>
      <w:r>
        <w:t xml:space="preserve"> </w:t>
      </w:r>
      <w:r>
        <w:t xml:space="preserve">M</w:t>
      </w:r>
      <w:r>
        <w:t xml:space="preserve">ammals as a</w:t>
      </w:r>
      <w:r>
        <w:t xml:space="preserve"> </w:t>
      </w:r>
      <w:r>
        <w:t xml:space="preserve">K</w:t>
      </w:r>
      <w:r>
        <w:t xml:space="preserve">ey to</w:t>
      </w:r>
      <w:r>
        <w:t xml:space="preserve"> </w:t>
      </w:r>
      <w:r>
        <w:t xml:space="preserve">E</w:t>
      </w:r>
      <w:r>
        <w:t xml:space="preserve">volutionary</w:t>
      </w:r>
      <w:r>
        <w:t xml:space="preserve"> </w:t>
      </w:r>
      <w:r>
        <w:t xml:space="preserve">T</w:t>
      </w:r>
      <w:r>
        <w:t xml:space="preserve">heory. Journal of Mammalogy</w:t>
      </w:r>
      <w:r>
        <w:t xml:space="preserve"> </w:t>
      </w:r>
      <w:r>
        <w:rPr>
          <w:i/>
          <w:iCs/>
        </w:rPr>
        <w:t xml:space="preserve">73</w:t>
      </w:r>
      <w:r>
        <w:t xml:space="preserve">, 1–28.</w:t>
      </w:r>
      <w:r>
        <w:t xml:space="preserve"> </w:t>
      </w:r>
      <w:hyperlink r:id="rId78">
        <w:r>
          <w:rPr>
            <w:rStyle w:val="Hyperlink"/>
          </w:rPr>
          <w:t xml:space="preserve">https://doi.org/10.2307/1381862</w:t>
        </w:r>
      </w:hyperlink>
      <w:r>
        <w:t xml:space="preserve">.</w:t>
      </w:r>
    </w:p>
    <w:bookmarkEnd w:id="79"/>
    <w:bookmarkStart w:id="81" w:name="ref-prevosti2013"/>
    <w:p>
      <w:pPr>
        <w:pStyle w:val="Bibliography"/>
      </w:pPr>
      <w:r>
        <w:t xml:space="preserve">25.</w:t>
      </w:r>
      <w:r>
        <w:t xml:space="preserve"> </w:t>
      </w:r>
      <w:r>
        <w:t xml:space="preserve">	</w:t>
      </w:r>
      <w:r>
        <w:t xml:space="preserve">Prevosti, F.J., Forasiepi, A., and Zimicz, N. (2013).</w:t>
      </w:r>
      <w:r>
        <w:t xml:space="preserve"> </w:t>
      </w:r>
      <w:r>
        <w:t xml:space="preserve">T</w:t>
      </w:r>
      <w:r>
        <w:t xml:space="preserve">he</w:t>
      </w:r>
      <w:r>
        <w:t xml:space="preserve"> </w:t>
      </w:r>
      <w:r>
        <w:t xml:space="preserve">E</w:t>
      </w:r>
      <w:r>
        <w:t xml:space="preserve">volution of the</w:t>
      </w:r>
      <w:r>
        <w:t xml:space="preserve"> </w:t>
      </w:r>
      <w:r>
        <w:t xml:space="preserve">C</w:t>
      </w:r>
      <w:r>
        <w:t xml:space="preserve">enozoic</w:t>
      </w:r>
      <w:r>
        <w:t xml:space="preserve"> </w:t>
      </w:r>
      <w:r>
        <w:t xml:space="preserve">T</w:t>
      </w:r>
      <w:r>
        <w:t xml:space="preserve">errestrial</w:t>
      </w:r>
      <w:r>
        <w:t xml:space="preserve"> </w:t>
      </w:r>
      <w:r>
        <w:t xml:space="preserve">M</w:t>
      </w:r>
      <w:r>
        <w:t xml:space="preserve">ammalian</w:t>
      </w:r>
      <w:r>
        <w:t xml:space="preserve"> </w:t>
      </w:r>
      <w:r>
        <w:t xml:space="preserve">P</w:t>
      </w:r>
      <w:r>
        <w:t xml:space="preserve">redator</w:t>
      </w:r>
      <w:r>
        <w:t xml:space="preserve"> </w:t>
      </w:r>
      <w:r>
        <w:t xml:space="preserve">G</w:t>
      </w:r>
      <w:r>
        <w:t xml:space="preserve">uild in</w:t>
      </w:r>
      <w:r>
        <w:t xml:space="preserve"> </w:t>
      </w:r>
      <w:r>
        <w:t xml:space="preserve">S</w:t>
      </w:r>
      <w:r>
        <w:t xml:space="preserve">outh</w:t>
      </w:r>
      <w:r>
        <w:t xml:space="preserve"> </w:t>
      </w:r>
      <w:r>
        <w:t xml:space="preserve">A</w:t>
      </w:r>
      <w:r>
        <w:t xml:space="preserve">merica:</w:t>
      </w:r>
      <w:r>
        <w:t xml:space="preserve"> </w:t>
      </w:r>
      <w:r>
        <w:t xml:space="preserve">C</w:t>
      </w:r>
      <w:r>
        <w:t xml:space="preserve">ompetition or</w:t>
      </w:r>
      <w:r>
        <w:t xml:space="preserve"> </w:t>
      </w:r>
      <w:r>
        <w:t xml:space="preserve">R</w:t>
      </w:r>
      <w:r>
        <w:t xml:space="preserve">eplacement? Journal of Mammalian Evolution</w:t>
      </w:r>
      <w:r>
        <w:t xml:space="preserve"> </w:t>
      </w:r>
      <w:r>
        <w:rPr>
          <w:i/>
          <w:iCs/>
        </w:rPr>
        <w:t xml:space="preserve">20</w:t>
      </w:r>
      <w:r>
        <w:t xml:space="preserve">, 3–21.</w:t>
      </w:r>
      <w:r>
        <w:t xml:space="preserve"> </w:t>
      </w:r>
      <w:hyperlink r:id="rId80">
        <w:r>
          <w:rPr>
            <w:rStyle w:val="Hyperlink"/>
          </w:rPr>
          <w:t xml:space="preserve">https://doi.org/10.1007/s10914-011-9175-9</w:t>
        </w:r>
      </w:hyperlink>
      <w:r>
        <w:t xml:space="preserve">.</w:t>
      </w:r>
    </w:p>
    <w:bookmarkEnd w:id="81"/>
    <w:bookmarkStart w:id="83" w:name="ref-tarquini2022"/>
    <w:p>
      <w:pPr>
        <w:pStyle w:val="Bibliography"/>
      </w:pPr>
      <w:r>
        <w:t xml:space="preserve">26.</w:t>
      </w:r>
      <w:r>
        <w:t xml:space="preserve"> </w:t>
      </w:r>
      <w:r>
        <w:t xml:space="preserve">	</w:t>
      </w:r>
      <w:r>
        <w:t xml:space="preserve">Tarquini, S.D., Ladevèze, S., and Prevosti, F.J. (2022).</w:t>
      </w:r>
      <w:r>
        <w:t xml:space="preserve"> </w:t>
      </w:r>
      <w:r>
        <w:t xml:space="preserve">T</w:t>
      </w:r>
      <w:r>
        <w:t xml:space="preserve">he multicausal twilight of</w:t>
      </w:r>
      <w:r>
        <w:t xml:space="preserve"> </w:t>
      </w:r>
      <w:r>
        <w:t xml:space="preserve">S</w:t>
      </w:r>
      <w:r>
        <w:t xml:space="preserve">outh</w:t>
      </w:r>
      <w:r>
        <w:t xml:space="preserve"> </w:t>
      </w:r>
      <w:r>
        <w:t xml:space="preserve">A</w:t>
      </w:r>
      <w:r>
        <w:t xml:space="preserve">merican native mammalian predators (</w:t>
      </w:r>
      <w:r>
        <w:t xml:space="preserve">M</w:t>
      </w:r>
      <w:r>
        <w:t xml:space="preserve">etatheria,</w:t>
      </w:r>
      <w:r>
        <w:t xml:space="preserve"> </w:t>
      </w:r>
      <w:r>
        <w:t xml:space="preserve">S</w:t>
      </w:r>
      <w:r>
        <w:t xml:space="preserve">parassodonta). Scientific Reports</w:t>
      </w:r>
      <w:r>
        <w:t xml:space="preserve"> </w:t>
      </w:r>
      <w:r>
        <w:rPr>
          <w:i/>
          <w:iCs/>
        </w:rPr>
        <w:t xml:space="preserve">12</w:t>
      </w:r>
      <w:r>
        <w:t xml:space="preserve">, 1224.</w:t>
      </w:r>
      <w:r>
        <w:t xml:space="preserve"> </w:t>
      </w:r>
      <w:hyperlink r:id="rId82">
        <w:r>
          <w:rPr>
            <w:rStyle w:val="Hyperlink"/>
          </w:rPr>
          <w:t xml:space="preserve">https://doi.org/10.1038/s41598-022-05266-z</w:t>
        </w:r>
      </w:hyperlink>
      <w:r>
        <w:t xml:space="preserve">.</w:t>
      </w:r>
    </w:p>
    <w:bookmarkEnd w:id="83"/>
    <w:bookmarkStart w:id="85" w:name="ref-marsà2025"/>
    <w:p>
      <w:pPr>
        <w:pStyle w:val="Bibliography"/>
      </w:pPr>
      <w:r>
        <w:t xml:space="preserve">27.</w:t>
      </w:r>
      <w:r>
        <w:t xml:space="preserve"> </w:t>
      </w:r>
      <w:r>
        <w:t xml:space="preserve">	</w:t>
      </w:r>
      <w:r>
        <w:t xml:space="preserve">Marsà, J.A.G., Agnolín, F.L., Angst, D., and Buffetaut, E. (2025).</w:t>
      </w:r>
      <w:r>
        <w:t xml:space="preserve"> </w:t>
      </w:r>
      <w:r>
        <w:t xml:space="preserve">P</w:t>
      </w:r>
      <w:r>
        <w:t xml:space="preserve">aleohistological</w:t>
      </w:r>
      <w:r>
        <w:t xml:space="preserve"> </w:t>
      </w:r>
      <w:r>
        <w:t xml:space="preserve">A</w:t>
      </w:r>
      <w:r>
        <w:t xml:space="preserve">nalysis of</w:t>
      </w:r>
      <w:r>
        <w:t xml:space="preserve"> </w:t>
      </w:r>
      <w:r>
        <w:t xml:space="preserve">“</w:t>
      </w:r>
      <w:r>
        <w:t xml:space="preserve">T</w:t>
      </w:r>
      <w:r>
        <w:t xml:space="preserve">error</w:t>
      </w:r>
      <w:r>
        <w:t xml:space="preserve"> </w:t>
      </w:r>
      <w:r>
        <w:t xml:space="preserve">B</w:t>
      </w:r>
      <w:r>
        <w:t xml:space="preserve">irds</w:t>
      </w:r>
      <w:r>
        <w:t xml:space="preserve">”</w:t>
      </w:r>
      <w:r>
        <w:t xml:space="preserve"> </w:t>
      </w:r>
      <w:r>
        <w:t xml:space="preserve">(</w:t>
      </w:r>
      <w:r>
        <w:t xml:space="preserve">P</w:t>
      </w:r>
      <w:r>
        <w:t xml:space="preserve">horusrhacidae,</w:t>
      </w:r>
      <w:r>
        <w:t xml:space="preserve"> </w:t>
      </w:r>
      <w:r>
        <w:t xml:space="preserve">B</w:t>
      </w:r>
      <w:r>
        <w:t xml:space="preserve">rontornithidae):</w:t>
      </w:r>
      <w:r>
        <w:t xml:space="preserve"> </w:t>
      </w:r>
      <w:r>
        <w:t xml:space="preserve">P</w:t>
      </w:r>
      <w:r>
        <w:t xml:space="preserve">aleobiological</w:t>
      </w:r>
      <w:r>
        <w:t xml:space="preserve"> </w:t>
      </w:r>
      <w:r>
        <w:t xml:space="preserve">I</w:t>
      </w:r>
      <w:r>
        <w:t xml:space="preserve">nferences. Diversity</w:t>
      </w:r>
      <w:r>
        <w:t xml:space="preserve"> </w:t>
      </w:r>
      <w:r>
        <w:rPr>
          <w:i/>
          <w:iCs/>
        </w:rPr>
        <w:t xml:space="preserve">17</w:t>
      </w:r>
      <w:r>
        <w:t xml:space="preserve">, 153.</w:t>
      </w:r>
      <w:r>
        <w:t xml:space="preserve"> </w:t>
      </w:r>
      <w:hyperlink r:id="rId84">
        <w:r>
          <w:rPr>
            <w:rStyle w:val="Hyperlink"/>
          </w:rPr>
          <w:t xml:space="preserve">https://doi.org/10.3390/d17030153</w:t>
        </w:r>
      </w:hyperlink>
      <w:r>
        <w:t xml:space="preserve">.</w:t>
      </w:r>
    </w:p>
    <w:bookmarkEnd w:id="85"/>
    <w:bookmarkStart w:id="87" w:name="ref-freitas-oliveira_no_2024"/>
    <w:p>
      <w:pPr>
        <w:pStyle w:val="Bibliography"/>
      </w:pPr>
      <w:r>
        <w:t xml:space="preserve">28.</w:t>
      </w:r>
      <w:r>
        <w:t xml:space="preserve"> </w:t>
      </w:r>
      <w:r>
        <w:t xml:space="preserve">	</w:t>
      </w:r>
      <w:r>
        <w:t xml:space="preserve">Freitas-Oliveira, R., Lima-Ribeiro, M.S., and Terribile, L.C. (2024).</w:t>
      </w:r>
      <w:r>
        <w:t xml:space="preserve"> </w:t>
      </w:r>
      <w:r>
        <w:t xml:space="preserve">N</w:t>
      </w:r>
      <w:r>
        <w:t xml:space="preserve">o evidence for niche competition in the extinction of the</w:t>
      </w:r>
      <w:r>
        <w:t xml:space="preserve"> </w:t>
      </w:r>
      <w:r>
        <w:t xml:space="preserve">S</w:t>
      </w:r>
      <w:r>
        <w:t xml:space="preserve">outh</w:t>
      </w:r>
      <w:r>
        <w:t xml:space="preserve"> </w:t>
      </w:r>
      <w:r>
        <w:t xml:space="preserve">A</w:t>
      </w:r>
      <w:r>
        <w:t xml:space="preserve">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7"/>
    <w:bookmarkStart w:id="88" w:name="ref-freitas-oliveira2024"/>
    <w:p>
      <w:pPr>
        <w:pStyle w:val="Bibliography"/>
      </w:pPr>
      <w:r>
        <w:t xml:space="preserve">29.</w:t>
      </w:r>
      <w:r>
        <w:t xml:space="preserve"> </w:t>
      </w:r>
      <w:r>
        <w:t xml:space="preserve">	</w:t>
      </w:r>
      <w:r>
        <w:t xml:space="preserve">Freitas-Oliveira, R., Lima-Ribeiro, M.S., and Terribile, L.C. (2024).</w:t>
      </w:r>
      <w:r>
        <w:t xml:space="preserve"> </w:t>
      </w:r>
      <w:r>
        <w:t xml:space="preserve">N</w:t>
      </w:r>
      <w:r>
        <w:t xml:space="preserve">o evidence for niche competition in the extinction of the</w:t>
      </w:r>
      <w:r>
        <w:t xml:space="preserve"> </w:t>
      </w:r>
      <w:r>
        <w:t xml:space="preserve">S</w:t>
      </w:r>
      <w:r>
        <w:t xml:space="preserve">outh</w:t>
      </w:r>
      <w:r>
        <w:t xml:space="preserve"> </w:t>
      </w:r>
      <w:r>
        <w:t xml:space="preserve">A</w:t>
      </w:r>
      <w:r>
        <w:t xml:space="preserve">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8"/>
    <w:bookmarkStart w:id="90" w:name="ref-freitas-oliveira2025"/>
    <w:p>
      <w:pPr>
        <w:pStyle w:val="Bibliography"/>
      </w:pPr>
      <w:r>
        <w:t xml:space="preserve">30.</w:t>
      </w:r>
      <w:r>
        <w:t xml:space="preserve"> </w:t>
      </w:r>
      <w:r>
        <w:t xml:space="preserve">	</w:t>
      </w:r>
      <w:r>
        <w:t xml:space="preserve">Freitas-Oliveira, R., Lima-Ribeiro, M.S., Mendoza-Rodriguez, V.H., and Terribile, L.C. (2025).</w:t>
      </w:r>
      <w:r>
        <w:t xml:space="preserve"> </w:t>
      </w:r>
      <w:r>
        <w:t xml:space="preserve">R</w:t>
      </w:r>
      <w:r>
        <w:t xml:space="preserve">eviewing the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9">
        <w:r>
          <w:rPr>
            <w:rStyle w:val="Hyperlink"/>
          </w:rPr>
          <w:t xml:space="preserve">https://doi.org/10.1098/rspb.2025.1745</w:t>
        </w:r>
      </w:hyperlink>
      <w:r>
        <w:t xml:space="preserve">.</w:t>
      </w:r>
    </w:p>
    <w:bookmarkEnd w:id="90"/>
    <w:bookmarkStart w:id="92" w:name="ref-pilowsky2022"/>
    <w:p>
      <w:pPr>
        <w:pStyle w:val="Bibliography"/>
      </w:pPr>
      <w:r>
        <w:t xml:space="preserve">31.</w:t>
      </w:r>
      <w:r>
        <w:t xml:space="preserve"> </w:t>
      </w:r>
      <w:r>
        <w:t xml:space="preserve">	</w:t>
      </w:r>
      <w:r>
        <w:t xml:space="preserve">Pilowsky, J.A., Colwell, R.K., Rahbek, C., and Fordham, D.A. (2022).</w:t>
      </w:r>
      <w:r>
        <w:t xml:space="preserve"> </w:t>
      </w:r>
      <w:r>
        <w:t xml:space="preserve">P</w:t>
      </w:r>
      <w:r>
        <w:t xml:space="preserve">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32.</w:t>
      </w:r>
      <w:r>
        <w:t xml:space="preserve"> </w:t>
      </w:r>
      <w:r>
        <w:t xml:space="preserve">	</w:t>
      </w:r>
      <w:r>
        <w:t xml:space="preserve">Hagen, O. (2023).</w:t>
      </w:r>
      <w:r>
        <w:t xml:space="preserve"> </w:t>
      </w:r>
      <w:r>
        <w:t xml:space="preserve">C</w:t>
      </w:r>
      <w:r>
        <w:t xml:space="preserve">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33.</w:t>
      </w:r>
      <w:r>
        <w:t xml:space="preserve"> </w:t>
      </w:r>
      <w:r>
        <w:t xml:space="preserve">	</w:t>
      </w:r>
      <w:r>
        <w:t xml:space="preserve">Hagen, O., Flück, B., Fopp, F., Cabral, J.S., Hartig, F., Pontarp, M., Rangel, T.F., and Pellissier, L. (2021). gen3sis:</w:t>
      </w:r>
      <w:r>
        <w:t xml:space="preserve"> </w:t>
      </w:r>
      <w:r>
        <w:t xml:space="preserve">A</w:t>
      </w:r>
      <w:r>
        <w:t xml:space="preserve"> </w:t>
      </w:r>
      <w:r>
        <w:t xml:space="preserve">general engine for eco-evolutionary simulations of the processes that shape</w:t>
      </w:r>
      <w:r>
        <w:t xml:space="preserve"> </w:t>
      </w:r>
      <w:r>
        <w:t xml:space="preserve">E</w:t>
      </w:r>
      <w:r>
        <w:t xml:space="preserv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lorcery2025"/>
    <w:p>
      <w:pPr>
        <w:pStyle w:val="Bibliography"/>
      </w:pPr>
      <w:r>
        <w:t xml:space="preserve">34.</w:t>
      </w:r>
      <w:r>
        <w:t xml:space="preserve"> </w:t>
      </w:r>
      <w:r>
        <w:t xml:space="preserve">	</w:t>
      </w:r>
      <w:r>
        <w:t xml:space="preserve">Lorcery, M., Husson, L., Salles, T., Lavergne, S., Hagen, O., and Skeels, A. (2025).</w:t>
      </w:r>
      <w:r>
        <w:t xml:space="preserve"> </w:t>
      </w:r>
      <w:r>
        <w:t xml:space="preserve">D</w:t>
      </w:r>
      <w:r>
        <w:t xml:space="preserve">eep time evolution of the</w:t>
      </w:r>
      <w:r>
        <w:t xml:space="preserve"> </w:t>
      </w:r>
      <w:r>
        <w:t xml:space="preserve">L</w:t>
      </w:r>
      <w:r>
        <w:t xml:space="preserve">atitudinal</w:t>
      </w:r>
      <w:r>
        <w:t xml:space="preserve"> </w:t>
      </w:r>
      <w:r>
        <w:t xml:space="preserve">D</w:t>
      </w:r>
      <w:r>
        <w:t xml:space="preserve">iversity</w:t>
      </w:r>
      <w:r>
        <w:t xml:space="preserve"> </w:t>
      </w:r>
      <w:r>
        <w:t xml:space="preserve">G</w:t>
      </w:r>
      <w:r>
        <w:t xml:space="preserve">radient:</w:t>
      </w:r>
      <w:r>
        <w:t xml:space="preserve"> </w:t>
      </w:r>
      <w:r>
        <w:t xml:space="preserve">I</w:t>
      </w:r>
      <w:r>
        <w:t xml:space="preserve">nsights from mechanistic models. PLOS ONE</w:t>
      </w:r>
      <w:r>
        <w:t xml:space="preserve"> </w:t>
      </w:r>
      <w:r>
        <w:rPr>
          <w:i/>
          <w:iCs/>
        </w:rPr>
        <w:t xml:space="preserve">20</w:t>
      </w:r>
      <w:r>
        <w:t xml:space="preserve">, e0332766.</w:t>
      </w:r>
      <w:r>
        <w:t xml:space="preserve"> </w:t>
      </w:r>
      <w:hyperlink r:id="rId97">
        <w:r>
          <w:rPr>
            <w:rStyle w:val="Hyperlink"/>
          </w:rPr>
          <w:t xml:space="preserve">https://doi.org/10.1371/journal.pone.0332766</w:t>
        </w:r>
      </w:hyperlink>
      <w:r>
        <w:t xml:space="preserve">.</w:t>
      </w:r>
    </w:p>
    <w:bookmarkEnd w:id="98"/>
    <w:bookmarkStart w:id="100" w:name="ref-hagen2021b"/>
    <w:p>
      <w:pPr>
        <w:pStyle w:val="Bibliography"/>
      </w:pPr>
      <w:r>
        <w:t xml:space="preserve">35.</w:t>
      </w:r>
      <w:r>
        <w:t xml:space="preserve"> </w:t>
      </w:r>
      <w:r>
        <w:t xml:space="preserve">	</w:t>
      </w:r>
      <w:r>
        <w:t xml:space="preserve">Hagen, O., Skeels, A., Onstein, R.E., Jetz, W., and Pellissier, L. (2021).</w:t>
      </w:r>
      <w:r>
        <w:t xml:space="preserve"> </w:t>
      </w:r>
      <w:r>
        <w:t xml:space="preserve">E</w:t>
      </w:r>
      <w:r>
        <w:t xml:space="preserv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9">
        <w:r>
          <w:rPr>
            <w:rStyle w:val="Hyperlink"/>
          </w:rPr>
          <w:t xml:space="preserve">https://doi.org/10.1073/pnas.2026347118</w:t>
        </w:r>
      </w:hyperlink>
      <w:r>
        <w:t xml:space="preserve">.</w:t>
      </w:r>
    </w:p>
    <w:bookmarkEnd w:id="100"/>
    <w:bookmarkStart w:id="102"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w:t>
      </w:r>
      <w:r>
        <w:t xml:space="preserve"> </w:t>
      </w:r>
      <w:r>
        <w:t xml:space="preserve">P</w:t>
      </w:r>
      <w:r>
        <w:t xml:space="preserve">aleoenvironments shaped the exchange of terrestrial vertebrates across</w:t>
      </w:r>
      <w:r>
        <w:t xml:space="preserve"> </w:t>
      </w:r>
      <w:r>
        <w:t xml:space="preserve">W</w:t>
      </w:r>
      <w:r>
        <w:t xml:space="preserve">allace’s</w:t>
      </w:r>
      <w:r>
        <w:t xml:space="preserve"> </w:t>
      </w:r>
      <w:r>
        <w:t xml:space="preserve">L</w:t>
      </w:r>
      <w:r>
        <w:t xml:space="preserve">ine. Science</w:t>
      </w:r>
      <w:r>
        <w:t xml:space="preserve"> </w:t>
      </w:r>
      <w:r>
        <w:rPr>
          <w:i/>
          <w:iCs/>
        </w:rPr>
        <w:t xml:space="preserve">381</w:t>
      </w:r>
      <w:r>
        <w:t xml:space="preserve">, 86–92.</w:t>
      </w:r>
      <w:r>
        <w:t xml:space="preserve"> </w:t>
      </w:r>
      <w:hyperlink r:id="rId101">
        <w:r>
          <w:rPr>
            <w:rStyle w:val="Hyperlink"/>
          </w:rPr>
          <w:t xml:space="preserve">https://doi.org/10.1126/science.adf7122</w:t>
        </w:r>
      </w:hyperlink>
      <w:r>
        <w:t xml:space="preserve">.</w:t>
      </w:r>
    </w:p>
    <w:bookmarkEnd w:id="102"/>
    <w:bookmarkStart w:id="104" w:name="ref-boschman2023"/>
    <w:p>
      <w:pPr>
        <w:pStyle w:val="Bibliography"/>
      </w:pPr>
      <w:r>
        <w:t xml:space="preserve">37.</w:t>
      </w:r>
      <w:r>
        <w:t xml:space="preserve"> </w:t>
      </w:r>
      <w:r>
        <w:t xml:space="preserve">	</w:t>
      </w:r>
      <w:r>
        <w:t xml:space="preserve">Boschman, L.M., Carraro, L., Cassemiro, F.A.S., Vries, J. de, Altermatt, F., Hagen, O., Hoorn, C., and Pellissier, L. (2023).</w:t>
      </w:r>
      <w:r>
        <w:t xml:space="preserve"> </w:t>
      </w:r>
      <w:r>
        <w:t xml:space="preserve">F</w:t>
      </w:r>
      <w:r>
        <w:t xml:space="preserve">reshwater fish diversity in the western</w:t>
      </w:r>
      <w:r>
        <w:t xml:space="preserve"> </w:t>
      </w:r>
      <w:r>
        <w:t xml:space="preserve">A</w:t>
      </w:r>
      <w:r>
        <w:t xml:space="preserve">mazon basin shaped by</w:t>
      </w:r>
      <w:r>
        <w:t xml:space="preserve"> </w:t>
      </w:r>
      <w:r>
        <w:t xml:space="preserve">A</w:t>
      </w:r>
      <w:r>
        <w:t xml:space="preserve">ndean uplift since the</w:t>
      </w:r>
      <w:r>
        <w:t xml:space="preserve"> </w:t>
      </w:r>
      <w:r>
        <w:t xml:space="preserve">L</w:t>
      </w:r>
      <w:r>
        <w:t xml:space="preserve">ate</w:t>
      </w:r>
      <w:r>
        <w:t xml:space="preserve"> </w:t>
      </w:r>
      <w:r>
        <w:t xml:space="preserve">C</w:t>
      </w:r>
      <w:r>
        <w:t xml:space="preserve">retaceous. Nature Ecology &amp; Evolution</w:t>
      </w:r>
      <w:r>
        <w:t xml:space="preserve"> </w:t>
      </w:r>
      <w:r>
        <w:rPr>
          <w:i/>
          <w:iCs/>
        </w:rPr>
        <w:t xml:space="preserve">7</w:t>
      </w:r>
      <w:r>
        <w:t xml:space="preserve">, 2037–2044.</w:t>
      </w:r>
      <w:r>
        <w:t xml:space="preserve"> </w:t>
      </w:r>
      <w:hyperlink r:id="rId103">
        <w:r>
          <w:rPr>
            <w:rStyle w:val="Hyperlink"/>
          </w:rPr>
          <w:t xml:space="preserve">https://doi.org/10.1038/s41559-023-02220-8</w:t>
        </w:r>
      </w:hyperlink>
      <w:r>
        <w:t xml:space="preserve">.</w:t>
      </w:r>
    </w:p>
    <w:bookmarkEnd w:id="104"/>
    <w:bookmarkStart w:id="106" w:name="ref-skeels2023"/>
    <w:p>
      <w:pPr>
        <w:pStyle w:val="Bibliography"/>
      </w:pPr>
      <w:r>
        <w:t xml:space="preserve">38.</w:t>
      </w:r>
      <w:r>
        <w:t xml:space="preserve"> </w:t>
      </w:r>
      <w:r>
        <w:t xml:space="preserve">	</w:t>
      </w:r>
      <w:r>
        <w:t xml:space="preserve">Skeels, A., Bach, W., Hagen, O., Jetz, W., and Pellissier, L. (2023).</w:t>
      </w:r>
      <w:r>
        <w:t xml:space="preserve"> </w:t>
      </w:r>
      <w:r>
        <w:t xml:space="preserve">T</w:t>
      </w:r>
      <w:r>
        <w:t xml:space="preserve">emperature-</w:t>
      </w:r>
      <w:r>
        <w:t xml:space="preserve">D</w:t>
      </w:r>
      <w:r>
        <w:t xml:space="preserve">ependent</w:t>
      </w:r>
      <w:r>
        <w:t xml:space="preserve"> </w:t>
      </w:r>
      <w:r>
        <w:t xml:space="preserve">E</w:t>
      </w:r>
      <w:r>
        <w:t xml:space="preserve">volutionary</w:t>
      </w:r>
      <w:r>
        <w:t xml:space="preserve"> </w:t>
      </w:r>
      <w:r>
        <w:t xml:space="preserve">S</w:t>
      </w:r>
      <w:r>
        <w:t xml:space="preserve">peed</w:t>
      </w:r>
      <w:r>
        <w:t xml:space="preserve"> </w:t>
      </w:r>
      <w:r>
        <w:t xml:space="preserve">S</w:t>
      </w:r>
      <w:r>
        <w:t xml:space="preserve">hapes the</w:t>
      </w:r>
      <w:r>
        <w:t xml:space="preserve"> </w:t>
      </w:r>
      <w:r>
        <w:t xml:space="preserve">E</w:t>
      </w:r>
      <w:r>
        <w:t xml:space="preserve">volution of</w:t>
      </w:r>
      <w:r>
        <w:t xml:space="preserve"> </w:t>
      </w:r>
      <w:r>
        <w:t xml:space="preserve">B</w:t>
      </w:r>
      <w:r>
        <w:t xml:space="preserve">iodiversity</w:t>
      </w:r>
      <w:r>
        <w:t xml:space="preserve"> </w:t>
      </w:r>
      <w:r>
        <w:t xml:space="preserve">P</w:t>
      </w:r>
      <w:r>
        <w:t xml:space="preserve">atterns</w:t>
      </w:r>
      <w:r>
        <w:t xml:space="preserve"> </w:t>
      </w:r>
      <w:r>
        <w:t xml:space="preserve">A</w:t>
      </w:r>
      <w:r>
        <w:t xml:space="preserve">cross</w:t>
      </w:r>
      <w:r>
        <w:t xml:space="preserve"> </w:t>
      </w:r>
      <w:r>
        <w:t xml:space="preserve">T</w:t>
      </w:r>
      <w:r>
        <w:t xml:space="preserve">etrapod</w:t>
      </w:r>
      <w:r>
        <w:t xml:space="preserve"> </w:t>
      </w:r>
      <w:r>
        <w:t xml:space="preserve">R</w:t>
      </w:r>
      <w:r>
        <w:t xml:space="preserve">adiations. Systematic Biology</w:t>
      </w:r>
      <w:r>
        <w:t xml:space="preserve"> </w:t>
      </w:r>
      <w:r>
        <w:rPr>
          <w:i/>
          <w:iCs/>
        </w:rPr>
        <w:t xml:space="preserve">72</w:t>
      </w:r>
      <w:r>
        <w:t xml:space="preserve">, 341–356.</w:t>
      </w:r>
      <w:r>
        <w:t xml:space="preserve"> </w:t>
      </w:r>
      <w:hyperlink r:id="rId105">
        <w:r>
          <w:rPr>
            <w:rStyle w:val="Hyperlink"/>
          </w:rPr>
          <w:t xml:space="preserve">https://doi.org/10.1093/sysbio/syac048</w:t>
        </w:r>
      </w:hyperlink>
      <w:r>
        <w:t xml:space="preserve">.</w:t>
      </w:r>
    </w:p>
    <w:bookmarkEnd w:id="106"/>
    <w:bookmarkStart w:id="108" w:name="ref-liu2024"/>
    <w:p>
      <w:pPr>
        <w:pStyle w:val="Bibliography"/>
      </w:pPr>
      <w:r>
        <w:t xml:space="preserve">39.</w:t>
      </w:r>
      <w:r>
        <w:t xml:space="preserve"> </w:t>
      </w:r>
      <w:r>
        <w:t xml:space="preserve">	</w:t>
      </w:r>
      <w:r>
        <w:t xml:space="preserve">Liu, Y., Wang, Y., Willett, S.D., Zimmermann, N.E., and Pellissier, L. (2024).</w:t>
      </w:r>
      <w:r>
        <w:t xml:space="preserve"> </w:t>
      </w:r>
      <w:r>
        <w:t xml:space="preserve">E</w:t>
      </w:r>
      <w:r>
        <w:t xml:space="preserve">scarpment evolution drives the diversification of the</w:t>
      </w:r>
      <w:r>
        <w:t xml:space="preserve"> </w:t>
      </w:r>
      <w:r>
        <w:t xml:space="preserve">M</w:t>
      </w:r>
      <w:r>
        <w:t xml:space="preserve">adagascar flora. Science</w:t>
      </w:r>
      <w:r>
        <w:t xml:space="preserve"> </w:t>
      </w:r>
      <w:r>
        <w:rPr>
          <w:i/>
          <w:iCs/>
        </w:rPr>
        <w:t xml:space="preserve">383</w:t>
      </w:r>
      <w:r>
        <w:t xml:space="preserve">, 653–658.</w:t>
      </w:r>
      <w:r>
        <w:t xml:space="preserve"> </w:t>
      </w:r>
      <w:hyperlink r:id="rId107">
        <w:r>
          <w:rPr>
            <w:rStyle w:val="Hyperlink"/>
          </w:rPr>
          <w:t xml:space="preserve">https://doi.org/10.1126/science.adi0833</w:t>
        </w:r>
      </w:hyperlink>
      <w:r>
        <w:t xml:space="preserve">.</w:t>
      </w:r>
    </w:p>
    <w:bookmarkEnd w:id="108"/>
    <w:bookmarkStart w:id="110" w:name="ref-holden2019"/>
    <w:p>
      <w:pPr>
        <w:pStyle w:val="Bibliography"/>
      </w:pPr>
      <w:r>
        <w:t xml:space="preserve">40.</w:t>
      </w:r>
      <w:r>
        <w:t xml:space="preserve"> </w:t>
      </w:r>
      <w:r>
        <w:t xml:space="preserve">	</w:t>
      </w:r>
      <w:r>
        <w:t xml:space="preserve">Holden, P.B., Edwards, N.R., Rangel, T.F., Pereira, E.B., Tran, G.T., and Wilkinson, R.D. (2019).</w:t>
      </w:r>
      <w:r>
        <w:t xml:space="preserve"> </w:t>
      </w:r>
      <w:r>
        <w:t xml:space="preserve">P</w:t>
      </w:r>
      <w:r>
        <w:t xml:space="preserve">A</w:t>
      </w:r>
      <w:r>
        <w:t xml:space="preserve">L</w:t>
      </w:r>
      <w:r>
        <w:t xml:space="preserve">E</w:t>
      </w:r>
      <w:r>
        <w:t xml:space="preserve">O</w:t>
      </w:r>
      <w:r>
        <w:t xml:space="preserve">-</w:t>
      </w:r>
      <w:r>
        <w:t xml:space="preserve">P</w:t>
      </w:r>
      <w:r>
        <w:t xml:space="preserve">G</w:t>
      </w:r>
      <w:r>
        <w:t xml:space="preserve">E</w:t>
      </w:r>
      <w:r>
        <w:t xml:space="preserve">M</w:t>
      </w:r>
      <w:r>
        <w:t xml:space="preserve"> </w:t>
      </w:r>
      <w:r>
        <w:t xml:space="preserve">v1.0: A statistical emulator of</w:t>
      </w:r>
      <w:r>
        <w:t xml:space="preserve"> </w:t>
      </w:r>
      <w:r>
        <w:t xml:space="preserve">P</w:t>
      </w:r>
      <w:r>
        <w:t xml:space="preserve">liocene</w:t>
      </w:r>
      <w:r>
        <w:t xml:space="preserve">P</w:t>
      </w:r>
      <w:r>
        <w:t xml:space="preserve">leistocene climate. Geoscientific Model Development</w:t>
      </w:r>
      <w:r>
        <w:t xml:space="preserve"> </w:t>
      </w:r>
      <w:r>
        <w:rPr>
          <w:i/>
          <w:iCs/>
        </w:rPr>
        <w:t xml:space="preserve">12</w:t>
      </w:r>
      <w:r>
        <w:t xml:space="preserve">, 5137–5155. https://doi.org/</w:t>
      </w:r>
      <w:hyperlink r:id="rId109">
        <w:r>
          <w:rPr>
            <w:rStyle w:val="Hyperlink"/>
          </w:rPr>
          <w:t xml:space="preserve">https://doi.org/10.5194/gmd-12-5137-2019</w:t>
        </w:r>
      </w:hyperlink>
      <w:r>
        <w:t xml:space="preserve">.</w:t>
      </w:r>
    </w:p>
    <w:bookmarkEnd w:id="110"/>
    <w:bookmarkStart w:id="112" w:name="ref-barreto2023"/>
    <w:p>
      <w:pPr>
        <w:pStyle w:val="Bibliography"/>
      </w:pPr>
      <w:r>
        <w:t xml:space="preserve">41.</w:t>
      </w:r>
      <w:r>
        <w:t xml:space="preserve"> </w:t>
      </w:r>
      <w:r>
        <w:t xml:space="preserve">	</w:t>
      </w:r>
      <w:r>
        <w:t xml:space="preserve">Barreto, E., Holden, P.B., Edwards, N.R., and Rangel, T.F. (2023).</w:t>
      </w:r>
      <w:r>
        <w:t xml:space="preserve"> </w:t>
      </w:r>
      <w:r>
        <w:t xml:space="preserve">P</w:t>
      </w:r>
      <w:r>
        <w:t xml:space="preserve">A</w:t>
      </w:r>
      <w:r>
        <w:t xml:space="preserve">L</w:t>
      </w:r>
      <w:r>
        <w:t xml:space="preserve">E</w:t>
      </w:r>
      <w:r>
        <w:t xml:space="preserve">O</w:t>
      </w:r>
      <w:r>
        <w:t xml:space="preserve">-</w:t>
      </w:r>
      <w:r>
        <w:t xml:space="preserve">P</w:t>
      </w:r>
      <w:r>
        <w:t xml:space="preserve">G</w:t>
      </w:r>
      <w:r>
        <w:t xml:space="preserve">E</w:t>
      </w:r>
      <w:r>
        <w:t xml:space="preserve">M</w:t>
      </w:r>
      <w:r>
        <w:t xml:space="preserve">-</w:t>
      </w:r>
      <w:r>
        <w:t xml:space="preserve">S</w:t>
      </w:r>
      <w:r>
        <w:t xml:space="preserve">eries:</w:t>
      </w:r>
      <w:r>
        <w:t xml:space="preserve"> </w:t>
      </w:r>
      <w:r>
        <w:t xml:space="preserve">A</w:t>
      </w:r>
      <w:r>
        <w:t xml:space="preserve"> </w:t>
      </w:r>
      <w:r>
        <w:t xml:space="preserve">spatial time series of the global climate over the last 5 million years (</w:t>
      </w:r>
      <w:r>
        <w:t xml:space="preserve">P</w:t>
      </w:r>
      <w:r>
        <w:t xml:space="preserve">lio-</w:t>
      </w:r>
      <w:r>
        <w:t xml:space="preserve">P</w:t>
      </w:r>
      <w:r>
        <w:t xml:space="preserve">leistocene). Global Ecology and Biogeography</w:t>
      </w:r>
      <w:r>
        <w:t xml:space="preserve"> </w:t>
      </w:r>
      <w:r>
        <w:rPr>
          <w:i/>
          <w:iCs/>
        </w:rPr>
        <w:t xml:space="preserve">32</w:t>
      </w:r>
      <w:r>
        <w:t xml:space="preserve">, 1034–1045.</w:t>
      </w:r>
      <w:r>
        <w:t xml:space="preserve"> </w:t>
      </w:r>
      <w:hyperlink r:id="rId111">
        <w:r>
          <w:rPr>
            <w:rStyle w:val="Hyperlink"/>
          </w:rPr>
          <w:t xml:space="preserve">https://doi.org/10.1111/geb.13683</w:t>
        </w:r>
      </w:hyperlink>
      <w:r>
        <w:t xml:space="preserve">.</w:t>
      </w:r>
    </w:p>
    <w:bookmarkEnd w:id="112"/>
    <w:bookmarkStart w:id="114" w:name="ref-beck2018"/>
    <w:p>
      <w:pPr>
        <w:pStyle w:val="Bibliography"/>
      </w:pPr>
      <w:r>
        <w:t xml:space="preserve">42.</w:t>
      </w:r>
      <w:r>
        <w:t xml:space="preserve"> </w:t>
      </w:r>
      <w:r>
        <w:t xml:space="preserve">	</w:t>
      </w:r>
      <w:r>
        <w:t xml:space="preserve">Beck, H.E., Zimmermann, N.E., McVicar, T.R., Vergopolan, N., Berg, A., and Wood, E.F. (2018).</w:t>
      </w:r>
      <w:r>
        <w:t xml:space="preserve"> </w:t>
      </w:r>
      <w:r>
        <w:t xml:space="preserve">P</w:t>
      </w:r>
      <w:r>
        <w:t xml:space="preserve">resent and future</w:t>
      </w:r>
      <w:r>
        <w:t xml:space="preserve"> </w:t>
      </w:r>
      <w:r>
        <w:t xml:space="preserve">K</w:t>
      </w:r>
      <w:r>
        <w:t xml:space="preserve">öppen-</w:t>
      </w:r>
      <w:r>
        <w:t xml:space="preserve">G</w:t>
      </w:r>
      <w:r>
        <w:t xml:space="preserve">eiger climate classification maps at 1-km resolution. Scientific Data</w:t>
      </w:r>
      <w:r>
        <w:t xml:space="preserve"> </w:t>
      </w:r>
      <w:r>
        <w:rPr>
          <w:i/>
          <w:iCs/>
        </w:rPr>
        <w:t xml:space="preserve">5</w:t>
      </w:r>
      <w:r>
        <w:t xml:space="preserve">, 180214.</w:t>
      </w:r>
      <w:r>
        <w:t xml:space="preserve"> </w:t>
      </w:r>
      <w:hyperlink r:id="rId113">
        <w:r>
          <w:rPr>
            <w:rStyle w:val="Hyperlink"/>
          </w:rPr>
          <w:t xml:space="preserve">https://doi.org/10.1038/sdata.2018.214</w:t>
        </w:r>
      </w:hyperlink>
      <w:r>
        <w:t xml:space="preserve">.</w:t>
      </w:r>
    </w:p>
    <w:bookmarkEnd w:id="114"/>
    <w:bookmarkStart w:id="116" w:name="ref-galván2023"/>
    <w:p>
      <w:pPr>
        <w:pStyle w:val="Bibliography"/>
      </w:pPr>
      <w:r>
        <w:t xml:space="preserve">43.</w:t>
      </w:r>
      <w:r>
        <w:t xml:space="preserve"> </w:t>
      </w:r>
      <w:r>
        <w:t xml:space="preserve">	</w:t>
      </w:r>
      <w:r>
        <w:t xml:space="preserve">Galván, S., Gamboa, S., and Varela, S. (2023).</w:t>
      </w:r>
      <w:r>
        <w:t xml:space="preserve"> </w:t>
      </w:r>
      <w:hyperlink r:id="rId115">
        <w:r>
          <w:rPr>
            <w:rStyle w:val="Hyperlink"/>
          </w:rPr>
          <w:t xml:space="preserve">K</w:t>
        </w:r>
        <w:r>
          <w:rPr>
            <w:rStyle w:val="Hyperlink"/>
          </w:rPr>
          <w:t xml:space="preserve">öppen</w:t>
        </w:r>
        <w:r>
          <w:rPr>
            <w:rStyle w:val="Hyperlink"/>
          </w:rPr>
          <w:t xml:space="preserve"> </w:t>
        </w:r>
        <w:r>
          <w:rPr>
            <w:rStyle w:val="Hyperlink"/>
          </w:rPr>
          <w:t xml:space="preserve">G</w:t>
        </w:r>
        <w:r>
          <w:rPr>
            <w:rStyle w:val="Hyperlink"/>
          </w:rPr>
          <w:t xml:space="preserve">eiger climatic classification for</w:t>
        </w:r>
        <w:r>
          <w:rPr>
            <w:rStyle w:val="Hyperlink"/>
          </w:rPr>
          <w:t xml:space="preserve"> </w:t>
        </w:r>
        <w:r>
          <w:rPr>
            <w:rStyle w:val="Hyperlink"/>
          </w:rPr>
          <w:t xml:space="preserve">R</w:t>
        </w:r>
        <w:r>
          <w:rPr>
            <w:rStyle w:val="Hyperlink"/>
          </w:rPr>
          <w:t xml:space="preserve"> </w:t>
        </w:r>
        <w:r>
          <w:rPr>
            <w:rStyle w:val="Hyperlink"/>
          </w:rPr>
          <w:t xml:space="preserve">users.</w:t>
        </w:r>
      </w:hyperlink>
    </w:p>
    <w:bookmarkEnd w:id="116"/>
    <w:bookmarkStart w:id="117" w:name="ref-macarthur1967"/>
    <w:p>
      <w:pPr>
        <w:pStyle w:val="Bibliography"/>
      </w:pPr>
      <w:r>
        <w:t xml:space="preserve">44.</w:t>
      </w:r>
      <w:r>
        <w:t xml:space="preserve"> </w:t>
      </w:r>
      <w:r>
        <w:t xml:space="preserve">	</w:t>
      </w:r>
      <w:r>
        <w:t xml:space="preserve">MacArthur, R.H., and Wilson, E.O. (1967).</w:t>
      </w:r>
      <w:r>
        <w:t xml:space="preserve"> </w:t>
      </w:r>
      <w:r>
        <w:t xml:space="preserve">T</w:t>
      </w:r>
      <w:r>
        <w:t xml:space="preserve">he</w:t>
      </w:r>
      <w:r>
        <w:t xml:space="preserve"> </w:t>
      </w:r>
      <w:r>
        <w:t xml:space="preserve">T</w:t>
      </w:r>
      <w:r>
        <w:t xml:space="preserve">heory of</w:t>
      </w:r>
      <w:r>
        <w:t xml:space="preserve"> </w:t>
      </w:r>
      <w:r>
        <w:t xml:space="preserve">I</w:t>
      </w:r>
      <w:r>
        <w:t xml:space="preserve">sland</w:t>
      </w:r>
      <w:r>
        <w:t xml:space="preserve"> </w:t>
      </w:r>
      <w:r>
        <w:t xml:space="preserve">B</w:t>
      </w:r>
      <w:r>
        <w:t xml:space="preserve">iogeography Princeton University Press.</w:t>
      </w:r>
    </w:p>
    <w:bookmarkEnd w:id="117"/>
    <w:bookmarkStart w:id="119" w:name="ref-willig2003"/>
    <w:p>
      <w:pPr>
        <w:pStyle w:val="Bibliography"/>
      </w:pPr>
      <w:r>
        <w:t xml:space="preserve">45.</w:t>
      </w:r>
      <w:r>
        <w:t xml:space="preserve"> </w:t>
      </w:r>
      <w:r>
        <w:t xml:space="preserve">	</w:t>
      </w:r>
      <w:r>
        <w:t xml:space="preserve">Willig, M.R., Kaufman, D.M., and Stevens, R.D. (2003).</w:t>
      </w:r>
      <w:r>
        <w:t xml:space="preserve"> </w:t>
      </w:r>
      <w:r>
        <w:t xml:space="preserve">L</w:t>
      </w:r>
      <w:r>
        <w:t xml:space="preserve">atitudinal</w:t>
      </w:r>
      <w:r>
        <w:t xml:space="preserve"> </w:t>
      </w:r>
      <w:r>
        <w:t xml:space="preserve">G</w:t>
      </w:r>
      <w:r>
        <w:t xml:space="preserve">radients of</w:t>
      </w:r>
      <w:r>
        <w:t xml:space="preserve"> </w:t>
      </w:r>
      <w:r>
        <w:t xml:space="preserve">B</w:t>
      </w:r>
      <w:r>
        <w:t xml:space="preserve">iodiversity:</w:t>
      </w:r>
      <w:r>
        <w:t xml:space="preserve"> </w:t>
      </w:r>
      <w:r>
        <w:t xml:space="preserve">P</w:t>
      </w:r>
      <w:r>
        <w:t xml:space="preserve">attern,</w:t>
      </w:r>
      <w:r>
        <w:t xml:space="preserve"> </w:t>
      </w:r>
      <w:r>
        <w:t xml:space="preserve">P</w:t>
      </w:r>
      <w:r>
        <w:t xml:space="preserve">rocess,</w:t>
      </w:r>
      <w:r>
        <w:t xml:space="preserve"> </w:t>
      </w:r>
      <w:r>
        <w:t xml:space="preserve">S</w:t>
      </w:r>
      <w:r>
        <w:t xml:space="preserve">cale, and</w:t>
      </w:r>
      <w:r>
        <w:t xml:space="preserve"> </w:t>
      </w:r>
      <w:r>
        <w:t xml:space="preserve">S</w:t>
      </w:r>
      <w:r>
        <w:t xml:space="preserve">ynthesis. Annual Review of Ecology, Evolution, and Systematics</w:t>
      </w:r>
      <w:r>
        <w:t xml:space="preserve"> </w:t>
      </w:r>
      <w:r>
        <w:rPr>
          <w:i/>
          <w:iCs/>
        </w:rPr>
        <w:t xml:space="preserve">34</w:t>
      </w:r>
      <w:r>
        <w:t xml:space="preserve">, 273–309.</w:t>
      </w:r>
      <w:r>
        <w:t xml:space="preserve"> </w:t>
      </w:r>
      <w:hyperlink r:id="rId118">
        <w:r>
          <w:rPr>
            <w:rStyle w:val="Hyperlink"/>
          </w:rPr>
          <w:t xml:space="preserve">https://doi.org/10.1146/annurev.ecolsys.34.012103.144032</w:t>
        </w:r>
      </w:hyperlink>
      <w:r>
        <w:t xml:space="preserve">.</w:t>
      </w:r>
    </w:p>
    <w:bookmarkEnd w:id="119"/>
    <w:bookmarkStart w:id="121" w:name="ref-raven2020"/>
    <w:p>
      <w:pPr>
        <w:pStyle w:val="Bibliography"/>
      </w:pPr>
      <w:r>
        <w:t xml:space="preserve">46.</w:t>
      </w:r>
      <w:r>
        <w:t xml:space="preserve"> </w:t>
      </w:r>
      <w:r>
        <w:t xml:space="preserve">	</w:t>
      </w:r>
      <w:r>
        <w:t xml:space="preserve">Raven, P.H., Gereau, R.E., Phillipson, P.B., Chatelain, C., Jenkins, C.N., and Ulloa Ulloa, C. (2020).</w:t>
      </w:r>
      <w:r>
        <w:t xml:space="preserve"> </w:t>
      </w:r>
      <w:r>
        <w:t xml:space="preserve">T</w:t>
      </w:r>
      <w:r>
        <w:t xml:space="preserve">he distribution of biodiversity richness in the tropics. Science Advances</w:t>
      </w:r>
      <w:r>
        <w:t xml:space="preserve"> </w:t>
      </w:r>
      <w:r>
        <w:rPr>
          <w:i/>
          <w:iCs/>
        </w:rPr>
        <w:t xml:space="preserve">6</w:t>
      </w:r>
      <w:r>
        <w:t xml:space="preserve">, eabc6228.</w:t>
      </w:r>
      <w:r>
        <w:t xml:space="preserve"> </w:t>
      </w:r>
      <w:hyperlink r:id="rId120">
        <w:r>
          <w:rPr>
            <w:rStyle w:val="Hyperlink"/>
          </w:rPr>
          <w:t xml:space="preserve">https://doi.org/10.1126/sciadv.abc6228</w:t>
        </w:r>
      </w:hyperlink>
      <w:r>
        <w:t xml:space="preserve">.</w:t>
      </w:r>
    </w:p>
    <w:bookmarkEnd w:id="121"/>
    <w:bookmarkStart w:id="122" w:name="ref-lomolino2006"/>
    <w:p>
      <w:pPr>
        <w:pStyle w:val="Bibliography"/>
      </w:pPr>
      <w:r>
        <w:t xml:space="preserve">47.</w:t>
      </w:r>
      <w:r>
        <w:t xml:space="preserve"> </w:t>
      </w:r>
      <w:r>
        <w:t xml:space="preserve">	</w:t>
      </w:r>
      <w:r>
        <w:t xml:space="preserve">Lomolino, M.V., Riddle, B.R., and Brown, J.H. (2006).</w:t>
      </w:r>
      <w:r>
        <w:t xml:space="preserve"> </w:t>
      </w:r>
      <w:r>
        <w:t xml:space="preserve">T</w:t>
      </w:r>
      <w:r>
        <w:t xml:space="preserve">he</w:t>
      </w:r>
      <w:r>
        <w:t xml:space="preserve"> </w:t>
      </w:r>
      <w:r>
        <w:t xml:space="preserve">G</w:t>
      </w:r>
      <w:r>
        <w:t xml:space="preserve">eography of</w:t>
      </w:r>
      <w:r>
        <w:t xml:space="preserve"> </w:t>
      </w:r>
      <w:r>
        <w:t xml:space="preserve">D</w:t>
      </w:r>
      <w:r>
        <w:t xml:space="preserve">ivesification</w:t>
      </w:r>
      <w:r>
        <w:t xml:space="preserve"> </w:t>
      </w:r>
      <w:r>
        <w:t xml:space="preserve">-</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In (Sinauer Associates Inc.), pp. 406–413.</w:t>
      </w:r>
    </w:p>
    <w:bookmarkEnd w:id="122"/>
    <w:bookmarkStart w:id="124" w:name="ref-chakrabarty2011"/>
    <w:p>
      <w:pPr>
        <w:pStyle w:val="Bibliography"/>
      </w:pPr>
      <w:r>
        <w:t xml:space="preserve">48.</w:t>
      </w:r>
      <w:r>
        <w:t xml:space="preserve"> </w:t>
      </w:r>
      <w:r>
        <w:t xml:space="preserve">	</w:t>
      </w:r>
      <w:r>
        <w:t xml:space="preserve">Chakrabarty, P., and Albert, J.S. (2011).</w:t>
      </w:r>
      <w:r>
        <w:t xml:space="preserve"> </w:t>
      </w:r>
      <w:r>
        <w:t xml:space="preserve">N</w:t>
      </w:r>
      <w:r>
        <w:t xml:space="preserve">ot</w:t>
      </w:r>
      <w:r>
        <w:t xml:space="preserve"> </w:t>
      </w:r>
      <w:r>
        <w:t xml:space="preserve">S</w:t>
      </w:r>
      <w:r>
        <w:t xml:space="preserve">o</w:t>
      </w:r>
      <w:r>
        <w:t xml:space="preserve"> </w:t>
      </w:r>
      <w:r>
        <w:t xml:space="preserve">F</w:t>
      </w:r>
      <w:r>
        <w:t xml:space="preserve">ast:</w:t>
      </w:r>
      <w:r>
        <w:t xml:space="preserve"> </w:t>
      </w:r>
      <w:r>
        <w:t xml:space="preserve">A</w:t>
      </w:r>
      <w:r>
        <w:t xml:space="preserve"> </w:t>
      </w:r>
      <w:r>
        <w:t xml:space="preserve">N</w:t>
      </w:r>
      <w:r>
        <w:t xml:space="preserve">ew</w:t>
      </w:r>
      <w:r>
        <w:t xml:space="preserve"> </w:t>
      </w:r>
      <w:r>
        <w:t xml:space="preserve">T</w:t>
      </w:r>
      <w:r>
        <w:t xml:space="preserve">ake on the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In, J. Albert, ed. (University of California Press), p. 0.</w:t>
      </w:r>
      <w:r>
        <w:t xml:space="preserve"> </w:t>
      </w:r>
      <w:hyperlink r:id="rId123">
        <w:r>
          <w:rPr>
            <w:rStyle w:val="Hyperlink"/>
          </w:rPr>
          <w:t xml:space="preserve">https://doi.org/10.1525/california/9780520268685.003.0018</w:t>
        </w:r>
      </w:hyperlink>
      <w:r>
        <w:t xml:space="preserve">.</w:t>
      </w:r>
    </w:p>
    <w:bookmarkEnd w:id="124"/>
    <w:bookmarkStart w:id="126" w:name="ref-smith2012"/>
    <w:p>
      <w:pPr>
        <w:pStyle w:val="Bibliography"/>
      </w:pPr>
      <w:r>
        <w:t xml:space="preserve">49.</w:t>
      </w:r>
      <w:r>
        <w:t xml:space="preserve"> </w:t>
      </w:r>
      <w:r>
        <w:t xml:space="preserve">	</w:t>
      </w:r>
      <w:r>
        <w:t xml:space="preserve">Smith, B.T., Bryson Jr., R.W., Houston, D.D., and Klicka, J. (2012).</w:t>
      </w:r>
      <w:r>
        <w:t xml:space="preserve"> </w:t>
      </w:r>
      <w:r>
        <w:t xml:space="preserve">A</w:t>
      </w:r>
      <w:r>
        <w:t xml:space="preserve">n asymmetry in niche conservatism contributes to the latitudinal species diversity gradient in</w:t>
      </w:r>
      <w:r>
        <w:t xml:space="preserve"> </w:t>
      </w:r>
      <w:r>
        <w:t xml:space="preserve">N</w:t>
      </w:r>
      <w:r>
        <w:t xml:space="preserve">ew</w:t>
      </w:r>
      <w:r>
        <w:t xml:space="preserve"> </w:t>
      </w:r>
      <w:r>
        <w:t xml:space="preserve">W</w:t>
      </w:r>
      <w:r>
        <w:t xml:space="preserve">orld vertebrates. Ecology Letters</w:t>
      </w:r>
      <w:r>
        <w:t xml:space="preserve"> </w:t>
      </w:r>
      <w:r>
        <w:rPr>
          <w:i/>
          <w:iCs/>
        </w:rPr>
        <w:t xml:space="preserve">15</w:t>
      </w:r>
      <w:r>
        <w:t xml:space="preserve">, 1318–1325.</w:t>
      </w:r>
      <w:r>
        <w:t xml:space="preserve"> </w:t>
      </w:r>
      <w:hyperlink r:id="rId125">
        <w:r>
          <w:rPr>
            <w:rStyle w:val="Hyperlink"/>
          </w:rPr>
          <w:t xml:space="preserve">https://doi.org/10.1111/j.1461-0248.2012.01855.x</w:t>
        </w:r>
      </w:hyperlink>
      <w:r>
        <w:t xml:space="preserve">.</w:t>
      </w:r>
    </w:p>
    <w:bookmarkEnd w:id="126"/>
    <w:bookmarkStart w:id="128" w:name="ref-weir2009"/>
    <w:p>
      <w:pPr>
        <w:pStyle w:val="Bibliography"/>
      </w:pPr>
      <w:r>
        <w:t xml:space="preserve">50.</w:t>
      </w:r>
      <w:r>
        <w:t xml:space="preserve"> </w:t>
      </w:r>
      <w:r>
        <w:t xml:space="preserve">	</w:t>
      </w:r>
      <w:r>
        <w:t xml:space="preserve">Weir, J.T., Bermingham, E., and Schluter, D. (2009).</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in birds. Proceedings of the National Academy of Sciences</w:t>
      </w:r>
      <w:r>
        <w:t xml:space="preserve"> </w:t>
      </w:r>
      <w:r>
        <w:rPr>
          <w:i/>
          <w:iCs/>
        </w:rPr>
        <w:t xml:space="preserve">106</w:t>
      </w:r>
      <w:r>
        <w:t xml:space="preserve">, 21737–21742.</w:t>
      </w:r>
      <w:r>
        <w:t xml:space="preserve"> </w:t>
      </w:r>
      <w:hyperlink r:id="rId127">
        <w:r>
          <w:rPr>
            <w:rStyle w:val="Hyperlink"/>
          </w:rPr>
          <w:t xml:space="preserve">https://doi.org/10.1073/pnas.0903811106</w:t>
        </w:r>
      </w:hyperlink>
      <w:r>
        <w:t xml:space="preserve">.</w:t>
      </w:r>
    </w:p>
    <w:bookmarkEnd w:id="128"/>
    <w:bookmarkStart w:id="130" w:name="ref-smith2010"/>
    <w:p>
      <w:pPr>
        <w:pStyle w:val="Bibliography"/>
      </w:pPr>
      <w:r>
        <w:t xml:space="preserve">51.</w:t>
      </w:r>
      <w:r>
        <w:t xml:space="preserve"> </w:t>
      </w:r>
      <w:r>
        <w:t xml:space="preserve">	</w:t>
      </w:r>
      <w:r>
        <w:t xml:space="preserve">Smith, B.T., and Klicka, J. (2010).</w:t>
      </w:r>
      <w:r>
        <w:t xml:space="preserve"> </w:t>
      </w:r>
      <w:r>
        <w:t xml:space="preserve">T</w:t>
      </w:r>
      <w:r>
        <w:t xml:space="preserve">he profound influence of the</w:t>
      </w:r>
      <w:r>
        <w:t xml:space="preserve"> </w:t>
      </w:r>
      <w:r>
        <w:t xml:space="preserve">L</w:t>
      </w:r>
      <w:r>
        <w:t xml:space="preserve">ate</w:t>
      </w:r>
      <w:r>
        <w:t xml:space="preserve"> </w:t>
      </w:r>
      <w:r>
        <w:t xml:space="preserve">P</w:t>
      </w:r>
      <w:r>
        <w:t xml:space="preserve">liocene</w:t>
      </w:r>
      <w:r>
        <w:t xml:space="preserve"> </w:t>
      </w:r>
      <w:r>
        <w:t xml:space="preserve">P</w:t>
      </w:r>
      <w:r>
        <w:t xml:space="preserve">anamanian uplift on the exchange, diversification, and distribution of</w:t>
      </w:r>
      <w:r>
        <w:t xml:space="preserve"> </w:t>
      </w:r>
      <w:r>
        <w:t xml:space="preserve">N</w:t>
      </w:r>
      <w:r>
        <w:t xml:space="preserve">ew</w:t>
      </w:r>
      <w:r>
        <w:t xml:space="preserve"> </w:t>
      </w:r>
      <w:r>
        <w:t xml:space="preserve">W</w:t>
      </w:r>
      <w:r>
        <w:t xml:space="preserve">orld birds. Ecography</w:t>
      </w:r>
      <w:r>
        <w:t xml:space="preserve"> </w:t>
      </w:r>
      <w:r>
        <w:rPr>
          <w:i/>
          <w:iCs/>
        </w:rPr>
        <w:t xml:space="preserve">33</w:t>
      </w:r>
      <w:r>
        <w:t xml:space="preserve">, 333–342.</w:t>
      </w:r>
      <w:r>
        <w:t xml:space="preserve"> </w:t>
      </w:r>
      <w:hyperlink r:id="rId129">
        <w:r>
          <w:rPr>
            <w:rStyle w:val="Hyperlink"/>
          </w:rPr>
          <w:t xml:space="preserve">https://doi.org/10.1111/j.1600-0587.2009.06335.x</w:t>
        </w:r>
      </w:hyperlink>
      <w:r>
        <w:t xml:space="preserve">.</w:t>
      </w:r>
    </w:p>
    <w:bookmarkEnd w:id="130"/>
    <w:bookmarkStart w:id="131" w:name="ref-wallace1878"/>
    <w:p>
      <w:pPr>
        <w:pStyle w:val="Bibliography"/>
      </w:pPr>
      <w:r>
        <w:t xml:space="preserve">52.</w:t>
      </w:r>
      <w:r>
        <w:t xml:space="preserve"> </w:t>
      </w:r>
      <w:r>
        <w:t xml:space="preserve">	</w:t>
      </w:r>
      <w:r>
        <w:t xml:space="preserve">Wallace, A.R.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131"/>
    <w:bookmarkStart w:id="133" w:name="ref-cody2010"/>
    <w:p>
      <w:pPr>
        <w:pStyle w:val="Bibliography"/>
      </w:pPr>
      <w:r>
        <w:t xml:space="preserve">53.</w:t>
      </w:r>
      <w:r>
        <w:t xml:space="preserve"> </w:t>
      </w:r>
      <w:r>
        <w:t xml:space="preserve">	</w:t>
      </w:r>
      <w:r>
        <w:t xml:space="preserve">Cody, S., Richardson, J.E., Rull, V., Ellis, C., and Pennington, R.T. (2010).</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revisited. Ecography</w:t>
      </w:r>
      <w:r>
        <w:t xml:space="preserve"> </w:t>
      </w:r>
      <w:r>
        <w:rPr>
          <w:i/>
          <w:iCs/>
        </w:rPr>
        <w:t xml:space="preserve">33</w:t>
      </w:r>
      <w:r>
        <w:t xml:space="preserve">, 326–332.</w:t>
      </w:r>
      <w:r>
        <w:t xml:space="preserve"> </w:t>
      </w:r>
      <w:hyperlink r:id="rId132">
        <w:r>
          <w:rPr>
            <w:rStyle w:val="Hyperlink"/>
          </w:rPr>
          <w:t xml:space="preserve">https://doi.org/10.1111/j.1600-0587.2010.06327.x</w:t>
        </w:r>
      </w:hyperlink>
      <w:r>
        <w:t xml:space="preserve">.</w:t>
      </w:r>
    </w:p>
    <w:bookmarkEnd w:id="133"/>
    <w:bookmarkStart w:id="135" w:name="ref-pérez-escobar2019"/>
    <w:p>
      <w:pPr>
        <w:pStyle w:val="Bibliography"/>
      </w:pPr>
      <w:r>
        <w:t xml:space="preserve">54.</w:t>
      </w:r>
      <w:r>
        <w:t xml:space="preserve"> </w:t>
      </w:r>
      <w:r>
        <w:t xml:space="preserve">	</w:t>
      </w:r>
      <w:r>
        <w:t xml:space="preserve">Pérez-Escobar, O.A., Lucas, E., Jaramillo, C., Monro, A., Morris, S.K., Bogarín, D., Greer, D., Dodsworth, S., Aguilar-Cano, J., Sanchez Meseguer, A., et al. (2019).</w:t>
      </w:r>
      <w:r>
        <w:t xml:space="preserve"> </w:t>
      </w:r>
      <w:r>
        <w:t xml:space="preserve">T</w:t>
      </w:r>
      <w:r>
        <w:t xml:space="preserve">he</w:t>
      </w:r>
      <w:r>
        <w:t xml:space="preserve"> </w:t>
      </w:r>
      <w:r>
        <w:t xml:space="preserve">O</w:t>
      </w:r>
      <w:r>
        <w:t xml:space="preserve">rigin and</w:t>
      </w:r>
      <w:r>
        <w:t xml:space="preserve"> </w:t>
      </w:r>
      <w:r>
        <w:t xml:space="preserve">D</w:t>
      </w:r>
      <w:r>
        <w:t xml:space="preserve">iversification of the</w:t>
      </w:r>
      <w:r>
        <w:t xml:space="preserve"> </w:t>
      </w:r>
      <w:r>
        <w:t xml:space="preserve">H</w:t>
      </w:r>
      <w:r>
        <w:t xml:space="preserve">yperdiverse</w:t>
      </w:r>
      <w:r>
        <w:t xml:space="preserve"> </w:t>
      </w:r>
      <w:r>
        <w:t xml:space="preserve">F</w:t>
      </w:r>
      <w:r>
        <w:t xml:space="preserve">lora in the</w:t>
      </w:r>
      <w:r>
        <w:t xml:space="preserve"> </w:t>
      </w:r>
      <w:r>
        <w:t xml:space="preserve">C</w:t>
      </w:r>
      <w:r>
        <w:t xml:space="preserve">hocó</w:t>
      </w:r>
      <w:r>
        <w:t xml:space="preserve"> </w:t>
      </w:r>
      <w:r>
        <w:t xml:space="preserve">B</w:t>
      </w:r>
      <w:r>
        <w:t xml:space="preserve">iogeographic</w:t>
      </w:r>
      <w:r>
        <w:t xml:space="preserve"> </w:t>
      </w:r>
      <w:r>
        <w:t xml:space="preserve">R</w:t>
      </w:r>
      <w:r>
        <w:t xml:space="preserve">egion. Frontiers in Plant Science</w:t>
      </w:r>
      <w:r>
        <w:t xml:space="preserve"> </w:t>
      </w:r>
      <w:r>
        <w:rPr>
          <w:i/>
          <w:iCs/>
        </w:rPr>
        <w:t xml:space="preserve">10</w:t>
      </w:r>
      <w:r>
        <w:t xml:space="preserve">.</w:t>
      </w:r>
      <w:r>
        <w:t xml:space="preserve"> </w:t>
      </w:r>
      <w:hyperlink r:id="rId134">
        <w:r>
          <w:rPr>
            <w:rStyle w:val="Hyperlink"/>
          </w:rPr>
          <w:t xml:space="preserve">https://doi.org/10.3389/fpls.2019.01328</w:t>
        </w:r>
      </w:hyperlink>
      <w:r>
        <w:t xml:space="preserve">.</w:t>
      </w:r>
    </w:p>
    <w:bookmarkEnd w:id="135"/>
    <w:bookmarkStart w:id="137" w:name="ref-haffer1969"/>
    <w:p>
      <w:pPr>
        <w:pStyle w:val="Bibliography"/>
      </w:pPr>
      <w:r>
        <w:t xml:space="preserve">55.</w:t>
      </w:r>
      <w:r>
        <w:t xml:space="preserve"> </w:t>
      </w:r>
      <w:r>
        <w:t xml:space="preserve">	</w:t>
      </w:r>
      <w:r>
        <w:t xml:space="preserve">Haffer, J. (1969).</w:t>
      </w:r>
      <w:r>
        <w:t xml:space="preserve"> </w:t>
      </w:r>
      <w:r>
        <w:t xml:space="preserve">S</w:t>
      </w:r>
      <w:r>
        <w:t xml:space="preserve">peciation in</w:t>
      </w:r>
      <w:r>
        <w:t xml:space="preserve"> </w:t>
      </w:r>
      <w:r>
        <w:t xml:space="preserve">A</w:t>
      </w:r>
      <w:r>
        <w:t xml:space="preserve">mazonian</w:t>
      </w:r>
      <w:r>
        <w:t xml:space="preserve"> </w:t>
      </w:r>
      <w:r>
        <w:t xml:space="preserve">F</w:t>
      </w:r>
      <w:r>
        <w:t xml:space="preserve">orest</w:t>
      </w:r>
      <w:r>
        <w:t xml:space="preserve"> </w:t>
      </w:r>
      <w:r>
        <w:t xml:space="preserve">B</w:t>
      </w:r>
      <w:r>
        <w:t xml:space="preserve">irds. Science</w:t>
      </w:r>
      <w:r>
        <w:t xml:space="preserve"> </w:t>
      </w:r>
      <w:r>
        <w:rPr>
          <w:i/>
          <w:iCs/>
        </w:rPr>
        <w:t xml:space="preserve">165</w:t>
      </w:r>
      <w:r>
        <w:t xml:space="preserve">, 131–137.</w:t>
      </w:r>
      <w:r>
        <w:t xml:space="preserve"> </w:t>
      </w:r>
      <w:hyperlink r:id="rId136">
        <w:r>
          <w:rPr>
            <w:rStyle w:val="Hyperlink"/>
          </w:rPr>
          <w:t xml:space="preserve">https://doi.org/10.1126/science.165.3889.131</w:t>
        </w:r>
      </w:hyperlink>
      <w:r>
        <w:t xml:space="preserve">.</w:t>
      </w:r>
    </w:p>
    <w:bookmarkEnd w:id="137"/>
    <w:bookmarkStart w:id="139" w:name="ref-ugarte2025"/>
    <w:p>
      <w:pPr>
        <w:pStyle w:val="Bibliography"/>
      </w:pPr>
      <w:r>
        <w:t xml:space="preserve">56.</w:t>
      </w:r>
      <w:r>
        <w:t xml:space="preserve"> </w:t>
      </w:r>
      <w:r>
        <w:t xml:space="preserve">	</w:t>
      </w:r>
      <w:r>
        <w:t xml:space="preserve">Ugarte, P.D. de S., Nascimento, J.C.S., and Pires, M.M. (2025).</w:t>
      </w:r>
      <w:r>
        <w:t xml:space="preserve"> </w:t>
      </w:r>
      <w:r>
        <w:t xml:space="preserve">S</w:t>
      </w:r>
      <w:r>
        <w:t xml:space="preserve">patiotemporal variability in the</w:t>
      </w:r>
      <w:r>
        <w:t xml:space="preserve"> </w:t>
      </w:r>
      <w:r>
        <w:t xml:space="preserve">S</w:t>
      </w:r>
      <w:r>
        <w:t xml:space="preserve">outh</w:t>
      </w:r>
      <w:r>
        <w:t xml:space="preserve"> </w:t>
      </w:r>
      <w:r>
        <w:t xml:space="preserve">A</w:t>
      </w:r>
      <w:r>
        <w:t xml:space="preserve">merican mammalian fossil record and its impact on macroevolutionary inference. Frontiers in Mammal Science</w:t>
      </w:r>
      <w:r>
        <w:t xml:space="preserve"> </w:t>
      </w:r>
      <w:r>
        <w:rPr>
          <w:i/>
          <w:iCs/>
        </w:rPr>
        <w:t xml:space="preserve">3</w:t>
      </w:r>
      <w:r>
        <w:t xml:space="preserve">.</w:t>
      </w:r>
      <w:r>
        <w:t xml:space="preserve"> </w:t>
      </w:r>
      <w:hyperlink r:id="rId138">
        <w:r>
          <w:rPr>
            <w:rStyle w:val="Hyperlink"/>
          </w:rPr>
          <w:t xml:space="preserve">https://doi.org/10.3389/fmamm.2024.1518039</w:t>
        </w:r>
      </w:hyperlink>
      <w:r>
        <w:t xml:space="preserve">.</w:t>
      </w:r>
    </w:p>
    <w:bookmarkEnd w:id="139"/>
    <w:bookmarkStart w:id="141" w:name="ref-buffan2025"/>
    <w:p>
      <w:pPr>
        <w:pStyle w:val="Bibliography"/>
      </w:pPr>
      <w:r>
        <w:t xml:space="preserve">57.</w:t>
      </w:r>
      <w:r>
        <w:t xml:space="preserve"> </w:t>
      </w:r>
      <w:r>
        <w:t xml:space="preserve">	</w:t>
      </w:r>
      <w:r>
        <w:t xml:space="preserve">Buffan, L., Condamine, F.L., Stutz, N.S., Pujos, F., Antoine, P.-O., and Marivaux, L. (2025).</w:t>
      </w:r>
      <w:r>
        <w:t xml:space="preserve"> </w:t>
      </w:r>
      <w:r>
        <w:t xml:space="preserve">T</w:t>
      </w:r>
      <w:r>
        <w:t xml:space="preserve">he fate of</w:t>
      </w:r>
      <w:r>
        <w:t xml:space="preserve"> </w:t>
      </w:r>
      <w:r>
        <w:t xml:space="preserve">S</w:t>
      </w:r>
      <w:r>
        <w:t xml:space="preserve">outh</w:t>
      </w:r>
      <w:r>
        <w:t xml:space="preserve"> </w:t>
      </w:r>
      <w:r>
        <w:t xml:space="preserve">A</w:t>
      </w:r>
      <w:r>
        <w:t xml:space="preserve">merica</w:t>
      </w:r>
      <w:r>
        <w:t xml:space="preserve">’</w:t>
      </w:r>
      <w:r>
        <w:t xml:space="preserve">s endemic mammalian fauna in response to the most dramatic</w:t>
      </w:r>
      <w:r>
        <w:t xml:space="preserve"> </w:t>
      </w:r>
      <w:r>
        <w:t xml:space="preserve">C</w:t>
      </w:r>
      <w:r>
        <w:t xml:space="preserve">enozoic climate disruption. Proceedings of the National Academy of Sciences</w:t>
      </w:r>
      <w:r>
        <w:t xml:space="preserve"> </w:t>
      </w:r>
      <w:r>
        <w:rPr>
          <w:i/>
          <w:iCs/>
        </w:rPr>
        <w:t xml:space="preserve">122</w:t>
      </w:r>
      <w:r>
        <w:t xml:space="preserve">, e2419520122.</w:t>
      </w:r>
      <w:r>
        <w:t xml:space="preserve"> </w:t>
      </w:r>
      <w:hyperlink r:id="rId140">
        <w:r>
          <w:rPr>
            <w:rStyle w:val="Hyperlink"/>
          </w:rPr>
          <w:t xml:space="preserve">https://doi.org/10.1073/pnas.2419520122</w:t>
        </w:r>
      </w:hyperlink>
      <w:r>
        <w:t xml:space="preserve">.</w:t>
      </w:r>
    </w:p>
    <w:bookmarkEnd w:id="141"/>
    <w:bookmarkStart w:id="143" w:name="ref-wiens2004"/>
    <w:p>
      <w:pPr>
        <w:pStyle w:val="Bibliography"/>
      </w:pPr>
      <w:r>
        <w:t xml:space="preserve">58.</w:t>
      </w:r>
      <w:r>
        <w:t xml:space="preserve"> </w:t>
      </w:r>
      <w:r>
        <w:t xml:space="preserve">	</w:t>
      </w:r>
      <w:r>
        <w:t xml:space="preserve">Wiens, J.J., and Donoghue, M.J. (2004).</w:t>
      </w:r>
      <w:r>
        <w:t xml:space="preserve"> </w:t>
      </w:r>
      <w:r>
        <w:t xml:space="preserve">H</w:t>
      </w:r>
      <w:r>
        <w:t xml:space="preserve">istorical biogeography, ecology and species richness. Trends in Ecology &amp; Evolution</w:t>
      </w:r>
      <w:r>
        <w:t xml:space="preserve"> </w:t>
      </w:r>
      <w:r>
        <w:rPr>
          <w:i/>
          <w:iCs/>
        </w:rPr>
        <w:t xml:space="preserve">19</w:t>
      </w:r>
      <w:r>
        <w:t xml:space="preserve">, 639–644.</w:t>
      </w:r>
      <w:r>
        <w:t xml:space="preserve"> </w:t>
      </w:r>
      <w:hyperlink r:id="rId142">
        <w:r>
          <w:rPr>
            <w:rStyle w:val="Hyperlink"/>
          </w:rPr>
          <w:t xml:space="preserve">https://doi.org/10.1016/j.tree.2004.09.011</w:t>
        </w:r>
      </w:hyperlink>
      <w:r>
        <w:t xml:space="preserve">.</w:t>
      </w:r>
    </w:p>
    <w:bookmarkEnd w:id="143"/>
    <w:bookmarkStart w:id="145" w:name="ref-motta2025"/>
    <w:p>
      <w:pPr>
        <w:pStyle w:val="Bibliography"/>
      </w:pPr>
      <w:r>
        <w:t xml:space="preserve">59.</w:t>
      </w:r>
      <w:r>
        <w:t xml:space="preserve"> </w:t>
      </w:r>
      <w:r>
        <w:t xml:space="preserve">	</w:t>
      </w:r>
      <w:r>
        <w:t xml:space="preserve">Motta, L.M., and Quental, T.B. (2025).</w:t>
      </w:r>
      <w:r>
        <w:t xml:space="preserve"> </w:t>
      </w:r>
      <w:r>
        <w:t xml:space="preserve">N</w:t>
      </w:r>
      <w:r>
        <w:t xml:space="preserve">ew aspects of the asymmetry of the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44">
        <w:r>
          <w:rPr>
            <w:rStyle w:val="Hyperlink"/>
          </w:rPr>
          <w:t xml:space="preserve">https://doi.org/10.1016/j.palaeo.2025.112905</w:t>
        </w:r>
      </w:hyperlink>
      <w:r>
        <w:t xml:space="preserve">.</w:t>
      </w:r>
    </w:p>
    <w:bookmarkEnd w:id="145"/>
    <w:bookmarkStart w:id="147" w:name="ref-pino2022"/>
    <w:p>
      <w:pPr>
        <w:pStyle w:val="Bibliography"/>
      </w:pPr>
      <w:r>
        <w:t xml:space="preserve">60.</w:t>
      </w:r>
      <w:r>
        <w:t xml:space="preserve"> </w:t>
      </w:r>
      <w:r>
        <w:t xml:space="preserve">	</w:t>
      </w:r>
      <w:r>
        <w:t xml:space="preserve">Pino, K., Vallejos-Garrido, P., Espinoza-Aravena, N., Cooper, R.B., Silvestro, D., Hernández, C.E., and Rodríguez-Serrano, E. (2022).</w:t>
      </w:r>
      <w:r>
        <w:t xml:space="preserve"> </w:t>
      </w:r>
      <w:r>
        <w:t xml:space="preserve">R</w:t>
      </w:r>
      <w:r>
        <w:t xml:space="preserve">egional landscape change triggered by</w:t>
      </w:r>
      <w:r>
        <w:t xml:space="preserve"> </w:t>
      </w:r>
      <w:r>
        <w:t xml:space="preserve">A</w:t>
      </w:r>
      <w:r>
        <w:t xml:space="preserve">ndean uplift:</w:t>
      </w:r>
      <w:r>
        <w:t xml:space="preserve"> </w:t>
      </w:r>
      <w:r>
        <w:t xml:space="preserve">T</w:t>
      </w:r>
      <w:r>
        <w:t xml:space="preserve">he extinction of</w:t>
      </w:r>
      <w:r>
        <w:t xml:space="preserve"> </w:t>
      </w:r>
      <w:r>
        <w:t xml:space="preserve">S</w:t>
      </w:r>
      <w:r>
        <w:t xml:space="preserve">parassodonta (</w:t>
      </w:r>
      <w:r>
        <w:t xml:space="preserve">M</w:t>
      </w:r>
      <w:r>
        <w:t xml:space="preserve">ammalia,</w:t>
      </w:r>
      <w:r>
        <w:t xml:space="preserve"> </w:t>
      </w:r>
      <w:r>
        <w:t xml:space="preserve">M</w:t>
      </w:r>
      <w:r>
        <w:t xml:space="preserve">etatheria) in</w:t>
      </w:r>
      <w:r>
        <w:t xml:space="preserve"> </w:t>
      </w:r>
      <w:r>
        <w:t xml:space="preserve">S</w:t>
      </w:r>
      <w:r>
        <w:t xml:space="preserve">outh</w:t>
      </w:r>
      <w:r>
        <w:t xml:space="preserve"> </w:t>
      </w:r>
      <w:r>
        <w:t xml:space="preserve">A</w:t>
      </w:r>
      <w:r>
        <w:t xml:space="preserve">merica. Global and Planetary Change</w:t>
      </w:r>
      <w:r>
        <w:t xml:space="preserve"> </w:t>
      </w:r>
      <w:r>
        <w:rPr>
          <w:i/>
          <w:iCs/>
        </w:rPr>
        <w:t xml:space="preserve">210</w:t>
      </w:r>
      <w:r>
        <w:t xml:space="preserve">, 103758.</w:t>
      </w:r>
      <w:r>
        <w:t xml:space="preserve"> </w:t>
      </w:r>
      <w:hyperlink r:id="rId146">
        <w:r>
          <w:rPr>
            <w:rStyle w:val="Hyperlink"/>
          </w:rPr>
          <w:t xml:space="preserve">https://doi.org/10.1016/j.gloplacha.2022.103758</w:t>
        </w:r>
      </w:hyperlink>
      <w:r>
        <w:t xml:space="preserve">.</w:t>
      </w:r>
    </w:p>
    <w:bookmarkEnd w:id="147"/>
    <w:bookmarkStart w:id="149" w:name="ref-simpson1950"/>
    <w:p>
      <w:pPr>
        <w:pStyle w:val="Bibliography"/>
      </w:pPr>
      <w:r>
        <w:t xml:space="preserve">61.</w:t>
      </w:r>
      <w:r>
        <w:t xml:space="preserve"> </w:t>
      </w:r>
      <w:r>
        <w:t xml:space="preserve">	</w:t>
      </w:r>
      <w:r>
        <w:t xml:space="preserve">Simpson, G.G. (1950).</w:t>
      </w:r>
      <w:r>
        <w:t xml:space="preserve"> </w:t>
      </w:r>
      <w:hyperlink r:id="rId148">
        <w:r>
          <w:rPr>
            <w:rStyle w:val="Hyperlink"/>
          </w:rPr>
          <w:t xml:space="preserve">H</w:t>
        </w:r>
        <w:r>
          <w:rPr>
            <w:rStyle w:val="Hyperlink"/>
          </w:rPr>
          <w:t xml:space="preserve">istory of the</w:t>
        </w:r>
        <w:r>
          <w:rPr>
            <w:rStyle w:val="Hyperlink"/>
          </w:rPr>
          <w:t xml:space="preserve"> </w:t>
        </w:r>
        <w:r>
          <w:rPr>
            <w:rStyle w:val="Hyperlink"/>
          </w:rPr>
          <w:t xml:space="preserve">F</w:t>
        </w:r>
        <w:r>
          <w:rPr>
            <w:rStyle w:val="Hyperlink"/>
          </w:rPr>
          <w:t xml:space="preserve">auna of</w:t>
        </w:r>
        <w:r>
          <w:rPr>
            <w:rStyle w:val="Hyperlink"/>
          </w:rPr>
          <w:t xml:space="preserve"> </w:t>
        </w:r>
        <w:r>
          <w:rPr>
            <w:rStyle w:val="Hyperlink"/>
          </w:rPr>
          <w:t xml:space="preserve">L</w:t>
        </w:r>
        <w:r>
          <w:rPr>
            <w:rStyle w:val="Hyperlink"/>
          </w:rPr>
          <w:t xml:space="preserve">atin</w:t>
        </w:r>
        <w:r>
          <w:rPr>
            <w:rStyle w:val="Hyperlink"/>
          </w:rPr>
          <w:t xml:space="preserve"> </w:t>
        </w:r>
        <w:r>
          <w:rPr>
            <w:rStyle w:val="Hyperlink"/>
          </w:rPr>
          <w:t xml:space="preserve">A</w:t>
        </w:r>
        <w:r>
          <w:rPr>
            <w:rStyle w:val="Hyperlink"/>
          </w:rPr>
          <w:t xml:space="preserve">merica</w:t>
        </w:r>
      </w:hyperlink>
      <w:r>
        <w:t xml:space="preserve">. American Scientist</w:t>
      </w:r>
      <w:r>
        <w:t xml:space="preserve"> </w:t>
      </w:r>
      <w:r>
        <w:rPr>
          <w:i/>
          <w:iCs/>
        </w:rPr>
        <w:t xml:space="preserve">38</w:t>
      </w:r>
      <w:r>
        <w:t xml:space="preserve">, 361–389.</w:t>
      </w:r>
    </w:p>
    <w:bookmarkEnd w:id="149"/>
    <w:bookmarkStart w:id="151" w:name="ref-morgan1993"/>
    <w:p>
      <w:pPr>
        <w:pStyle w:val="Bibliography"/>
      </w:pPr>
      <w:r>
        <w:t xml:space="preserve">62.</w:t>
      </w:r>
      <w:r>
        <w:t xml:space="preserve"> </w:t>
      </w:r>
      <w:r>
        <w:t xml:space="preserve">	</w:t>
      </w:r>
      <w:r>
        <w:t xml:space="preserve">Morgan, G.S. (1993).</w:t>
      </w:r>
      <w:r>
        <w:t xml:space="preserve"> </w:t>
      </w:r>
      <w:r>
        <w:t xml:space="preserve">Q</w:t>
      </w:r>
      <w:r>
        <w:t xml:space="preserve">uaternary land vertebrates of</w:t>
      </w:r>
      <w:r>
        <w:t xml:space="preserve"> </w:t>
      </w:r>
      <w:r>
        <w:t xml:space="preserve">J</w:t>
      </w:r>
      <w:r>
        <w:t xml:space="preserve">amaica. In, R. M. Wright and E. Robinson, eds. (Geological Society of America), p. 0.</w:t>
      </w:r>
      <w:r>
        <w:t xml:space="preserve"> </w:t>
      </w:r>
      <w:hyperlink r:id="rId150">
        <w:r>
          <w:rPr>
            <w:rStyle w:val="Hyperlink"/>
          </w:rPr>
          <w:t xml:space="preserve">https://doi.org/10.1130/MEM182-p417</w:t>
        </w:r>
      </w:hyperlink>
      <w:r>
        <w:t xml:space="preserve">.</w:t>
      </w:r>
    </w:p>
    <w:bookmarkEnd w:id="151"/>
    <w:bookmarkStart w:id="153" w:name="ref-macphee2011"/>
    <w:p>
      <w:pPr>
        <w:pStyle w:val="Bibliography"/>
      </w:pPr>
      <w:r>
        <w:t xml:space="preserve">63.</w:t>
      </w:r>
      <w:r>
        <w:t xml:space="preserve"> </w:t>
      </w:r>
      <w:r>
        <w:t xml:space="preserve">	</w:t>
      </w:r>
      <w:r>
        <w:t xml:space="preserve">MacPhee, R.D.E. (2011).</w:t>
      </w:r>
      <w:r>
        <w:t xml:space="preserve"> </w:t>
      </w:r>
      <w:r>
        <w:t xml:space="preserve">B</w:t>
      </w:r>
      <w:r>
        <w:t xml:space="preserve">asicranial</w:t>
      </w:r>
      <w:r>
        <w:t xml:space="preserve"> </w:t>
      </w:r>
      <w:r>
        <w:t xml:space="preserve">M</w:t>
      </w:r>
      <w:r>
        <w:t xml:space="preserve">orphology and</w:t>
      </w:r>
      <w:r>
        <w:t xml:space="preserve"> </w:t>
      </w:r>
      <w:r>
        <w:t xml:space="preserve">R</w:t>
      </w:r>
      <w:r>
        <w:t xml:space="preserve">elationships of</w:t>
      </w:r>
      <w:r>
        <w:t xml:space="preserve"> </w:t>
      </w:r>
      <w:r>
        <w:t xml:space="preserve">A</w:t>
      </w:r>
      <w:r>
        <w:t xml:space="preserve">ntillean</w:t>
      </w:r>
      <w:r>
        <w:t xml:space="preserve"> </w:t>
      </w:r>
      <w:r>
        <w:t xml:space="preserve">H</w:t>
      </w:r>
      <w:r>
        <w:t xml:space="preserve">eptaxodontidae (</w:t>
      </w:r>
      <w:r>
        <w:t xml:space="preserve">R</w:t>
      </w:r>
      <w:r>
        <w:t xml:space="preserve">odentia,</w:t>
      </w:r>
      <w:r>
        <w:t xml:space="preserve"> </w:t>
      </w:r>
      <w:r>
        <w:t xml:space="preserve">C</w:t>
      </w:r>
      <w:r>
        <w:t xml:space="preserve">tenohystrica,</w:t>
      </w:r>
      <w:r>
        <w:t xml:space="preserve"> </w:t>
      </w:r>
      <w:r>
        <w:t xml:space="preserve">C</w:t>
      </w:r>
      <w:r>
        <w:t xml:space="preserve">aviomorpha). Bulletin of the American Museum of Natural History</w:t>
      </w:r>
      <w:r>
        <w:t xml:space="preserve"> </w:t>
      </w:r>
      <w:r>
        <w:rPr>
          <w:i/>
          <w:iCs/>
        </w:rPr>
        <w:t xml:space="preserve">2011</w:t>
      </w:r>
      <w:r>
        <w:t xml:space="preserve">, 1–70.</w:t>
      </w:r>
      <w:r>
        <w:t xml:space="preserve"> </w:t>
      </w:r>
      <w:hyperlink r:id="rId152">
        <w:r>
          <w:rPr>
            <w:rStyle w:val="Hyperlink"/>
          </w:rPr>
          <w:t xml:space="preserve">https://doi.org/10.1206/0003-0090-363.1.1</w:t>
        </w:r>
      </w:hyperlink>
      <w:r>
        <w:t xml:space="preserve">.</w:t>
      </w:r>
    </w:p>
    <w:bookmarkEnd w:id="153"/>
    <w:bookmarkStart w:id="155" w:name="ref-cornée2021"/>
    <w:p>
      <w:pPr>
        <w:pStyle w:val="Bibliography"/>
      </w:pPr>
      <w:r>
        <w:t xml:space="preserve">64.</w:t>
      </w:r>
      <w:r>
        <w:t xml:space="preserve"> </w:t>
      </w:r>
      <w:r>
        <w:t xml:space="preserve">	</w:t>
      </w:r>
      <w:r>
        <w:t xml:space="preserve">Cornée, J.-J., Münch, P., Philippon, M., BouDagher-Fadel, M., Quillévéré, F., Melinte-Dobrinescu, M., Lebrun, J.-F., Gay, A., Meyer, S., Montheil, L., et al. (2021).</w:t>
      </w:r>
      <w:r>
        <w:t xml:space="preserve"> </w:t>
      </w:r>
      <w:r>
        <w:t xml:space="preserve">L</w:t>
      </w:r>
      <w:r>
        <w:t xml:space="preserve">ost islands in the northern</w:t>
      </w:r>
      <w:r>
        <w:t xml:space="preserve"> </w:t>
      </w:r>
      <w:r>
        <w:t xml:space="preserve">L</w:t>
      </w:r>
      <w:r>
        <w:t xml:space="preserve">esser</w:t>
      </w:r>
      <w:r>
        <w:t xml:space="preserve"> </w:t>
      </w:r>
      <w:r>
        <w:t xml:space="preserve">A</w:t>
      </w:r>
      <w:r>
        <w:t xml:space="preserve">ntilles: Possible milestones in the</w:t>
      </w:r>
      <w:r>
        <w:t xml:space="preserve"> </w:t>
      </w:r>
      <w:r>
        <w:t xml:space="preserve">C</w:t>
      </w:r>
      <w:r>
        <w:t xml:space="preserve">enozoic dispersal of terrestrial organisms between</w:t>
      </w:r>
      <w:r>
        <w:t xml:space="preserve"> </w:t>
      </w:r>
      <w:r>
        <w:t xml:space="preserve">S</w:t>
      </w:r>
      <w:r>
        <w:t xml:space="preserve">outh-</w:t>
      </w:r>
      <w:r>
        <w:t xml:space="preserve">A</w:t>
      </w:r>
      <w:r>
        <w:t xml:space="preserve">merica and the</w:t>
      </w:r>
      <w:r>
        <w:t xml:space="preserve"> </w:t>
      </w:r>
      <w:r>
        <w:t xml:space="preserve">G</w:t>
      </w:r>
      <w:r>
        <w:t xml:space="preserve">reater</w:t>
      </w:r>
      <w:r>
        <w:t xml:space="preserve"> </w:t>
      </w:r>
      <w:r>
        <w:t xml:space="preserve">A</w:t>
      </w:r>
      <w:r>
        <w:t xml:space="preserve">ntilles. Earth-Science Reviews</w:t>
      </w:r>
      <w:r>
        <w:t xml:space="preserve"> </w:t>
      </w:r>
      <w:r>
        <w:rPr>
          <w:i/>
          <w:iCs/>
        </w:rPr>
        <w:t xml:space="preserve">217</w:t>
      </w:r>
      <w:r>
        <w:t xml:space="preserve">, 103617.</w:t>
      </w:r>
      <w:r>
        <w:t xml:space="preserve"> </w:t>
      </w:r>
      <w:hyperlink r:id="rId154">
        <w:r>
          <w:rPr>
            <w:rStyle w:val="Hyperlink"/>
          </w:rPr>
          <w:t xml:space="preserve">https://doi.org/10.1016/j.earscirev.2021.103617</w:t>
        </w:r>
      </w:hyperlink>
      <w:r>
        <w:t xml:space="preserve">.</w:t>
      </w:r>
    </w:p>
    <w:bookmarkEnd w:id="155"/>
    <w:bookmarkStart w:id="157" w:name="ref-marivaux2020b"/>
    <w:p>
      <w:pPr>
        <w:pStyle w:val="Bibliography"/>
      </w:pPr>
      <w:r>
        <w:t xml:space="preserve">65.</w:t>
      </w:r>
      <w:r>
        <w:t xml:space="preserve"> </w:t>
      </w:r>
      <w:r>
        <w:t xml:space="preserve">	</w:t>
      </w:r>
      <w:r>
        <w:t xml:space="preserve">Marivaux, L., Vélez-Juarbe, J., Merzeraud, G., Pujos, F., Viñola López, L.W., Boivin, M., Santos-Mercado, H., Cruz, E.J., Grajales, A., Padilla, J., et al. (2020).</w:t>
      </w:r>
      <w:r>
        <w:t xml:space="preserve"> </w:t>
      </w:r>
      <w:r>
        <w:t xml:space="preserve">E</w:t>
      </w:r>
      <w:r>
        <w:t xml:space="preserve">arly</w:t>
      </w:r>
      <w:r>
        <w:t xml:space="preserve"> </w:t>
      </w:r>
      <w:r>
        <w:t xml:space="preserve">O</w:t>
      </w:r>
      <w:r>
        <w:t xml:space="preserve">ligocene chinchilloid caviomorphs from</w:t>
      </w:r>
      <w:r>
        <w:t xml:space="preserve"> </w:t>
      </w:r>
      <w:r>
        <w:t xml:space="preserve">P</w:t>
      </w:r>
      <w:r>
        <w:t xml:space="preserve">uerto</w:t>
      </w:r>
      <w:r>
        <w:t xml:space="preserve"> </w:t>
      </w:r>
      <w:r>
        <w:t xml:space="preserve">R</w:t>
      </w:r>
      <w:r>
        <w:t xml:space="preserve">ico and the initial rodent colonization of the</w:t>
      </w:r>
      <w:r>
        <w:t xml:space="preserve"> </w:t>
      </w:r>
      <w:r>
        <w:t xml:space="preserve">W</w:t>
      </w:r>
      <w:r>
        <w:t xml:space="preserve">est</w:t>
      </w:r>
      <w:r>
        <w:t xml:space="preserve"> </w:t>
      </w:r>
      <w:r>
        <w:t xml:space="preserve">I</w:t>
      </w:r>
      <w:r>
        <w:t xml:space="preserve">ndies. Proceedings of the Royal Society B: Biological Sciences</w:t>
      </w:r>
      <w:r>
        <w:t xml:space="preserve"> </w:t>
      </w:r>
      <w:r>
        <w:rPr>
          <w:i/>
          <w:iCs/>
        </w:rPr>
        <w:t xml:space="preserve">287</w:t>
      </w:r>
      <w:r>
        <w:t xml:space="preserve">, 20192806.</w:t>
      </w:r>
      <w:r>
        <w:t xml:space="preserve"> </w:t>
      </w:r>
      <w:hyperlink r:id="rId156">
        <w:r>
          <w:rPr>
            <w:rStyle w:val="Hyperlink"/>
          </w:rPr>
          <w:t xml:space="preserve">https://doi.org/10.1098/rspb.2019.2806</w:t>
        </w:r>
      </w:hyperlink>
      <w:r>
        <w:t xml:space="preserve">.</w:t>
      </w:r>
    </w:p>
    <w:bookmarkEnd w:id="157"/>
    <w:bookmarkStart w:id="159" w:name="ref-warren2015"/>
    <w:p>
      <w:pPr>
        <w:pStyle w:val="Bibliography"/>
      </w:pPr>
      <w:r>
        <w:t xml:space="preserve">66.</w:t>
      </w:r>
      <w:r>
        <w:t xml:space="preserve"> </w:t>
      </w:r>
      <w:r>
        <w:t xml:space="preserve">	</w:t>
      </w:r>
      <w:r>
        <w:t xml:space="preserve">Warren, B.H., Simberloff, D., Ricklefs, R.E., Aguilée, R., Condamine, F.L., Gravel, D., Morlon, H., Mouquet, N., Rosindell, J., Casquet, J., et al. (2015).</w:t>
      </w:r>
      <w:r>
        <w:t xml:space="preserve"> </w:t>
      </w:r>
      <w:r>
        <w:t xml:space="preserve">I</w:t>
      </w:r>
      <w:r>
        <w:t xml:space="preserve">slands as model systems in ecology and evolution: prospects fifty years after</w:t>
      </w:r>
      <w:r>
        <w:t xml:space="preserve"> </w:t>
      </w:r>
      <w:r>
        <w:t xml:space="preserve">M</w:t>
      </w:r>
      <w:r>
        <w:t xml:space="preserve">ac</w:t>
      </w:r>
      <w:r>
        <w:t xml:space="preserve">A</w:t>
      </w:r>
      <w:r>
        <w:t xml:space="preserve">rthur-</w:t>
      </w:r>
      <w:r>
        <w:t xml:space="preserve">W</w:t>
      </w:r>
      <w:r>
        <w:t xml:space="preserve">ilson. Ecology Letters</w:t>
      </w:r>
      <w:r>
        <w:t xml:space="preserve"> </w:t>
      </w:r>
      <w:r>
        <w:rPr>
          <w:i/>
          <w:iCs/>
        </w:rPr>
        <w:t xml:space="preserve">18</w:t>
      </w:r>
      <w:r>
        <w:t xml:space="preserve">, 200–217.</w:t>
      </w:r>
      <w:r>
        <w:t xml:space="preserve"> </w:t>
      </w:r>
      <w:hyperlink r:id="rId158">
        <w:r>
          <w:rPr>
            <w:rStyle w:val="Hyperlink"/>
          </w:rPr>
          <w:t xml:space="preserve">https://doi.org/10.1111/ele.12398</w:t>
        </w:r>
      </w:hyperlink>
      <w:r>
        <w:t xml:space="preserve">.</w:t>
      </w:r>
    </w:p>
    <w:bookmarkEnd w:id="159"/>
    <w:bookmarkStart w:id="161" w:name="ref-wickham2019"/>
    <w:p>
      <w:pPr>
        <w:pStyle w:val="Bibliography"/>
      </w:pPr>
      <w:r>
        <w:t xml:space="preserve">67.</w:t>
      </w:r>
      <w:r>
        <w:t xml:space="preserve"> </w:t>
      </w:r>
      <w:r>
        <w:t xml:space="preserve">	</w:t>
      </w:r>
      <w:r>
        <w:t xml:space="preserve">Wickham, H., Averick, M., Bryan, J., Chang, W., McGowan, L.D., François, R., Grolemund, G., Hayes, A., Henry, L., Hester, J., et al. (2019).</w:t>
      </w:r>
      <w:r>
        <w:t xml:space="preserve"> </w:t>
      </w:r>
      <w:r>
        <w:t xml:space="preserve">W</w:t>
      </w:r>
      <w:r>
        <w:t xml:space="preserve">elcome to the</w:t>
      </w:r>
      <w:r>
        <w:t xml:space="preserve"> </w:t>
      </w:r>
      <w:r>
        <w:t xml:space="preserve">T</w:t>
      </w:r>
      <w:r>
        <w:t xml:space="preserve">idyverse. Journal of Open Source Software</w:t>
      </w:r>
      <w:r>
        <w:t xml:space="preserve"> </w:t>
      </w:r>
      <w:r>
        <w:rPr>
          <w:i/>
          <w:iCs/>
        </w:rPr>
        <w:t xml:space="preserve">4</w:t>
      </w:r>
      <w:r>
        <w:t xml:space="preserve">, 1686.</w:t>
      </w:r>
      <w:r>
        <w:t xml:space="preserve"> </w:t>
      </w:r>
      <w:hyperlink r:id="rId160">
        <w:r>
          <w:rPr>
            <w:rStyle w:val="Hyperlink"/>
          </w:rPr>
          <w:t xml:space="preserve">https://doi.org/10.21105/joss.01686</w:t>
        </w:r>
      </w:hyperlink>
      <w:r>
        <w:t xml:space="preserve">.</w:t>
      </w:r>
    </w:p>
    <w:bookmarkEnd w:id="161"/>
    <w:bookmarkStart w:id="163" w:name="ref-hijmans2025"/>
    <w:p>
      <w:pPr>
        <w:pStyle w:val="Bibliography"/>
      </w:pPr>
      <w:r>
        <w:t xml:space="preserve">68.</w:t>
      </w:r>
      <w:r>
        <w:t xml:space="preserve"> </w:t>
      </w:r>
      <w:r>
        <w:t xml:space="preserve">	</w:t>
      </w:r>
      <w:r>
        <w:t xml:space="preserve">Hijmans, R.J., Etten, J. van, Sumner, M., Cheng, J., Baston, D., Bevan, A., Bivand, R., Busetto, L., Canty, M., Fasoli, B., et al. (2025).</w:t>
      </w:r>
      <w:r>
        <w:t xml:space="preserve"> </w:t>
      </w:r>
      <w:hyperlink r:id="rId162">
        <w:r>
          <w:rPr>
            <w:rStyle w:val="Hyperlink"/>
          </w:rPr>
          <w:t xml:space="preserve">Raster:</w:t>
        </w:r>
        <w:r>
          <w:rPr>
            <w:rStyle w:val="Hyperlink"/>
          </w:rPr>
          <w:t xml:space="preserve"> </w:t>
        </w:r>
        <w:r>
          <w:rPr>
            <w:rStyle w:val="Hyperlink"/>
          </w:rPr>
          <w:t xml:space="preserve">G</w:t>
        </w:r>
        <w:r>
          <w:rPr>
            <w:rStyle w:val="Hyperlink"/>
          </w:rPr>
          <w:t xml:space="preserve">eographic</w:t>
        </w:r>
        <w:r>
          <w:rPr>
            <w:rStyle w:val="Hyperlink"/>
          </w:rPr>
          <w:t xml:space="preserve"> </w:t>
        </w:r>
        <w:r>
          <w:rPr>
            <w:rStyle w:val="Hyperlink"/>
          </w:rPr>
          <w:t xml:space="preserve">D</w:t>
        </w:r>
        <w:r>
          <w:rPr>
            <w:rStyle w:val="Hyperlink"/>
          </w:rPr>
          <w:t xml:space="preserve">ata</w:t>
        </w:r>
        <w:r>
          <w:rPr>
            <w:rStyle w:val="Hyperlink"/>
          </w:rPr>
          <w:t xml:space="preserve"> </w:t>
        </w:r>
        <w:r>
          <w:rPr>
            <w:rStyle w:val="Hyperlink"/>
          </w:rPr>
          <w:t xml:space="preserve">A</w:t>
        </w:r>
        <w:r>
          <w:rPr>
            <w:rStyle w:val="Hyperlink"/>
          </w:rPr>
          <w:t xml:space="preserve">nalysis and</w:t>
        </w:r>
        <w:r>
          <w:rPr>
            <w:rStyle w:val="Hyperlink"/>
          </w:rPr>
          <w:t xml:space="preserve"> </w:t>
        </w:r>
        <w:r>
          <w:rPr>
            <w:rStyle w:val="Hyperlink"/>
          </w:rPr>
          <w:t xml:space="preserve">M</w:t>
        </w:r>
        <w:r>
          <w:rPr>
            <w:rStyle w:val="Hyperlink"/>
          </w:rPr>
          <w:t xml:space="preserve">odeling</w:t>
        </w:r>
      </w:hyperlink>
      <w:r>
        <w:t xml:space="preserve">.</w:t>
      </w:r>
    </w:p>
    <w:bookmarkEnd w:id="163"/>
    <w:bookmarkStart w:id="165" w:name="ref-hijmans_terra_2025"/>
    <w:p>
      <w:pPr>
        <w:pStyle w:val="Bibliography"/>
      </w:pPr>
      <w:r>
        <w:t xml:space="preserve">69.</w:t>
      </w:r>
      <w:r>
        <w:t xml:space="preserve"> </w:t>
      </w:r>
      <w:r>
        <w:t xml:space="preserve">	</w:t>
      </w:r>
      <w:r>
        <w:t xml:space="preserve">Hijmans, R.J., Barbosa, M., Bivand, R., Brown, A., Chirico, M., Cordano, E., Dyba, K., Pebesma, E., Rowlingson, B., and Sumner, M.D. (2025).</w:t>
      </w:r>
      <w:r>
        <w:t xml:space="preserve"> </w:t>
      </w:r>
      <w:hyperlink r:id="rId164">
        <w:r>
          <w:rPr>
            <w:rStyle w:val="Hyperlink"/>
          </w:rPr>
          <w:t xml:space="preserve">Terra:</w:t>
        </w:r>
        <w:r>
          <w:rPr>
            <w:rStyle w:val="Hyperlink"/>
          </w:rPr>
          <w:t xml:space="preserve"> </w:t>
        </w:r>
        <w:r>
          <w:rPr>
            <w:rStyle w:val="Hyperlink"/>
          </w:rPr>
          <w:t xml:space="preserve">S</w:t>
        </w:r>
        <w:r>
          <w:rPr>
            <w:rStyle w:val="Hyperlink"/>
          </w:rPr>
          <w:t xml:space="preserve">patial</w:t>
        </w:r>
        <w:r>
          <w:rPr>
            <w:rStyle w:val="Hyperlink"/>
          </w:rPr>
          <w:t xml:space="preserve"> </w:t>
        </w:r>
        <w:r>
          <w:rPr>
            <w:rStyle w:val="Hyperlink"/>
          </w:rPr>
          <w:t xml:space="preserve">D</w:t>
        </w:r>
        <w:r>
          <w:rPr>
            <w:rStyle w:val="Hyperlink"/>
          </w:rPr>
          <w:t xml:space="preserve">ata</w:t>
        </w:r>
        <w:r>
          <w:rPr>
            <w:rStyle w:val="Hyperlink"/>
          </w:rPr>
          <w:t xml:space="preserve"> </w:t>
        </w:r>
        <w:r>
          <w:rPr>
            <w:rStyle w:val="Hyperlink"/>
          </w:rPr>
          <w:t xml:space="preserve">A</w:t>
        </w:r>
        <w:r>
          <w:rPr>
            <w:rStyle w:val="Hyperlink"/>
          </w:rPr>
          <w:t xml:space="preserve">nalysis</w:t>
        </w:r>
      </w:hyperlink>
      <w:r>
        <w:t xml:space="preserve">. Version 1.8-70.</w:t>
      </w:r>
    </w:p>
    <w:bookmarkEnd w:id="165"/>
    <w:bookmarkStart w:id="167" w:name="ref-duben_spaths_2025"/>
    <w:p>
      <w:pPr>
        <w:pStyle w:val="Bibliography"/>
      </w:pPr>
      <w:r>
        <w:t xml:space="preserve">70.</w:t>
      </w:r>
      <w:r>
        <w:t xml:space="preserve"> </w:t>
      </w:r>
      <w:r>
        <w:t xml:space="preserve">	</w:t>
      </w:r>
      <w:r>
        <w:t xml:space="preserve">Düben, C. (2025).</w:t>
      </w:r>
      <w:r>
        <w:t xml:space="preserve"> </w:t>
      </w:r>
      <w:hyperlink r:id="rId166">
        <w:r>
          <w:rPr>
            <w:rStyle w:val="Hyperlink"/>
          </w:rPr>
          <w:t xml:space="preserve">Spaths:</w:t>
        </w:r>
        <w:r>
          <w:rPr>
            <w:rStyle w:val="Hyperlink"/>
          </w:rPr>
          <w:t xml:space="preserve"> </w:t>
        </w:r>
        <w:r>
          <w:rPr>
            <w:rStyle w:val="Hyperlink"/>
          </w:rPr>
          <w:t xml:space="preserve">S</w:t>
        </w:r>
        <w:r>
          <w:rPr>
            <w:rStyle w:val="Hyperlink"/>
          </w:rPr>
          <w:t xml:space="preserve">hortest</w:t>
        </w:r>
        <w:r>
          <w:rPr>
            <w:rStyle w:val="Hyperlink"/>
          </w:rPr>
          <w:t xml:space="preserve"> </w:t>
        </w:r>
        <w:r>
          <w:rPr>
            <w:rStyle w:val="Hyperlink"/>
          </w:rPr>
          <w:t xml:space="preserve">P</w:t>
        </w:r>
        <w:r>
          <w:rPr>
            <w:rStyle w:val="Hyperlink"/>
          </w:rPr>
          <w:t xml:space="preserve">aths</w:t>
        </w:r>
        <w:r>
          <w:rPr>
            <w:rStyle w:val="Hyperlink"/>
          </w:rPr>
          <w:t xml:space="preserve"> </w:t>
        </w:r>
        <w:r>
          <w:rPr>
            <w:rStyle w:val="Hyperlink"/>
          </w:rPr>
          <w:t xml:space="preserve">B</w:t>
        </w:r>
        <w:r>
          <w:rPr>
            <w:rStyle w:val="Hyperlink"/>
          </w:rPr>
          <w:t xml:space="preserve">etween</w:t>
        </w:r>
        <w:r>
          <w:rPr>
            <w:rStyle w:val="Hyperlink"/>
          </w:rPr>
          <w:t xml:space="preserve"> </w:t>
        </w:r>
        <w:r>
          <w:rPr>
            <w:rStyle w:val="Hyperlink"/>
          </w:rPr>
          <w:t xml:space="preserve">P</w:t>
        </w:r>
        <w:r>
          <w:rPr>
            <w:rStyle w:val="Hyperlink"/>
          </w:rPr>
          <w:t xml:space="preserve">oints in</w:t>
        </w:r>
        <w:r>
          <w:rPr>
            <w:rStyle w:val="Hyperlink"/>
          </w:rPr>
          <w:t xml:space="preserve"> </w:t>
        </w:r>
        <w:r>
          <w:rPr>
            <w:rStyle w:val="Hyperlink"/>
          </w:rPr>
          <w:t xml:space="preserve">G</w:t>
        </w:r>
        <w:r>
          <w:rPr>
            <w:rStyle w:val="Hyperlink"/>
          </w:rPr>
          <w:t xml:space="preserve">rids</w:t>
        </w:r>
      </w:hyperlink>
      <w:r>
        <w:t xml:space="preserve">. Version 1.2.0.</w:t>
      </w:r>
    </w:p>
    <w:bookmarkEnd w:id="167"/>
    <w:bookmarkStart w:id="169" w:name="ref-dutang_randtoolbox_2024"/>
    <w:p>
      <w:pPr>
        <w:pStyle w:val="Bibliography"/>
      </w:pPr>
      <w:r>
        <w:t xml:space="preserve">71.</w:t>
      </w:r>
      <w:r>
        <w:t xml:space="preserve"> </w:t>
      </w:r>
      <w:r>
        <w:t xml:space="preserve">	</w:t>
      </w:r>
      <w:r>
        <w:t xml:space="preserve">Dutang, C., Savicky, P., Code), Y.C.(part. of R., Code), D.W.(part. of R., RNG), D.K.(C. code of K.-T., algorithm), M.M.(C. code of S., and algorithm), M.S.(C. code of S. (2024).</w:t>
      </w:r>
      <w:r>
        <w:t xml:space="preserve"> </w:t>
      </w:r>
      <w:hyperlink r:id="rId168">
        <w:r>
          <w:rPr>
            <w:rStyle w:val="Hyperlink"/>
          </w:rPr>
          <w:t xml:space="preserve">Randtoolbox:</w:t>
        </w:r>
        <w:r>
          <w:rPr>
            <w:rStyle w:val="Hyperlink"/>
          </w:rPr>
          <w:t xml:space="preserve"> </w:t>
        </w:r>
        <w:r>
          <w:rPr>
            <w:rStyle w:val="Hyperlink"/>
          </w:rPr>
          <w:t xml:space="preserve">T</w:t>
        </w:r>
        <w:r>
          <w:rPr>
            <w:rStyle w:val="Hyperlink"/>
          </w:rPr>
          <w:t xml:space="preserve">oolbox for</w:t>
        </w:r>
        <w:r>
          <w:rPr>
            <w:rStyle w:val="Hyperlink"/>
          </w:rPr>
          <w:t xml:space="preserve"> </w:t>
        </w:r>
        <w:r>
          <w:rPr>
            <w:rStyle w:val="Hyperlink"/>
          </w:rPr>
          <w:t xml:space="preserve">P</w:t>
        </w:r>
        <w:r>
          <w:rPr>
            <w:rStyle w:val="Hyperlink"/>
          </w:rPr>
          <w:t xml:space="preserve">seudo and</w:t>
        </w:r>
        <w:r>
          <w:rPr>
            <w:rStyle w:val="Hyperlink"/>
          </w:rPr>
          <w:t xml:space="preserve"> </w:t>
        </w:r>
        <w:r>
          <w:rPr>
            <w:rStyle w:val="Hyperlink"/>
          </w:rPr>
          <w:t xml:space="preserve">Q</w:t>
        </w:r>
        <w:r>
          <w:rPr>
            <w:rStyle w:val="Hyperlink"/>
          </w:rPr>
          <w:t xml:space="preserve">uasi</w:t>
        </w:r>
        <w:r>
          <w:rPr>
            <w:rStyle w:val="Hyperlink"/>
          </w:rPr>
          <w:t xml:space="preserve"> </w:t>
        </w:r>
        <w:r>
          <w:rPr>
            <w:rStyle w:val="Hyperlink"/>
          </w:rPr>
          <w:t xml:space="preserve">R</w:t>
        </w:r>
        <w:r>
          <w:rPr>
            <w:rStyle w:val="Hyperlink"/>
          </w:rPr>
          <w:t xml:space="preserve">andom</w:t>
        </w:r>
        <w:r>
          <w:rPr>
            <w:rStyle w:val="Hyperlink"/>
          </w:rPr>
          <w:t xml:space="preserve"> </w:t>
        </w:r>
        <w:r>
          <w:rPr>
            <w:rStyle w:val="Hyperlink"/>
          </w:rPr>
          <w:t xml:space="preserve">N</w:t>
        </w:r>
        <w:r>
          <w:rPr>
            <w:rStyle w:val="Hyperlink"/>
          </w:rPr>
          <w:t xml:space="preserve">umber</w:t>
        </w:r>
        <w:r>
          <w:rPr>
            <w:rStyle w:val="Hyperlink"/>
          </w:rPr>
          <w:t xml:space="preserve"> </w:t>
        </w:r>
        <w:r>
          <w:rPr>
            <w:rStyle w:val="Hyperlink"/>
          </w:rPr>
          <w:t xml:space="preserve">G</w:t>
        </w:r>
        <w:r>
          <w:rPr>
            <w:rStyle w:val="Hyperlink"/>
          </w:rPr>
          <w:t xml:space="preserve">eneration and</w:t>
        </w:r>
        <w:r>
          <w:rPr>
            <w:rStyle w:val="Hyperlink"/>
          </w:rPr>
          <w:t xml:space="preserve"> </w:t>
        </w:r>
        <w:r>
          <w:rPr>
            <w:rStyle w:val="Hyperlink"/>
          </w:rPr>
          <w:t xml:space="preserve">R</w:t>
        </w:r>
        <w:r>
          <w:rPr>
            <w:rStyle w:val="Hyperlink"/>
          </w:rPr>
          <w:t xml:space="preserve">andom</w:t>
        </w:r>
        <w:r>
          <w:rPr>
            <w:rStyle w:val="Hyperlink"/>
          </w:rPr>
          <w:t xml:space="preserve"> </w:t>
        </w:r>
        <w:r>
          <w:rPr>
            <w:rStyle w:val="Hyperlink"/>
          </w:rPr>
          <w:t xml:space="preserve">G</w:t>
        </w:r>
        <w:r>
          <w:rPr>
            <w:rStyle w:val="Hyperlink"/>
          </w:rPr>
          <w:t xml:space="preserve">enerator</w:t>
        </w:r>
        <w:r>
          <w:rPr>
            <w:rStyle w:val="Hyperlink"/>
          </w:rPr>
          <w:t xml:space="preserve"> </w:t>
        </w:r>
        <w:r>
          <w:rPr>
            <w:rStyle w:val="Hyperlink"/>
          </w:rPr>
          <w:t xml:space="preserve">T</w:t>
        </w:r>
        <w:r>
          <w:rPr>
            <w:rStyle w:val="Hyperlink"/>
          </w:rPr>
          <w:t xml:space="preserve">ests</w:t>
        </w:r>
      </w:hyperlink>
      <w:r>
        <w:t xml:space="preserve">. Version 2.0.5.</w:t>
      </w:r>
    </w:p>
    <w:bookmarkEnd w:id="169"/>
    <w:bookmarkStart w:id="171" w:name="ref-köppen1900"/>
    <w:p>
      <w:pPr>
        <w:pStyle w:val="Bibliography"/>
      </w:pPr>
      <w:r>
        <w:t xml:space="preserve">72.</w:t>
      </w:r>
      <w:r>
        <w:t xml:space="preserve"> </w:t>
      </w:r>
      <w:r>
        <w:t xml:space="preserve">	</w:t>
      </w:r>
      <w:r>
        <w:t xml:space="preserve">Köppen, W. (1900).</w:t>
      </w:r>
      <w:r>
        <w:t xml:space="preserve"> </w:t>
      </w:r>
      <w:hyperlink r:id="rId170">
        <w:r>
          <w:rPr>
            <w:rStyle w:val="Hyperlink"/>
          </w:rPr>
          <w:t xml:space="preserve">V</w:t>
        </w:r>
        <w:r>
          <w:rPr>
            <w:rStyle w:val="Hyperlink"/>
          </w:rPr>
          <w:t xml:space="preserve">ersuch einer</w:t>
        </w:r>
        <w:r>
          <w:rPr>
            <w:rStyle w:val="Hyperlink"/>
          </w:rPr>
          <w:t xml:space="preserve"> </w:t>
        </w:r>
        <w:r>
          <w:rPr>
            <w:rStyle w:val="Hyperlink"/>
          </w:rPr>
          <w:t xml:space="preserve">K</w:t>
        </w:r>
        <w:r>
          <w:rPr>
            <w:rStyle w:val="Hyperlink"/>
          </w:rPr>
          <w:t xml:space="preserve">lassifikation der</w:t>
        </w:r>
        <w:r>
          <w:rPr>
            <w:rStyle w:val="Hyperlink"/>
          </w:rPr>
          <w:t xml:space="preserve"> </w:t>
        </w:r>
        <w:r>
          <w:rPr>
            <w:rStyle w:val="Hyperlink"/>
          </w:rPr>
          <w:t xml:space="preserve">K</w:t>
        </w:r>
        <w:r>
          <w:rPr>
            <w:rStyle w:val="Hyperlink"/>
          </w:rPr>
          <w:t xml:space="preserve">limate, vorzugsweise nach ihren</w:t>
        </w:r>
        <w:r>
          <w:rPr>
            <w:rStyle w:val="Hyperlink"/>
          </w:rPr>
          <w:t xml:space="preserve"> </w:t>
        </w:r>
        <w:r>
          <w:rPr>
            <w:rStyle w:val="Hyperlink"/>
          </w:rPr>
          <w:t xml:space="preserve">B</w:t>
        </w:r>
        <w:r>
          <w:rPr>
            <w:rStyle w:val="Hyperlink"/>
          </w:rPr>
          <w:t xml:space="preserve">eziehungen zur</w:t>
        </w:r>
        <w:r>
          <w:rPr>
            <w:rStyle w:val="Hyperlink"/>
          </w:rPr>
          <w:t xml:space="preserve"> </w:t>
        </w:r>
        <w:r>
          <w:rPr>
            <w:rStyle w:val="Hyperlink"/>
          </w:rPr>
          <w:t xml:space="preserve">P</w:t>
        </w:r>
        <w:r>
          <w:rPr>
            <w:rStyle w:val="Hyperlink"/>
          </w:rPr>
          <w:t xml:space="preserve">flanzenwelt</w:t>
        </w:r>
      </w:hyperlink>
      <w:r>
        <w:t xml:space="preserve">. Geographische Zeitschrift</w:t>
      </w:r>
      <w:r>
        <w:t xml:space="preserve"> </w:t>
      </w:r>
      <w:r>
        <w:rPr>
          <w:i/>
          <w:iCs/>
        </w:rPr>
        <w:t xml:space="preserve">6</w:t>
      </w:r>
      <w:r>
        <w:t xml:space="preserve">, 593–611.</w:t>
      </w:r>
    </w:p>
    <w:bookmarkEnd w:id="171"/>
    <w:bookmarkStart w:id="173" w:name="ref-obrien2023"/>
    <w:p>
      <w:pPr>
        <w:pStyle w:val="Bibliography"/>
      </w:pPr>
      <w:r>
        <w:t xml:space="preserve">73.</w:t>
      </w:r>
      <w:r>
        <w:t xml:space="preserve"> </w:t>
      </w:r>
      <w:r>
        <w:t xml:space="preserve">	</w:t>
      </w:r>
      <w:r>
        <w:t xml:space="preserve">O’Brien, L. (2023).</w:t>
      </w:r>
      <w:r>
        <w:t xml:space="preserve"> </w:t>
      </w:r>
      <w:hyperlink r:id="rId172">
        <w:r>
          <w:rPr>
            <w:rStyle w:val="Hyperlink"/>
          </w:rPr>
          <w:t xml:space="preserve">h3jsr:</w:t>
        </w:r>
        <w:r>
          <w:rPr>
            <w:rStyle w:val="Hyperlink"/>
          </w:rPr>
          <w:t xml:space="preserve"> </w:t>
        </w:r>
        <w:r>
          <w:rPr>
            <w:rStyle w:val="Hyperlink"/>
          </w:rPr>
          <w:t xml:space="preserve">A</w:t>
        </w:r>
        <w:r>
          <w:rPr>
            <w:rStyle w:val="Hyperlink"/>
          </w:rPr>
          <w:t xml:space="preserve">ccess</w:t>
        </w:r>
        <w:r>
          <w:rPr>
            <w:rStyle w:val="Hyperlink"/>
          </w:rPr>
          <w:t xml:space="preserve"> </w:t>
        </w:r>
        <w:r>
          <w:rPr>
            <w:rStyle w:val="Hyperlink"/>
          </w:rPr>
          <w:t xml:space="preserve">U</w:t>
        </w:r>
        <w:r>
          <w:rPr>
            <w:rStyle w:val="Hyperlink"/>
          </w:rPr>
          <w:t xml:space="preserve">ber’s</w:t>
        </w:r>
        <w:r>
          <w:rPr>
            <w:rStyle w:val="Hyperlink"/>
          </w:rPr>
          <w:t xml:space="preserve"> </w:t>
        </w:r>
        <w:r>
          <w:rPr>
            <w:rStyle w:val="Hyperlink"/>
          </w:rPr>
          <w:t xml:space="preserve">H</w:t>
        </w:r>
        <w:r>
          <w:rPr>
            <w:rStyle w:val="Hyperlink"/>
          </w:rPr>
          <w:t xml:space="preserve">3</w:t>
        </w:r>
        <w:r>
          <w:rPr>
            <w:rStyle w:val="Hyperlink"/>
          </w:rPr>
          <w:t xml:space="preserve"> </w:t>
        </w:r>
        <w:r>
          <w:rPr>
            <w:rStyle w:val="Hyperlink"/>
          </w:rPr>
          <w:t xml:space="preserve">L</w:t>
        </w:r>
        <w:r>
          <w:rPr>
            <w:rStyle w:val="Hyperlink"/>
          </w:rPr>
          <w:t xml:space="preserve">ibrary</w:t>
        </w:r>
      </w:hyperlink>
      <w:r>
        <w:t xml:space="preserve">.</w:t>
      </w:r>
    </w:p>
    <w:bookmarkEnd w:id="173"/>
    <w:bookmarkEnd w:id="174"/>
    <w:p>
      <w:r>
        <w:br w:type="page"/>
      </w:r>
    </w:p>
    <w:bookmarkEnd w:id="175"/>
    <w:bookmarkStart w:id="19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79" w:name="fig-hypotheses"/>
          <w:p>
            <w:pPr>
              <w:pStyle w:val="Compact"/>
              <w:jc w:val="center"/>
            </w:pPr>
            <w:r>
              <w:drawing>
                <wp:inline>
                  <wp:extent cx="4499999" cy="5399999"/>
                  <wp:effectExtent b="0" l="0" r="0" t="0"/>
                  <wp:docPr descr="" title="" id="177" name="Picture"/>
                  <a:graphic>
                    <a:graphicData uri="http://schemas.openxmlformats.org/drawingml/2006/picture">
                      <pic:pic>
                        <pic:nvPicPr>
                          <pic:cNvPr descr="../Figures/MS/Main/Figure_intro/Figure_hypotheses.png" id="178" name="Picture"/>
                          <pic:cNvPicPr>
                            <a:picLocks noChangeArrowheads="1" noChangeAspect="1"/>
                          </pic:cNvPicPr>
                        </pic:nvPicPr>
                        <pic:blipFill>
                          <a:blip r:embed="rId176"/>
                          <a:stretch>
                            <a:fillRect/>
                          </a:stretch>
                        </pic:blipFill>
                        <pic:spPr bwMode="auto">
                          <a:xfrm>
                            <a:off x="0" y="0"/>
                            <a:ext cx="44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two nonmutually-exclusive hypotheses relating the asymmetry of the GABI to the Pleistocene climatic oscillations, formulated in the framework of land mammals. Both involve biome transition from close tropical rainforest (green) during interglacial periods − warm and humid − to open savannah/desert (dark yellow) during glacial maxima − cold and dry − in the isthmian region. The first one (A), formulated by Webb</w:t>
            </w:r>
            <w:r>
              <w:rPr>
                <w:vertAlign w:val="superscript"/>
              </w:rPr>
              <w:t xml:space="preserve">14</w:t>
            </w:r>
            <w:r>
              <w:t xml:space="preserve"> </w:t>
            </w:r>
            <w:r>
              <w:t xml:space="preserve">views the asymmetry of the GABI as the result from the fact that North America had a higher pool of open-adapted taxa than South America. The opening of the isthmian region acted as an ecological filter favouring the dispersal of these open-adapted taxa to the detriment of the others. Hence, given the imbalance in open-adapted pool size between the two continents, more species would have been expected to disperse to the South than the other way around. The second one (B), formulated by Vrba</w:t>
            </w:r>
            <w:r>
              <w:rPr>
                <w:vertAlign w:val="superscript"/>
              </w:rPr>
              <w:t xml:space="preserve">24</w:t>
            </w:r>
            <w:r>
              <w:t xml:space="preserve">, proposes that the contraction of the tropical biome towards the equator triggered by the interglacial-glacial transition would have mechanically attracted tropical specialists southwards, irrespective of their continent of origin. Silhouettes are from phylopic, credits are available in Table S3.</w:t>
            </w:r>
          </w:p>
          <w:bookmarkEnd w:id="179"/>
        </w:tc>
      </w:tr>
    </w:tbl>
    <w:tbl>
      <w:tblPr>
        <w:tblStyle w:val="Table"/>
        <w:tblW w:type="pct" w:w="5000"/>
        <w:tblLayout w:type="fixed"/>
        <w:tblLook w:firstRow="0" w:lastRow="0" w:firstColumn="0" w:lastColumn="0" w:noHBand="0" w:noVBand="0" w:val="0000"/>
      </w:tblPr>
      <w:tblGrid>
        <w:gridCol w:w="7920"/>
      </w:tblGrid>
      <w:tr>
        <w:tc>
          <w:tcPr/>
          <w:bookmarkStart w:id="183" w:name="fig-framework"/>
          <w:p>
            <w:pPr>
              <w:pStyle w:val="Compact"/>
              <w:jc w:val="center"/>
            </w:pPr>
            <w:r>
              <w:drawing>
                <wp:inline>
                  <wp:extent cx="3959999" cy="3959999"/>
                  <wp:effectExtent b="0" l="0" r="0" t="0"/>
                  <wp:docPr descr="" title="" id="181" name="Picture"/>
                  <a:graphic>
                    <a:graphicData uri="http://schemas.openxmlformats.org/drawingml/2006/picture">
                      <pic:pic>
                        <pic:nvPicPr>
                          <pic:cNvPr descr="../Figures/MS/Main/Figure_framework/Figure_framework.png" id="182" name="Picture"/>
                          <pic:cNvPicPr>
                            <a:picLocks noChangeArrowheads="1" noChangeAspect="1"/>
                          </pic:cNvPicPr>
                        </pic:nvPicPr>
                        <pic:blipFill>
                          <a:blip r:embed="rId180"/>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The empirically-derived asymmetry of the transcontinental land mammal exchange is represented by the thickness of the two arrows, the thicker the arrow, the more intense the exchange.</w:t>
            </w:r>
          </w:p>
          <w:bookmarkEnd w:id="183"/>
        </w:tc>
      </w:tr>
    </w:tbl>
    <w:tbl>
      <w:tblPr>
        <w:tblStyle w:val="Table"/>
        <w:tblW w:type="pct" w:w="5000"/>
        <w:tblLayout w:type="fixed"/>
        <w:tblLook w:firstRow="0" w:lastRow="0" w:firstColumn="0" w:lastColumn="0" w:noHBand="0" w:noVBand="0" w:val="0000"/>
      </w:tblPr>
      <w:tblGrid>
        <w:gridCol w:w="7920"/>
      </w:tblGrid>
      <w:tr>
        <w:tc>
          <w:tcPr/>
          <w:bookmarkStart w:id="187" w:name="fig-propsuccess"/>
          <w:p>
            <w:pPr>
              <w:pStyle w:val="Compact"/>
              <w:jc w:val="center"/>
            </w:pPr>
            <w:r>
              <w:drawing>
                <wp:inline>
                  <wp:extent cx="3599999" cy="3779999"/>
                  <wp:effectExtent b="0" l="0" r="0" t="0"/>
                  <wp:docPr descr="" title="" id="185" name="Picture"/>
                  <a:graphic>
                    <a:graphicData uri="http://schemas.openxmlformats.org/drawingml/2006/picture">
                      <pic:pic>
                        <pic:nvPicPr>
                          <pic:cNvPr descr="../Figures/MS/Main/Figure_PropSuccess/Figure_PropSuccess.png" id="186" name="Picture"/>
                          <pic:cNvPicPr>
                            <a:picLocks noChangeArrowheads="1" noChangeAspect="1"/>
                          </pic:cNvPicPr>
                        </pic:nvPicPr>
                        <pic:blipFill>
                          <a:blip r:embed="rId184"/>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87"/>
        </w:tc>
      </w:tr>
    </w:tbl>
    <w:tbl>
      <w:tblPr>
        <w:tblStyle w:val="Table"/>
        <w:tblW w:type="pct" w:w="5000"/>
        <w:tblLayout w:type="fixed"/>
        <w:tblLook w:firstRow="0" w:lastRow="0" w:firstColumn="0" w:lastColumn="0" w:noHBand="0" w:noVBand="0" w:val="0000"/>
      </w:tblPr>
      <w:tblGrid>
        <w:gridCol w:w="7920"/>
      </w:tblGrid>
      <w:tr>
        <w:tc>
          <w:tcPr/>
          <w:bookmarkStart w:id="191" w:name="fig-metrics"/>
          <w:p>
            <w:pPr>
              <w:pStyle w:val="Compact"/>
              <w:jc w:val="left"/>
            </w:pPr>
            <w:r>
              <w:drawing>
                <wp:inline>
                  <wp:extent cx="5039999" cy="4319999"/>
                  <wp:effectExtent b="0" l="0" r="0" t="0"/>
                  <wp:docPr descr="" title="" id="189" name="Picture"/>
                  <a:graphic>
                    <a:graphicData uri="http://schemas.openxmlformats.org/drawingml/2006/picture">
                      <pic:pic>
                        <pic:nvPicPr>
                          <pic:cNvPr descr="../Figures/MS/Main/Figure_metrics/Figure_metrics.png" id="190" name="Picture"/>
                          <pic:cNvPicPr>
                            <a:picLocks noChangeArrowheads="1" noChangeAspect="1"/>
                          </pic:cNvPicPr>
                        </pic:nvPicPr>
                        <pic:blipFill>
                          <a:blip r:embed="rId188"/>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3</w:t>
              </w:r>
            </w:hyperlink>
            <w:r>
              <w:t xml:space="preserve"> </w:t>
            </w:r>
            <w:r>
              <w:t xml:space="preserve">for details).</w:t>
            </w:r>
            <w:r>
              <w:t xml:space="preserve"> </w:t>
            </w:r>
            <w:r>
              <w:rPr>
                <w:b/>
                <w:bCs/>
              </w:rPr>
              <w:t xml:space="preserve">(A)</w:t>
            </w:r>
            <w:r>
              <w:t xml:space="preserve"> </w:t>
            </w:r>
            <w:r>
              <w:t xml:space="preserve">Proportion of newly-colonised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91"/>
        </w:tc>
      </w:tr>
    </w:tbl>
    <w:tbl>
      <w:tblPr>
        <w:tblStyle w:val="Table"/>
        <w:tblW w:type="pct" w:w="5000"/>
        <w:tblLayout w:type="fixed"/>
        <w:tblLook w:firstRow="0" w:lastRow="0" w:firstColumn="0" w:lastColumn="0" w:noHBand="0" w:noVBand="0" w:val="0000"/>
      </w:tblPr>
      <w:tblGrid>
        <w:gridCol w:w="7920"/>
      </w:tblGrid>
      <w:tr>
        <w:tc>
          <w:tcPr/>
          <w:bookmarkStart w:id="195" w:name="fig-biome"/>
          <w:p>
            <w:pPr>
              <w:pStyle w:val="Compact"/>
              <w:jc w:val="center"/>
            </w:pPr>
            <w:r>
              <w:drawing>
                <wp:inline>
                  <wp:extent cx="5399999" cy="5399999"/>
                  <wp:effectExtent b="0" l="0" r="0" t="0"/>
                  <wp:docPr descr="" title="" id="193" name="Picture"/>
                  <a:graphic>
                    <a:graphicData uri="http://schemas.openxmlformats.org/drawingml/2006/picture">
                      <pic:pic>
                        <pic:nvPicPr>
                          <pic:cNvPr descr="../Figures/MS/Main/Figure_biomes/Figure_biomes.png" id="194" name="Picture"/>
                          <pic:cNvPicPr>
                            <a:picLocks noChangeArrowheads="1" noChangeAspect="1"/>
                          </pic:cNvPicPr>
                        </pic:nvPicPr>
                        <pic:blipFill>
                          <a:blip r:embed="rId192"/>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95"/>
        </w:tc>
      </w:tr>
    </w:tbl>
    <w:p>
      <w:r>
        <w:br w:type="page"/>
      </w:r>
    </w:p>
    <w:bookmarkEnd w:id="196"/>
    <w:bookmarkStart w:id="209" w:name="star-methods"/>
    <w:p>
      <w:pPr>
        <w:pStyle w:val="Heading1"/>
      </w:pPr>
      <w:r>
        <w:t xml:space="preserve">STAR METHODS</w:t>
      </w:r>
    </w:p>
    <w:bookmarkStart w:id="204" w:name="key-resources-table"/>
    <w:p>
      <w:pPr>
        <w:pStyle w:val="Heading2"/>
      </w:pPr>
      <w:r>
        <w:t xml:space="preserve">KEY RESOURCES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REAGENTS OR RESOURCE</w:t>
            </w:r>
          </w:p>
        </w:tc>
        <w:tc>
          <w:tcPr/>
          <w:p>
            <w:pPr>
              <w:pStyle w:val="Compact"/>
              <w:jc w:val="left"/>
            </w:pPr>
            <w:r>
              <w:rPr>
                <w:b/>
                <w:bCs/>
              </w:rPr>
              <w:t xml:space="preserve">SOURCE</w:t>
            </w:r>
          </w:p>
        </w:tc>
        <w:tc>
          <w:tcPr/>
          <w:p>
            <w:pPr>
              <w:pStyle w:val="Compact"/>
              <w:jc w:val="left"/>
            </w:pPr>
            <w:r>
              <w:rPr>
                <w:b/>
                <w:bCs/>
              </w:rPr>
              <w:t xml:space="preserve">IDENTIFIER</w:t>
            </w:r>
          </w:p>
        </w:tc>
      </w:tr>
      <w:tr>
        <w:tc>
          <w:tcPr/>
          <w:p>
            <w:pPr>
              <w:pStyle w:val="Compact"/>
              <w:jc w:val="left"/>
            </w:pPr>
            <w:r>
              <w:rPr>
                <w:b/>
                <w:bCs/>
              </w:rPr>
              <w:t xml:space="preserve">Deposited data</w:t>
            </w:r>
          </w:p>
        </w:tc>
        <w:tc>
          <w:tcPr/>
          <w:p>
            <w:pPr>
              <w:pStyle w:val="Compact"/>
            </w:pPr>
          </w:p>
        </w:tc>
        <w:tc>
          <w:tcPr/>
          <w:p>
            <w:pPr>
              <w:pStyle w:val="Compact"/>
            </w:pPr>
          </w:p>
        </w:tc>
      </w:tr>
      <w:tr>
        <w:tc>
          <w:tcPr/>
          <w:p>
            <w:pPr>
              <w:pStyle w:val="Compact"/>
              <w:jc w:val="left"/>
            </w:pPr>
            <w:r>
              <w:t xml:space="preserve">Biodiversity simulations</w:t>
            </w:r>
          </w:p>
        </w:tc>
        <w:tc>
          <w:tcPr/>
          <w:p>
            <w:pPr>
              <w:pStyle w:val="Compact"/>
              <w:jc w:val="left"/>
            </w:pPr>
            <w:r>
              <w:t xml:space="preserve">This study</w:t>
            </w:r>
          </w:p>
        </w:tc>
        <w:tc>
          <w:tcPr/>
          <w:p>
            <w:pPr>
              <w:pStyle w:val="Compact"/>
              <w:jc w:val="left"/>
            </w:pPr>
            <w:r>
              <w:rPr>
                <w:i/>
                <w:iCs/>
              </w:rPr>
              <w:t xml:space="preserve">Link to be produced</w:t>
            </w:r>
          </w:p>
        </w:tc>
      </w:tr>
      <w:tr>
        <w:tc>
          <w:tcPr/>
          <w:p>
            <w:pPr>
              <w:pStyle w:val="Compact"/>
              <w:jc w:val="left"/>
            </w:pPr>
            <w:r>
              <w:rPr>
                <w:b/>
                <w:bCs/>
              </w:rPr>
              <w:t xml:space="preserve">Software and algortithms</w:t>
            </w:r>
          </w:p>
        </w:tc>
        <w:tc>
          <w:tcPr/>
          <w:p>
            <w:pPr>
              <w:pStyle w:val="Compact"/>
            </w:pPr>
          </w:p>
        </w:tc>
        <w:tc>
          <w:tcPr/>
          <w:p>
            <w:pPr>
              <w:pStyle w:val="Compact"/>
            </w:pPr>
          </w:p>
        </w:tc>
      </w:tr>
      <w:tr>
        <w:tc>
          <w:tcPr/>
          <w:p>
            <w:pPr>
              <w:pStyle w:val="Compact"/>
              <w:jc w:val="left"/>
            </w:pPr>
            <w:r>
              <w:t xml:space="preserve">R scripts for all the analyses</w:t>
            </w:r>
          </w:p>
        </w:tc>
        <w:tc>
          <w:tcPr/>
          <w:p>
            <w:pPr>
              <w:pStyle w:val="Compact"/>
              <w:jc w:val="left"/>
            </w:pPr>
            <w:r>
              <w:t xml:space="preserve">This study</w:t>
            </w:r>
          </w:p>
        </w:tc>
        <w:tc>
          <w:tcPr/>
          <w:p>
            <w:pPr>
              <w:pStyle w:val="Compact"/>
              <w:jc w:val="left"/>
            </w:pPr>
            <w:hyperlink r:id="rId197">
              <w:r>
                <w:rPr>
                  <w:rStyle w:val="Hyperlink"/>
                </w:rPr>
                <w:t xml:space="preserve">https://github.com/Buffan3369/GABI-gen3sis.git</w:t>
              </w:r>
            </w:hyperlink>
          </w:p>
        </w:tc>
      </w:tr>
      <w:tr>
        <w:tc>
          <w:tcPr/>
          <w:p>
            <w:pPr>
              <w:pStyle w:val="Compact"/>
              <w:jc w:val="left"/>
            </w:pPr>
            <w:r>
              <w:t xml:space="preserve">R package gen3sis V 1.5.11</w:t>
            </w:r>
          </w:p>
        </w:tc>
        <w:tc>
          <w:tcPr/>
          <w:p>
            <w:pPr>
              <w:pStyle w:val="Compact"/>
              <w:jc w:val="left"/>
            </w:pPr>
            <w:r>
              <w:t xml:space="preserve">Hagen et al.</w:t>
            </w:r>
            <w:r>
              <w:rPr>
                <w:vertAlign w:val="superscript"/>
              </w:rPr>
              <w:t xml:space="preserve">33</w:t>
            </w:r>
          </w:p>
        </w:tc>
        <w:tc>
          <w:tcPr/>
          <w:p>
            <w:pPr>
              <w:pStyle w:val="Compact"/>
              <w:jc w:val="left"/>
            </w:pPr>
            <w:hyperlink r:id="rId198">
              <w:r>
                <w:rPr>
                  <w:rStyle w:val="Hyperlink"/>
                </w:rPr>
                <w:t xml:space="preserve">https://github.com/project-gen3sis/R-package</w:t>
              </w:r>
            </w:hyperlink>
          </w:p>
        </w:tc>
      </w:tr>
      <w:tr>
        <w:tc>
          <w:tcPr/>
          <w:p>
            <w:pPr>
              <w:pStyle w:val="Compact"/>
              <w:jc w:val="left"/>
            </w:pPr>
            <w:r>
              <w:t xml:space="preserve">R package tidyverse V 2.0.0</w:t>
            </w:r>
          </w:p>
        </w:tc>
        <w:tc>
          <w:tcPr/>
          <w:p>
            <w:pPr>
              <w:pStyle w:val="Compact"/>
              <w:jc w:val="left"/>
            </w:pPr>
            <w:r>
              <w:t xml:space="preserve">Wickham et al.</w:t>
            </w:r>
            <w:r>
              <w:rPr>
                <w:vertAlign w:val="superscript"/>
              </w:rPr>
              <w:t xml:space="preserve">67</w:t>
            </w:r>
          </w:p>
        </w:tc>
        <w:tc>
          <w:tcPr/>
          <w:p>
            <w:pPr>
              <w:pStyle w:val="Compact"/>
              <w:jc w:val="left"/>
            </w:pPr>
            <w:hyperlink r:id="rId199">
              <w:r>
                <w:rPr>
                  <w:rStyle w:val="Hyperlink"/>
                </w:rPr>
                <w:t xml:space="preserve">https://CRAN.R-project.org/package=tidyverse</w:t>
              </w:r>
            </w:hyperlink>
          </w:p>
        </w:tc>
      </w:tr>
      <w:tr>
        <w:tc>
          <w:tcPr/>
          <w:p>
            <w:pPr>
              <w:pStyle w:val="Compact"/>
              <w:jc w:val="left"/>
            </w:pPr>
            <w:r>
              <w:t xml:space="preserve">R package raster V 3.6.31</w:t>
            </w:r>
          </w:p>
        </w:tc>
        <w:tc>
          <w:tcPr/>
          <w:p>
            <w:pPr>
              <w:pStyle w:val="Compact"/>
              <w:jc w:val="left"/>
            </w:pPr>
            <w:r>
              <w:t xml:space="preserve">Hijmans et al.</w:t>
            </w:r>
            <w:r>
              <w:rPr>
                <w:vertAlign w:val="superscript"/>
              </w:rPr>
              <w:t xml:space="preserve">68</w:t>
            </w:r>
          </w:p>
        </w:tc>
        <w:tc>
          <w:tcPr/>
          <w:p>
            <w:pPr>
              <w:pStyle w:val="Compact"/>
              <w:jc w:val="left"/>
            </w:pPr>
            <w:hyperlink r:id="rId200">
              <w:r>
                <w:rPr>
                  <w:rStyle w:val="Hyperlink"/>
                </w:rPr>
                <w:t xml:space="preserve">https://CRAN.R-project.org/package=raster</w:t>
              </w:r>
            </w:hyperlink>
          </w:p>
        </w:tc>
      </w:tr>
      <w:tr>
        <w:tc>
          <w:tcPr/>
          <w:p>
            <w:pPr>
              <w:pStyle w:val="Compact"/>
              <w:jc w:val="left"/>
            </w:pPr>
            <w:r>
              <w:t xml:space="preserve">R package terra V 1.8-15</w:t>
            </w:r>
          </w:p>
        </w:tc>
        <w:tc>
          <w:tcPr/>
          <w:p>
            <w:pPr>
              <w:pStyle w:val="Compact"/>
              <w:jc w:val="left"/>
            </w:pPr>
            <w:r>
              <w:t xml:space="preserve">Hijmans et al.</w:t>
            </w:r>
            <w:r>
              <w:rPr>
                <w:vertAlign w:val="superscript"/>
              </w:rPr>
              <w:t xml:space="preserve">69</w:t>
            </w:r>
          </w:p>
        </w:tc>
        <w:tc>
          <w:tcPr/>
          <w:p>
            <w:pPr>
              <w:pStyle w:val="Compact"/>
              <w:jc w:val="left"/>
            </w:pPr>
            <w:hyperlink r:id="rId201">
              <w:r>
                <w:rPr>
                  <w:rStyle w:val="Hyperlink"/>
                </w:rPr>
                <w:t xml:space="preserve">https://CRAN.R-project.org/package=terra</w:t>
              </w:r>
            </w:hyperlink>
          </w:p>
        </w:tc>
      </w:tr>
      <w:tr>
        <w:tc>
          <w:tcPr/>
          <w:p>
            <w:pPr>
              <w:pStyle w:val="Compact"/>
              <w:jc w:val="left"/>
            </w:pPr>
            <w:r>
              <w:t xml:space="preserve">R package spaths V 1.2.0</w:t>
            </w:r>
          </w:p>
        </w:tc>
        <w:tc>
          <w:tcPr/>
          <w:p>
            <w:pPr>
              <w:pStyle w:val="Compact"/>
              <w:jc w:val="left"/>
            </w:pPr>
            <w:r>
              <w:t xml:space="preserve">Düben et al.</w:t>
            </w:r>
            <w:r>
              <w:rPr>
                <w:vertAlign w:val="superscript"/>
              </w:rPr>
              <w:t xml:space="preserve">70</w:t>
            </w:r>
          </w:p>
        </w:tc>
        <w:tc>
          <w:tcPr/>
          <w:p>
            <w:pPr>
              <w:pStyle w:val="Compact"/>
              <w:jc w:val="left"/>
            </w:pPr>
            <w:hyperlink r:id="rId202">
              <w:r>
                <w:rPr>
                  <w:rStyle w:val="Hyperlink"/>
                </w:rPr>
                <w:t xml:space="preserve">https://CRAN.R-project.org/package=spaths</w:t>
              </w:r>
            </w:hyperlink>
          </w:p>
        </w:tc>
      </w:tr>
      <w:tr>
        <w:tc>
          <w:tcPr/>
          <w:p>
            <w:pPr>
              <w:pStyle w:val="Compact"/>
              <w:jc w:val="left"/>
            </w:pPr>
            <w:r>
              <w:t xml:space="preserve">R package randtoolbox V 2.0.5</w:t>
            </w:r>
          </w:p>
        </w:tc>
        <w:tc>
          <w:tcPr/>
          <w:p>
            <w:pPr>
              <w:pStyle w:val="Compact"/>
              <w:jc w:val="left"/>
            </w:pPr>
            <w:r>
              <w:t xml:space="preserve">Dutang et al.</w:t>
            </w:r>
            <w:r>
              <w:rPr>
                <w:vertAlign w:val="superscript"/>
              </w:rPr>
              <w:t xml:space="preserve">71</w:t>
            </w:r>
          </w:p>
        </w:tc>
        <w:tc>
          <w:tcPr/>
          <w:p>
            <w:pPr>
              <w:pStyle w:val="Compact"/>
              <w:jc w:val="left"/>
            </w:pPr>
            <w:hyperlink r:id="rId203">
              <w:r>
                <w:rPr>
                  <w:rStyle w:val="Hyperlink"/>
                </w:rPr>
                <w:t xml:space="preserve">https://CRAN.R-project.org/package=randtoolbox</w:t>
              </w:r>
            </w:hyperlink>
          </w:p>
        </w:tc>
      </w:tr>
    </w:tbl>
    <w:bookmarkEnd w:id="204"/>
    <w:bookmarkStart w:id="207" w:name="sec-methods"/>
    <w:p>
      <w:pPr>
        <w:pStyle w:val="Heading2"/>
      </w:pPr>
      <w:r>
        <w:t xml:space="preserve">METHOD DETAILS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arbitrarily set as a straight line connecting two points located along the eastern and western coasts of present Panama (</w:t>
      </w:r>
      <m:oMath>
        <m:r>
          <m:t>82.882</m:t>
        </m:r>
        <m:r>
          <m:rPr>
            <m:sty m:val="p"/>
          </m:rPr>
          <m:t>°</m:t>
        </m:r>
      </m:oMath>
      <w:r>
        <w:t xml:space="preserve"> </w:t>
      </w:r>
      <w:r>
        <w:t xml:space="preserve">W,</w:t>
      </w:r>
      <w:r>
        <w:t xml:space="preserve"> </w:t>
      </w:r>
      <m:oMath>
        <m:r>
          <m:t>7.138</m:t>
        </m:r>
        <m:r>
          <m:rPr>
            <m:sty m:val="p"/>
          </m:rPr>
          <m:t>°</m:t>
        </m:r>
      </m:oMath>
      <w:r>
        <w:t xml:space="preserve"> </w:t>
      </w:r>
      <w:r>
        <w:t xml:space="preserve">N and</w:t>
      </w:r>
      <w:r>
        <w:t xml:space="preserve"> </w:t>
      </w:r>
      <m:oMath>
        <m:r>
          <m:t>81.369</m:t>
        </m:r>
        <m:r>
          <m:rPr>
            <m:sty m:val="p"/>
          </m:rPr>
          <m:t>°</m:t>
        </m:r>
      </m:oMath>
      <w:r>
        <w:t xml:space="preserve"> </w:t>
      </w:r>
      <w:r>
        <w:t xml:space="preserve">W and</w:t>
      </w:r>
      <w:r>
        <w:t xml:space="preserve"> </w:t>
      </w:r>
      <m:oMath>
        <m:r>
          <m:t>9.008</m:t>
        </m:r>
        <m:r>
          <m:rPr>
            <m:sty m:val="p"/>
          </m:rPr>
          <m:t>°</m:t>
        </m:r>
      </m:oMath>
      <w:r>
        <w:t xml:space="preserve"> </w:t>
      </w:r>
      <w:r>
        <w:t xml:space="preserve">N) (see main text, Figure 2).</w:t>
      </w:r>
    </w:p>
    <w:bookmarkStart w:id="205" w:name="palaeoclimate-data"/>
    <w:p>
      <w:pPr>
        <w:pStyle w:val="Heading3"/>
      </w:pPr>
      <w:r>
        <w:t xml:space="preserve">Palaeoclimate data</w:t>
      </w:r>
    </w:p>
    <w:p>
      <w:pPr>
        <w:pStyle w:val="FirstParagraph"/>
      </w:pPr>
      <w:r>
        <w:t xml:space="preserve">We used the spatio-temporal terrestrial palaeoclimate series from the PALEO-PGEM atmosphere-ocean general circulation model</w:t>
      </w:r>
      <w:r>
        <w:rPr>
          <w:vertAlign w:val="superscript"/>
        </w:rPr>
        <w:t xml:space="preserve">40</w:t>
      </w:r>
      <w:r>
        <w:t xml:space="preserve">, covering the last 5 Myrs with a 1</w:t>
      </w:r>
      <w:r>
        <w:t xml:space="preserve"> </w:t>
      </w:r>
      <m:oMath>
        <m:r>
          <m:rPr>
            <m:sty m:val="p"/>
          </m:rPr>
          <m:t>×</m:t>
        </m:r>
      </m:oMath>
      <w:r>
        <w:t xml:space="preserve"> </w:t>
      </w:r>
      <w:r>
        <w:t xml:space="preserve">1 ° spatial resolution</w:t>
      </w:r>
      <w:r>
        <w:rPr>
          <w:vertAlign w:val="superscript"/>
        </w:rPr>
        <w:t xml:space="preserve">41</w:t>
      </w:r>
      <w:r>
        <w:t xml:space="preserve">. For the scope of this work, we used two bioclimatic variables: mean annual temperature (MAT, BIO1) and mean annual precipitation (MAP, BIO12). To avoid reaching an overkillingly-high number of simulation steps, we reduced the temporal resolution of the climate simulations from a 1000-years to a 10,000-years time step.</w:t>
      </w:r>
    </w:p>
    <w:p>
      <w:pPr>
        <w:pStyle w:val="BodyText"/>
      </w:pPr>
      <w:r>
        <w:t xml:space="preserve">Additionally, in order to discriminate simulations based on the biome where the initial species originates, we reclassified monthly palaeoclimate layers for our starting time (</w:t>
      </w:r>
      <m:oMath>
        <m:r>
          <m:t>t</m:t>
        </m:r>
        <m:r>
          <m:rPr>
            <m:sty m:val="p"/>
          </m:rPr>
          <m:t>=</m:t>
        </m:r>
        <m:r>
          <m:t>5</m:t>
        </m:r>
      </m:oMath>
      <w:r>
        <w:t xml:space="preserve"> </w:t>
      </w:r>
      <w:r>
        <w:t xml:space="preserve">Myrs) according to Köppen-Geiger broad climate types</w:t>
      </w:r>
      <w:r>
        <w:rPr>
          <w:vertAlign w:val="superscript"/>
        </w:rPr>
        <w:t xml:space="preserve">42,43</w:t>
      </w:r>
      <w:r>
        <w:t xml:space="preserve">. This classification divides the world into five broad climatic regions: Polar, Cold, Temperate, Arid and Tropical, following the criteria proposed by Köppen</w:t>
      </w:r>
      <w:r>
        <w:rPr>
          <w:vertAlign w:val="superscript"/>
        </w:rPr>
        <w:t xml:space="preserve">72</w:t>
      </w:r>
      <w:r>
        <w:t xml:space="preserve">.</w:t>
      </w:r>
    </w:p>
    <w:bookmarkEnd w:id="205"/>
    <w:bookmarkStart w:id="206" w:name="simulation-model-and-modelling-schemes"/>
    <w:p>
      <w:pPr>
        <w:pStyle w:val="Heading3"/>
      </w:pPr>
      <w:r>
        <w:t xml:space="preserve">Simulation model and modelling schemes</w:t>
      </w:r>
    </w:p>
    <w:p>
      <w:pPr>
        <w:pStyle w:val="FirstParagraph"/>
      </w:pPr>
      <w:r>
        <w:t xml:space="preserve">We performed spatially-explicit simulations of biodiversity using the General Engine for Eco-Evolutionary SImulationS, gen3sis, v1.5.11</w:t>
      </w:r>
      <w:r>
        <w:rPr>
          <w:vertAlign w:val="superscript"/>
        </w:rPr>
        <w:t xml:space="preserve">33</w:t>
      </w:r>
      <w:r>
        <w:t xml:space="preserve">. Simulations, moving forward-in-time with a 10ky time step, tracked the radiation of a clade arising from a single ancestral population, either originating in North or in South America, throughout the last 5 Myr. In gen3sis, virtual species are modelled with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We elaborated a gridded landscape relying on the two time-series of the aforementioned palaeoclimatic layers. Within this landscape, populations making up virtual species inhabited a set of connected cells. At each time step, inter-cell dispersal could occur with an intensity sampled in a Weibull distribution (of shape and scale respectively termed</w:t>
      </w:r>
      <w:r>
        <w:t xml:space="preserve"> </w:t>
      </w:r>
      <m:oMath>
        <m:r>
          <m:t>ϕ</m:t>
        </m:r>
      </m:oMath>
      <w:r>
        <w:t xml:space="preserve"> </w:t>
      </w:r>
      <w:r>
        <w:t xml:space="preserve">and</w:t>
      </w:r>
      <w:r>
        <w:t xml:space="preserve"> </w:t>
      </w:r>
      <m:oMath>
        <m:r>
          <m:t>ψ</m:t>
        </m:r>
      </m:oMath>
      <w:r>
        <w:t xml:space="preserve">). If, by chance, two populations happened to be disconnected, they would accumulate divergence as long as they get disconnected, at a rate ruled by a divergence factor, here set to</w:t>
      </w:r>
      <w:r>
        <w:t xml:space="preserve"> </w:t>
      </w:r>
      <m:oMath>
        <m:r>
          <m:t>0.05</m:t>
        </m:r>
      </m:oMath>
      <w:r>
        <w:t xml:space="preserve"> </w:t>
      </w:r>
      <w:r>
        <w:t xml:space="preserve">(Table S1). Once passed a divergence threshold (</w:t>
      </w:r>
      <m:oMath>
        <m:r>
          <m:t>S</m:t>
        </m:r>
      </m:oMath>
      <w:r>
        <w:t xml:space="preserve">), speciation would occur – note that, consequently,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breadths were shared across populations and species). A population could maintain in a given cell only if the difference between its optima and local climate (both temperature and precipitation) was below its breadths.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Each simulation started with a single ancestral species. The range of this ancestral species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rPr>
          <w:vertAlign w:val="superscript"/>
        </w:rPr>
        <w:t xml:space="preserve">73</w:t>
      </w:r>
      <w:r>
        <w:t xml:space="preserve">. We then sampled a centroid at random and retrieved the corresponding cell in our landscape (Figure S4</w:t>
      </w:r>
      <w:r>
        <w:t xml:space="preserve"> </w:t>
      </w:r>
      <w:r>
        <w:rPr>
          <w:i/>
          <w:iCs/>
        </w:rPr>
        <w:t xml:space="preserve">left</w:t>
      </w:r>
      <w:r>
        <w:t xml:space="preserve"> </w:t>
      </w:r>
      <w:r>
        <w:t xml:space="preserve">and</w:t>
      </w:r>
      <w:r>
        <w:t xml:space="preserve"> </w:t>
      </w:r>
      <w:r>
        <w:rPr>
          <w:i/>
          <w:iCs/>
        </w:rPr>
        <w:t xml:space="preserve">right</w:t>
      </w:r>
      <w:r>
        <w:t xml:space="preserve">). To reduce the probability of initial crash, the climate optima parameters of the ancestor were set to those of the local environment. However, due to the geometry of the two continents, this sampling scheme resulted in ancestral species starting from South America originating on average closer to the isthmus of Panama than those from North America (Figure S1</w:t>
      </w:r>
      <w:r>
        <w:t xml:space="preserve"> </w:t>
      </w:r>
      <w:r>
        <w:rPr>
          <w:i/>
          <w:iCs/>
        </w:rPr>
        <w:t xml:space="preserve">top</w:t>
      </w:r>
      <w:r>
        <w:t xml:space="preserve">). To control for this spatial bias, we assessed the distance to the isthmus of each cell of the North American portion of our 1</w:t>
      </w:r>
      <w:r>
        <w:t xml:space="preserve"> </w:t>
      </w:r>
      <m:oMath>
        <m:r>
          <m:rPr>
            <m:sty m:val="p"/>
          </m:rPr>
          <m:t>×</m:t>
        </m:r>
      </m:oMath>
      <w:r>
        <w:t xml:space="preserve"> </w:t>
      </w:r>
      <w:r>
        <w:t xml:space="preserve">1° landscape. We then carried out other batches of simulations starting from North America, constraining the initial distance to the isthmus of the ancestral species of the simulation</w:t>
      </w:r>
      <w:r>
        <w:t xml:space="preserve"> </w:t>
      </w:r>
      <m:oMath>
        <m:r>
          <m:t>i</m:t>
        </m:r>
      </m:oMath>
      <w:r>
        <w:t xml:space="preserve"> </w:t>
      </w:r>
      <w:r>
        <w:t xml:space="preserve">to be as close as possible to same distance involving the ancestral species of the simulation</w:t>
      </w:r>
      <w:r>
        <w:t xml:space="preserve"> </w:t>
      </w:r>
      <m:oMath>
        <m:r>
          <m:t>i</m:t>
        </m:r>
      </m:oMath>
      <w:r>
        <w:t xml:space="preserve"> </w:t>
      </w:r>
      <w:r>
        <w:t xml:space="preserve">starting from South America (Figure S1</w:t>
      </w:r>
      <w:r>
        <w:t xml:space="preserve"> </w:t>
      </w:r>
      <w:r>
        <w:rPr>
          <w:i/>
          <w:iCs/>
        </w:rPr>
        <w:t xml:space="preserve">bottom</w:t>
      </w:r>
      <w:r>
        <w:t xml:space="preserve">, Figure S4</w:t>
      </w:r>
      <w:r>
        <w:t xml:space="preserve"> </w:t>
      </w:r>
      <w:r>
        <w:rPr>
          <w:i/>
          <w:iCs/>
        </w:rPr>
        <w:t xml:space="preserve">middle</w:t>
      </w:r>
      <w:r>
        <w:t xml:space="preserve">).</w:t>
      </w:r>
    </w:p>
    <w:p>
      <w:pPr>
        <w:pStyle w:val="BodyText"/>
      </w:pPr>
      <w:r>
        <w:t xml:space="preserve">500 replicates were made under each modelling scheme (detailed in the next paragraph), both with North and South America as ancestral area. Across replicates, we varied 6 key parameters: (1) the divergence threshold above which speciation occurred (</w:t>
      </w:r>
      <m:oMath>
        <m:r>
          <m:t>S</m:t>
        </m:r>
      </m:oMath>
      <w:r>
        <w:t xml:space="preserve">, range =</w:t>
      </w:r>
      <w:r>
        <w:t xml:space="preserve"> </w:t>
      </w:r>
      <m:oMath>
        <m:d>
          <m:dPr>
            <m:begChr m:val="["/>
            <m:endChr m:val="]"/>
            <m:sepChr m:val=""/>
            <m:grow/>
          </m:dPr>
          <m:e>
            <m:r>
              <m:t>1</m:t>
            </m:r>
            <m:r>
              <m:rPr>
                <m:sty m:val="p"/>
              </m:rPr>
              <m:t>,</m:t>
            </m:r>
            <m:r>
              <m:t>3</m:t>
            </m:r>
          </m:e>
        </m:d>
      </m:oMath>
      <w:r>
        <w:t xml:space="preserve">), (2) the rate of environmental niche evolution – only in models where we allowed climatic niche to evolve (</w:t>
      </w:r>
      <m:oMath>
        <m:sSub>
          <m:e>
            <m:r>
              <m:t>σ</m:t>
            </m:r>
          </m:e>
          <m:sub>
            <m:r>
              <m:t>e</m:t>
            </m:r>
          </m:sub>
        </m:sSub>
      </m:oMath>
      <w:r>
        <w:t xml:space="preserve">,</w:t>
      </w:r>
      <w:r>
        <w:t xml:space="preserve"> </w:t>
      </w:r>
      <m:oMath>
        <m:d>
          <m:dPr>
            <m:begChr m:val="["/>
            <m:endChr m:val="]"/>
            <m:sepChr m:val=""/>
            <m:grow/>
          </m:dPr>
          <m:e>
            <m:r>
              <m:t>0.005</m:t>
            </m:r>
            <m:r>
              <m:rPr>
                <m:sty m:val="p"/>
              </m:rPr>
              <m:t>,</m:t>
            </m:r>
            <m:r>
              <m:t>0.15</m:t>
            </m:r>
          </m:e>
        </m:d>
      </m:oMath>
      <w:r>
        <w:t xml:space="preserve">), (3) the shape (</w:t>
      </w:r>
      <m:oMath>
        <m:r>
          <m:t>ϕ</m:t>
        </m:r>
      </m:oMath>
      <w:r>
        <w:t xml:space="preserve">,</w:t>
      </w:r>
      <w:r>
        <w:t xml:space="preserve"> </w:t>
      </w:r>
      <m:oMath>
        <m:d>
          <m:dPr>
            <m:begChr m:val="["/>
            <m:endChr m:val="]"/>
            <m:sepChr m:val=""/>
            <m:grow/>
          </m:dPr>
          <m:e>
            <m:r>
              <m:t>0.5</m:t>
            </m:r>
            <m:r>
              <m:rPr>
                <m:sty m:val="p"/>
              </m:rPr>
              <m:t>,</m:t>
            </m:r>
            <m:r>
              <m:t>3</m:t>
            </m:r>
          </m:e>
        </m:d>
      </m:oMath>
      <w:r>
        <w:t xml:space="preserve">) and (4) scale (</w:t>
      </w:r>
      <m:oMath>
        <m:r>
          <m:t>ψ</m:t>
        </m:r>
      </m:oMath>
      <w:r>
        <w:t xml:space="preserve">,</w:t>
      </w:r>
      <w:r>
        <w:t xml:space="preserve"> </w:t>
      </w:r>
      <m:oMath>
        <m:d>
          <m:dPr>
            <m:begChr m:val="["/>
            <m:endChr m:val="]"/>
            <m:sepChr m:val=""/>
            <m:grow/>
          </m:dPr>
          <m:e>
            <m:r>
              <m:t>0.1</m:t>
            </m:r>
            <m:r>
              <m:rPr>
                <m:sty m:val="p"/>
              </m:rPr>
              <m:t>,</m:t>
            </m:r>
            <m:r>
              <m:t>1</m:t>
            </m:r>
          </m:e>
        </m:d>
      </m:oMath>
      <w:r>
        <w:t xml:space="preserve">) of the Weibull distribution acting as a dispersal kernel, (5) the strength of environmental filtering (</w:t>
      </w:r>
      <w:r>
        <w:rPr>
          <w:i/>
          <w:iCs/>
        </w:rPr>
        <w:t xml:space="preserve">i</w:t>
      </w:r>
      <w:r>
        <w:t xml:space="preserve">.</w:t>
      </w:r>
      <w:r>
        <w:rPr>
          <w:i/>
          <w:iCs/>
        </w:rPr>
        <w:t xml:space="preserve">e</w:t>
      </w:r>
      <w:r>
        <w:t xml:space="preserve">., niche breadth) for temperature (</w:t>
      </w:r>
      <m:oMath>
        <m:sSub>
          <m:e>
            <m:r>
              <m:t>ω</m:t>
            </m:r>
          </m:e>
          <m:sub>
            <m:r>
              <m:t>T</m:t>
            </m:r>
          </m:sub>
        </m:sSub>
      </m:oMath>
      <w:r>
        <w:t xml:space="preserve">,</w:t>
      </w:r>
      <w:r>
        <w:t xml:space="preserve"> </w:t>
      </w:r>
      <m:oMath>
        <m:d>
          <m:dPr>
            <m:begChr m:val="["/>
            <m:endChr m:val="]"/>
            <m:sepChr m:val=""/>
            <m:grow/>
          </m:dPr>
          <m:e>
            <m:r>
              <m:t>0.01</m:t>
            </m:r>
            <m:r>
              <m:rPr>
                <m:sty m:val="p"/>
              </m:rPr>
              <m:t>,</m:t>
            </m:r>
            <m:r>
              <m:t>0.1</m:t>
            </m:r>
          </m:e>
        </m:d>
      </m:oMath>
      <w:r>
        <w:t xml:space="preserve">) and (6) precipitation (</w:t>
      </w:r>
      <m:oMath>
        <m:sSub>
          <m:e>
            <m:r>
              <m:t>ω</m:t>
            </m:r>
          </m:e>
          <m:sub>
            <m:r>
              <m:t>P</m:t>
            </m:r>
          </m:sub>
        </m:sSub>
      </m:oMath>
      <w:r>
        <w:t xml:space="preserve">,</w:t>
      </w:r>
      <w:r>
        <w:t xml:space="preserve"> </w:t>
      </w:r>
      <m:oMath>
        <m:d>
          <m:dPr>
            <m:begChr m:val="["/>
            <m:endChr m:val="]"/>
            <m:sepChr m:val=""/>
            <m:grow/>
          </m:dPr>
          <m:e>
            <m:r>
              <m:t>0.05</m:t>
            </m:r>
            <m:r>
              <m:rPr>
                <m:sty m:val="p"/>
              </m:rPr>
              <m:t>,</m:t>
            </m:r>
            <m:r>
              <m:t>0.3</m:t>
            </m:r>
          </m:e>
        </m:d>
      </m:oMath>
      <w:r>
        <w:t xml:space="preserve">). As done by many authors, we ensured an even sampling of the resulting multidimensional parameter space via a quasirandom sampling technique relying on Sobol’ sequences [</w:t>
      </w:r>
      <w:r>
        <w:rPr>
          <w:i/>
          <w:iCs/>
        </w:rPr>
        <w:t xml:space="preserve">e</w:t>
      </w:r>
      <w:r>
        <w:t xml:space="preserve">.</w:t>
      </w:r>
      <w:r>
        <w:rPr>
          <w:i/>
          <w:iCs/>
        </w:rPr>
        <w:t xml:space="preserve">g</w:t>
      </w:r>
      <w:r>
        <w:t xml:space="preserve">.,</w:t>
      </w:r>
      <w:r>
        <w:rPr>
          <w:vertAlign w:val="superscript"/>
        </w:rPr>
        <w:t xml:space="preserve">35</w:t>
      </w:r>
      <w:r>
        <w:t xml:space="preserve">;</w:t>
      </w:r>
      <w:r>
        <w:rPr>
          <w:vertAlign w:val="superscript"/>
        </w:rPr>
        <w:t xml:space="preserve">36</w:t>
      </w:r>
      <w:r>
        <w:t xml:space="preserve">]. Parameter ranges were determined on the basis of a literature review, allowing to assess their biological relevance, and were further adjusted in order to limit the prevalence of crashing simulations. In addition to these varying parameters, we specified the value of several fixed parameters (Table S1)</w:t>
      </w:r>
    </w:p>
    <w:p>
      <w:pPr>
        <w:pStyle w:val="BodyText"/>
      </w:pPr>
      <w:r>
        <w:t xml:space="preserve">We implemented various simulation scenarios (also called modelling scehemes) where we modulated the ability of species to cope with climate change, and thus, the generalist vs. specialist nature of the simulated species. In the full-adaptationist model (</w:t>
      </w:r>
      <w:r>
        <w:rPr>
          <w:i/>
          <w:iCs/>
        </w:rPr>
        <w:t xml:space="preserve">M1</w:t>
      </w:r>
      <w:r>
        <w:t xml:space="preserve">, generalist),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w:r>
        <w:rPr>
          <w:i/>
          <w:iCs/>
        </w:rPr>
        <w:t xml:space="preserve">M2</w:t>
      </w:r>
      <w:r>
        <w:t xml:space="preserve">) or the precipitation (</w:t>
      </w:r>
      <w:r>
        <w:rPr>
          <w:i/>
          <w:iCs/>
        </w:rPr>
        <w:t xml:space="preserve">M3</w:t>
      </w:r>
      <w:r>
        <w:t xml:space="preserve">) constraint on species ecology. Besides, we also implemented a zero-adaptationist model (</w:t>
      </w:r>
      <w:r>
        <w:rPr>
          <w:i/>
          <w:iCs/>
        </w:rPr>
        <w:t xml:space="preserve">M0</w:t>
      </w:r>
      <w:r>
        <w:t xml:space="preserve">, specialist), where niche optima could not evolve and were therefore held constant (to their initial value) across all simulations.</w:t>
      </w:r>
    </w:p>
    <w:p>
      <w:pPr>
        <w:pStyle w:val="BodyText"/>
      </w:pPr>
      <w:r>
        <w:t xml:space="preserve">Last, it is important to notice that, since the palaeoclimate reconstructions that we used ignored tectonic plate motion – a reasonable assumption for a 5-Myr time frame – continental position in our landscapes was held constant across simulations. Therefore, in that framework, changes in connectivity between North and South America could only arise from the environment.</w:t>
      </w:r>
    </w:p>
    <w:bookmarkEnd w:id="206"/>
    <w:bookmarkEnd w:id="207"/>
    <w:bookmarkStart w:id="208" w:name="sec-quanti"/>
    <w:p>
      <w:pPr>
        <w:pStyle w:val="Heading2"/>
      </w:pPr>
      <w:r>
        <w:t xml:space="preserve">QUANTIFICATIONS AND STATISTICAL ANALYSIS</w:t>
      </w:r>
    </w:p>
    <w:p>
      <w:pPr>
        <w:pStyle w:val="FirstParagraph"/>
      </w:pPr>
      <w:r>
        <w:t xml:space="preserve">At every time step, for each run of each simulation, we used a function released by Skeels et al.</w:t>
      </w:r>
      <w:r>
        <w:rPr>
          <w:vertAlign w:val="superscript"/>
        </w:rPr>
        <w:t xml:space="preserve">36</w:t>
      </w:r>
      <w:r>
        <w:t xml:space="preserve"> </w:t>
      </w:r>
      <w:r>
        <w:t xml:space="preserve">to save presence-absence matrices. Given a time</w:t>
      </w:r>
      <w:r>
        <w:t xml:space="preserve"> </w:t>
      </w:r>
      <m:oMath>
        <m:r>
          <m:t>t</m:t>
        </m:r>
      </m:oMath>
      <w:r>
        <w:t xml:space="preserve">, those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lead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(hereafter called</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we recorded the biome in which the initial ancestor occurs (</w:t>
      </w:r>
      <w:r>
        <w:rPr>
          <w:i/>
          <w:iCs/>
        </w:rPr>
        <w:t xml:space="preserve">i</w:t>
      </w:r>
      <w:r>
        <w:t xml:space="preserve">.</w:t>
      </w:r>
      <w:r>
        <w:rPr>
          <w:i/>
          <w:iCs/>
        </w:rPr>
        <w:t xml:space="preserve">e</w:t>
      </w:r>
      <w:r>
        <w:t xml:space="preserve">., Tropical, Arid, Temperate, Cold, Polar) as well as the distance of this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 Last, in the case of a successful exchange, we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 </w:t>
      </w:r>
      <w:r>
        <w:t xml:space="preserve">– referred to as</w:t>
      </w:r>
      <w:r>
        <w:t xml:space="preserve"> </w:t>
      </w:r>
      <w:r>
        <w:t xml:space="preserve">“</w:t>
      </w:r>
      <w:r>
        <w:t xml:space="preserve">colonised diversity</w:t>
      </w:r>
      <w:r>
        <w:t xml:space="preserve">”</w:t>
      </w:r>
      <w:r>
        <w:t xml:space="preserve"> </w:t>
      </w:r>
      <w:r>
        <w:t xml:space="preserve">– and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w:t>
      </w:r>
    </w:p>
    <w:p>
      <w:pPr>
        <w:pStyle w:val="BodyText"/>
      </w:pPr>
      <w:r>
        <w:t xml:space="preserve">Finally, to test whether simulated exchange pulses could relate to Plio-Pleistocene climate fluctuations–as postulated in the literature–for each successful simulation, we quantified the timings of all trans-continental dispersal events. This timing assessment was achieved through a one-by-one scanning of the presence/absence matrices of all simulated species from their time of origination onwards, assessing the time at which their presence on the landmass to colonise was first recorded – provided it colonised that landmass. Then, for each ancestral continent-model combination, we matched the obtained distribution of exchange timings to the temperature curve of the ancestral continent (Figure S11). We only focused on simulated species that originated on the ancestral continent,</w:t>
      </w:r>
      <w:r>
        <w:t xml:space="preserve"> </w:t>
      </w:r>
      <w:r>
        <w:rPr>
          <w:i/>
          <w:iCs/>
        </w:rPr>
        <w:t xml:space="preserve">i</w:t>
      </w:r>
      <w:r>
        <w:t xml:space="preserve">.</w:t>
      </w:r>
      <w:r>
        <w:rPr>
          <w:i/>
          <w:iCs/>
        </w:rPr>
        <w:t xml:space="preserve">e</w:t>
      </w:r>
      <w:r>
        <w:t xml:space="preserve">., not resulting from the radiation of migrant lineages on the colonised continent.</w:t>
      </w:r>
    </w:p>
    <w:bookmarkEnd w:id="208"/>
    <w:bookmarkEnd w:id="20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80" Target="media/rId180.png" /><Relationship Type="http://schemas.openxmlformats.org/officeDocument/2006/relationships/image" Id="rId176" Target="media/rId176.png" /><Relationship Type="http://schemas.openxmlformats.org/officeDocument/2006/relationships/image" Id="rId188" Target="media/rId188.png" /><Relationship Type="http://schemas.openxmlformats.org/officeDocument/2006/relationships/hyperlink" Id="rId42" Target="http://repository.si.edu/xmlui/handle/10088/35473" TargetMode="External" /><Relationship Type="http://schemas.openxmlformats.org/officeDocument/2006/relationships/hyperlink" Id="rId172" Target="https://CRAN.R-project.org/package=h3jsr" TargetMode="External" /><Relationship Type="http://schemas.openxmlformats.org/officeDocument/2006/relationships/hyperlink" Id="rId203" Target="https://CRAN.R-project.org/package=randtoolbox" TargetMode="External" /><Relationship Type="http://schemas.openxmlformats.org/officeDocument/2006/relationships/hyperlink" Id="rId200" Target="https://CRAN.R-project.org/package=raster" TargetMode="External" /><Relationship Type="http://schemas.openxmlformats.org/officeDocument/2006/relationships/hyperlink" Id="rId202" Target="https://CRAN.R-project.org/package=spaths" TargetMode="External" /><Relationship Type="http://schemas.openxmlformats.org/officeDocument/2006/relationships/hyperlink" Id="rId201" Target="https://CRAN.R-project.org/package=terra" TargetMode="External" /><Relationship Type="http://schemas.openxmlformats.org/officeDocument/2006/relationships/hyperlink" Id="rId199" Target="https://CRAN.R-project.org/package=tidyverse" TargetMode="External" /><Relationship Type="http://schemas.openxmlformats.org/officeDocument/2006/relationships/hyperlink" Id="rId168" Target="https://cran.r-project.org/web/packages/randtoolbox/index.html" TargetMode="External" /><Relationship Type="http://schemas.openxmlformats.org/officeDocument/2006/relationships/hyperlink" Id="rId162" Target="https://cran.r-project.org/web/packages/raster/index.html" TargetMode="External" /><Relationship Type="http://schemas.openxmlformats.org/officeDocument/2006/relationships/hyperlink" Id="rId166" Target="https://cran.r-project.org/web/packages/spaths/index.html" TargetMode="External" /><Relationship Type="http://schemas.openxmlformats.org/officeDocument/2006/relationships/hyperlink" Id="rId164" Target="https://cran.r-project.org/web/packages/terra/index.html"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160" Target="https://doi.org/10.21105/joss.01686"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197" Target="https://github.com/Buffan3369/GABI-gen3sis.git" TargetMode="External" /><Relationship Type="http://schemas.openxmlformats.org/officeDocument/2006/relationships/hyperlink" Id="rId198" Target="https://github.com/project-gen3sis/R-package"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70" Target="https://www.jstor.org/stable/27803924" TargetMode="External" /><Relationship Type="http://schemas.openxmlformats.org/officeDocument/2006/relationships/hyperlink" Id="rId148" Target="https://www.jstor.org/stable/27826322" TargetMode="External" /></Relationships>
</file>

<file path=word/_rels/footnotes.xml.rels><?xml version="1.0" encoding="UTF-8"?><Relationships xmlns="http://schemas.openxmlformats.org/package/2006/relationships"><Relationship Type="http://schemas.openxmlformats.org/officeDocument/2006/relationships/hyperlink" Id="rId42" Target="http://repository.si.edu/xmlui/handle/10088/35473" TargetMode="External" /><Relationship Type="http://schemas.openxmlformats.org/officeDocument/2006/relationships/hyperlink" Id="rId172" Target="https://CRAN.R-project.org/package=h3jsr" TargetMode="External" /><Relationship Type="http://schemas.openxmlformats.org/officeDocument/2006/relationships/hyperlink" Id="rId203" Target="https://CRAN.R-project.org/package=randtoolbox" TargetMode="External" /><Relationship Type="http://schemas.openxmlformats.org/officeDocument/2006/relationships/hyperlink" Id="rId200" Target="https://CRAN.R-project.org/package=raster" TargetMode="External" /><Relationship Type="http://schemas.openxmlformats.org/officeDocument/2006/relationships/hyperlink" Id="rId202" Target="https://CRAN.R-project.org/package=spaths" TargetMode="External" /><Relationship Type="http://schemas.openxmlformats.org/officeDocument/2006/relationships/hyperlink" Id="rId201" Target="https://CRAN.R-project.org/package=terra" TargetMode="External" /><Relationship Type="http://schemas.openxmlformats.org/officeDocument/2006/relationships/hyperlink" Id="rId199" Target="https://CRAN.R-project.org/package=tidyverse" TargetMode="External" /><Relationship Type="http://schemas.openxmlformats.org/officeDocument/2006/relationships/hyperlink" Id="rId168" Target="https://cran.r-project.org/web/packages/randtoolbox/index.html" TargetMode="External" /><Relationship Type="http://schemas.openxmlformats.org/officeDocument/2006/relationships/hyperlink" Id="rId162" Target="https://cran.r-project.org/web/packages/raster/index.html" TargetMode="External" /><Relationship Type="http://schemas.openxmlformats.org/officeDocument/2006/relationships/hyperlink" Id="rId166" Target="https://cran.r-project.org/web/packages/spaths/index.html" TargetMode="External" /><Relationship Type="http://schemas.openxmlformats.org/officeDocument/2006/relationships/hyperlink" Id="rId164" Target="https://cran.r-project.org/web/packages/terra/index.html"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160" Target="https://doi.org/10.21105/joss.01686"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197" Target="https://github.com/Buffan3369/GABI-gen3sis.git" TargetMode="External" /><Relationship Type="http://schemas.openxmlformats.org/officeDocument/2006/relationships/hyperlink" Id="rId198" Target="https://github.com/project-gen3sis/R-package"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70" Target="https://www.jstor.org/stable/27803924" TargetMode="External" /><Relationship Type="http://schemas.openxmlformats.org/officeDocument/2006/relationships/hyperlink" Id="rId148" Target="https://www.jstor.org/stable/27826322"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alone fails to explain the asymmetry of the Great American Biotic Interchange</dc:title>
  <dc:creator>Lucas Buffan¹*, Fabien L. Condamine¹, Sara Varela²</dc:creator>
  <cp:keywords/>
  <dcterms:created xsi:type="dcterms:W3CDTF">2026-01-27T10:36:29Z</dcterms:created>
  <dcterms:modified xsi:type="dcterms:W3CDTF">2026-01-27T10:36:29Z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