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136.png" ContentType="image/png"/>
  <Override PartName="/word/media/rId140.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26" w:name="results"/>
    <w:p>
      <w:pPr>
        <w:pStyle w:val="Heading1"/>
      </w:pPr>
      <w:r>
        <w:t xml:space="preserve">Results</w:t>
      </w:r>
    </w:p>
    <w:bookmarkStart w:id="23" w:name="Xed4bd03a92b5751ca77f2e414fb8e8b12710b4e"/>
    <w:p>
      <w:pPr>
        <w:pStyle w:val="Heading2"/>
      </w:pPr>
      <w:r>
        <w:t xml:space="preserve">Climate makes it easier to reach North America from South America than the other way around</w:t>
      </w:r>
    </w:p>
    <w:p>
      <w:pPr>
        <w:pStyle w:val="FirstParagraph"/>
      </w:pPr>
      <w:r>
        <w:t xml:space="preserve">The contribution of palaeoclimate to the biogeographic asymmetry of the Great American Biotic Interchange (GABI) was tested in a simulation-based framework relying on gen3sis v1.5.11</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 by at least a factor 2 –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climatic niches were able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Also, the characterised imbalance was maintained when standardising distances between the location where ancestral species originated and the isthmus of Panama across simulations starting from North and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S4). This spatial standardisation was meant to control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landmass-scenario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standardisation procedure of initial distances to the isthmus.</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holds for all but the</w:t>
      </w:r>
      <w:r>
        <w:t xml:space="preserve"> </w:t>
      </w:r>
      <m:oMath>
        <m:r>
          <m:t>M</m:t>
        </m:r>
        <m:r>
          <m:t>3</m:t>
        </m:r>
      </m:oMath>
      <w:r>
        <w:t xml:space="preserve"> </w:t>
      </w:r>
      <w:r>
        <w:t xml:space="preserve">model – relaxing the precipitation constraint on virtual species’ niche –, the latter suggesting an opposite trend.</w:t>
      </w:r>
    </w:p>
    <w:p>
      <w:pPr>
        <w:pStyle w:val="BodyText"/>
      </w:pPr>
      <w:r>
        <w:t xml:space="preserve">Besides, contrary to the proportion of colonised area, diversity –</w:t>
      </w:r>
      <w:r>
        <w:t xml:space="preserve"> </w:t>
      </w:r>
      <w:r>
        <w:rPr>
          <w:i/>
          <w:iCs/>
        </w:rPr>
        <w:t xml:space="preserve">i</w:t>
      </w:r>
      <w:r>
        <w:t xml:space="preserve">.</w:t>
      </w:r>
      <w:r>
        <w:rPr>
          <w:i/>
          <w:iCs/>
        </w:rPr>
        <w:t xml:space="preserve">e</w:t>
      </w:r>
      <w:r>
        <w:t xml:space="preserve">., number of taxa – within the colonised area does not seem to vary a lot across our four models (</w:t>
      </w:r>
      <w:hyperlink w:anchor="fig-metrics">
        <w:r>
          <w:rPr>
            <w:rStyle w:val="Hyperlink"/>
          </w:rPr>
          <w:t xml:space="preserve">Figure 3</w:t>
        </w:r>
      </w:hyperlink>
      <w:r>
        <w:t xml:space="preserve"> </w:t>
      </w:r>
      <w:r>
        <w:t xml:space="preserve">B). However, it does vary between initial continents, with simulations generated under full adaptationist models (</w:t>
      </w:r>
      <m:oMath>
        <m:r>
          <m:t>M</m:t>
        </m:r>
        <m:r>
          <m:t>1</m:t>
        </m:r>
        <m:r>
          <m:rPr>
            <m:sty m:val="p"/>
          </m:rPr>
          <m:t>−</m:t>
        </m:r>
        <m:r>
          <m:t>3</m:t>
        </m:r>
      </m:oMath>
      <w:r>
        <w:t xml:space="preserve">) exhibiting higher diversities on the foreign continent when starting from South America than from North America. No difference is retrieved from simulations generated under</w:t>
      </w:r>
      <w:r>
        <w:t xml:space="preserve"> </w:t>
      </w:r>
      <m:oMath>
        <m:r>
          <m:t>M</m:t>
        </m:r>
        <m:r>
          <m:t>0</m:t>
        </m:r>
      </m:oMath>
    </w:p>
    <w:p>
      <w:pPr>
        <w:pStyle w:val="BodyText"/>
      </w:pPr>
      <w:r>
        <w:t xml:space="preserve">In addition, successful simulations starting in North America generally started from an ancestor located closer to the isthmus than those starting in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S4-5).</w:t>
      </w:r>
    </w:p>
    <w:p>
      <w:pPr>
        <w:pStyle w:val="BodyText"/>
      </w:pPr>
      <w:r>
        <w:t xml:space="preserve">For each of the three metrics detailed here, the exact same trends were obtained after standardising initial distances to the isthmus (Figure S5).</w:t>
      </w:r>
    </w:p>
    <w:bookmarkEnd w:id="24"/>
    <w:bookmarkStart w:id="25" w:name="biome"/>
    <w:p>
      <w:pPr>
        <w:pStyle w:val="Heading2"/>
      </w:pPr>
      <w:r>
        <w:t xml:space="preserve">Biome</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Initial biome distribution –</w:t>
      </w:r>
      <w:r>
        <w:t xml:space="preserve"> </w:t>
      </w:r>
      <w:r>
        <w:rPr>
          <w:i/>
          <w:iCs/>
        </w:rPr>
        <w:t xml:space="preserve">i</w:t>
      </w:r>
      <w:r>
        <w:t xml:space="preserve">.</w:t>
      </w:r>
      <w:r>
        <w:rPr>
          <w:i/>
          <w:iCs/>
        </w:rPr>
        <w:t xml:space="preserve">e</w:t>
      </w:r>
      <w:r>
        <w:t xml:space="preserve">., the number of simulations starting within each biome – were very uneven across biome classes and continents. Indeed, the majority of North American ancestral species originated in the cold biome, whereas the tropical biome recorded the largest proportion of ancestral species origination in South America (Figure S6). Besides,</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not recovered, with tropical meeting the gighest success</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41</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22,42</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43,44</w:t>
      </w:r>
      <w:r>
        <w:t xml:space="preserve">. Although over-water dispersal has long been regarded as the prevailing mechanism</w:t>
      </w:r>
      <w:r>
        <w:rPr>
          <w:vertAlign w:val="superscript"/>
        </w:rPr>
        <w:t xml:space="preserve">43</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48</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1" w:name="references"/>
    <w:p>
      <w:pPr>
        <w:pStyle w:val="Heading1"/>
      </w:pPr>
      <w:r>
        <w:t xml:space="preserve">References</w:t>
      </w:r>
    </w:p>
    <w:bookmarkStart w:id="130"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motta2025"/>
    <w:p>
      <w:pPr>
        <w:pStyle w:val="Bibliography"/>
      </w:pPr>
      <w:r>
        <w:t xml:space="preserve">41.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2">
        <w:r>
          <w:rPr>
            <w:rStyle w:val="Hyperlink"/>
          </w:rPr>
          <w:t xml:space="preserve">https://doi.org/10.1016/j.palaeo.2025.112905</w:t>
        </w:r>
      </w:hyperlink>
      <w:r>
        <w:t xml:space="preserve">.</w:t>
      </w:r>
    </w:p>
    <w:bookmarkEnd w:id="113"/>
    <w:bookmarkStart w:id="115"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4">
        <w:r>
          <w:rPr>
            <w:rStyle w:val="Hyperlink"/>
          </w:rPr>
          <w:t xml:space="preserve">https://doi.org/10.1016/j.gloplacha.2022.103758</w:t>
        </w:r>
      </w:hyperlink>
      <w:r>
        <w:t xml:space="preserve">.</w:t>
      </w:r>
    </w:p>
    <w:bookmarkEnd w:id="115"/>
    <w:bookmarkStart w:id="117" w:name="ref-morgan1993"/>
    <w:p>
      <w:pPr>
        <w:pStyle w:val="Bibliography"/>
      </w:pPr>
      <w:r>
        <w:t xml:space="preserve">43.</w:t>
      </w:r>
      <w:r>
        <w:t xml:space="preserve"> </w:t>
      </w:r>
      <w:r>
        <w:t xml:space="preserve">	</w:t>
      </w:r>
      <w:r>
        <w:t xml:space="preserve">Morgan, G.S. (1993). Quaternary land vertebrates of jamaica. In, R. M. Wright and E. Robinson, eds. (Geological Society of America), p. 0.</w:t>
      </w:r>
      <w:r>
        <w:t xml:space="preserve"> </w:t>
      </w:r>
      <w:hyperlink r:id="rId116">
        <w:r>
          <w:rPr>
            <w:rStyle w:val="Hyperlink"/>
          </w:rPr>
          <w:t xml:space="preserve">https://doi.org/10.1130/MEM182-p417</w:t>
        </w:r>
      </w:hyperlink>
      <w:r>
        <w:t xml:space="preserve">.</w:t>
      </w:r>
    </w:p>
    <w:bookmarkEnd w:id="117"/>
    <w:bookmarkStart w:id="119" w:name="ref-ali2021b"/>
    <w:p>
      <w:pPr>
        <w:pStyle w:val="Bibliography"/>
      </w:pPr>
      <w:r>
        <w:t xml:space="preserve">44.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18">
        <w:r>
          <w:rPr>
            <w:rStyle w:val="Hyperlink"/>
          </w:rPr>
          <w:t xml:space="preserve">https://doi.org/10.1111/jbi.14234</w:t>
        </w:r>
      </w:hyperlink>
      <w:r>
        <w:t xml:space="preserve">.</w:t>
      </w:r>
    </w:p>
    <w:bookmarkEnd w:id="119"/>
    <w:bookmarkStart w:id="121" w:name="ref-cornée2021"/>
    <w:p>
      <w:pPr>
        <w:pStyle w:val="Bibliography"/>
      </w:pPr>
      <w:r>
        <w:t xml:space="preserve">45.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0">
        <w:r>
          <w:rPr>
            <w:rStyle w:val="Hyperlink"/>
          </w:rPr>
          <w:t xml:space="preserve">https://doi.org/10.1016/j.earscirev.2021.103617</w:t>
        </w:r>
      </w:hyperlink>
      <w:r>
        <w:t xml:space="preserve">.</w:t>
      </w:r>
    </w:p>
    <w:bookmarkEnd w:id="121"/>
    <w:bookmarkStart w:id="123" w:name="ref-warren2015"/>
    <w:p>
      <w:pPr>
        <w:pStyle w:val="Bibliography"/>
      </w:pPr>
      <w:r>
        <w:t xml:space="preserve">46.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2">
        <w:r>
          <w:rPr>
            <w:rStyle w:val="Hyperlink"/>
          </w:rPr>
          <w:t xml:space="preserve">https://doi.org/10.1111/ele.12398</w:t>
        </w:r>
      </w:hyperlink>
      <w:r>
        <w:t xml:space="preserve">.</w:t>
      </w:r>
    </w:p>
    <w:bookmarkEnd w:id="123"/>
    <w:bookmarkStart w:id="125" w:name="ref-couvreur2011"/>
    <w:p>
      <w:pPr>
        <w:pStyle w:val="Bibliography"/>
      </w:pPr>
      <w:r>
        <w:t xml:space="preserve">47.</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4">
        <w:r>
          <w:rPr>
            <w:rStyle w:val="Hyperlink"/>
          </w:rPr>
          <w:t xml:space="preserve">https://doi.org/10.1111/j.1365-2699.2010.02434.x</w:t>
        </w:r>
      </w:hyperlink>
      <w:r>
        <w:t xml:space="preserve">.</w:t>
      </w:r>
    </w:p>
    <w:bookmarkEnd w:id="125"/>
    <w:bookmarkStart w:id="127" w:name="ref-upchurch2024"/>
    <w:p>
      <w:pPr>
        <w:pStyle w:val="Bibliography"/>
      </w:pPr>
      <w:r>
        <w:t xml:space="preserve">48.</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6">
        <w:r>
          <w:rPr>
            <w:rStyle w:val="Hyperlink"/>
          </w:rPr>
          <w:t xml:space="preserve">https://doi.org/10.1098/rsbl.2024.0429</w:t>
        </w:r>
      </w:hyperlink>
      <w:r>
        <w:t xml:space="preserve">.</w:t>
      </w:r>
    </w:p>
    <w:bookmarkEnd w:id="127"/>
    <w:bookmarkStart w:id="129" w:name="ref-gearty2023"/>
    <w:p>
      <w:pPr>
        <w:pStyle w:val="Bibliography"/>
      </w:pPr>
      <w:r>
        <w:t xml:space="preserve">49.</w:t>
      </w:r>
      <w:r>
        <w:t xml:space="preserve"> </w:t>
      </w:r>
      <w:r>
        <w:t xml:space="preserve">	</w:t>
      </w:r>
      <w:r>
        <w:t xml:space="preserve">Gearty, W. (2023).</w:t>
      </w:r>
      <w:r>
        <w:t xml:space="preserve"> </w:t>
      </w:r>
      <w:hyperlink r:id="rId128">
        <w:r>
          <w:rPr>
            <w:rStyle w:val="Hyperlink"/>
          </w:rPr>
          <w:t xml:space="preserve">Deeptime: Plotting tools for anyone working in deep time. R package version 1.0.1.</w:t>
        </w:r>
      </w:hyperlink>
    </w:p>
    <w:bookmarkEnd w:id="129"/>
    <w:bookmarkEnd w:id="130"/>
    <w:bookmarkEnd w:id="131"/>
    <w:bookmarkStart w:id="14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5" w:name="fig-framework"/>
          <w:p>
            <w:pPr>
              <w:pStyle w:val="Compact"/>
              <w:jc w:val="center"/>
            </w:pPr>
            <w:r>
              <w:drawing>
                <wp:inline>
                  <wp:extent cx="3959999" cy="3959999"/>
                  <wp:effectExtent b="0" l="0" r="0" t="0"/>
                  <wp:docPr descr="" title="" id="133" name="Picture"/>
                  <a:graphic>
                    <a:graphicData uri="http://schemas.openxmlformats.org/drawingml/2006/picture">
                      <pic:pic>
                        <pic:nvPicPr>
                          <pic:cNvPr descr="../Figures/MS/Main/Figure1/Figure1.png" id="134" name="Picture"/>
                          <pic:cNvPicPr>
                            <a:picLocks noChangeArrowheads="1" noChangeAspect="1"/>
                          </pic:cNvPicPr>
                        </pic:nvPicPr>
                        <pic:blipFill>
                          <a:blip r:embed="rId13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w:t>
            </w:r>
            <w:r>
              <w:t xml:space="preserve"> </w:t>
            </w:r>
            <w:r>
              <w:t xml:space="preserve">is indicated by the light purple vertical bands. Geological timescale was depicted using the deeptime R package</w:t>
            </w:r>
            <w:r>
              <w:rPr>
                <w:vertAlign w:val="superscript"/>
              </w:rPr>
              <w:t xml:space="preserve">49</w:t>
            </w:r>
            <w:r>
              <w:t xml:space="preserve">. The empirically-derived asymmetry of the transcontinental land mammal exchange is represented by the thickness of the two arrows, the thicker the arrow, the more intense the exchange.</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propsuccess"/>
          <w:p>
            <w:pPr>
              <w:pStyle w:val="Compact"/>
              <w:jc w:val="center"/>
            </w:pPr>
            <w:r>
              <w:drawing>
                <wp:inline>
                  <wp:extent cx="3599999" cy="3779999"/>
                  <wp:effectExtent b="0" l="0" r="0" t="0"/>
                  <wp:docPr descr="" title="" id="137" name="Picture"/>
                  <a:graphic>
                    <a:graphicData uri="http://schemas.openxmlformats.org/drawingml/2006/picture">
                      <pic:pic>
                        <pic:nvPicPr>
                          <pic:cNvPr descr="../Figures/MS/Main/Figure2/Figure2.png" id="138" name="Picture"/>
                          <pic:cNvPicPr>
                            <a:picLocks noChangeArrowheads="1" noChangeAspect="1"/>
                          </pic:cNvPicPr>
                        </pic:nvPicPr>
                        <pic:blipFill>
                          <a:blip r:embed="rId136"/>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From left to right and top to bottom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computed out of the successful simulations (</w:t>
            </w:r>
            <w:r>
              <w:rPr>
                <w:i/>
                <w:iCs/>
              </w:rPr>
              <w:t xml:space="preserve">i</w:t>
            </w:r>
            <w:r>
              <w:t xml:space="preserve">.</w:t>
            </w:r>
            <w:r>
              <w:rPr>
                <w:i/>
                <w:iCs/>
              </w:rPr>
              <w:t xml:space="preserve">e</w:t>
            </w:r>
            <w:r>
              <w:t xml:space="preserve">., leading to a successful transcontinental faunal exchange) and error bars show their associated 95% confidence interval derived from a binomial.</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metrics"/>
          <w:p>
            <w:pPr>
              <w:pStyle w:val="Compact"/>
              <w:jc w:val="left"/>
            </w:pPr>
            <w:r>
              <w:drawing>
                <wp:inline>
                  <wp:extent cx="5039999" cy="4319999"/>
                  <wp:effectExtent b="0" l="0" r="0" t="0"/>
                  <wp:docPr descr="" title="" id="141" name="Picture"/>
                  <a:graphic>
                    <a:graphicData uri="http://schemas.openxmlformats.org/drawingml/2006/picture">
                      <pic:pic>
                        <pic:nvPicPr>
                          <pic:cNvPr descr="../Figures/MS/Main/Figure3/Figure3.png" id="142" name="Picture"/>
                          <pic:cNvPicPr>
                            <a:picLocks noChangeArrowheads="1" noChangeAspect="1"/>
                          </pic:cNvPicPr>
                        </pic:nvPicPr>
                        <pic:blipFill>
                          <a:blip r:embed="rId14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biome"/>
          <w:p>
            <w:pPr>
              <w:pStyle w:val="Compact"/>
              <w:jc w:val="left"/>
            </w:pPr>
            <w:r>
              <w:drawing>
                <wp:inline>
                  <wp:extent cx="5039999" cy="3239999"/>
                  <wp:effectExtent b="0" l="0" r="0" t="0"/>
                  <wp:docPr descr="" title="" id="145" name="Picture"/>
                  <a:graphic>
                    <a:graphicData uri="http://schemas.openxmlformats.org/drawingml/2006/picture">
                      <pic:pic>
                        <pic:nvPicPr>
                          <pic:cNvPr descr="../Figures/MS/Main/Figure4/Figure-biome.png" id="146" name="Picture"/>
                          <pic:cNvPicPr>
                            <a:picLocks noChangeArrowheads="1" noChangeAspect="1"/>
                          </pic:cNvPicPr>
                        </pic:nvPicPr>
                        <pic:blipFill>
                          <a:blip r:embed="rId144"/>
                          <a:stretch>
                            <a:fillRect/>
                          </a:stretch>
                        </pic:blipFill>
                        <pic:spPr bwMode="auto">
                          <a:xfrm>
                            <a:off x="0" y="0"/>
                            <a:ext cx="5039999" cy="323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Proportion of successful simulations based on the biome where ancestral species originates, for each scenario-ancestral area combination.</w:t>
            </w:r>
          </w:p>
          <w:bookmarkEnd w:id="147"/>
        </w:tc>
      </w:tr>
    </w:tbl>
    <w:bookmarkEnd w:id="1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2025-10-14T09:59:20Z</dcterms:created>
  <dcterms:modified xsi:type="dcterms:W3CDTF">2025-10-14T09:59:20Z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