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136.png" ContentType="image/png"/>
  <Override PartName="/word/media/rId140.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b7793dbd9294a7fcd62dd3820231d33b8e3fd03"/>
    <w:p>
      <w:pPr>
        <w:pStyle w:val="Heading2"/>
      </w:pPr>
      <w:r>
        <w:t xml:space="preserve">Climate would have made it easier to reach North America from South America than the other way around</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at least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climatic niches were able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Also, the characterised imbalance was maintained when standardising distances between the location where ancestral species originated and the isthmus of Panama across simulations starting from North and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landmass-scenario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standardisation procedure of initial distances to the isthmus.</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holds for all but the</w:t>
      </w:r>
      <w:r>
        <w:t xml:space="preserve"> </w:t>
      </w:r>
      <m:oMath>
        <m:r>
          <m:t>M</m:t>
        </m:r>
        <m:r>
          <m:t>3</m:t>
        </m:r>
      </m:oMath>
      <w:r>
        <w:t xml:space="preserve"> </w:t>
      </w:r>
      <w:r>
        <w:t xml:space="preserve">model – relaxing the precipitation constraint on virtual species’ niche –, the latter suggesting an opposite trend.</w:t>
      </w:r>
    </w:p>
    <w:p>
      <w:pPr>
        <w:pStyle w:val="BodyText"/>
      </w:pPr>
      <w:r>
        <w:t xml:space="preserve">Besides, contrary to the proportion of colonised area, for a given ancestral continent, colonised</w:t>
      </w:r>
      <w:r>
        <w:t xml:space="preserve"> </w:t>
      </w:r>
      <m:oMath>
        <m:r>
          <m:t>α</m:t>
        </m:r>
      </m:oMath>
      <w:r>
        <w:t xml:space="preserve">-diversities –</w:t>
      </w:r>
      <w:r>
        <w:t xml:space="preserve"> </w:t>
      </w:r>
      <w:r>
        <w:rPr>
          <w:i/>
          <w:iCs/>
        </w:rPr>
        <w:t xml:space="preserve">i</w:t>
      </w:r>
      <w:r>
        <w:t xml:space="preserve">.</w:t>
      </w:r>
      <w:r>
        <w:rPr>
          <w:i/>
          <w:iCs/>
        </w:rPr>
        <w:t xml:space="preserve">e</w:t>
      </w:r>
      <w:r>
        <w:t xml:space="preserve">., number of taxa within the colonised continent – do not exhibit huge variations across our four models (</w:t>
      </w:r>
      <w:hyperlink w:anchor="fig-metrics">
        <w:r>
          <w:rPr>
            <w:rStyle w:val="Hyperlink"/>
          </w:rPr>
          <w:t xml:space="preserve">Figure 3</w:t>
        </w:r>
      </w:hyperlink>
      <w:r>
        <w:t xml:space="preserve"> </w:t>
      </w:r>
      <w:r>
        <w:t xml:space="preserve">B). However, given a model, we do retrieve changes in colonised</w:t>
      </w:r>
      <w:r>
        <w:t xml:space="preserve"> </w:t>
      </w:r>
      <m:oMath>
        <m:r>
          <m:t>α</m:t>
        </m:r>
      </m:oMath>
      <w:r>
        <w:t xml:space="preserve">-diversities across ancestral continents, with higher average values achieved for simulation starting from South America than from North America – although no difference is retrieved from simulations generated under</w:t>
      </w:r>
      <w:r>
        <w:t xml:space="preserve"> </w:t>
      </w:r>
      <m:oMath>
        <m:r>
          <m:t>M</m:t>
        </m:r>
        <m:r>
          <m:t>0</m:t>
        </m:r>
      </m:oMath>
      <w:r>
        <w:t xml:space="preserve">.</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SX). Interestingly enough, the results obtained for this metric, just like those obtained for the other two, hold for simulations generated after standardising the initial distances to the isthmus of North American virtual species with those starting from South America (Figure S5).</w:t>
      </w:r>
    </w:p>
    <w:bookmarkEnd w:id="24"/>
    <w:bookmarkStart w:id="25"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number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(Figure S6). Besides,</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1/Figure1.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2/Figure2.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From left to right and top to bottom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computed out of the successful simulations (</w:t>
            </w:r>
            <w:r>
              <w:rPr>
                <w:i/>
                <w:iCs/>
              </w:rPr>
              <w:t xml:space="preserve">i</w:t>
            </w:r>
            <w:r>
              <w:t xml:space="preserve">.</w:t>
            </w:r>
            <w:r>
              <w:rPr>
                <w:i/>
                <w:iCs/>
              </w:rPr>
              <w:t xml:space="preserve">e</w:t>
            </w:r>
            <w:r>
              <w:t xml:space="preserve">., leading to a successful transcontinental faunal exchange) and error bars show their associated 95% confidence interval derived from a binomial.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3/Figure3.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left"/>
            </w:pPr>
            <w:r>
              <w:drawing>
                <wp:inline>
                  <wp:extent cx="5039999" cy="3239999"/>
                  <wp:effectExtent b="0" l="0" r="0" t="0"/>
                  <wp:docPr descr="" title="" id="145" name="Picture"/>
                  <a:graphic>
                    <a:graphicData uri="http://schemas.openxmlformats.org/drawingml/2006/picture">
                      <pic:pic>
                        <pic:nvPicPr>
                          <pic:cNvPr descr="../Figures/MS/Main/Figure4/Figure-biome.png" id="146" name="Picture"/>
                          <pic:cNvPicPr>
                            <a:picLocks noChangeArrowheads="1" noChangeAspect="1"/>
                          </pic:cNvPicPr>
                        </pic:nvPicPr>
                        <pic:blipFill>
                          <a:blip r:embed="rId144"/>
                          <a:stretch>
                            <a:fillRect/>
                          </a:stretch>
                        </pic:blipFill>
                        <pic:spPr bwMode="auto">
                          <a:xfrm>
                            <a:off x="0" y="0"/>
                            <a:ext cx="5039999" cy="323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2025-10-14T16:40:58Z</dcterms:created>
  <dcterms:modified xsi:type="dcterms:W3CDTF">2025-10-14T16:40:58Z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