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65.png" ContentType="image/png"/>
  <Override PartName="/word/media/rId153.png" ContentType="image/png"/>
  <Override PartName="/word/media/rId1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late Cenozoic closure of the isthmus of Panama. Among land mammals, this faunal exchange was asymmetric : a greater number of North American lineages established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contrary to what could be expected based on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closure of the isthmus of Panama</w:t>
      </w:r>
      <w:r>
        <w:rPr>
          <w:vertAlign w:val="superscript"/>
        </w:rPr>
        <w:t xml:space="preserve">1</w:t>
      </w:r>
      <w:r>
        <w:t xml:space="preserve">. Though the exact timing of the appearance of such a landbridge is not entirely resolved</w:t>
      </w:r>
      <w:r>
        <w:rPr>
          <w:vertAlign w:val="superscript"/>
        </w:rPr>
        <w:t xml:space="preserve">2–5</w:t>
      </w:r>
      <w:r>
        <w:t xml:space="preserve">, palaeontological evidence and molecular phylogenies both agree with a late Miocene onset of land mammal exchange between the Americas</w:t>
      </w:r>
      <w:r>
        <w:rPr>
          <w:vertAlign w:val="superscript"/>
        </w:rPr>
        <w:t xml:space="preserve">6–8</w:t>
      </w:r>
      <w:r>
        <w:t xml:space="preserve">, with effective pulses of mammal crossings occurring during the Plio-Pleistocene</w:t>
      </w:r>
      <w:r>
        <w:rPr>
          <w:vertAlign w:val="superscript"/>
        </w:rPr>
        <w:t xml:space="preserve">1,9–11</w:t>
      </w:r>
      <w:r>
        <w:t xml:space="preserv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1,9,12</w:t>
      </w:r>
      <w:r>
        <w:t xml:space="preserve">. However, during the Quaternary, the ability of migrant lineages to maintain and diversify in the foreign continent became greater in South America</w:t>
      </w:r>
      <w:r>
        <w:rPr>
          <w:vertAlign w:val="superscript"/>
        </w:rPr>
        <w:t xml:space="preserve">9</w:t>
      </w:r>
      <w:r>
        <w:t xml:space="preserve">, and many native South American mammal lineages concomitantly declined, some of which even going totally extinct</w:t>
      </w:r>
      <w:r>
        <w:rPr>
          <w:vertAlign w:val="superscript"/>
        </w:rPr>
        <w:t xml:space="preserve">13–17</w:t>
      </w:r>
      <w:r>
        <w:t xml:space="preserve">. Hence, this intercontinental faunal exchange was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12,18,19</w:t>
      </w:r>
      <w:r>
        <w:t xml:space="preserve"> </w:t>
      </w:r>
      <w:r>
        <w:t xml:space="preserve">or predation of predator-naive preys</w:t>
      </w:r>
      <w:r>
        <w:rPr>
          <w:vertAlign w:val="superscript"/>
        </w:rPr>
        <w:t xml:space="preserve">12,20–22</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23,24–26</w:t>
      </w:r>
      <w:r>
        <w:t xml:space="preserve">. On the other hand, several studies also proposed an implication of abiotic factors –</w:t>
      </w:r>
      <w:r>
        <w:t xml:space="preserve"> </w:t>
      </w:r>
      <w:r>
        <w:rPr>
          <w:i/>
          <w:iCs/>
        </w:rPr>
        <w:t xml:space="preserve">i</w:t>
      </w:r>
      <w:r>
        <w:t xml:space="preserve">.</w:t>
      </w:r>
      <w:r>
        <w:rPr>
          <w:i/>
          <w:iCs/>
        </w:rPr>
        <w:t xml:space="preserve">e</w:t>
      </w:r>
      <w:r>
        <w:t xml:space="preserve">., related to species’ physical environment, such as climate</w:t>
      </w:r>
      <w:r>
        <w:t xml:space="preserve"> </w:t>
      </w:r>
      <m:oMath>
        <m:sSup>
          <m:e>
            <m:r>
              <m:t>​</m:t>
            </m:r>
          </m:e>
          <m:sup>
            <m:r>
              <m:t>e</m:t>
            </m:r>
            <m:r>
              <m:rPr>
                <m:sty m:val="p"/>
              </m:rPr>
              <m:t>.</m:t>
            </m:r>
            <m:r>
              <m:t>g</m:t>
            </m:r>
            <m:r>
              <m:rPr>
                <m:sty m:val="p"/>
              </m:rPr>
              <m:t>.</m:t>
            </m:r>
            <m:r>
              <m:rPr>
                <m:sty m:val="p"/>
              </m:rPr>
              <m:t>,</m:t>
            </m:r>
          </m:sup>
        </m:sSup>
      </m:oMath>
      <w:r>
        <w:rPr>
          <w:vertAlign w:val="superscript"/>
        </w:rPr>
        <w:t xml:space="preserve">11,13,20,23,27,28</w:t>
      </w:r>
      <w:r>
        <w:t xml:space="preserve">. The prevailing view, proposed by Webb.</w:t>
      </w:r>
      <w:r>
        <w:rPr>
          <w:vertAlign w:val="superscript"/>
        </w:rPr>
        <w:t xml:space="preserve">13</w:t>
      </w:r>
      <w:r>
        <w:t xml:space="preserve"> </w:t>
      </w:r>
      <w:r>
        <w:t xml:space="preserve">and Vrba.</w:t>
      </w:r>
      <w:r>
        <w:rPr>
          <w:vertAlign w:val="superscript"/>
        </w:rPr>
        <w:t xml:space="preserve">23</w:t>
      </w:r>
      <w:r>
        <w:t xml:space="preserve">, consists of relating pulses of transcontinental mammal exchanges with Pleistocene climatic oscillations, promoting the transition from tropical rainforest to savannah-like environments in Central America as climate cooled down. This climate-driven landscape opening would have in turn facilitated the dispersal of non-tropical taxa, fitter to these environments, in line with the migrant fossil record across both sides of the isthmus. These exchange pulses would have been periodically interrupted as climate warmed up, promoting the reverse transition to rainforest in the isthmian region (tropical</w:t>
      </w:r>
      <w:r>
        <w:t xml:space="preserve"> </w:t>
      </w:r>
      <w:r>
        <w:t xml:space="preserve">‘</w:t>
      </w:r>
      <w:r>
        <w:t xml:space="preserve">holding pen</w:t>
      </w:r>
      <w:r>
        <w:t xml:space="preserve">’</w:t>
      </w:r>
      <w:r>
        <w:t xml:space="preserve"> </w:t>
      </w:r>
      <w:r>
        <w:t xml:space="preserve">hypothesis)</w:t>
      </w:r>
      <w:r>
        <w:rPr>
          <w:vertAlign w:val="superscript"/>
        </w:rPr>
        <w:t xml:space="preserve">9</w:t>
      </w:r>
      <w:r>
        <w:t xml:space="preserve">. However, so far, studies supporting this view have only been descriptive, tackling the issue from a pattern-oriented perspective driven by fossil data but, to our knowledge, never from a mechanistic process-oriented perspective.</w:t>
      </w:r>
    </w:p>
    <w:p>
      <w:pPr>
        <w:pStyle w:val="BodyText"/>
      </w:pPr>
      <w:r>
        <w:t xml:space="preserve">Recent improvements in process-explicit modelling have marked a turning point in the study of biodiversity</w:t>
      </w:r>
      <w:r>
        <w:rPr>
          <w:vertAlign w:val="superscript"/>
        </w:rPr>
        <w:t xml:space="preserve">29</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30</w:t>
      </w:r>
      <w:r>
        <w:t xml:space="preserve">. Recently, this family of models has provided unprecedented insights into the underlying forces behind widely-recognised biodiversity patterns, such as the latitudinal biodiversity gradient</w:t>
      </w:r>
      <w:r>
        <w:rPr>
          <w:vertAlign w:val="superscript"/>
        </w:rPr>
        <w:t xml:space="preserve">31,32</w:t>
      </w:r>
      <w:r>
        <w:t xml:space="preserve">, the diversity desequilibrium between tropical rainforests across the globe</w:t>
      </w:r>
      <w:r>
        <w:rPr>
          <w:vertAlign w:val="superscript"/>
        </w:rPr>
        <w:t xml:space="preserve">33</w:t>
      </w:r>
      <w:r>
        <w:t xml:space="preserve">, the build-up of the unique biodiversity along the Wallace line</w:t>
      </w:r>
      <w:r>
        <w:rPr>
          <w:vertAlign w:val="superscript"/>
        </w:rPr>
        <w:t xml:space="preserve">34</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35,36,37</w:t>
      </w:r>
      <w:r>
        <w:t xml:space="preserve">.</w:t>
      </w:r>
    </w:p>
    <w:p>
      <w:pPr>
        <w:pStyle w:val="BodyText"/>
      </w:pPr>
      <w:r>
        <w:t xml:space="preserve">Here, we explore the implication of palaeoclimate change in the asymmetry of the GABI using a spatially-explicit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foreign continent and (iii) successful interchange would be more frequently achieved among biome generalists, temperate and arid specialists rather than tropical specialists.</w:t>
      </w:r>
    </w:p>
    <w:p>
      <w:r>
        <w:br w:type="page"/>
      </w:r>
    </w:p>
    <w:bookmarkEnd w:id="22"/>
    <w:bookmarkStart w:id="26" w:name="results"/>
    <w:p>
      <w:pPr>
        <w:pStyle w:val="Heading1"/>
      </w:pPr>
      <w:r>
        <w:t xml:space="preserve">Results</w:t>
      </w:r>
    </w:p>
    <w:bookmarkStart w:id="23" w:name="X4567fbc203e26536a8b2c1d2a805dae2efaff00"/>
    <w:p>
      <w:pPr>
        <w:pStyle w:val="Heading2"/>
      </w:pPr>
      <w:r>
        <w:t xml:space="preserve">Climate makes northwards dispersal events easier than southwards ones</w:t>
      </w:r>
    </w:p>
    <w:p>
      <w:pPr>
        <w:pStyle w:val="FirstParagraph"/>
      </w:pPr>
      <w:r>
        <w:t xml:space="preserve">The contribution of palaeoclimate to the biogeographic asymmetry of the Great American Biotic Interchange (GABI) was tested in a simulation-based framework relying on gen3sis</w:t>
      </w:r>
      <w:r>
        <w:rPr>
          <w:vertAlign w:val="superscript"/>
        </w:rPr>
        <w:t xml:space="preserve">31</w:t>
      </w:r>
      <w:r>
        <w:t xml:space="preserve">, a mechanistic eco-evolutionary simulator, incorporating palaeoclimatic layers (annual temperature and precipitation) covering the last 5 million years generated by the PALEO-PGEM emulator</w:t>
      </w:r>
      <w:r>
        <w:rPr>
          <w:vertAlign w:val="superscript"/>
        </w:rPr>
        <w:t xml:space="preserve">38,39</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asymmetric proportions of simulations successfully reaching the other continent, being always higher – by approx. a factor 2 – when starting from South America than from North America (</w:t>
      </w:r>
      <w:hyperlink w:anchor="fig-propsuccess">
        <w:r>
          <w:rPr>
            <w:rStyle w:val="Hyperlink"/>
          </w:rPr>
          <w:t xml:space="preserve">Figure 2</w:t>
        </w:r>
      </w:hyperlink>
      <w:r>
        <w:t xml:space="preserve">). This imbalance is maintained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The characterised imbalance was also maintained when standardising initial distances to the isthmus of simulated species originating in North America to those of simulated species from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aimed at controlling for the fact that simulations starting from South America originated on average closer to the isthmus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That being said, 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previously-introduced spatial standardisation procedure.</w:t>
      </w:r>
    </w:p>
    <w:bookmarkEnd w:id="23"/>
    <w:bookmarkStart w:id="24" w:name="success-on-the-foreign-continent"/>
    <w:p>
      <w:pPr>
        <w:pStyle w:val="Heading2"/>
      </w:pPr>
      <w:r>
        <w:t xml:space="preserve">Success on the foreign continent</w:t>
      </w:r>
    </w:p>
    <w:p>
      <w:pPr>
        <w:pStyle w:val="FirstParagraph"/>
      </w:pPr>
      <w:r>
        <w:t xml:space="preserve">Our findings highlight that, irrespective of the initial continent, at the final state, successful simulations generated under models allowing species climatic niches to evolve (</w:t>
      </w:r>
      <m:oMath>
        <m:r>
          <m:t>M</m:t>
        </m:r>
        <m:r>
          <m:t>1</m:t>
        </m:r>
        <m:r>
          <m:rPr>
            <m:sty m:val="p"/>
          </m:rPr>
          <m:t>−</m:t>
        </m:r>
        <m:r>
          <m:t>M</m:t>
        </m:r>
        <m:r>
          <m:t>3</m:t>
        </m:r>
      </m:oMath>
      <w:r>
        <w:t xml:space="preserve">) colonised a larger area on the foreign continent – quantified as the ratio between the number of pixels recording a presence in the landmass to colonise and the total number of pixels offered by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virtual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holds for all but the</w:t>
      </w:r>
      <w:r>
        <w:t xml:space="preserve"> </w:t>
      </w:r>
      <m:oMath>
        <m:r>
          <m:t>M</m:t>
        </m:r>
        <m:r>
          <m:t>3</m:t>
        </m:r>
      </m:oMath>
      <w:r>
        <w:t xml:space="preserve"> </w:t>
      </w:r>
      <w:r>
        <w:t xml:space="preserve">model – relaxing the precipitation constraint on virtual species’ niche –, the latter suggesting an opposite trend (</w:t>
      </w:r>
      <m:oMath>
        <m:r>
          <m:t>69.9</m:t>
        </m:r>
        <m:r>
          <m:rPr>
            <m:sty m:val="p"/>
          </m:rPr>
          <m:t>±</m:t>
        </m:r>
        <m:r>
          <m:t>3.3</m:t>
        </m:r>
        <m:r>
          <m:rPr>
            <m:sty m:val="p"/>
          </m:rPr>
          <m:t>%</m:t>
        </m:r>
      </m:oMath>
      <w:r>
        <w:t xml:space="preserve"> </w:t>
      </w:r>
      <w:r>
        <w:t xml:space="preserve">vs</w:t>
      </w:r>
      <w:r>
        <w:t xml:space="preserve"> </w:t>
      </w:r>
      <m:oMath>
        <m:r>
          <m:t>79.4</m:t>
        </m:r>
        <m:r>
          <m:rPr>
            <m:sty m:val="p"/>
          </m:rPr>
          <m:t>±</m:t>
        </m:r>
        <m:r>
          <m:t>3.9</m:t>
        </m:r>
        <m:r>
          <m:rPr>
            <m:sty m:val="p"/>
          </m:rPr>
          <m:t>%</m:t>
        </m:r>
      </m:oMath>
      <w:r>
        <w:t xml:space="preserve">).</w:t>
      </w:r>
    </w:p>
    <w:p>
      <w:pPr>
        <w:pStyle w:val="BodyText"/>
      </w:pPr>
      <w:r>
        <w:t xml:space="preserve">Besides, contrary to the proportion of colonised area, for a given ancestral continent, colonised diversity –</w:t>
      </w:r>
      <w:r>
        <w:t xml:space="preserve"> </w:t>
      </w:r>
      <w:r>
        <w:rPr>
          <w:i/>
          <w:iCs/>
        </w:rPr>
        <w:t xml:space="preserve">i</w:t>
      </w:r>
      <w:r>
        <w:t xml:space="preserve">.</w:t>
      </w:r>
      <w:r>
        <w:rPr>
          <w:i/>
          <w:iCs/>
        </w:rPr>
        <w:t xml:space="preserve">e</w:t>
      </w:r>
      <w:r>
        <w:t xml:space="preserve">., number of taxa within the colonised continent – does not exhibit huge variations across our four models, though a significant decrease is to be reported for simulations starting from North America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B). Moreover, ancestral continent does not seem to affect mean colonised diversity values in the case of the</w:t>
      </w:r>
      <w:r>
        <w:t xml:space="preserve"> </w:t>
      </w:r>
      <m:oMath>
        <m:r>
          <m:t>M</m:t>
        </m:r>
        <m:r>
          <m:t>1</m:t>
        </m:r>
      </m:oMath>
      <w:r>
        <w:t xml:space="preserve"> </w:t>
      </w:r>
      <w:r>
        <w:t xml:space="preserve">(</w:t>
      </w:r>
      <m:oMath>
        <m:r>
          <m:t>212</m:t>
        </m:r>
        <m:r>
          <m:rPr>
            <m:sty m:val="p"/>
          </m:rPr>
          <m:t>±</m:t>
        </m:r>
        <m:r>
          <m:t>61</m:t>
        </m:r>
      </m:oMath>
      <w:r>
        <w:t xml:space="preserve"> </w:t>
      </w:r>
      <w:r>
        <w:t xml:space="preserve">vs. </w:t>
      </w:r>
      <m:oMath>
        <m:r>
          <m:t>170</m:t>
        </m:r>
        <m:r>
          <m:rPr>
            <m:sty m:val="p"/>
          </m:rPr>
          <m:t>±</m:t>
        </m:r>
        <m:r>
          <m:t>25</m:t>
        </m:r>
      </m:oMath>
      <w:r>
        <w:t xml:space="preserve"> </w:t>
      </w:r>
      <w:r>
        <w:t xml:space="preserve">species respectively retrieved in the foreign continent after starting from North or South America) and</w:t>
      </w:r>
      <w:r>
        <w:t xml:space="preserve"> </w:t>
      </w:r>
      <m:oMath>
        <m:r>
          <m:t>M</m:t>
        </m:r>
        <m:r>
          <m:t>2</m:t>
        </m:r>
      </m:oMath>
      <w:r>
        <w:t xml:space="preserve"> </w:t>
      </w:r>
      <w:r>
        <w:t xml:space="preserve">(</w:t>
      </w:r>
      <m:oMath>
        <m:r>
          <m:t>161</m:t>
        </m:r>
        <m:r>
          <m:rPr>
            <m:sty m:val="p"/>
          </m:rPr>
          <m:t>±</m:t>
        </m:r>
        <m:r>
          <m:t>48</m:t>
        </m:r>
      </m:oMath>
      <w:r>
        <w:t xml:space="preserve"> </w:t>
      </w:r>
      <w:r>
        <w:t xml:space="preserve">vs. </w:t>
      </w:r>
      <m:oMath>
        <m:r>
          <m:t>171</m:t>
        </m:r>
        <m:r>
          <m:rPr>
            <m:sty m:val="p"/>
          </m:rPr>
          <m:t>±</m:t>
        </m:r>
        <m:r>
          <m:t>27</m:t>
        </m:r>
      </m:oMath>
      <w:r>
        <w:t xml:space="preserve"> </w:t>
      </w:r>
      <w:r>
        <w:t xml:space="preserve">species) models. It does however have an effect for simulations generated under</w:t>
      </w:r>
      <w:r>
        <w:t xml:space="preserve"> </w:t>
      </w:r>
      <m:oMath>
        <m:r>
          <m:t>M</m:t>
        </m:r>
        <m:r>
          <m:t>0</m:t>
        </m:r>
      </m:oMath>
      <w:r>
        <w:t xml:space="preserve">, with higher average values obtained for simulations starting from North America (</w:t>
      </w:r>
      <m:oMath>
        <m:r>
          <m:t>247</m:t>
        </m:r>
        <m:r>
          <m:rPr>
            <m:sty m:val="p"/>
          </m:rPr>
          <m:t>±</m:t>
        </m:r>
        <m:r>
          <m:t>85</m:t>
        </m:r>
      </m:oMath>
      <w:r>
        <w:t xml:space="preserve"> </w:t>
      </w:r>
      <w:r>
        <w:t xml:space="preserve">vs. </w:t>
      </w:r>
      <m:oMath>
        <m:r>
          <m:t>79</m:t>
        </m:r>
        <m:r>
          <m:rPr>
            <m:sty m:val="p"/>
          </m:rPr>
          <m:t>±</m:t>
        </m:r>
        <m:r>
          <m:t>20</m:t>
        </m:r>
      </m:oMath>
      <w:r>
        <w:t xml:space="preserve"> </w:t>
      </w:r>
      <w:r>
        <w:t xml:space="preserve">species).</w:t>
      </w:r>
    </w:p>
    <w:p>
      <w:pPr>
        <w:pStyle w:val="BodyText"/>
      </w:pPr>
      <w:r>
        <w:t xml:space="preserve">In addition, successful simulations starting from North America generally started from an ancestor located closer to the isthmus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S6-7). Interestingly enough, the results obtained for this metric, just like those obtained for the other two, hold for simulations generated after standardising the initial distances to the isthmus of North American virtual species with those starting from South America (Figure S3).</w:t>
      </w:r>
    </w:p>
    <w:bookmarkEnd w:id="24"/>
    <w:bookmarkStart w:id="25" w:name="X82f98bdfcac253573425d1541df4621b4f5d747"/>
    <w:p>
      <w:pPr>
        <w:pStyle w:val="Heading2"/>
      </w:pPr>
      <w:r>
        <w:t xml:space="preserve">Biome selectivity of the simulated faunal exchanges</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40</w:t>
      </w:r>
      <w:r>
        <w:t xml:space="preserve"> </w:t>
      </w:r>
      <w:r>
        <w:t xml:space="preserve">and Galván et al.</w:t>
      </w:r>
      <w:r>
        <w:rPr>
          <w:vertAlign w:val="superscript"/>
        </w:rPr>
        <w:t xml:space="preserve">41</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 We propose simulations generated under the</w:t>
      </w:r>
      <w:r>
        <w:t xml:space="preserve"> </w:t>
      </w:r>
      <m:oMath>
        <m:r>
          <m:t>M</m:t>
        </m:r>
        <m:r>
          <m:t>0</m:t>
        </m:r>
      </m:oMath>
      <w:r>
        <w:t xml:space="preserve"> </w:t>
      </w:r>
      <w:r>
        <w:t xml:space="preserve">model – where climatic niche does not evolve – to reflect the macroecological behaviour of biome specialists, maintaining an ecological affinity with the biome where they originated. On the other hand, species generated under the other models (</w:t>
      </w:r>
      <m:oMath>
        <m:r>
          <m:t>M</m:t>
        </m:r>
        <m:r>
          <m:t>1</m:t>
        </m:r>
        <m:r>
          <m:rPr>
            <m:sty m:val="p"/>
          </m:rPr>
          <m:t>−</m:t>
        </m:r>
        <m:r>
          <m:t>3</m:t>
        </m:r>
      </m:oMath>
      <w:r>
        <w:t xml:space="preserve">) – allowing climatic niche evolution over time – were considered biome generalists.</w:t>
      </w:r>
    </w:p>
    <w:p>
      <w:pPr>
        <w:pStyle w:val="BodyText"/>
      </w:pPr>
      <w:r>
        <w:t xml:space="preserve">Due to the unequal area occupied by each biome between the two continents, the number of simulations starting within each biome was largely uneven across biome classes and continents (</w:t>
      </w:r>
      <w:hyperlink w:anchor="fig-biome">
        <w:r>
          <w:rPr>
            <w:rStyle w:val="Hyperlink"/>
          </w:rPr>
          <w:t xml:space="preserve">Figure 4</w:t>
        </w:r>
      </w:hyperlink>
      <w:r>
        <w:t xml:space="preserve"> </w:t>
      </w:r>
      <w:r>
        <w:t xml:space="preserve">B). The majority of North American ancestral species originated in the cold biome (</w:t>
      </w:r>
      <m:oMath>
        <m:r>
          <m:t>57</m:t>
        </m:r>
        <m:r>
          <m:rPr>
            <m:sty m:val="p"/>
          </m:rPr>
          <m:t>%</m:t>
        </m:r>
      </m:oMath>
      <w:r>
        <w:t xml:space="preserve">), whereas the tropical biome recorded the largest proportion of ancestral species origination in South America (</w:t>
      </w:r>
      <m:oMath>
        <m:r>
          <m:t>58</m:t>
        </m:r>
        <m:r>
          <m:rPr>
            <m:sty m:val="p"/>
          </m:rPr>
          <m:t>%</m:t>
        </m:r>
      </m:oMath>
      <w:r>
        <w:t xml:space="preserve">). Standardising initial distances to the isthmus of simulations originating in North America increased the proportion of simulations originating under low latitudes, to the detriment of those originating in high ones, less represented in South America (</w:t>
      </w:r>
      <w:hyperlink w:anchor="fig-biome">
        <w:r>
          <w:rPr>
            <w:rStyle w:val="Hyperlink"/>
          </w:rPr>
          <w:t xml:space="preserve">Figure 4</w:t>
        </w:r>
      </w:hyperlink>
      <w:r>
        <w:t xml:space="preserve"> </w:t>
      </w:r>
      <w:r>
        <w:t xml:space="preserve">A and Figure S4). Consequently, this increased the representativity of the tropical (from</w:t>
      </w:r>
      <w:r>
        <w:t xml:space="preserve"> </w:t>
      </w:r>
      <m:oMath>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t>16</m:t>
        </m:r>
        <m:r>
          <m:rPr>
            <m:sty m:val="p"/>
          </m:rPr>
          <m:t>%</m:t>
        </m:r>
      </m:oMath>
      <w:r>
        <w:t xml:space="preserve"> </w:t>
      </w:r>
      <w:r>
        <w:t xml:space="preserve">to</w:t>
      </w:r>
      <w:r>
        <w:t xml:space="preserve"> </w:t>
      </w:r>
      <m:oMath>
        <m:r>
          <m:t>26</m:t>
        </m:r>
        <m:r>
          <m:rPr>
            <m:sty m:val="p"/>
          </m:rPr>
          <m:t>%</m:t>
        </m:r>
      </m:oMath>
      <w:r>
        <w:t xml:space="preserve">) biomes in the starting ranges of simulations originating in North America, and decreased the proportion of simulations originating in the cold (from</w:t>
      </w:r>
      <w:r>
        <w:t xml:space="preserve"> </w:t>
      </w:r>
      <m:oMath>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t>4</m:t>
        </m:r>
        <m:r>
          <m:rPr>
            <m:sty m:val="p"/>
          </m:rPr>
          <m:t>%</m:t>
        </m:r>
      </m:oMath>
      <w:r>
        <w:t xml:space="preserve"> </w:t>
      </w:r>
      <w:r>
        <w:t xml:space="preserve">to</w:t>
      </w:r>
      <w:r>
        <w:t xml:space="preserve"> </w:t>
      </w:r>
      <m:oMath>
        <m:r>
          <m:t>2</m:t>
        </m:r>
        <m:r>
          <m:rPr>
            <m:sty m:val="p"/>
          </m:rPr>
          <m:t>%</m:t>
        </m:r>
      </m:oMath>
      <w:r>
        <w:t xml:space="preserve">) ones (Figure S9).</w:t>
      </w:r>
    </w:p>
    <w:p>
      <w:pPr>
        <w:pStyle w:val="BodyText"/>
      </w:pPr>
      <w:r>
        <w:t xml:space="preserve">Despite this initial imbalance, when simulations were generated under the</w:t>
      </w:r>
      <w:r>
        <w:t xml:space="preserve"> </w:t>
      </w:r>
      <m:oMath>
        <m:r>
          <m:t>M</m:t>
        </m:r>
        <m:r>
          <m:t>0</m:t>
        </m:r>
      </m:oMath>
      <w:r>
        <w:t xml:space="preserve"> </w:t>
      </w:r>
      <w:r>
        <w:t xml:space="preserve">model, our results suggest similar exchange intensity patterns between simulations starting from North and South America (</w:t>
      </w:r>
      <w:hyperlink w:anchor="fig-biome">
        <w:r>
          <w:rPr>
            <w:rStyle w:val="Hyperlink"/>
          </w:rPr>
          <w:t xml:space="preserve">Figure 4</w:t>
        </w:r>
      </w:hyperlink>
      <w:r>
        <w:t xml:space="preserve"> </w:t>
      </w:r>
      <w:r>
        <w:t xml:space="preserve">C, first row). Tropical specialists (</w:t>
      </w:r>
      <w:r>
        <w:rPr>
          <w:i/>
          <w:iCs/>
        </w:rPr>
        <w:t xml:space="preserve">i</w:t>
      </w:r>
      <w:r>
        <w:t xml:space="preserve">.</w:t>
      </w:r>
      <w:r>
        <w:rPr>
          <w:i/>
          <w:iCs/>
        </w:rPr>
        <w:t xml:space="preserve">e</w:t>
      </w:r>
      <w:r>
        <w:t xml:space="preserve">., originating in the tropical biome and evolving under</w:t>
      </w:r>
      <w:r>
        <w:t xml:space="preserve"> </w:t>
      </w:r>
      <m:oMath>
        <m:r>
          <m:t>M</m:t>
        </m:r>
        <m:r>
          <m:t>0</m:t>
        </m:r>
      </m:oMath>
      <w:r>
        <w:t xml:space="preserve">) were largely more frequently exchanged than other biome specialists, with on average</w:t>
      </w:r>
      <w:r>
        <w:t xml:space="preserve"> </w:t>
      </w:r>
      <m:oMath>
        <m:r>
          <m:t>90</m:t>
        </m:r>
        <m:d>
          <m:dPr>
            <m:begChr m:val="["/>
            <m:endChr m:val="]"/>
            <m:sepChr m:val=""/>
            <m:grow/>
          </m:dPr>
          <m:e>
            <m:r>
              <m:t>77</m:t>
            </m:r>
            <m:r>
              <m:rPr>
                <m:sty m:val="p"/>
              </m:rPr>
              <m:t>,</m:t>
            </m:r>
            <m:r>
              <m:t>100</m:t>
            </m:r>
          </m:e>
        </m:d>
        <m:r>
          <m:rPr>
            <m:sty m:val="p"/>
          </m:rPr>
          <m:t>%</m:t>
        </m:r>
      </m:oMath>
      <w:r>
        <w:t xml:space="preserve"> </w:t>
      </w:r>
      <w:r>
        <w:t xml:space="preserve">successful exchanges southwards (</w:t>
      </w:r>
      <w:r>
        <w:rPr>
          <w:i/>
          <w:iCs/>
        </w:rPr>
        <w:t xml:space="preserve">i</w:t>
      </w:r>
      <w:r>
        <w:t xml:space="preserve">.</w:t>
      </w:r>
      <w:r>
        <w:rPr>
          <w:i/>
          <w:iCs/>
        </w:rPr>
        <w:t xml:space="preserve">e</w:t>
      </w:r>
      <w:r>
        <w:t xml:space="preserve">., from simulations originating in North America) and</w:t>
      </w:r>
      <w:r>
        <w:t xml:space="preserve"> </w:t>
      </w:r>
      <m:oMath>
        <m:r>
          <m:t>66</m:t>
        </m:r>
        <m:r>
          <m:rPr>
            <m:sty m:val="p"/>
          </m:rPr>
          <m:t>±</m:t>
        </m:r>
        <m:r>
          <m:t>5</m:t>
        </m:r>
        <m:r>
          <m:rPr>
            <m:sty m:val="p"/>
          </m:rPr>
          <m:t>%</m:t>
        </m:r>
      </m:oMath>
      <w:r>
        <w:t xml:space="preserve"> </w:t>
      </w:r>
      <w:r>
        <w:t xml:space="preserve">northwards (</w:t>
      </w:r>
      <w:r>
        <w:rPr>
          <w:i/>
          <w:iCs/>
        </w:rPr>
        <w:t xml:space="preserve">i</w:t>
      </w:r>
      <w:r>
        <w:t xml:space="preserve">.</w:t>
      </w:r>
      <w:r>
        <w:rPr>
          <w:i/>
          <w:iCs/>
        </w:rPr>
        <w:t xml:space="preserve">e</w:t>
      </w:r>
      <w:r>
        <w:t xml:space="preserve">., from simulations originating in South America). Such proportions were significantly reduced for arid (</w:t>
      </w:r>
      <m:oMath>
        <m:r>
          <m:t>26</m:t>
        </m:r>
        <m:r>
          <m:rPr>
            <m:sty m:val="p"/>
          </m:rPr>
          <m:t>±</m:t>
        </m:r>
        <m:r>
          <m:t>6</m:t>
        </m:r>
        <m:r>
          <m:rPr>
            <m:sty m:val="p"/>
          </m:rPr>
          <m:t>%</m:t>
        </m:r>
      </m:oMath>
      <w:r>
        <w:t xml:space="preserve"> </w:t>
      </w:r>
      <w:r>
        <w:t xml:space="preserve">southwards,</w:t>
      </w:r>
      <w:r>
        <w:t xml:space="preserve"> </w:t>
      </w:r>
      <m:oMath>
        <m:r>
          <m:t>18</m:t>
        </m:r>
        <m:r>
          <m:rPr>
            <m:sty m:val="p"/>
          </m:rPr>
          <m:t>±</m:t>
        </m:r>
        <m:r>
          <m:t>9</m:t>
        </m:r>
        <m:r>
          <m:rPr>
            <m:sty m:val="p"/>
          </m:rPr>
          <m:t>%</m:t>
        </m:r>
      </m:oMath>
      <w:r>
        <w:t xml:space="preserve"> </w:t>
      </w:r>
      <w:r>
        <w:t xml:space="preserve">northwards) and temperate specialists (</w:t>
      </w:r>
      <m:oMath>
        <m:r>
          <m:t>26</m:t>
        </m:r>
        <m:r>
          <m:rPr>
            <m:sty m:val="p"/>
          </m:rPr>
          <m:t>±</m:t>
        </m:r>
        <m:r>
          <m:t>10</m:t>
        </m:r>
        <m:r>
          <m:rPr>
            <m:sty m:val="p"/>
          </m:rPr>
          <m:t>%</m:t>
        </m:r>
      </m:oMath>
      <w:r>
        <w:t xml:space="preserve"> </w:t>
      </w:r>
      <w:r>
        <w:t xml:space="preserve">southwards,</w:t>
      </w:r>
      <w:r>
        <w:t xml:space="preserve"> </w:t>
      </w:r>
      <m:oMath>
        <m:r>
          <m:t>29</m:t>
        </m:r>
        <m:r>
          <m:rPr>
            <m:sty m:val="p"/>
          </m:rPr>
          <m:t>±</m:t>
        </m:r>
        <m:r>
          <m:t>8</m:t>
        </m:r>
        <m:r>
          <m:rPr>
            <m:sty m:val="p"/>
          </m:rPr>
          <m:t>%</m:t>
        </m:r>
      </m:oMath>
      <w:r>
        <w:t xml:space="preserve"> </w:t>
      </w:r>
      <w:r>
        <w:t xml:space="preserve">northwards), and almost no cold or polar specialist, no matter where it originated, successfully made it to the other continent. The exact same pattern is obtained for southwards dispersal events occurring after standardising initial distances to the isthmus (Figure S8,</w:t>
      </w:r>
      <w:r>
        <w:t xml:space="preserve"> </w:t>
      </w:r>
      <m:oMath>
        <m:r>
          <m:t>M</m:t>
        </m:r>
        <m:r>
          <m:t>0</m:t>
        </m:r>
      </m:oMath>
      <w:r>
        <w:t xml:space="preserve">).</w:t>
      </w:r>
    </w:p>
    <w:p>
      <w:pPr>
        <w:pStyle w:val="BodyText"/>
      </w:pPr>
      <w:r>
        <w:t xml:space="preserve">Regarding biome generalists (models</w:t>
      </w:r>
      <w:r>
        <w:t xml:space="preserve"> </w:t>
      </w:r>
      <m:oMath>
        <m:r>
          <m:t>M</m:t>
        </m:r>
        <m:r>
          <m:t>1</m:t>
        </m:r>
        <m:r>
          <m:rPr>
            <m:sty m:val="p"/>
          </m:rPr>
          <m:t>−</m:t>
        </m:r>
        <m:r>
          <m:t>3</m:t>
        </m:r>
      </m:oMath>
      <w:r>
        <w:t xml:space="preserve">), simulations starting from North America maintained the same distribution of exchange intensities across biomes as biome specialists. Generalists that originated in the tropical biome record the highest proportion of exchange success (</w:t>
      </w:r>
      <m:oMath>
        <m:r>
          <m:t>89</m:t>
        </m:r>
        <m:d>
          <m:dPr>
            <m:begChr m:val="["/>
            <m:endChr m:val="]"/>
            <m:sepChr m:val=""/>
            <m:grow/>
          </m:dPr>
          <m:e>
            <m:r>
              <m:t>75</m:t>
            </m:r>
            <m:r>
              <m:rPr>
                <m:sty m:val="p"/>
              </m:rPr>
              <m:t>,</m:t>
            </m:r>
            <m:r>
              <m:t>100</m:t>
            </m:r>
          </m:e>
        </m:d>
        <m:r>
          <m:rPr>
            <m:sty m:val="p"/>
          </m:rPr>
          <m:t>%</m:t>
        </m:r>
      </m:oMath>
      <w:r>
        <w:t xml:space="preserve"> </w:t>
      </w:r>
      <w:r>
        <w:t xml:space="preserve">for</w:t>
      </w:r>
      <w:r>
        <w:t xml:space="preserve"> </w:t>
      </w:r>
      <m:oMath>
        <m:r>
          <m:t>M</m:t>
        </m:r>
        <m:r>
          <m:t>1</m:t>
        </m:r>
      </m:oMath>
      <w:r>
        <w:t xml:space="preserve">), followed by those originating in the temperate (</w:t>
      </w:r>
      <m:oMath>
        <m:r>
          <m:t>40</m:t>
        </m:r>
        <m:r>
          <m:rPr>
            <m:sty m:val="p"/>
          </m:rPr>
          <m:t>±</m:t>
        </m:r>
        <m:r>
          <m:t>10</m:t>
        </m:r>
        <m:r>
          <m:rPr>
            <m:sty m:val="p"/>
          </m:rPr>
          <m:t>%</m:t>
        </m:r>
      </m:oMath>
      <w:r>
        <w:t xml:space="preserve">,</w:t>
      </w:r>
      <w:r>
        <w:t xml:space="preserve"> </w:t>
      </w:r>
      <m:oMath>
        <m:r>
          <m:t>M</m:t>
        </m:r>
        <m:r>
          <m:t>1</m:t>
        </m:r>
      </m:oMath>
      <w:r>
        <w:t xml:space="preserve">) and arid (</w:t>
      </w:r>
      <m:oMath>
        <m:r>
          <m:t>34</m:t>
        </m:r>
        <m:r>
          <m:rPr>
            <m:sty m:val="p"/>
          </m:rPr>
          <m:t>±</m:t>
        </m:r>
        <m:r>
          <m:t>11</m:t>
        </m:r>
        <m:r>
          <m:rPr>
            <m:sty m:val="p"/>
          </m:rPr>
          <m:t>%</m:t>
        </m:r>
      </m:oMath>
      <w:r>
        <w:t xml:space="preserve">,</w:t>
      </w:r>
      <w:r>
        <w:t xml:space="preserve"> </w:t>
      </w:r>
      <m:oMath>
        <m:r>
          <m:t>M</m:t>
        </m:r>
        <m:r>
          <m:t>1</m:t>
        </m:r>
      </m:oMath>
      <w:r>
        <w:t xml:space="preserve">) biomes. Also, generalists originating in the cold or polar biomes almost never made it to South America (</w:t>
      </w:r>
      <w:hyperlink w:anchor="fig-biome">
        <w:r>
          <w:rPr>
            <w:rStyle w:val="Hyperlink"/>
          </w:rPr>
          <w:t xml:space="preserve">Figure 4</w:t>
        </w:r>
      </w:hyperlink>
      <w:r>
        <w:t xml:space="preserve"> </w:t>
      </w:r>
      <w:r>
        <w:t xml:space="preserve">C</w:t>
      </w:r>
      <w:r>
        <w:t xml:space="preserve"> </w:t>
      </w:r>
      <m:oMath>
        <m:r>
          <m:t>M</m:t>
        </m:r>
        <m:r>
          <m:t>1</m:t>
        </m:r>
        <m:r>
          <m:rPr>
            <m:sty m:val="p"/>
          </m:rPr>
          <m:t>−</m:t>
        </m:r>
        <m:r>
          <m:t>2</m:t>
        </m:r>
      </m:oMath>
      <w:r>
        <w:t xml:space="preserve">). That being said, we should notice that removing the precipitation constraint on species climatic niche (</w:t>
      </w:r>
      <w:r>
        <w:rPr>
          <w:i/>
          <w:iCs/>
        </w:rPr>
        <w:t xml:space="preserve">i</w:t>
      </w:r>
      <w:r>
        <w:t xml:space="preserve">.</w:t>
      </w:r>
      <w:r>
        <w:rPr>
          <w:i/>
          <w:iCs/>
        </w:rPr>
        <w:t xml:space="preserve">e</w:t>
      </w:r>
      <w:r>
        <w:t xml:space="preserve">., model</w:t>
      </w:r>
      <w:r>
        <w:t xml:space="preserve"> </w:t>
      </w:r>
      <m:oMath>
        <m:r>
          <m:t>M</m:t>
        </m:r>
        <m:r>
          <m:t>3</m:t>
        </m:r>
      </m:oMath>
      <w:r>
        <w:t xml:space="preserve">) tends to attenuate this imbalance (</w:t>
      </w:r>
      <w:hyperlink w:anchor="fig-biome">
        <w:r>
          <w:rPr>
            <w:rStyle w:val="Hyperlink"/>
          </w:rPr>
          <w:t xml:space="preserve">Figure 4</w:t>
        </w:r>
      </w:hyperlink>
      <w:r>
        <w:t xml:space="preserve"> </w:t>
      </w:r>
      <w:r>
        <w:t xml:space="preserve">C</w:t>
      </w:r>
      <w:r>
        <w:t xml:space="preserve"> </w:t>
      </w:r>
      <m:oMath>
        <m:r>
          <m:t>M</m:t>
        </m:r>
        <m:r>
          <m:t>3</m:t>
        </m:r>
      </m:oMath>
      <w:r>
        <w:t xml:space="preserve">). All this still hold when standardising initial distances to the isthmus of simulations starting from North America to those starting from South America (Figure S8,</w:t>
      </w:r>
      <w:r>
        <w:t xml:space="preserve"> </w:t>
      </w:r>
      <m:oMath>
        <m:r>
          <m:t>M</m:t>
        </m:r>
        <m:r>
          <m:t>1</m:t>
        </m:r>
        <m:r>
          <m:rPr>
            <m:sty m:val="p"/>
          </m:rPr>
          <m:t>−</m:t>
        </m:r>
        <m:r>
          <m:t>3</m:t>
        </m:r>
      </m:oMath>
      <w:r>
        <w:t xml:space="preserve">). Conversely, the disparity in proportion of successful exchanges across biomes was largely attenuated for biome generalists originating in South America, for which a successful exchange appears almost equally-likely, no matters the biome where they originate (</w:t>
      </w:r>
      <w:hyperlink w:anchor="fig-biome">
        <w:r>
          <w:rPr>
            <w:rStyle w:val="Hyperlink"/>
          </w:rPr>
          <w:t xml:space="preserve">Figure 4</w:t>
        </w:r>
      </w:hyperlink>
      <w:r>
        <w:t xml:space="preserve"> </w:t>
      </w:r>
      <w:r>
        <w:t xml:space="preserve">C</w:t>
      </w:r>
      <w:r>
        <w:t xml:space="preserve"> </w:t>
      </w:r>
      <m:oMath>
        <m:r>
          <m:t>M</m:t>
        </m:r>
        <m:r>
          <m:t>1</m:t>
        </m:r>
        <m:r>
          <m:rPr>
            <m:sty m:val="p"/>
          </m:rPr>
          <m:t>−</m:t>
        </m:r>
        <m:r>
          <m:t>3</m:t>
        </m:r>
      </m:oMath>
      <w:r>
        <w:t xml:space="preserve">).</w:t>
      </w:r>
    </w:p>
    <w:bookmarkEnd w:id="25"/>
    <w:bookmarkEnd w:id="26"/>
    <w:bookmarkStart w:id="34" w:name="discussion"/>
    <w:p>
      <w:pPr>
        <w:pStyle w:val="Heading1"/>
      </w:pPr>
      <w:r>
        <w:t xml:space="preserve">Discussion</w:t>
      </w:r>
    </w:p>
    <w:bookmarkStart w:id="27" w:name="X29849b2dbddef87ab6d7d6609874808b4e7c498"/>
    <w:p>
      <w:pPr>
        <w:pStyle w:val="Heading2"/>
      </w:pPr>
      <w:r>
        <w:t xml:space="preserve">An inverse asymmetry of exchange probability across both sides of the isthmus driven by climate</w:t>
      </w:r>
    </w:p>
    <w:p>
      <w:pPr>
        <w:pStyle w:val="FirstParagraph"/>
      </w:pPr>
      <w:r>
        <w:t xml:space="preserve">Throughout this work, we investigated the role of palaeoclimate in the asymmetry of the Great American Biotic Interchange (GABI) through the use of eco-evolutionary simulations. Based on empirical evidence, we hypothesised our virtual experiments to result in (i) a higher likelihood of southwards dispersal events (</w:t>
      </w:r>
      <w:r>
        <w:rPr>
          <w:i/>
          <w:iCs/>
        </w:rPr>
        <w:t xml:space="preserve">i</w:t>
      </w:r>
      <w:r>
        <w:t xml:space="preserve">.</w:t>
      </w:r>
      <w:r>
        <w:rPr>
          <w:i/>
          <w:iCs/>
        </w:rPr>
        <w:t xml:space="preserve">e</w:t>
      </w:r>
      <w:r>
        <w:t xml:space="preserve">., from North to South America) compared to northwards ones; (ii) more diverse and spatially spread radiations in the foreign continent following successful southwards exchanges compared to northwards ones; and (iii) successful exchanges to be more frequently achieved among simulated biome generalists, temperate and arid specialists than tropical specialists.</w:t>
      </w:r>
    </w:p>
    <w:p>
      <w:pPr>
        <w:pStyle w:val="BodyText"/>
      </w:pPr>
      <w:r>
        <w:t xml:space="preserve">Probably one of our most striking findings is that, under climatic constraints alone, simulated South American lineages dispersed to the North with a significantly greater probability than the other way around (</w:t>
      </w:r>
      <w:hyperlink w:anchor="fig-propsuccess">
        <w:r>
          <w:rPr>
            <w:rStyle w:val="Hyperlink"/>
          </w:rPr>
          <w:t xml:space="preserve">Figure 2</w:t>
        </w:r>
      </w:hyperlink>
      <w:r>
        <w:t xml:space="preserve">). This therefore clearly contrasts with the long-recognised imbalanced success of North American mammal taxa compared to South Americans in the aftermath of the GABI</w:t>
      </w:r>
      <w:r>
        <w:rPr>
          <w:vertAlign w:val="superscript"/>
        </w:rPr>
        <w:t xml:space="preserve">18</w:t>
      </w:r>
      <w:r>
        <w:t xml:space="preserve">, suggesting that filters other than climatic must have been at play to build this asymmetry.</w:t>
      </w:r>
    </w:p>
    <w:p>
      <w:pPr>
        <w:pStyle w:val="BodyText"/>
      </w:pPr>
      <w:r>
        <w:t xml:space="preserve">Climate cooling associated to enhanced dispersal (FO 2024, 2025)</w:t>
      </w:r>
    </w:p>
    <w:p>
      <w:pPr>
        <w:pStyle w:val="BodyText"/>
      </w:pPr>
      <w:r>
        <w:t xml:space="preserve">Seminal works primarily interpreted the empirically-derived asymmetry of the GABI through the lens of MacArthur &amp; Wilson’s equilibrium theory</w:t>
      </w:r>
      <w:r>
        <w:rPr>
          <w:vertAlign w:val="superscript"/>
        </w:rPr>
        <w:t xml:space="preserve">42</w:t>
      </w:r>
      <w:r>
        <w:t xml:space="preserve">, but extrapolated to continents. This theory establishes that, on evolutionary timescales, diversity within a given area should tend towards an equilibrium value proportional to the size of this area. It therefore predicts the equilibrium diversity of North America to be larger than that of South America, given the differences in size between the two continents (</w:t>
      </w:r>
      <m:oMath>
        <m:r>
          <m:t>24</m:t>
        </m:r>
      </m:oMath>
      <w:r>
        <w:t xml:space="preserve"> </w:t>
      </w:r>
      <w:r>
        <w:t xml:space="preserve">vs. </w:t>
      </w:r>
      <m:oMath>
        <m:r>
          <m:t>18</m:t>
        </m:r>
        <m:r>
          <m:rPr>
            <m:sty m:val="p"/>
          </m:rPr>
          <m:t>×</m:t>
        </m:r>
        <m:sSup>
          <m:e>
            <m:r>
              <m:t>10</m:t>
            </m:r>
          </m:e>
          <m:sup>
            <m:r>
              <m:t>6</m:t>
            </m:r>
          </m:sup>
        </m:sSup>
      </m:oMath>
      <w:r>
        <w:t xml:space="preserve"> </w:t>
      </w:r>
      <w:r>
        <w:t xml:space="preserve">km</w:t>
      </w:r>
      <m:oMath>
        <m:sSup>
          <m:e>
            <m:r>
              <m:t>​</m:t>
            </m:r>
          </m:e>
          <m:sup>
            <m:r>
              <m:t>2</m:t>
            </m:r>
          </m:sup>
        </m:sSup>
      </m:oMath>
      <w:r>
        <w:t xml:space="preserve">). In that framework, Marshall et al.</w:t>
      </w:r>
      <w:r>
        <w:rPr>
          <w:vertAlign w:val="superscript"/>
        </w:rPr>
        <w:t xml:space="preserve">1</w:t>
      </w:r>
      <w:r>
        <w:t xml:space="preserve"> </w:t>
      </w:r>
      <w:r>
        <w:t xml:space="preserve">argued that the continent offering the larger pool of taxa – which, according to this prediction, would happen to be North America – would in turn have resulted in the larger number of species exchanged in the end. It might be noticed that species pool imbalance between the two source areas has been identified as a key driver in the faunal exchange asymmetry that contributed to the build-up of the unique biodiversity along the Wallace line</w:t>
      </w:r>
      <w:r>
        <w:rPr>
          <w:vertAlign w:val="superscript"/>
        </w:rPr>
        <w:t xml:space="preserve">34</w:t>
      </w:r>
      <w:r>
        <w:t xml:space="preserve">.</w:t>
      </w:r>
    </w:p>
    <w:p>
      <w:pPr>
        <w:pStyle w:val="BodyText"/>
      </w:pPr>
      <w:r>
        <w:t xml:space="preserve">Nonetheless, following such a reasoning, the probability for a given taxon to cross the Panamanian landbridge is assumed to be independent from the side of the isthmus where it came from, which, interestingly, is not supported by our findings (</w:t>
      </w:r>
      <w:hyperlink w:anchor="fig-propsuccess">
        <w:r>
          <w:rPr>
            <w:rStyle w:val="Hyperlink"/>
          </w:rPr>
          <w:t xml:space="preserve">Figure 2</w:t>
        </w:r>
      </w:hyperlink>
      <w:r>
        <w:t xml:space="preserve">). In addition, this theory fails at explaining the actual imbalance in extant mammal species-level diversity between the Americas, being way larger in South than in North America</w:t>
      </w:r>
      <w:r>
        <w:rPr>
          <w:vertAlign w:val="superscript"/>
        </w:rPr>
        <w:t xml:space="preserve">43,44</w:t>
      </w:r>
      <w:r>
        <w:t xml:space="preserve">.</w:t>
      </w:r>
    </w:p>
    <w:p>
      <w:pPr>
        <w:pStyle w:val="BodyText"/>
      </w:pPr>
      <w:r>
        <w:t xml:space="preserve">Although the inverse asymmetry in climate-driven exchange across both sides of the Isthmus suggested by our findings goes in contradiction with the mammal fossil record</w:t>
      </w:r>
      <w:r>
        <w:rPr>
          <w:vertAlign w:val="superscript"/>
        </w:rPr>
        <w:t xml:space="preserve">1</w:t>
      </w:r>
      <w:r>
        <w:t xml:space="preserve">, it actually echoes inter-American exchange mechanisms proposed for other groups of vertebrates. For instance, the extant amphibian fauna of South America is almost entirely made up with endemic taxa. By contrast, North American frog fauna is composed of four families of southern origin, and only three of northern origin</w:t>
      </w:r>
      <w:r>
        <w:rPr>
          <w:vertAlign w:val="superscript"/>
        </w:rPr>
        <w:t xml:space="preserve">45</w:t>
      </w:r>
      <w:r>
        <w:t xml:space="preserve">. Also, tropical North American ichtyofauna has long been recognised as mainly composed of groups that originated in South America and further dispersed to the North, although most likely multiple dispersal events occurred, some of which predating the closure of the isthmus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45,46,47</w:t>
      </w:r>
      <w:r>
        <w:t xml:space="preserve">. It should be noted that, due to the requirement for connected freshwater networks, the magnitude of the faunal admixture among freshwater fishes has been greatly limited compared to land groups. Next, despite the enhanced dispersal abilities suggested by the mode of locomotion of birds, phylogenetic evidence have shown a significant influence of the closure of the panamanian seaway in the rates of exchange between both continent’s avifaunas</w:t>
      </w:r>
      <w:r>
        <w:rPr>
          <w:vertAlign w:val="superscript"/>
        </w:rPr>
        <w:t xml:space="preserve">48,49</w:t>
      </w:r>
      <w:r>
        <w:t xml:space="preserve">. In particular, transcontinental exchanges occurred symmetrically among clades inhabting tropical regions, but interestingly, diversification of extra-tropical groups to tropical regions and further dispersal to the other landmass were strongly asymmetrical in favour of North American taxa</w:t>
      </w:r>
      <w:r>
        <w:rPr>
          <w:vertAlign w:val="superscript"/>
        </w:rPr>
        <w:t xml:space="preserve">47,49</w:t>
      </w:r>
      <w:r>
        <w:t xml:space="preserve">. That being said, notable exceptions of South American groups that successfully diversified in North America (including within temperate regions) exist, such as hummingbirds.</w:t>
      </w:r>
    </w:p>
    <w:p>
      <w:pPr>
        <w:pStyle w:val="BodyText"/>
      </w:pPr>
      <w:r>
        <w:t xml:space="preserve">However, the lack of fossil record for these groups greatly hampers our understanding of the processes behind their biogeographical history.</w:t>
      </w:r>
    </w:p>
    <w:bookmarkEnd w:id="27"/>
    <w:bookmarkStart w:id="28" w:name="Xcc2378c0a74ed408eb952abc767abbfd2a71b7f"/>
    <w:p>
      <w:pPr>
        <w:pStyle w:val="Heading2"/>
      </w:pPr>
      <w:r>
        <w:t xml:space="preserve">Fate of lineages, niche evolution and geographic lottery</w:t>
      </w:r>
    </w:p>
    <w:p>
      <w:pPr>
        <w:pStyle w:val="FirstParagraph"/>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p>
      <w:pPr>
        <w:pStyle w:val="BodyText"/>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50</w:t>
      </w:r>
      <w:r>
        <w:t xml:space="preserve">.</w:t>
      </w:r>
    </w:p>
    <w:p>
      <w:pPr>
        <w:pStyle w:val="BodyText"/>
      </w:pPr>
      <w:r>
        <w:t xml:space="preserve">Southwards dispersals generated under</w:t>
      </w:r>
      <w:r>
        <w:t xml:space="preserve"> </w:t>
      </w:r>
      <m:oMath>
        <m:r>
          <m:t>M</m:t>
        </m:r>
        <m:r>
          <m:t>0</m:t>
        </m:r>
      </m:oMath>
      <w:r>
        <w:t xml:space="preserve"> </w:t>
      </w:r>
      <w:r>
        <w:t xml:space="preserve">are less frequent but result in a greater colonising ability – larger proportion of colonised area and colonised diversity – than northwards dispersals</w:t>
      </w:r>
      <w:r>
        <w:t xml:space="preserve"> </w:t>
      </w:r>
      <w:hyperlink w:anchor="fig-metrics">
        <w:r>
          <w:rPr>
            <w:rStyle w:val="Hyperlink"/>
          </w:rPr>
          <w:t xml:space="preserve">Figure 3</w:t>
        </w:r>
      </w:hyperlink>
      <w:r>
        <w:t xml:space="preserve">.</w:t>
      </w:r>
    </w:p>
    <w:p>
      <w:pPr>
        <w:pStyle w:val="BodyText"/>
      </w:pPr>
      <w:r>
        <w:t xml:space="preserve">Imbalance in colonised area btwn SA and NA comes from the difference in pixel nb between both continents in our framework</w:t>
      </w:r>
      <w:r>
        <w:t xml:space="preserve"> </w:t>
      </w:r>
      <w:hyperlink w:anchor="fig-framework">
        <w:r>
          <w:rPr>
            <w:rStyle w:val="Hyperlink"/>
          </w:rPr>
          <w:t xml:space="preserve">Figure 1</w:t>
        </w:r>
      </w:hyperlink>
      <w:r>
        <w:t xml:space="preserve">,</w:t>
      </w:r>
    </w:p>
    <w:p>
      <w:pPr>
        <w:pStyle w:val="BodyText"/>
      </w:pPr>
      <w:r>
        <w:t xml:space="preserve">“</w:t>
      </w:r>
      <w:r>
        <w:t xml:space="preserve">Too far to be exchanged</w:t>
      </w:r>
      <w:r>
        <w:t xml:space="preserve">”</w:t>
      </w:r>
      <w:r>
        <w:t xml:space="preserve">: example of caprins raised by</w:t>
      </w:r>
      <w:r>
        <w:rPr>
          <w:vertAlign w:val="superscript"/>
        </w:rPr>
        <w:t xml:space="preserve">13</w:t>
      </w:r>
    </w:p>
    <w:p>
      <w:pPr>
        <w:pStyle w:val="BodyText"/>
      </w:pPr>
      <w:r>
        <w:t xml:space="preserve">Fortuitous experiment and neutral/random effect?</w:t>
      </w:r>
    </w:p>
    <w:bookmarkEnd w:id="28"/>
    <w:bookmarkStart w:id="29" w:name="climatic-filtering"/>
    <w:p>
      <w:pPr>
        <w:pStyle w:val="Heading2"/>
      </w:pPr>
      <w:r>
        <w:t xml:space="preserve">Climatic filtering</w:t>
      </w:r>
    </w:p>
    <w:p>
      <w:pPr>
        <w:pStyle w:val="FirstParagraph"/>
      </w:pPr>
      <w:r>
        <w:t xml:space="preserve">One of the predictions of Vrba’s resource-use hypotheses formulated in the framework of the habitat theory applied to the GABI is that tropical specialists, in the aftermath of the global cooling occurring at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North American tropical specialist’s establishment in South America</w:t>
      </w:r>
      <w:r>
        <w:rPr>
          <w:vertAlign w:val="superscript"/>
        </w:rPr>
        <w:t xml:space="preserve">23</w:t>
      </w:r>
      <w:r>
        <w:t xml:space="preserve">. This prediction meets the</w:t>
      </w:r>
      <w:r>
        <w:t xml:space="preserve"> </w:t>
      </w:r>
      <w:r>
        <w:t xml:space="preserve">‘</w:t>
      </w:r>
      <w:r>
        <w:t xml:space="preserve">tropical refugia</w:t>
      </w:r>
      <w:r>
        <w:t xml:space="preserve">’</w:t>
      </w:r>
      <w:r>
        <w:t xml:space="preserve"> </w:t>
      </w:r>
      <w:r>
        <w:t xml:space="preserve">hypothesis formulated a few decades earlier</w:t>
      </w:r>
      <w:r>
        <w:rPr>
          <w:vertAlign w:val="superscript"/>
        </w:rPr>
        <w:t xml:space="preserve">51</w:t>
      </w:r>
      <w:r>
        <w:t xml:space="preserve">. The latter hypothesis views the high diversity in the (Neo)tropics as a result of past climatic fragmentation of the tropical climatic region, generating discontinuities within populations of tropical specialists. In case of climatic disruption, tropical specialists would therefore follow the contraction-expansion of their habitat, in turn driving speciation by vicariance on evolutionary timescales</w:t>
      </w:r>
      <w:r>
        <w:rPr>
          <w:vertAlign w:val="superscript"/>
        </w:rPr>
        <w:t xml:space="preserve">51</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were found to have a high prevalence of crossing the isthmus (</w:t>
      </w:r>
      <w:hyperlink w:anchor="fig-biome">
        <w:r>
          <w:rPr>
            <w:rStyle w:val="Hyperlink"/>
          </w:rPr>
          <w:t xml:space="preserve">Figure 4</w:t>
        </w:r>
      </w:hyperlink>
      <w:r>
        <w:t xml:space="preserve"> </w:t>
      </w:r>
      <w:r>
        <w:t xml:space="preserve">C, model</w:t>
      </w:r>
      <w:r>
        <w:t xml:space="preserve"> </w:t>
      </w:r>
      <m:oMath>
        <m:r>
          <m:t>M</m:t>
        </m:r>
        <m:r>
          <m:t>0</m:t>
        </m:r>
      </m:oMath>
      <w:r>
        <w:t xml:space="preserve">). However, the prevalence of tropical specialists from South America to disperse to the North was found to be almost equally-high, largely exceeding that of other biome specialists (</w:t>
      </w:r>
      <w:hyperlink w:anchor="fig-biome">
        <w:r>
          <w:rPr>
            <w:rStyle w:val="Hyperlink"/>
          </w:rPr>
          <w:t xml:space="preserve">Figure 4</w:t>
        </w:r>
      </w:hyperlink>
      <w:r>
        <w:t xml:space="preserve"> </w:t>
      </w:r>
      <w:r>
        <w:t xml:space="preserve">C, model</w:t>
      </w:r>
      <w:r>
        <w:t xml:space="preserve"> </w:t>
      </w:r>
      <m:oMath>
        <m:r>
          <m:t>M</m:t>
        </m:r>
        <m:r>
          <m:t>0</m:t>
        </m:r>
      </m:oMath>
      <w:r>
        <w:t xml:space="preserve">). This goes against Vrba’s seminal hypothesis, instead predicting that fewer mammals – only biome generalists or open-habitat specialists – from South America would be expected to roam the other way around in case of tropical contraction towards the equator. This finding may in fact reflect an attenuated magnitude of the climatic fragmentation of the isthmian region when compared to historical biome reconstructions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13</w:t>
      </w:r>
      <w:r>
        <w:t xml:space="preserve">, with the persistence of a tropical corridor in turn promoting the exchange of tropical specialists between both landmasses.</w:t>
      </w:r>
    </w:p>
    <w:p>
      <w:pPr>
        <w:pStyle w:val="BodyText"/>
      </w:pPr>
      <w:r>
        <w:t xml:space="preserve">On average, one simulated radiation of open biome –</w:t>
      </w:r>
      <w:r>
        <w:t xml:space="preserve"> </w:t>
      </w:r>
      <w:r>
        <w:rPr>
          <w:i/>
          <w:iCs/>
        </w:rPr>
        <w:t xml:space="preserve">i</w:t>
      </w:r>
      <w:r>
        <w:t xml:space="preserve">.</w:t>
      </w:r>
      <w:r>
        <w:rPr>
          <w:i/>
          <w:iCs/>
        </w:rPr>
        <w:t xml:space="preserve">e</w:t>
      </w:r>
      <w:r>
        <w:t xml:space="preserve">., arid or temperate – specialists out of four resulted in a successful exchange, irrespective of its ancestral continent (</w:t>
      </w:r>
      <w:hyperlink w:anchor="fig-biome">
        <w:r>
          <w:rPr>
            <w:rStyle w:val="Hyperlink"/>
          </w:rPr>
          <w:t xml:space="preserve">Figure 4</w:t>
        </w:r>
      </w:hyperlink>
      <w:r>
        <w:t xml:space="preserve"> </w:t>
      </w:r>
      <w:r>
        <w:t xml:space="preserve">C, model</w:t>
      </w:r>
      <w:r>
        <w:t xml:space="preserve"> </w:t>
      </w:r>
      <m:oMath>
        <m:r>
          <m:t>M</m:t>
        </m:r>
        <m:r>
          <m:t>0</m:t>
        </m:r>
      </m:oMath>
      <w:r>
        <w:t xml:space="preserve">). This proportion is significantly lower than that obtained for tropical specialists. Yet, it has long been acknowledged that the migrant fossil record across both sides of the isthmus was essentially made up with species showing affinity with open biomes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23</w:t>
      </w:r>
      <w:r>
        <w:t xml:space="preserve">. Among the most emblematic, we find equids, proboscids or camelids on the South American side; ground sloths, toxodontids or glyptodontids on the North American. The co-occurrence of distinct taxa in temporally well-delimited fossil assemblages lead palaeontologists to postulate that the GABI was in fact a succession of exchange pulses punctuated by phases of interruption, related to the climate-driven oscillations between savannah and rainforest in Central America</w:t>
      </w:r>
      <w:r>
        <w:rPr>
          <w:vertAlign w:val="superscript"/>
        </w:rPr>
        <w:t xml:space="preserve">13</w:t>
      </w:r>
      <w:r>
        <w:t xml:space="preserve">. The majority of exchanged taxa therefore had ecologies suited to open habitats, and preferentially dispersed during cold and dry climate intervals</w:t>
      </w:r>
      <w:r>
        <w:rPr>
          <w:vertAlign w:val="superscript"/>
        </w:rPr>
        <w:t xml:space="preserve">9</w:t>
      </w:r>
      <w:r>
        <w:t xml:space="preserve">. That being said, as mentioned by Weir</w:t>
      </w:r>
      <w:r>
        <w:rPr>
          <w:vertAlign w:val="superscript"/>
        </w:rPr>
        <w:t xml:space="preserve">48</w:t>
      </w:r>
      <w:r>
        <w:t xml:space="preserve">, the mammal fossil record in the Americas is highly biased, with few occurrences coming from low-latitude tropical regions, which is particularly striking in the case of South America</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52</w:t>
      </w:r>
      <w:r>
        <w:t xml:space="preserve">. Furthermore, evidence from extant taxa suggest tropical niche conservatism</w:t>
      </w:r>
    </w:p>
    <w:p>
      <w:pPr>
        <w:pStyle w:val="BodyText"/>
      </w:pPr>
      <w:r>
        <w:t xml:space="preserve">Also, across simulations, exchange pulses manifestly don’t relate to temperature fluctuations (Figure S11), which has yet been postulated many times (</w:t>
      </w:r>
      <w:r>
        <w:rPr>
          <w:i/>
          <w:iCs/>
        </w:rPr>
        <w:t xml:space="preserve">e</w:t>
      </w:r>
      <w:r>
        <w:t xml:space="preserve">.</w:t>
      </w:r>
      <w:r>
        <w:rPr>
          <w:i/>
          <w:iCs/>
        </w:rPr>
        <w:t xml:space="preserve">g</w:t>
      </w:r>
      <w:r>
        <w:t xml:space="preserve">., Woorburne et al.</w:t>
      </w:r>
      <w:r>
        <w:rPr>
          <w:vertAlign w:val="superscript"/>
        </w:rPr>
        <w:t xml:space="preserve">9</w:t>
      </w:r>
      <w:r>
        <w:t xml:space="preserve"> </w:t>
      </w:r>
      <w:r>
        <w:t xml:space="preserve">and literature therein.</w:t>
      </w:r>
    </w:p>
    <w:p>
      <w:pPr>
        <w:pStyle w:val="BodyText"/>
      </w:pPr>
      <w:r>
        <w:t xml:space="preserve">Biome pattern (Figure S6) directly reflects the diffential amount of surface that each biome represents in the two continents.</w:t>
      </w:r>
    </w:p>
    <w:p>
      <w:pPr>
        <w:pStyle w:val="BodyText"/>
      </w:pPr>
      <w:r>
        <w:t xml:space="preserve">Precipitation niche</w:t>
      </w:r>
      <w:r>
        <w:rPr>
          <w:vertAlign w:val="superscript"/>
        </w:rPr>
        <w:t xml:space="preserve">34</w:t>
      </w:r>
      <w:r>
        <w:t xml:space="preserve">. Result of Figure 2C for</w:t>
      </w:r>
      <w:r>
        <w:t xml:space="preserve"> </w:t>
      </w:r>
      <m:oMath>
        <m:r>
          <m:t>M</m:t>
        </m:r>
        <m:r>
          <m:t>3</m:t>
        </m:r>
      </m:oMath>
      <w:r>
        <w:t xml:space="preserve"> </w:t>
      </w:r>
      <w:r>
        <w:t xml:space="preserve">can be related to tropical biome</w:t>
      </w:r>
    </w:p>
    <w:p>
      <w:pPr>
        <w:pStyle w:val="BodyText"/>
      </w:pPr>
      <w:r>
        <w:t xml:space="preserve">Effect of climate change to keep in mind for megafaunal extinctions</w:t>
      </w:r>
      <w:r>
        <w:rPr>
          <w:vertAlign w:val="superscript"/>
        </w:rPr>
        <w:t xml:space="preserve">53</w:t>
      </w:r>
    </w:p>
    <w:bookmarkEnd w:id="29"/>
    <w:bookmarkStart w:id="30" w:name="notes-about-tropical-niche-conservatism"/>
    <w:p>
      <w:pPr>
        <w:pStyle w:val="Heading2"/>
      </w:pPr>
      <w:r>
        <w:t xml:space="preserve">Notes about tropical niche conservatism</w:t>
      </w:r>
    </w:p>
    <w:p>
      <w:pPr>
        <w:pStyle w:val="FirstParagraph"/>
      </w:pPr>
      <w:r>
        <w:t xml:space="preserve">“</w:t>
      </w:r>
      <w:r>
        <w:t xml:space="preserve">mammal record is derived almost entirely from temperate-latitude fossils and includes few fossils from tropical forests, which may bias estimates of the direction of traffic between the continents</w:t>
      </w:r>
      <w:r>
        <w:t xml:space="preserve">”</w:t>
      </w:r>
      <w:r>
        <w:rPr>
          <w:vertAlign w:val="superscript"/>
        </w:rPr>
        <w:t xml:space="preserve">48</w:t>
      </w:r>
      <w:r>
        <w:t xml:space="preserve"> </w:t>
      </w:r>
      <w:r>
        <w:t xml:space="preserve">Could the apparent abiotic selectivity that facilitated the dispersal of temperate-adapted mammals be in fact a taphonomic bias? Could the empirically-derived migration imbalance be altered by the tropical niche conservatism of south-to-north migrants?</w:t>
      </w:r>
    </w:p>
    <w:p>
      <w:pPr>
        <w:pStyle w:val="BodyText"/>
      </w:pPr>
      <w:r>
        <w:t xml:space="preserve">Asymmetry of success postulated as a contributor to the LBG</w:t>
      </w:r>
    </w:p>
    <w:p>
      <w:pPr>
        <w:pStyle w:val="BodyText"/>
      </w:pPr>
      <w:r>
        <w:t xml:space="preserve">Our results highlight that successful simulations, either starting from North or South America, exhibit a strong tropical niche conservatism.</w:t>
      </w:r>
    </w:p>
    <w:p>
      <w:pPr>
        <w:pStyle w:val="BodyText"/>
      </w:pPr>
      <w:r>
        <w:t xml:space="preserve">North American taxa exhibit strong Tropical Niche Conservatism (TNC), but not South Americans, except for M0. TNC relaxed in M3.</w:t>
      </w:r>
    </w:p>
    <w:p>
      <w:pPr>
        <w:pStyle w:val="BodyText"/>
      </w:pPr>
      <w:r>
        <w:t xml:space="preserve">Faunistic uniqueness (ccl Tilson Smith et al. 2012 + discu Gilles)</w:t>
      </w:r>
    </w:p>
    <w:bookmarkEnd w:id="30"/>
    <w:bookmarkStart w:id="33" w:name="limitations-and-perspectives"/>
    <w:p>
      <w:pPr>
        <w:pStyle w:val="Heading2"/>
      </w:pPr>
      <w:r>
        <w:t xml:space="preserve">Limitations and perspectives</w:t>
      </w:r>
    </w:p>
    <w:bookmarkStart w:id="31" w:name="taxonomic-extinction-issue"/>
    <w:p>
      <w:pPr>
        <w:pStyle w:val="Heading3"/>
      </w:pPr>
      <w:r>
        <w:t xml:space="preserve">Taxonomic extinction issue</w:t>
      </w:r>
    </w:p>
    <w:p>
      <w:pPr>
        <w:pStyle w:val="FirstParagraph"/>
      </w:pPr>
      <w:r>
        <w:t xml:space="preserve">Differences in the pace at which migrant and native lineages diversified have long been proposed to play a significant role in the asymmetry of the GABI. By reconstructing raw macroevolutionary dynamics from the fossil record, Marshall et al.</w:t>
      </w:r>
      <w:r>
        <w:rPr>
          <w:b/>
          <w:bCs/>
          <w:vertAlign w:val="superscript"/>
        </w:rPr>
        <w:t xml:space="preserve">marshall1992?</w:t>
      </w:r>
      <w:r>
        <w:t xml:space="preserve"> </w:t>
      </w:r>
      <w:r>
        <w:t xml:space="preserve">indeed highlighted that northern immigrant genera experienced notoriously higher origination and lower extinction rates than native lineages in South America. They also quantified . More recently, using a probabilitic framework accounting for preservation heterogeneities to infer fossil-based macroevolutionary trends, Carrillo</w:t>
      </w:r>
      <w:r>
        <w:rPr>
          <w:vertAlign w:val="superscript"/>
        </w:rPr>
        <w:t xml:space="preserve">15</w:t>
      </w:r>
      <w:r>
        <w:t xml:space="preserve"> </w:t>
      </w:r>
      <w:r>
        <w:t xml:space="preserve">showed that the asymmetry of the GABI was not due to differences in origination or dispersal rates, but rather in extinction rates, with native South American lineages experiencing more extinction in their home range than migrant lineages. Unfortunately, our simulation framework did not allow us to test for this, as extinction issue (ref?)</w:t>
      </w:r>
    </w:p>
    <w:bookmarkEnd w:id="31"/>
    <w:bookmarkStart w:id="32" w:name="alternative-interchange-pathways"/>
    <w:p>
      <w:pPr>
        <w:pStyle w:val="Heading3"/>
      </w:pPr>
      <w:r>
        <w:t xml:space="preserve">Alternative interchange pathways</w:t>
      </w:r>
    </w:p>
    <w:p>
      <w:pPr>
        <w:pStyle w:val="FirstParagraph"/>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1</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54,55</w:t>
      </w:r>
      <w:r>
        <w:t xml:space="preserve">. Although over-water dispersal has long been regarded as the prevailing mechanism</w:t>
      </w:r>
      <w:r>
        <w:rPr>
          <w:vertAlign w:val="superscript"/>
        </w:rPr>
        <w:t xml:space="preserve">54</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56</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57</w:t>
      </w:r>
      <w:r>
        <w:t xml:space="preserve"> </w:t>
      </w:r>
      <w:r>
        <w:t xml:space="preserve">as well as the poor mention of West Indies as a stepping-stone in the literature of the GABI, we believe that considering this alternative route in our framework would rather deserve to be the topic of a study in itself.</w:t>
      </w:r>
    </w:p>
    <w:p>
      <w:pPr>
        <w:pStyle w:val="BodyText"/>
      </w:pPr>
      <w:r>
        <w:t xml:space="preserve">Unrealistic timing of colonisation?</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Higher proportion of colonised area could come from the different size of the continents, North America being wider both in terms of absolute surface and number of pixels. The fact North America has a greater area than South America anyways (</w:t>
      </w:r>
      <m:oMath>
        <m:r>
          <m:t>24</m:t>
        </m:r>
      </m:oMath>
      <w:r>
        <w:t xml:space="preserve"> </w:t>
      </w:r>
      <w:r>
        <w:t xml:space="preserve">vs. </w:t>
      </w:r>
      <m:oMath>
        <m:r>
          <m:t>18</m:t>
        </m:r>
        <m:r>
          <m:rPr>
            <m:sty m:val="p"/>
          </m:rPr>
          <m:t>×</m:t>
        </m:r>
        <m:sSup>
          <m:e>
            <m:r>
              <m:t>10</m:t>
            </m:r>
          </m:e>
          <m:sup>
            <m:r>
              <m:t>6</m:t>
            </m:r>
          </m:sup>
        </m:sSup>
      </m:oMath>
      <w:r>
        <w:t xml:space="preserve"> </w:t>
      </w:r>
      <w:r>
        <w:t xml:space="preserve">km</w:t>
      </w:r>
      <m:oMath>
        <m:sSup>
          <m:e>
            <m:r>
              <m:t>​</m:t>
            </m:r>
          </m:e>
          <m:sup>
            <m:r>
              <m:t>2</m:t>
            </m:r>
          </m:sup>
        </m:sSup>
      </m:oMath>
      <w:r>
        <w:t xml:space="preserve">). Propose improvements relying on equal-area landscape !</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assumption of fixed palaeogeography.</w:t>
      </w:r>
    </w:p>
    <w:p>
      <w:r>
        <w:br w:type="page"/>
      </w:r>
    </w:p>
    <w:bookmarkEnd w:id="32"/>
    <w:bookmarkEnd w:id="33"/>
    <w:bookmarkEnd w:id="34"/>
    <w:bookmarkStart w:id="35" w:name="acknowledgements"/>
    <w:p>
      <w:pPr>
        <w:pStyle w:val="Heading1"/>
      </w:pPr>
      <w:r>
        <w:t xml:space="preserve">Acknowledgements</w:t>
      </w:r>
    </w:p>
    <w:p>
      <w:pPr>
        <w:pStyle w:val="FirstParagraph"/>
      </w:pPr>
      <w:r>
        <w:t xml:space="preserve">We thank Céline Devaux for her useful comments on the present work.</w:t>
      </w:r>
    </w:p>
    <w:p>
      <w:r>
        <w:br w:type="page"/>
      </w:r>
    </w:p>
    <w:bookmarkEnd w:id="35"/>
    <w:bookmarkStart w:id="36" w:name="thrash"/>
    <w:p>
      <w:pPr>
        <w:pStyle w:val="Heading1"/>
      </w:pPr>
      <w:r>
        <w:t xml:space="preserve">Thrash</w:t>
      </w:r>
    </w:p>
    <w:p>
      <w:pPr>
        <w:pStyle w:val="FirstParagraph"/>
      </w:pPr>
      <w:r>
        <w:t xml:space="preserve">Our study indicates that climate alone is not sufficient to reproduce the asymmetry of the GABI. This suggests that other factors, unaccounted here, might have been at work to shape the uneven faunal exchange that occured across the America. Among them, one can think about biotic interactions. In fact, in the first studies investigating the GABI, competition involving clades of similar ecology appeared as a likely first-order explanation to the recent demise of South American endemic mammalian clades such as native ungulates</w:t>
      </w:r>
      <w:r>
        <w:rPr>
          <w:vertAlign w:val="superscript"/>
        </w:rPr>
        <w:t xml:space="preserve">16</w:t>
      </w:r>
      <w:r>
        <w:t xml:space="preserve"> </w:t>
      </w:r>
      <w:r>
        <w:t xml:space="preserve">or sparassodonts – metatherian predators</w:t>
      </w:r>
      <w:r>
        <w:rPr>
          <w:vertAlign w:val="superscript"/>
        </w:rPr>
        <w:t xml:space="preserve">58</w:t>
      </w:r>
      <w:r>
        <w:t xml:space="preserve"> </w:t>
      </w:r>
      <w:r>
        <w:t xml:space="preserve">– that followed the establishment of northern lineages</w:t>
      </w:r>
      <w:r>
        <w:rPr>
          <w:vertAlign w:val="superscript"/>
        </w:rPr>
        <w:t xml:space="preserve">18</w:t>
      </w:r>
      <w:r>
        <w:t xml:space="preserve">. Hypotheses invoking competition mostly relied on striking morphological convergences between the clades assumed to have competed –</w:t>
      </w:r>
      <w:r>
        <w:t xml:space="preserve"> </w:t>
      </w:r>
      <w:r>
        <w:rPr>
          <w:i/>
          <w:iCs/>
        </w:rPr>
        <w:t xml:space="preserve">e</w:t>
      </w:r>
      <w:r>
        <w:t xml:space="preserve">.</w:t>
      </w:r>
      <w:r>
        <w:rPr>
          <w:i/>
          <w:iCs/>
        </w:rPr>
        <w:t xml:space="preserve">g</w:t>
      </w:r>
      <w:r>
        <w:t xml:space="preserve">., sabertooth among predators, high-crowned and ever-growing cheek teeth among herbivores. In addition, evidence from stable isotope analyses of mammalian herbivore ennamel from Southern South America suggested that North American clades had broader trophic niches than their South American counterparts, this dietary flexibility therefore offering a larger adaptative power to North American herbivores in South America</w:t>
      </w:r>
      <w:r>
        <w:rPr>
          <w:vertAlign w:val="superscript"/>
        </w:rPr>
        <w:t xml:space="preserve">19</w:t>
      </w:r>
      <w:r>
        <w:t xml:space="preserve">. Moreover, using phylogenetic regressions, Faurby et al.</w:t>
      </w:r>
      <w:r>
        <w:rPr>
          <w:vertAlign w:val="superscript"/>
        </w:rPr>
        <w:t xml:space="preserve">21</w:t>
      </w:r>
      <w:r>
        <w:t xml:space="preserve"> </w:t>
      </w:r>
      <w:r>
        <w:t xml:space="preserve">found support for another biotic interaction that could have played a role in shaping GABI’s asymmetry: predation. They indeed characterised a higher prevalence of traits increasing prey susceptibility among the endemic South American mammals. However, several process-based analyses of the fossil record provided no evidence for biotic interactions involving native South American mammals and their northern counterparts</w:t>
      </w:r>
      <w:r>
        <w:rPr>
          <w:vertAlign w:val="superscript"/>
        </w:rPr>
        <w:t xml:space="preserve">24,25</w:t>
      </w:r>
      <w:r>
        <w:t xml:space="preserve">. Incorporating biotic compounds in mechanistic frameworks such as the one we have implemented here would be a nice way-to-go for future studies tackling the asymmetry behind the GABI.</w:t>
      </w:r>
    </w:p>
    <w:bookmarkEnd w:id="36"/>
    <w:bookmarkStart w:id="152" w:name="references"/>
    <w:p>
      <w:pPr>
        <w:pStyle w:val="Heading1"/>
      </w:pPr>
      <w:r>
        <w:t xml:space="preserve">References</w:t>
      </w:r>
    </w:p>
    <w:bookmarkStart w:id="151" w:name="refs"/>
    <w:bookmarkStart w:id="38" w:name="ref-marshall1982"/>
    <w:p>
      <w:pPr>
        <w:pStyle w:val="Bibliography"/>
      </w:pPr>
      <w:r>
        <w:t xml:space="preserve">1.</w:t>
      </w:r>
      <w:r>
        <w:t xml:space="preserve"> </w:t>
      </w:r>
      <w:r>
        <w:t xml:space="preserve">	</w:t>
      </w:r>
      <w:r>
        <w:t xml:space="preserve">Marshall, L.G., Webb, S.D., Sepkoski, J.J., and Raup, D.M. (1982).</w:t>
      </w:r>
      <w:r>
        <w:t xml:space="preserve"> </w:t>
      </w:r>
      <w:hyperlink r:id="rId37">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8"/>
    <w:bookmarkStart w:id="40"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39">
        <w:r>
          <w:rPr>
            <w:rStyle w:val="Hyperlink"/>
          </w:rPr>
          <w:t xml:space="preserve">https://doi.org/10.1126/science.aaa2815</w:t>
        </w:r>
      </w:hyperlink>
      <w:r>
        <w:t xml:space="preserve">.</w:t>
      </w:r>
    </w:p>
    <w:bookmarkEnd w:id="40"/>
    <w:bookmarkStart w:id="42" w:name="ref-jaramillo2018"/>
    <w:p>
      <w:pPr>
        <w:pStyle w:val="Bibliography"/>
      </w:pPr>
      <w:r>
        <w:t xml:space="preserve">3.</w:t>
      </w:r>
      <w:r>
        <w:t xml:space="preserve"> </w:t>
      </w:r>
      <w:r>
        <w:t xml:space="preserve">	</w:t>
      </w:r>
      <w:r>
        <w:t xml:space="preserve">Jaramillo, C.A. (2018).</w:t>
      </w:r>
      <w:r>
        <w:t xml:space="preserve"> </w:t>
      </w:r>
      <w:hyperlink r:id="rId41">
        <w:r>
          <w:rPr>
            <w:rStyle w:val="Hyperlink"/>
          </w:rPr>
          <w:t xml:space="preserve">Evolution of the isthmus of panama: Biological, paleoceanographic and paleoclimatological implications</w:t>
        </w:r>
      </w:hyperlink>
      <w:r>
        <w:t xml:space="preserve">. In (John Wiley &amp; Sons).</w:t>
      </w:r>
    </w:p>
    <w:bookmarkEnd w:id="42"/>
    <w:bookmarkStart w:id="44"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3">
        <w:r>
          <w:rPr>
            <w:rStyle w:val="Hyperlink"/>
          </w:rPr>
          <w:t xml:space="preserve">https://doi.org/10.1126/sciadv.1600883</w:t>
        </w:r>
      </w:hyperlink>
      <w:r>
        <w:t xml:space="preserve">.</w:t>
      </w:r>
    </w:p>
    <w:bookmarkEnd w:id="44"/>
    <w:bookmarkStart w:id="46" w:name="ref-bourke2025"/>
    <w:p>
      <w:pPr>
        <w:pStyle w:val="Bibliography"/>
      </w:pPr>
      <w:r>
        <w:t xml:space="preserve">5.</w:t>
      </w:r>
      <w:r>
        <w:t xml:space="preserve"> </w:t>
      </w:r>
      <w:r>
        <w:t xml:space="preserve">	</w:t>
      </w:r>
      <w:r>
        <w:t xml:space="preserve">Bourke, J.R., Link, F., Long, M.D., and Wright, J. (2025). Evidence for Caribbean Plate Subduction Beneath the Isthmus of Panama and Implications for Subduction Initiation and the Closure of the Central American Isthmus During the Miocene. Geochemistry, Geophysics, Geosystems</w:t>
      </w:r>
      <w:r>
        <w:t xml:space="preserve"> </w:t>
      </w:r>
      <w:r>
        <w:rPr>
          <w:i/>
          <w:iCs/>
        </w:rPr>
        <w:t xml:space="preserve">26</w:t>
      </w:r>
      <w:r>
        <w:t xml:space="preserve">, e2025GC012288.</w:t>
      </w:r>
      <w:r>
        <w:t xml:space="preserve"> </w:t>
      </w:r>
      <w:hyperlink r:id="rId45">
        <w:r>
          <w:rPr>
            <w:rStyle w:val="Hyperlink"/>
          </w:rPr>
          <w:t xml:space="preserve">https://doi.org/10.1029/2025GC012288</w:t>
        </w:r>
      </w:hyperlink>
      <w:r>
        <w:t xml:space="preserve">.</w:t>
      </w:r>
    </w:p>
    <w:bookmarkEnd w:id="46"/>
    <w:bookmarkStart w:id="48" w:name="ref-verzi2008"/>
    <w:p>
      <w:pPr>
        <w:pStyle w:val="Bibliography"/>
      </w:pPr>
      <w:r>
        <w:t xml:space="preserve">6.</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7">
        <w:r>
          <w:rPr>
            <w:rStyle w:val="Hyperlink"/>
          </w:rPr>
          <w:t xml:space="preserve">https://doi.org/10.1016/j.geobios.2006.09.005</w:t>
        </w:r>
      </w:hyperlink>
      <w:r>
        <w:t xml:space="preserve">.</w:t>
      </w:r>
    </w:p>
    <w:bookmarkEnd w:id="48"/>
    <w:bookmarkStart w:id="50" w:name="ref-tedford2004"/>
    <w:p>
      <w:pPr>
        <w:pStyle w:val="Bibliography"/>
      </w:pPr>
      <w:r>
        <w:t xml:space="preserve">7.</w:t>
      </w:r>
      <w:r>
        <w:t xml:space="preserve"> </w:t>
      </w:r>
      <w:r>
        <w:t xml:space="preserve">	</w:t>
      </w:r>
      <w:r>
        <w:t xml:space="preserve">Tedford, R.H., Albright, L.B., Barnosky, A.D., Ferrusquia-Villafranca, I., Hunt, R.M., Storer, J.E., Swisher, C.C., Voorhies, M.R., Webb, S.D., and Whistler, D.P. (2004).</w:t>
      </w:r>
      <w:r>
        <w:t xml:space="preserve"> </w:t>
      </w:r>
      <w:hyperlink r:id="rId49">
        <w:r>
          <w:rPr>
            <w:rStyle w:val="Hyperlink"/>
          </w:rPr>
          <w:t xml:space="preserve">6. Mammalian Biochronology of the Arikareean Through Hemphillian Interval (Late Oligocene Through Early Pliocene Epochs)</w:t>
        </w:r>
      </w:hyperlink>
      <w:r>
        <w:t xml:space="preserve">. In, M. O. Woodburne, ed. (Columbia University Press), pp. 169–231.</w:t>
      </w:r>
    </w:p>
    <w:bookmarkEnd w:id="50"/>
    <w:bookmarkStart w:id="52" w:name="ref-carrillo2015"/>
    <w:p>
      <w:pPr>
        <w:pStyle w:val="Bibliography"/>
      </w:pPr>
      <w:r>
        <w:t xml:space="preserve">8.</w:t>
      </w:r>
      <w:r>
        <w:t xml:space="preserve"> </w:t>
      </w:r>
      <w:r>
        <w:t xml:space="preserve">	</w:t>
      </w:r>
      <w:r>
        <w:t xml:space="preserve">Carrillo, J.D., Forasiepi, A., Jaramillo, C., and Sánchez-Villagra, M.R. (2015). Neotropical mammal diversity and the great american biotic interchange: Spatial and temporal variation in south america’s fossil record. Frontiers in Genetics</w:t>
      </w:r>
      <w:r>
        <w:t xml:space="preserve"> </w:t>
      </w:r>
      <w:r>
        <w:rPr>
          <w:i/>
          <w:iCs/>
        </w:rPr>
        <w:t xml:space="preserve">5</w:t>
      </w:r>
      <w:r>
        <w:t xml:space="preserve">.</w:t>
      </w:r>
      <w:r>
        <w:t xml:space="preserve"> </w:t>
      </w:r>
      <w:hyperlink r:id="rId51">
        <w:r>
          <w:rPr>
            <w:rStyle w:val="Hyperlink"/>
          </w:rPr>
          <w:t xml:space="preserve">https://doi.org/10.3389/fgene.2014.00451</w:t>
        </w:r>
      </w:hyperlink>
      <w:r>
        <w:t xml:space="preserve">.</w:t>
      </w:r>
    </w:p>
    <w:bookmarkEnd w:id="52"/>
    <w:bookmarkStart w:id="54" w:name="ref-woodburne2010"/>
    <w:p>
      <w:pPr>
        <w:pStyle w:val="Bibliography"/>
      </w:pPr>
      <w:r>
        <w:t xml:space="preserve">9.</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53">
        <w:r>
          <w:rPr>
            <w:rStyle w:val="Hyperlink"/>
          </w:rPr>
          <w:t xml:space="preserve">https://doi.org/10.1007/s10914-010-9144-8</w:t>
        </w:r>
      </w:hyperlink>
      <w:r>
        <w:t xml:space="preserve">.</w:t>
      </w:r>
    </w:p>
    <w:bookmarkEnd w:id="54"/>
    <w:bookmarkStart w:id="56" w:name="ref-bacon2015"/>
    <w:p>
      <w:pPr>
        <w:pStyle w:val="Bibliography"/>
      </w:pPr>
      <w:r>
        <w:t xml:space="preserve">10.</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55">
        <w:r>
          <w:rPr>
            <w:rStyle w:val="Hyperlink"/>
          </w:rPr>
          <w:t xml:space="preserve">https://doi.org/10.1073/pnas.1423853112</w:t>
        </w:r>
      </w:hyperlink>
      <w:r>
        <w:t xml:space="preserve">.</w:t>
      </w:r>
    </w:p>
    <w:bookmarkEnd w:id="56"/>
    <w:bookmarkStart w:id="58" w:name="ref-bacon2016"/>
    <w:p>
      <w:pPr>
        <w:pStyle w:val="Bibliography"/>
      </w:pPr>
      <w:r>
        <w:t xml:space="preserve">11.</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57">
        <w:r>
          <w:rPr>
            <w:rStyle w:val="Hyperlink"/>
          </w:rPr>
          <w:t xml:space="preserve">https://doi.org/10.1130/G37624.1</w:t>
        </w:r>
      </w:hyperlink>
      <w:r>
        <w:t xml:space="preserve">.</w:t>
      </w:r>
    </w:p>
    <w:bookmarkEnd w:id="58"/>
    <w:bookmarkStart w:id="60" w:name="ref-webb1976"/>
    <w:p>
      <w:pPr>
        <w:pStyle w:val="Bibliography"/>
      </w:pPr>
      <w:r>
        <w:t xml:space="preserve">12.</w:t>
      </w:r>
      <w:r>
        <w:t xml:space="preserve"> </w:t>
      </w:r>
      <w:r>
        <w:t xml:space="preserve">	</w:t>
      </w:r>
      <w:r>
        <w:t xml:space="preserve">Webb, S.D. (1976).</w:t>
      </w:r>
      <w:r>
        <w:t xml:space="preserve"> </w:t>
      </w:r>
      <w:hyperlink r:id="rId59">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60"/>
    <w:bookmarkStart w:id="62" w:name="ref-webb1991"/>
    <w:p>
      <w:pPr>
        <w:pStyle w:val="Bibliography"/>
      </w:pPr>
      <w:r>
        <w:t xml:space="preserve">13.</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61">
        <w:r>
          <w:rPr>
            <w:rStyle w:val="Hyperlink"/>
          </w:rPr>
          <w:t xml:space="preserve">https://doi.org/10.1017/S0094837300010605</w:t>
        </w:r>
      </w:hyperlink>
      <w:r>
        <w:t xml:space="preserve">.</w:t>
      </w:r>
    </w:p>
    <w:bookmarkEnd w:id="62"/>
    <w:bookmarkStart w:id="64" w:name="ref-cione2015"/>
    <w:p>
      <w:pPr>
        <w:pStyle w:val="Bibliography"/>
      </w:pPr>
      <w:r>
        <w:t xml:space="preserve">14.</w:t>
      </w:r>
      <w:r>
        <w:t xml:space="preserve"> </w:t>
      </w:r>
      <w:r>
        <w:t xml:space="preserve">	</w:t>
      </w:r>
      <w:r>
        <w:t xml:space="preserve">Cione, A.L., Gasparini, G.M., Soibelzon, E., Soibelzon, L.H., and Tonni, E.P. (2015).</w:t>
      </w:r>
      <w:r>
        <w:t xml:space="preserve"> </w:t>
      </w:r>
      <w:hyperlink r:id="rId63">
        <w:r>
          <w:rPr>
            <w:rStyle w:val="Hyperlink"/>
          </w:rPr>
          <w:t xml:space="preserve">The Great American Biotic Interchange: A South American Perspective</w:t>
        </w:r>
      </w:hyperlink>
      <w:r>
        <w:t xml:space="preserve"> </w:t>
      </w:r>
      <w:r>
        <w:t xml:space="preserve">(Springer Netherlands).</w:t>
      </w:r>
    </w:p>
    <w:bookmarkEnd w:id="64"/>
    <w:bookmarkStart w:id="66" w:name="ref-carrillo2020"/>
    <w:p>
      <w:pPr>
        <w:pStyle w:val="Bibliography"/>
      </w:pPr>
      <w:r>
        <w:t xml:space="preserve">15.</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65">
        <w:r>
          <w:rPr>
            <w:rStyle w:val="Hyperlink"/>
          </w:rPr>
          <w:t xml:space="preserve">https://doi.org/10.1073/pnas.2009397117</w:t>
        </w:r>
      </w:hyperlink>
      <w:r>
        <w:t xml:space="preserve">.</w:t>
      </w:r>
    </w:p>
    <w:bookmarkEnd w:id="66"/>
    <w:bookmarkStart w:id="68" w:name="ref-croft2020"/>
    <w:p>
      <w:pPr>
        <w:pStyle w:val="Bibliography"/>
      </w:pPr>
      <w:r>
        <w:t xml:space="preserve">16.</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67">
        <w:r>
          <w:rPr>
            <w:rStyle w:val="Hyperlink"/>
          </w:rPr>
          <w:t xml:space="preserve">https://doi.org/10.1146/annurev-earth-072619-060126</w:t>
        </w:r>
      </w:hyperlink>
      <w:r>
        <w:t xml:space="preserve">.</w:t>
      </w:r>
    </w:p>
    <w:bookmarkEnd w:id="68"/>
    <w:bookmarkStart w:id="70" w:name="ref-boscaini2025"/>
    <w:p>
      <w:pPr>
        <w:pStyle w:val="Bibliography"/>
      </w:pPr>
      <w:r>
        <w:t xml:space="preserve">17.</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9">
        <w:r>
          <w:rPr>
            <w:rStyle w:val="Hyperlink"/>
          </w:rPr>
          <w:t xml:space="preserve">https://doi.org/10.1126/science.adu0704</w:t>
        </w:r>
      </w:hyperlink>
      <w:r>
        <w:t xml:space="preserve">.</w:t>
      </w:r>
    </w:p>
    <w:bookmarkEnd w:id="70"/>
    <w:bookmarkStart w:id="71" w:name="ref-simpson1980"/>
    <w:p>
      <w:pPr>
        <w:pStyle w:val="Bibliography"/>
      </w:pPr>
      <w:r>
        <w:t xml:space="preserve">18.</w:t>
      </w:r>
      <w:r>
        <w:t xml:space="preserve"> </w:t>
      </w:r>
      <w:r>
        <w:t xml:space="preserve">	</w:t>
      </w:r>
      <w:r>
        <w:t xml:space="preserve">Simpson, G.G. (1980). Splendid isolation : The curious history of south american mammals Yale University Press, New Haven.</w:t>
      </w:r>
    </w:p>
    <w:bookmarkEnd w:id="71"/>
    <w:bookmarkStart w:id="73" w:name="ref-domingo2020"/>
    <w:p>
      <w:pPr>
        <w:pStyle w:val="Bibliography"/>
      </w:pPr>
      <w:r>
        <w:t xml:space="preserve">19.</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72">
        <w:r>
          <w:rPr>
            <w:rStyle w:val="Hyperlink"/>
          </w:rPr>
          <w:t xml:space="preserve">https://doi.org/10.1038/s41598-020-58575-6</w:t>
        </w:r>
      </w:hyperlink>
      <w:r>
        <w:t xml:space="preserve">.</w:t>
      </w:r>
    </w:p>
    <w:bookmarkEnd w:id="73"/>
    <w:bookmarkStart w:id="74" w:name="ref-marshall1990"/>
    <w:p>
      <w:pPr>
        <w:pStyle w:val="Bibliography"/>
      </w:pPr>
      <w:r>
        <w:t xml:space="preserve">20.</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74"/>
    <w:bookmarkStart w:id="76" w:name="ref-faurby2016"/>
    <w:p>
      <w:pPr>
        <w:pStyle w:val="Bibliography"/>
      </w:pPr>
      <w:r>
        <w:t xml:space="preserve">21.</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75">
        <w:r>
          <w:rPr>
            <w:rStyle w:val="Hyperlink"/>
          </w:rPr>
          <w:t xml:space="preserve">https://doi.org/10.1111/geb.12504</w:t>
        </w:r>
      </w:hyperlink>
      <w:r>
        <w:t xml:space="preserve">.</w:t>
      </w:r>
    </w:p>
    <w:bookmarkEnd w:id="76"/>
    <w:bookmarkStart w:id="78" w:name="ref-fernández-monescillo2025"/>
    <w:p>
      <w:pPr>
        <w:pStyle w:val="Bibliography"/>
      </w:pPr>
      <w:r>
        <w:t xml:space="preserve">22.</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77">
        <w:r>
          <w:rPr>
            <w:rStyle w:val="Hyperlink"/>
          </w:rPr>
          <w:t xml:space="preserve">https://doi.org/10.1111/pala.70012</w:t>
        </w:r>
      </w:hyperlink>
      <w:r>
        <w:t xml:space="preserve">.</w:t>
      </w:r>
    </w:p>
    <w:bookmarkEnd w:id="78"/>
    <w:bookmarkStart w:id="80" w:name="ref-vrba1992"/>
    <w:p>
      <w:pPr>
        <w:pStyle w:val="Bibliography"/>
      </w:pPr>
      <w:r>
        <w:t xml:space="preserve">23.</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9">
        <w:r>
          <w:rPr>
            <w:rStyle w:val="Hyperlink"/>
          </w:rPr>
          <w:t xml:space="preserve">https://doi.org/10.2307/1381862</w:t>
        </w:r>
      </w:hyperlink>
      <w:r>
        <w:t xml:space="preserve">.</w:t>
      </w:r>
    </w:p>
    <w:bookmarkEnd w:id="80"/>
    <w:bookmarkStart w:id="82" w:name="ref-prevosti2013"/>
    <w:p>
      <w:pPr>
        <w:pStyle w:val="Bibliography"/>
      </w:pPr>
      <w:r>
        <w:t xml:space="preserve">24.</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81">
        <w:r>
          <w:rPr>
            <w:rStyle w:val="Hyperlink"/>
          </w:rPr>
          <w:t xml:space="preserve">https://doi.org/10.1007/s10914-011-9175-9</w:t>
        </w:r>
      </w:hyperlink>
      <w:r>
        <w:t xml:space="preserve">.</w:t>
      </w:r>
    </w:p>
    <w:bookmarkEnd w:id="82"/>
    <w:bookmarkStart w:id="84" w:name="ref-tarquini2022"/>
    <w:p>
      <w:pPr>
        <w:pStyle w:val="Bibliography"/>
      </w:pPr>
      <w:r>
        <w:t xml:space="preserve">25.</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83">
        <w:r>
          <w:rPr>
            <w:rStyle w:val="Hyperlink"/>
          </w:rPr>
          <w:t xml:space="preserve">https://doi.org/10.1038/s41598-022-05266-z</w:t>
        </w:r>
      </w:hyperlink>
      <w:r>
        <w:t xml:space="preserve">.</w:t>
      </w:r>
    </w:p>
    <w:bookmarkEnd w:id="84"/>
    <w:bookmarkStart w:id="86" w:name="ref-marsà2025"/>
    <w:p>
      <w:pPr>
        <w:pStyle w:val="Bibliography"/>
      </w:pPr>
      <w:r>
        <w:t xml:space="preserve">26.</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85">
        <w:r>
          <w:rPr>
            <w:rStyle w:val="Hyperlink"/>
          </w:rPr>
          <w:t xml:space="preserve">https://doi.org/10.3390/d17030153</w:t>
        </w:r>
      </w:hyperlink>
      <w:r>
        <w:t xml:space="preserve">.</w:t>
      </w:r>
    </w:p>
    <w:bookmarkEnd w:id="86"/>
    <w:bookmarkStart w:id="88" w:name="ref-freitas-oliveira2024"/>
    <w:p>
      <w:pPr>
        <w:pStyle w:val="Bibliography"/>
      </w:pPr>
      <w:r>
        <w:t xml:space="preserve">27.</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7">
        <w:r>
          <w:rPr>
            <w:rStyle w:val="Hyperlink"/>
          </w:rPr>
          <w:t xml:space="preserve">https://doi.org/10.1038/s44185-024-00045-7</w:t>
        </w:r>
      </w:hyperlink>
      <w:r>
        <w:t xml:space="preserve">.</w:t>
      </w:r>
    </w:p>
    <w:bookmarkEnd w:id="88"/>
    <w:bookmarkStart w:id="90" w:name="ref-freitas-oliveira2025"/>
    <w:p>
      <w:pPr>
        <w:pStyle w:val="Bibliography"/>
      </w:pPr>
      <w:r>
        <w:t xml:space="preserve">28.</w:t>
      </w:r>
      <w:r>
        <w:t xml:space="preserve"> </w:t>
      </w:r>
      <w:r>
        <w:t xml:space="preserve">	</w:t>
      </w:r>
      <w:r>
        <w:t xml:space="preserve">Freitas-Oliveira, R., Lima-Ribeiro, M.S., Mendoza-Rodriguez, V.H., and Terribile, L.C. (2025). Reviewing the great american biotic interchange: Climate change as a trigger for biodiversity dispersal. Proceedings of the Royal Society B: Biological Sciences</w:t>
      </w:r>
      <w:r>
        <w:t xml:space="preserve"> </w:t>
      </w:r>
      <w:r>
        <w:rPr>
          <w:i/>
          <w:iCs/>
        </w:rPr>
        <w:t xml:space="preserve">292</w:t>
      </w:r>
      <w:r>
        <w:t xml:space="preserve">, 20251745.</w:t>
      </w:r>
      <w:r>
        <w:t xml:space="preserve"> </w:t>
      </w:r>
      <w:hyperlink r:id="rId89">
        <w:r>
          <w:rPr>
            <w:rStyle w:val="Hyperlink"/>
          </w:rPr>
          <w:t xml:space="preserve">https://doi.org/10.1098/rspb.2025.1745</w:t>
        </w:r>
      </w:hyperlink>
      <w:r>
        <w:t xml:space="preserve">.</w:t>
      </w:r>
    </w:p>
    <w:bookmarkEnd w:id="90"/>
    <w:bookmarkStart w:id="92" w:name="ref-pilowsky2022"/>
    <w:p>
      <w:pPr>
        <w:pStyle w:val="Bibliography"/>
      </w:pPr>
      <w:r>
        <w:t xml:space="preserve">29.</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91">
        <w:r>
          <w:rPr>
            <w:rStyle w:val="Hyperlink"/>
          </w:rPr>
          <w:t xml:space="preserve">https://doi.org/10.1126/sciadv.abj2271</w:t>
        </w:r>
      </w:hyperlink>
      <w:r>
        <w:t xml:space="preserve">.</w:t>
      </w:r>
    </w:p>
    <w:bookmarkEnd w:id="92"/>
    <w:bookmarkStart w:id="94" w:name="ref-hagen2023"/>
    <w:p>
      <w:pPr>
        <w:pStyle w:val="Bibliography"/>
      </w:pPr>
      <w:r>
        <w:t xml:space="preserve">30.</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93">
        <w:r>
          <w:rPr>
            <w:rStyle w:val="Hyperlink"/>
          </w:rPr>
          <w:t xml:space="preserve">https://doi.org/10.1111/ecog.06132</w:t>
        </w:r>
      </w:hyperlink>
      <w:r>
        <w:t xml:space="preserve">.</w:t>
      </w:r>
    </w:p>
    <w:bookmarkEnd w:id="94"/>
    <w:bookmarkStart w:id="96" w:name="ref-hagen2021"/>
    <w:p>
      <w:pPr>
        <w:pStyle w:val="Bibliography"/>
      </w:pPr>
      <w:r>
        <w:t xml:space="preserve">31.</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95">
        <w:r>
          <w:rPr>
            <w:rStyle w:val="Hyperlink"/>
          </w:rPr>
          <w:t xml:space="preserve">https://doi.org/10.1371/journal.pbio.3001340</w:t>
        </w:r>
      </w:hyperlink>
      <w:r>
        <w:t xml:space="preserve">.</w:t>
      </w:r>
    </w:p>
    <w:bookmarkEnd w:id="96"/>
    <w:bookmarkStart w:id="98" w:name="ref-lorcery2025"/>
    <w:p>
      <w:pPr>
        <w:pStyle w:val="Bibliography"/>
      </w:pPr>
      <w:r>
        <w:t xml:space="preserve">32.</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97">
        <w:r>
          <w:rPr>
            <w:rStyle w:val="Hyperlink"/>
          </w:rPr>
          <w:t xml:space="preserve">https://doi.org/10.1371/journal.pone.0332766</w:t>
        </w:r>
      </w:hyperlink>
      <w:r>
        <w:t xml:space="preserve">.</w:t>
      </w:r>
    </w:p>
    <w:bookmarkEnd w:id="98"/>
    <w:bookmarkStart w:id="100" w:name="ref-hagen2021b"/>
    <w:p>
      <w:pPr>
        <w:pStyle w:val="Bibliography"/>
      </w:pPr>
      <w:r>
        <w:t xml:space="preserve">33.</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99">
        <w:r>
          <w:rPr>
            <w:rStyle w:val="Hyperlink"/>
          </w:rPr>
          <w:t xml:space="preserve">https://doi.org/10.1073/pnas.2026347118</w:t>
        </w:r>
      </w:hyperlink>
      <w:r>
        <w:t xml:space="preserve">.</w:t>
      </w:r>
    </w:p>
    <w:bookmarkEnd w:id="100"/>
    <w:bookmarkStart w:id="102" w:name="ref-skeels2023b"/>
    <w:p>
      <w:pPr>
        <w:pStyle w:val="Bibliography"/>
      </w:pPr>
      <w:r>
        <w:t xml:space="preserve">34.</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101">
        <w:r>
          <w:rPr>
            <w:rStyle w:val="Hyperlink"/>
          </w:rPr>
          <w:t xml:space="preserve">https://doi.org/10.1126/science.adf7122</w:t>
        </w:r>
      </w:hyperlink>
      <w:r>
        <w:t xml:space="preserve">.</w:t>
      </w:r>
    </w:p>
    <w:bookmarkEnd w:id="102"/>
    <w:bookmarkStart w:id="104" w:name="ref-boschman2023"/>
    <w:p>
      <w:pPr>
        <w:pStyle w:val="Bibliography"/>
      </w:pPr>
      <w:r>
        <w:t xml:space="preserve">35.</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103">
        <w:r>
          <w:rPr>
            <w:rStyle w:val="Hyperlink"/>
          </w:rPr>
          <w:t xml:space="preserve">https://doi.org/10.1038/s41559-023-02220-8</w:t>
        </w:r>
      </w:hyperlink>
      <w:r>
        <w:t xml:space="preserve">.</w:t>
      </w:r>
    </w:p>
    <w:bookmarkEnd w:id="104"/>
    <w:bookmarkStart w:id="106" w:name="ref-skeels2023"/>
    <w:p>
      <w:pPr>
        <w:pStyle w:val="Bibliography"/>
      </w:pPr>
      <w:r>
        <w:t xml:space="preserve">36.</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105">
        <w:r>
          <w:rPr>
            <w:rStyle w:val="Hyperlink"/>
          </w:rPr>
          <w:t xml:space="preserve">https://doi.org/10.1093/sysbio/syac048</w:t>
        </w:r>
      </w:hyperlink>
      <w:r>
        <w:t xml:space="preserve">.</w:t>
      </w:r>
    </w:p>
    <w:bookmarkEnd w:id="106"/>
    <w:bookmarkStart w:id="108" w:name="ref-liu2024"/>
    <w:p>
      <w:pPr>
        <w:pStyle w:val="Bibliography"/>
      </w:pPr>
      <w:r>
        <w:t xml:space="preserve">37.</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107">
        <w:r>
          <w:rPr>
            <w:rStyle w:val="Hyperlink"/>
          </w:rPr>
          <w:t xml:space="preserve">https://doi.org/10.1126/science.adi0833</w:t>
        </w:r>
      </w:hyperlink>
      <w:r>
        <w:t xml:space="preserve">.</w:t>
      </w:r>
    </w:p>
    <w:bookmarkEnd w:id="108"/>
    <w:bookmarkStart w:id="110" w:name="ref-holden2019"/>
    <w:p>
      <w:pPr>
        <w:pStyle w:val="Bibliography"/>
      </w:pPr>
      <w:r>
        <w:t xml:space="preserve">38.</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109">
        <w:r>
          <w:rPr>
            <w:rStyle w:val="Hyperlink"/>
          </w:rPr>
          <w:t xml:space="preserve">https://doi.org/10.5194/gmd-12-5137-2019</w:t>
        </w:r>
      </w:hyperlink>
      <w:r>
        <w:t xml:space="preserve">.</w:t>
      </w:r>
    </w:p>
    <w:bookmarkEnd w:id="110"/>
    <w:bookmarkStart w:id="112" w:name="ref-barreto2023"/>
    <w:p>
      <w:pPr>
        <w:pStyle w:val="Bibliography"/>
      </w:pPr>
      <w:r>
        <w:t xml:space="preserve">39.</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11">
        <w:r>
          <w:rPr>
            <w:rStyle w:val="Hyperlink"/>
          </w:rPr>
          <w:t xml:space="preserve">https://doi.org/10.1111/geb.13683</w:t>
        </w:r>
      </w:hyperlink>
      <w:r>
        <w:t xml:space="preserve">.</w:t>
      </w:r>
    </w:p>
    <w:bookmarkEnd w:id="112"/>
    <w:bookmarkStart w:id="114" w:name="ref-beck2018"/>
    <w:p>
      <w:pPr>
        <w:pStyle w:val="Bibliography"/>
      </w:pPr>
      <w:r>
        <w:t xml:space="preserve">40.</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13">
        <w:r>
          <w:rPr>
            <w:rStyle w:val="Hyperlink"/>
          </w:rPr>
          <w:t xml:space="preserve">https://doi.org/10.1038/sdata.2018.214</w:t>
        </w:r>
      </w:hyperlink>
      <w:r>
        <w:t xml:space="preserve">.</w:t>
      </w:r>
    </w:p>
    <w:bookmarkEnd w:id="114"/>
    <w:bookmarkStart w:id="116" w:name="ref-galván2023"/>
    <w:p>
      <w:pPr>
        <w:pStyle w:val="Bibliography"/>
      </w:pPr>
      <w:r>
        <w:t xml:space="preserve">41.</w:t>
      </w:r>
      <w:r>
        <w:t xml:space="preserve"> </w:t>
      </w:r>
      <w:r>
        <w:t xml:space="preserve">	</w:t>
      </w:r>
      <w:r>
        <w:t xml:space="preserve">Galván, S., Gamboa, S., and Varela, S. (2023).</w:t>
      </w:r>
      <w:r>
        <w:t xml:space="preserve"> </w:t>
      </w:r>
      <w:hyperlink r:id="rId115">
        <w:r>
          <w:rPr>
            <w:rStyle w:val="Hyperlink"/>
          </w:rPr>
          <w:t xml:space="preserve">Köppen Geiger climatic classification for R users.</w:t>
        </w:r>
      </w:hyperlink>
    </w:p>
    <w:bookmarkEnd w:id="116"/>
    <w:bookmarkStart w:id="117" w:name="ref-macarthur1967"/>
    <w:p>
      <w:pPr>
        <w:pStyle w:val="Bibliography"/>
      </w:pPr>
      <w:r>
        <w:t xml:space="preserve">42.</w:t>
      </w:r>
      <w:r>
        <w:t xml:space="preserve"> </w:t>
      </w:r>
      <w:r>
        <w:t xml:space="preserve">	</w:t>
      </w:r>
      <w:r>
        <w:t xml:space="preserve">MacArthur, R.H., and Wilson, E.O. (1967). The theory of island biogeography Princeton University Press.</w:t>
      </w:r>
    </w:p>
    <w:bookmarkEnd w:id="117"/>
    <w:bookmarkStart w:id="119" w:name="ref-willig2003"/>
    <w:p>
      <w:pPr>
        <w:pStyle w:val="Bibliography"/>
      </w:pPr>
      <w:r>
        <w:t xml:space="preserve">43.</w:t>
      </w:r>
      <w:r>
        <w:t xml:space="preserve"> </w:t>
      </w:r>
      <w:r>
        <w:t xml:space="preserve">	</w:t>
      </w:r>
      <w:r>
        <w:t xml:space="preserve">Willig, M.R., Kaufman, D.M., and Stevens, R.D. (2003). Latitudinal gradients of biodiversity: Pattern, process, scale, and synthesis. Annual Review of Ecology, Evolution, and Systematics</w:t>
      </w:r>
      <w:r>
        <w:t xml:space="preserve"> </w:t>
      </w:r>
      <w:r>
        <w:rPr>
          <w:i/>
          <w:iCs/>
        </w:rPr>
        <w:t xml:space="preserve">34</w:t>
      </w:r>
      <w:r>
        <w:t xml:space="preserve">, 273–309.</w:t>
      </w:r>
      <w:r>
        <w:t xml:space="preserve"> </w:t>
      </w:r>
      <w:hyperlink r:id="rId118">
        <w:r>
          <w:rPr>
            <w:rStyle w:val="Hyperlink"/>
          </w:rPr>
          <w:t xml:space="preserve">https://doi.org/10.1146/annurev.ecolsys.34.012103.144032</w:t>
        </w:r>
      </w:hyperlink>
      <w:r>
        <w:t xml:space="preserve">.</w:t>
      </w:r>
    </w:p>
    <w:bookmarkEnd w:id="119"/>
    <w:bookmarkStart w:id="121" w:name="ref-raven2020"/>
    <w:p>
      <w:pPr>
        <w:pStyle w:val="Bibliography"/>
      </w:pPr>
      <w:r>
        <w:t xml:space="preserve">44.</w:t>
      </w:r>
      <w:r>
        <w:t xml:space="preserve"> </w:t>
      </w:r>
      <w:r>
        <w:t xml:space="preserve">	</w:t>
      </w:r>
      <w:r>
        <w:t xml:space="preserve">Raven, P.H., Gereau, R.E., Phillipson, P.B., Chatelain, C., Jenkins, C.N., and Ulloa Ulloa, C. (2020). The distribution of biodiversity richness in the tropics. Science Advances</w:t>
      </w:r>
      <w:r>
        <w:t xml:space="preserve"> </w:t>
      </w:r>
      <w:r>
        <w:rPr>
          <w:i/>
          <w:iCs/>
        </w:rPr>
        <w:t xml:space="preserve">6</w:t>
      </w:r>
      <w:r>
        <w:t xml:space="preserve">, eabc6228.</w:t>
      </w:r>
      <w:r>
        <w:t xml:space="preserve"> </w:t>
      </w:r>
      <w:hyperlink r:id="rId120">
        <w:r>
          <w:rPr>
            <w:rStyle w:val="Hyperlink"/>
          </w:rPr>
          <w:t xml:space="preserve">https://doi.org/10.1126/sciadv.abc6228</w:t>
        </w:r>
      </w:hyperlink>
      <w:r>
        <w:t xml:space="preserve">.</w:t>
      </w:r>
    </w:p>
    <w:bookmarkEnd w:id="121"/>
    <w:bookmarkStart w:id="122" w:name="ref-lomolino2006"/>
    <w:p>
      <w:pPr>
        <w:pStyle w:val="Bibliography"/>
      </w:pPr>
      <w:r>
        <w:t xml:space="preserve">45.</w:t>
      </w:r>
      <w:r>
        <w:t xml:space="preserve"> </w:t>
      </w:r>
      <w:r>
        <w:t xml:space="preserve">	</w:t>
      </w:r>
      <w:r>
        <w:t xml:space="preserve">Lomolino, M.V., Riddle, B.R., and Brown, J.H. (2006). The geography of divesification</w:t>
      </w:r>
      <w:r>
        <w:t xml:space="preserve"> </w:t>
      </w:r>
      <w:r>
        <w:t xml:space="preserve">-</w:t>
      </w:r>
      <w:r>
        <w:t xml:space="preserve"> </w:t>
      </w:r>
      <w:r>
        <w:t xml:space="preserve">the great american biotic interchange. In (Sinauer Associates Inc.), pp. 406–413.</w:t>
      </w:r>
    </w:p>
    <w:bookmarkEnd w:id="122"/>
    <w:bookmarkStart w:id="124" w:name="ref-chakrabarty2011"/>
    <w:p>
      <w:pPr>
        <w:pStyle w:val="Bibliography"/>
      </w:pPr>
      <w:r>
        <w:t xml:space="preserve">46.</w:t>
      </w:r>
      <w:r>
        <w:t xml:space="preserve"> </w:t>
      </w:r>
      <w:r>
        <w:t xml:space="preserve">	</w:t>
      </w:r>
      <w:r>
        <w:t xml:space="preserve">Chakrabarty, P., and Albert, J.S. (2011). Not so fast: A new take on the great american biotic interchange. In, J. Albert, ed. (University of California Press), p. 0.</w:t>
      </w:r>
      <w:r>
        <w:t xml:space="preserve"> </w:t>
      </w:r>
      <w:hyperlink r:id="rId123">
        <w:r>
          <w:rPr>
            <w:rStyle w:val="Hyperlink"/>
          </w:rPr>
          <w:t xml:space="preserve">https://doi.org/10.1525/california/9780520268685.003.0018</w:t>
        </w:r>
      </w:hyperlink>
      <w:r>
        <w:t xml:space="preserve">.</w:t>
      </w:r>
    </w:p>
    <w:bookmarkEnd w:id="124"/>
    <w:bookmarkStart w:id="126" w:name="ref-smith2012"/>
    <w:p>
      <w:pPr>
        <w:pStyle w:val="Bibliography"/>
      </w:pPr>
      <w:r>
        <w:t xml:space="preserve">47.</w:t>
      </w:r>
      <w:r>
        <w:t xml:space="preserve"> </w:t>
      </w:r>
      <w:r>
        <w:t xml:space="preserve">	</w:t>
      </w:r>
      <w:r>
        <w:t xml:space="preserve">Smith, B.T., Bryson Jr., R.W., Houston, D.D., and Klicka, J. (2012). An asymmetry in niche conservatism contributes to the latitudinal species diversity gradient in New World vertebrates. Ecology Letters</w:t>
      </w:r>
      <w:r>
        <w:t xml:space="preserve"> </w:t>
      </w:r>
      <w:r>
        <w:rPr>
          <w:i/>
          <w:iCs/>
        </w:rPr>
        <w:t xml:space="preserve">15</w:t>
      </w:r>
      <w:r>
        <w:t xml:space="preserve">, 1318–1325.</w:t>
      </w:r>
      <w:r>
        <w:t xml:space="preserve"> </w:t>
      </w:r>
      <w:hyperlink r:id="rId125">
        <w:r>
          <w:rPr>
            <w:rStyle w:val="Hyperlink"/>
          </w:rPr>
          <w:t xml:space="preserve">https://doi.org/10.1111/j.1461-0248.2012.01855.x</w:t>
        </w:r>
      </w:hyperlink>
      <w:r>
        <w:t xml:space="preserve">.</w:t>
      </w:r>
    </w:p>
    <w:bookmarkEnd w:id="126"/>
    <w:bookmarkStart w:id="128" w:name="ref-weir2009"/>
    <w:p>
      <w:pPr>
        <w:pStyle w:val="Bibliography"/>
      </w:pPr>
      <w:r>
        <w:t xml:space="preserve">48.</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27">
        <w:r>
          <w:rPr>
            <w:rStyle w:val="Hyperlink"/>
          </w:rPr>
          <w:t xml:space="preserve">https://doi.org/10.1073/pnas.0903811106</w:t>
        </w:r>
      </w:hyperlink>
      <w:r>
        <w:t xml:space="preserve">.</w:t>
      </w:r>
    </w:p>
    <w:bookmarkEnd w:id="128"/>
    <w:bookmarkStart w:id="130" w:name="ref-smith2010"/>
    <w:p>
      <w:pPr>
        <w:pStyle w:val="Bibliography"/>
      </w:pPr>
      <w:r>
        <w:t xml:space="preserve">49.</w:t>
      </w:r>
      <w:r>
        <w:t xml:space="preserve"> </w:t>
      </w:r>
      <w:r>
        <w:t xml:space="preserve">	</w:t>
      </w:r>
      <w:r>
        <w:t xml:space="preserve">Smith, B.T., and Klicka, J. (2010). The profound influence of the Late Pliocene Panamanian uplift on the exchange, diversification, and distribution of New World birds. Ecography</w:t>
      </w:r>
      <w:r>
        <w:t xml:space="preserve"> </w:t>
      </w:r>
      <w:r>
        <w:rPr>
          <w:i/>
          <w:iCs/>
        </w:rPr>
        <w:t xml:space="preserve">33</w:t>
      </w:r>
      <w:r>
        <w:t xml:space="preserve">, 333–342.</w:t>
      </w:r>
      <w:r>
        <w:t xml:space="preserve"> </w:t>
      </w:r>
      <w:hyperlink r:id="rId129">
        <w:r>
          <w:rPr>
            <w:rStyle w:val="Hyperlink"/>
          </w:rPr>
          <w:t xml:space="preserve">https://doi.org/10.1111/j.1600-0587.2009.06335.x</w:t>
        </w:r>
      </w:hyperlink>
      <w:r>
        <w:t xml:space="preserve">.</w:t>
      </w:r>
    </w:p>
    <w:bookmarkEnd w:id="130"/>
    <w:bookmarkStart w:id="132" w:name="ref-motta2025"/>
    <w:p>
      <w:pPr>
        <w:pStyle w:val="Bibliography"/>
      </w:pPr>
      <w:r>
        <w:t xml:space="preserve">50.</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31">
        <w:r>
          <w:rPr>
            <w:rStyle w:val="Hyperlink"/>
          </w:rPr>
          <w:t xml:space="preserve">https://doi.org/10.1016/j.palaeo.2025.112905</w:t>
        </w:r>
      </w:hyperlink>
      <w:r>
        <w:t xml:space="preserve">.</w:t>
      </w:r>
    </w:p>
    <w:bookmarkEnd w:id="132"/>
    <w:bookmarkStart w:id="134" w:name="ref-haffer1969"/>
    <w:p>
      <w:pPr>
        <w:pStyle w:val="Bibliography"/>
      </w:pPr>
      <w:r>
        <w:t xml:space="preserve">51.</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33">
        <w:r>
          <w:rPr>
            <w:rStyle w:val="Hyperlink"/>
          </w:rPr>
          <w:t xml:space="preserve">https://doi.org/10.1126/science.165.3889.131</w:t>
        </w:r>
      </w:hyperlink>
      <w:r>
        <w:t xml:space="preserve">.</w:t>
      </w:r>
    </w:p>
    <w:bookmarkEnd w:id="134"/>
    <w:bookmarkStart w:id="136" w:name="ref-ugarte2025"/>
    <w:p>
      <w:pPr>
        <w:pStyle w:val="Bibliography"/>
      </w:pPr>
      <w:r>
        <w:t xml:space="preserve">52.</w:t>
      </w:r>
      <w:r>
        <w:t xml:space="preserve"> </w:t>
      </w:r>
      <w:r>
        <w:t xml:space="preserve">	</w:t>
      </w:r>
      <w:r>
        <w:t xml:space="preserve">Ugarte, P.D. de S., Nascimento, J.C.S., and Pires, M.M. (2025). Spatiotemporal variability in the south american mammalian fossil record and its impact on macroevolutionary inference. Frontiers in Mammal Science</w:t>
      </w:r>
      <w:r>
        <w:t xml:space="preserve"> </w:t>
      </w:r>
      <w:r>
        <w:rPr>
          <w:i/>
          <w:iCs/>
        </w:rPr>
        <w:t xml:space="preserve">3</w:t>
      </w:r>
      <w:r>
        <w:t xml:space="preserve">.</w:t>
      </w:r>
      <w:r>
        <w:t xml:space="preserve"> </w:t>
      </w:r>
      <w:hyperlink r:id="rId135">
        <w:r>
          <w:rPr>
            <w:rStyle w:val="Hyperlink"/>
          </w:rPr>
          <w:t xml:space="preserve">https://doi.org/10.3389/fmamm.2024.1518039</w:t>
        </w:r>
      </w:hyperlink>
      <w:r>
        <w:t xml:space="preserve">.</w:t>
      </w:r>
    </w:p>
    <w:bookmarkEnd w:id="136"/>
    <w:bookmarkStart w:id="138" w:name="ref-cruz2025"/>
    <w:p>
      <w:pPr>
        <w:pStyle w:val="Bibliography"/>
      </w:pPr>
      <w:r>
        <w:t xml:space="preserve">53.</w:t>
      </w:r>
      <w:r>
        <w:t xml:space="preserve"> </w:t>
      </w:r>
      <w:r>
        <w:t xml:space="preserve">	</w:t>
      </w:r>
      <w:r>
        <w:t xml:space="preserve">Cruz, E.N.S., Faurby, S., and Sawaya, R.J. (2025). Did the climate changes cause the extinction of the Late Pleistocene gomphotheres in South America? Zoologia (Curitiba)</w:t>
      </w:r>
      <w:r>
        <w:t xml:space="preserve"> </w:t>
      </w:r>
      <w:r>
        <w:rPr>
          <w:i/>
          <w:iCs/>
        </w:rPr>
        <w:t xml:space="preserve">42</w:t>
      </w:r>
      <w:r>
        <w:t xml:space="preserve">, e24051. https://doi.org/</w:t>
      </w:r>
      <w:hyperlink r:id="rId137">
        <w:r>
          <w:rPr>
            <w:rStyle w:val="Hyperlink"/>
          </w:rPr>
          <w:t xml:space="preserve">https://doi.org/10.1590/S1984-4689.v42.e24051</w:t>
        </w:r>
      </w:hyperlink>
      <w:r>
        <w:t xml:space="preserve">.</w:t>
      </w:r>
    </w:p>
    <w:bookmarkEnd w:id="138"/>
    <w:bookmarkStart w:id="140" w:name="ref-morgan1993"/>
    <w:p>
      <w:pPr>
        <w:pStyle w:val="Bibliography"/>
      </w:pPr>
      <w:r>
        <w:t xml:space="preserve">54.</w:t>
      </w:r>
      <w:r>
        <w:t xml:space="preserve"> </w:t>
      </w:r>
      <w:r>
        <w:t xml:space="preserve">	</w:t>
      </w:r>
      <w:r>
        <w:t xml:space="preserve">Morgan, G.S. (1993). Quaternary land vertebrates of jamaica. In, R. M. Wright and E. Robinson, eds. (Geological Society of America), p. 0.</w:t>
      </w:r>
      <w:r>
        <w:t xml:space="preserve"> </w:t>
      </w:r>
      <w:hyperlink r:id="rId139">
        <w:r>
          <w:rPr>
            <w:rStyle w:val="Hyperlink"/>
          </w:rPr>
          <w:t xml:space="preserve">https://doi.org/10.1130/MEM182-p417</w:t>
        </w:r>
      </w:hyperlink>
      <w:r>
        <w:t xml:space="preserve">.</w:t>
      </w:r>
    </w:p>
    <w:bookmarkEnd w:id="140"/>
    <w:bookmarkStart w:id="142" w:name="ref-ali2021b"/>
    <w:p>
      <w:pPr>
        <w:pStyle w:val="Bibliography"/>
      </w:pPr>
      <w:r>
        <w:t xml:space="preserve">55.</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41">
        <w:r>
          <w:rPr>
            <w:rStyle w:val="Hyperlink"/>
          </w:rPr>
          <w:t xml:space="preserve">https://doi.org/10.1111/jbi.14234</w:t>
        </w:r>
      </w:hyperlink>
      <w:r>
        <w:t xml:space="preserve">.</w:t>
      </w:r>
    </w:p>
    <w:bookmarkEnd w:id="142"/>
    <w:bookmarkStart w:id="144" w:name="ref-cornée2021"/>
    <w:p>
      <w:pPr>
        <w:pStyle w:val="Bibliography"/>
      </w:pPr>
      <w:r>
        <w:t xml:space="preserve">56.</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43">
        <w:r>
          <w:rPr>
            <w:rStyle w:val="Hyperlink"/>
          </w:rPr>
          <w:t xml:space="preserve">https://doi.org/10.1016/j.earscirev.2021.103617</w:t>
        </w:r>
      </w:hyperlink>
      <w:r>
        <w:t xml:space="preserve">.</w:t>
      </w:r>
    </w:p>
    <w:bookmarkEnd w:id="144"/>
    <w:bookmarkStart w:id="146" w:name="ref-warren2015"/>
    <w:p>
      <w:pPr>
        <w:pStyle w:val="Bibliography"/>
      </w:pPr>
      <w:r>
        <w:t xml:space="preserve">57.</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45">
        <w:r>
          <w:rPr>
            <w:rStyle w:val="Hyperlink"/>
          </w:rPr>
          <w:t xml:space="preserve">https://doi.org/10.1111/ele.12398</w:t>
        </w:r>
      </w:hyperlink>
      <w:r>
        <w:t xml:space="preserve">.</w:t>
      </w:r>
    </w:p>
    <w:bookmarkEnd w:id="146"/>
    <w:bookmarkStart w:id="148" w:name="ref-pino2022"/>
    <w:p>
      <w:pPr>
        <w:pStyle w:val="Bibliography"/>
      </w:pPr>
      <w:r>
        <w:t xml:space="preserve">58.</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47">
        <w:r>
          <w:rPr>
            <w:rStyle w:val="Hyperlink"/>
          </w:rPr>
          <w:t xml:space="preserve">https://doi.org/10.1016/j.gloplacha.2022.103758</w:t>
        </w:r>
      </w:hyperlink>
      <w:r>
        <w:t xml:space="preserve">.</w:t>
      </w:r>
    </w:p>
    <w:bookmarkEnd w:id="148"/>
    <w:bookmarkStart w:id="150" w:name="ref-gearty2023"/>
    <w:p>
      <w:pPr>
        <w:pStyle w:val="Bibliography"/>
      </w:pPr>
      <w:r>
        <w:t xml:space="preserve">59.</w:t>
      </w:r>
      <w:r>
        <w:t xml:space="preserve"> </w:t>
      </w:r>
      <w:r>
        <w:t xml:space="preserve">	</w:t>
      </w:r>
      <w:r>
        <w:t xml:space="preserve">Gearty, W. (2023).</w:t>
      </w:r>
      <w:r>
        <w:t xml:space="preserve"> </w:t>
      </w:r>
      <w:hyperlink r:id="rId149">
        <w:r>
          <w:rPr>
            <w:rStyle w:val="Hyperlink"/>
          </w:rPr>
          <w:t xml:space="preserve">Deeptime: Plotting tools for anyone working in deep time. R package version 1.0.1.</w:t>
        </w:r>
      </w:hyperlink>
    </w:p>
    <w:bookmarkEnd w:id="150"/>
    <w:bookmarkEnd w:id="151"/>
    <w:bookmarkEnd w:id="152"/>
    <w:bookmarkStart w:id="169"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56" w:name="fig-framework"/>
          <w:p>
            <w:pPr>
              <w:pStyle w:val="Compact"/>
              <w:jc w:val="center"/>
            </w:pPr>
            <w:r>
              <w:drawing>
                <wp:inline>
                  <wp:extent cx="3959999" cy="3959999"/>
                  <wp:effectExtent b="0" l="0" r="0" t="0"/>
                  <wp:docPr descr="" title="" id="154" name="Picture"/>
                  <a:graphic>
                    <a:graphicData uri="http://schemas.openxmlformats.org/drawingml/2006/picture">
                      <pic:pic>
                        <pic:nvPicPr>
                          <pic:cNvPr descr="../Figures/MS/Main/Figure_framework/Figure_framework.png" id="155" name="Picture"/>
                          <pic:cNvPicPr>
                            <a:picLocks noChangeArrowheads="1" noChangeAspect="1"/>
                          </pic:cNvPicPr>
                        </pic:nvPicPr>
                        <pic:blipFill>
                          <a:blip r:embed="rId153"/>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38</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9,11</w:t>
            </w:r>
            <w:r>
              <w:t xml:space="preserve"> </w:t>
            </w:r>
            <w:r>
              <w:t xml:space="preserve">is indicated by the light purple vertical bands. Geological timescale was depicted using the deeptime R package</w:t>
            </w:r>
            <w:r>
              <w:rPr>
                <w:vertAlign w:val="superscript"/>
              </w:rPr>
              <w:t xml:space="preserve">59</w:t>
            </w:r>
            <w:r>
              <w:t xml:space="preserve">. The empirically-derived asymmetry of the transcontinental land mammal exchange is represented by the thickness of the two arrows, the thicker the arrow, the more intense the exchange.</w:t>
            </w:r>
          </w:p>
          <w:bookmarkEnd w:id="156"/>
        </w:tc>
      </w:tr>
    </w:tbl>
    <w:tbl>
      <w:tblPr>
        <w:tblStyle w:val="Table"/>
        <w:tblW w:type="pct" w:w="5000"/>
        <w:tblLayout w:type="fixed"/>
        <w:tblLook w:firstRow="0" w:lastRow="0" w:firstColumn="0" w:lastColumn="0" w:noHBand="0" w:noVBand="0" w:val="0000"/>
      </w:tblPr>
      <w:tblGrid>
        <w:gridCol w:w="7920"/>
      </w:tblGrid>
      <w:tr>
        <w:tc>
          <w:tcPr/>
          <w:bookmarkStart w:id="160" w:name="fig-propsuccess"/>
          <w:p>
            <w:pPr>
              <w:pStyle w:val="Compact"/>
              <w:jc w:val="center"/>
            </w:pPr>
            <w:r>
              <w:drawing>
                <wp:inline>
                  <wp:extent cx="3599999" cy="3779999"/>
                  <wp:effectExtent b="0" l="0" r="0" t="0"/>
                  <wp:docPr descr="" title="" id="158" name="Picture"/>
                  <a:graphic>
                    <a:graphicData uri="http://schemas.openxmlformats.org/drawingml/2006/picture">
                      <pic:pic>
                        <pic:nvPicPr>
                          <pic:cNvPr descr="../Figures/MS/Main/Figure_PropSuccess/Figure_PropSuccess.png" id="159" name="Picture"/>
                          <pic:cNvPicPr>
                            <a:picLocks noChangeArrowheads="1" noChangeAspect="1"/>
                          </pic:cNvPicPr>
                        </pic:nvPicPr>
                        <pic:blipFill>
                          <a:blip r:embed="rId157"/>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changes in temperature and precipitations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160"/>
        </w:tc>
      </w:tr>
    </w:tbl>
    <w:tbl>
      <w:tblPr>
        <w:tblStyle w:val="Table"/>
        <w:tblW w:type="pct" w:w="5000"/>
        <w:tblLayout w:type="fixed"/>
        <w:tblLook w:firstRow="0" w:lastRow="0" w:firstColumn="0" w:lastColumn="0" w:noHBand="0" w:noVBand="0" w:val="0000"/>
      </w:tblPr>
      <w:tblGrid>
        <w:gridCol w:w="7920"/>
      </w:tblGrid>
      <w:tr>
        <w:tc>
          <w:tcPr/>
          <w:bookmarkStart w:id="164" w:name="fig-metrics"/>
          <w:p>
            <w:pPr>
              <w:pStyle w:val="Compact"/>
              <w:jc w:val="left"/>
            </w:pPr>
            <w:r>
              <w:drawing>
                <wp:inline>
                  <wp:extent cx="5039999" cy="4319999"/>
                  <wp:effectExtent b="0" l="0" r="0" t="0"/>
                  <wp:docPr descr="" title="" id="162" name="Picture"/>
                  <a:graphic>
                    <a:graphicData uri="http://schemas.openxmlformats.org/drawingml/2006/picture">
                      <pic:pic>
                        <pic:nvPicPr>
                          <pic:cNvPr descr="../Figures/MS/Main/Figure_metrics/Figure_metrics.png" id="163" name="Picture"/>
                          <pic:cNvPicPr>
                            <a:picLocks noChangeArrowheads="1" noChangeAspect="1"/>
                          </pic:cNvPicPr>
                        </pic:nvPicPr>
                        <pic:blipFill>
                          <a:blip r:embed="rId161"/>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 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64"/>
        </w:tc>
      </w:tr>
    </w:tbl>
    <w:tbl>
      <w:tblPr>
        <w:tblStyle w:val="Table"/>
        <w:tblW w:type="pct" w:w="5000"/>
        <w:tblLayout w:type="fixed"/>
        <w:tblLook w:firstRow="0" w:lastRow="0" w:firstColumn="0" w:lastColumn="0" w:noHBand="0" w:noVBand="0" w:val="0000"/>
      </w:tblPr>
      <w:tblGrid>
        <w:gridCol w:w="7920"/>
      </w:tblGrid>
      <w:tr>
        <w:tc>
          <w:tcPr/>
          <w:bookmarkStart w:id="168" w:name="fig-biome"/>
          <w:p>
            <w:pPr>
              <w:pStyle w:val="Compact"/>
              <w:jc w:val="center"/>
            </w:pPr>
            <w:r>
              <w:drawing>
                <wp:inline>
                  <wp:extent cx="5399999" cy="5399999"/>
                  <wp:effectExtent b="0" l="0" r="0" t="0"/>
                  <wp:docPr descr="" title="" id="166" name="Picture"/>
                  <a:graphic>
                    <a:graphicData uri="http://schemas.openxmlformats.org/drawingml/2006/picture">
                      <pic:pic>
                        <pic:nvPicPr>
                          <pic:cNvPr descr="../Figures/MS/Main/Figure_biomes/Figure_biomes.png" id="167" name="Picture"/>
                          <pic:cNvPicPr>
                            <a:picLocks noChangeArrowheads="1" noChangeAspect="1"/>
                          </pic:cNvPicPr>
                        </pic:nvPicPr>
                        <pic:blipFill>
                          <a:blip r:embed="rId165"/>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simulations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168"/>
        </w:tc>
      </w:tr>
    </w:tbl>
    <w:bookmarkEnd w:id="169"/>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7" Target="media/rId157.png" /><Relationship Type="http://schemas.openxmlformats.org/officeDocument/2006/relationships/image" Id="rId165" Target="media/rId165.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hyperlink" Id="rId41" Target="http://repository.si.edu/xmlui/handle/10088/35473" TargetMode="External" /><Relationship Type="http://schemas.openxmlformats.org/officeDocument/2006/relationships/hyperlink" Id="rId149" Target="https://CRAN.R-project.org/package=deeptime" TargetMode="External" /><Relationship Type="http://schemas.openxmlformats.org/officeDocument/2006/relationships/hyperlink" Id="rId53" Target="https://doi.org/10.1007/s10914-010-9144-8" TargetMode="External" /><Relationship Type="http://schemas.openxmlformats.org/officeDocument/2006/relationships/hyperlink" Id="rId81" Target="https://doi.org/10.1007/s10914-011-9175-9" TargetMode="External" /><Relationship Type="http://schemas.openxmlformats.org/officeDocument/2006/relationships/hyperlink" Id="rId143" Target="https://doi.org/10.1016/j.earscirev.2021.103617" TargetMode="External" /><Relationship Type="http://schemas.openxmlformats.org/officeDocument/2006/relationships/hyperlink" Id="rId47" Target="https://doi.org/10.1016/j.geobios.2006.09.005" TargetMode="External" /><Relationship Type="http://schemas.openxmlformats.org/officeDocument/2006/relationships/hyperlink" Id="rId147" Target="https://doi.org/10.1016/j.gloplacha.2022.103758" TargetMode="External" /><Relationship Type="http://schemas.openxmlformats.org/officeDocument/2006/relationships/hyperlink" Id="rId131" Target="https://doi.org/10.1016/j.palaeo.2025.112905" TargetMode="External" /><Relationship Type="http://schemas.openxmlformats.org/officeDocument/2006/relationships/hyperlink" Id="rId61" Target="https://doi.org/10.1017/S0094837300010605" TargetMode="External" /><Relationship Type="http://schemas.openxmlformats.org/officeDocument/2006/relationships/hyperlink" Id="rId45" Target="https://doi.org/10.1029/2025GC012288" TargetMode="External" /><Relationship Type="http://schemas.openxmlformats.org/officeDocument/2006/relationships/hyperlink" Id="rId103" Target="https://doi.org/10.1038/s41559-023-02220-8" TargetMode="External" /><Relationship Type="http://schemas.openxmlformats.org/officeDocument/2006/relationships/hyperlink" Id="rId72" Target="https://doi.org/10.1038/s41598-020-58575-6" TargetMode="External" /><Relationship Type="http://schemas.openxmlformats.org/officeDocument/2006/relationships/hyperlink" Id="rId83" Target="https://doi.org/10.1038/s41598-022-05266-z" TargetMode="External" /><Relationship Type="http://schemas.openxmlformats.org/officeDocument/2006/relationships/hyperlink" Id="rId87" Target="https://doi.org/10.1038/s44185-024-00045-7" TargetMode="External" /><Relationship Type="http://schemas.openxmlformats.org/officeDocument/2006/relationships/hyperlink" Id="rId113" Target="https://doi.org/10.1038/sdata.2018.214" TargetMode="External" /><Relationship Type="http://schemas.openxmlformats.org/officeDocument/2006/relationships/hyperlink" Id="rId127" Target="https://doi.org/10.1073/pnas.0903811106" TargetMode="External" /><Relationship Type="http://schemas.openxmlformats.org/officeDocument/2006/relationships/hyperlink" Id="rId55" Target="https://doi.org/10.1073/pnas.1423853112" TargetMode="External" /><Relationship Type="http://schemas.openxmlformats.org/officeDocument/2006/relationships/hyperlink" Id="rId65" Target="https://doi.org/10.1073/pnas.2009397117" TargetMode="External" /><Relationship Type="http://schemas.openxmlformats.org/officeDocument/2006/relationships/hyperlink" Id="rId99" Target="https://doi.org/10.1073/pnas.2026347118" TargetMode="External" /><Relationship Type="http://schemas.openxmlformats.org/officeDocument/2006/relationships/hyperlink" Id="rId105" Target="https://doi.org/10.1093/sysbio/syac048" TargetMode="External" /><Relationship Type="http://schemas.openxmlformats.org/officeDocument/2006/relationships/hyperlink" Id="rId89" Target="https://doi.org/10.1098/rspb.2025.1745" TargetMode="External" /><Relationship Type="http://schemas.openxmlformats.org/officeDocument/2006/relationships/hyperlink" Id="rId93" Target="https://doi.org/10.1111/ecog.06132" TargetMode="External" /><Relationship Type="http://schemas.openxmlformats.org/officeDocument/2006/relationships/hyperlink" Id="rId145" Target="https://doi.org/10.1111/ele.12398" TargetMode="External" /><Relationship Type="http://schemas.openxmlformats.org/officeDocument/2006/relationships/hyperlink" Id="rId75" Target="https://doi.org/10.1111/geb.12504" TargetMode="External" /><Relationship Type="http://schemas.openxmlformats.org/officeDocument/2006/relationships/hyperlink" Id="rId111" Target="https://doi.org/10.1111/geb.13683" TargetMode="External" /><Relationship Type="http://schemas.openxmlformats.org/officeDocument/2006/relationships/hyperlink" Id="rId125" Target="https://doi.org/10.1111/j.1461-0248.2012.01855.x" TargetMode="External" /><Relationship Type="http://schemas.openxmlformats.org/officeDocument/2006/relationships/hyperlink" Id="rId129" Target="https://doi.org/10.1111/j.1600-0587.2009.06335.x" TargetMode="External" /><Relationship Type="http://schemas.openxmlformats.org/officeDocument/2006/relationships/hyperlink" Id="rId141" Target="https://doi.org/10.1111/jbi.14234" TargetMode="External" /><Relationship Type="http://schemas.openxmlformats.org/officeDocument/2006/relationships/hyperlink" Id="rId77" Target="https://doi.org/10.1111/pala.70012" TargetMode="External" /><Relationship Type="http://schemas.openxmlformats.org/officeDocument/2006/relationships/hyperlink" Id="rId43" Target="https://doi.org/10.1126/sciadv.1600883" TargetMode="External" /><Relationship Type="http://schemas.openxmlformats.org/officeDocument/2006/relationships/hyperlink" Id="rId120" Target="https://doi.org/10.1126/sciadv.abc6228" TargetMode="External" /><Relationship Type="http://schemas.openxmlformats.org/officeDocument/2006/relationships/hyperlink" Id="rId91" Target="https://doi.org/10.1126/sciadv.abj2271" TargetMode="External" /><Relationship Type="http://schemas.openxmlformats.org/officeDocument/2006/relationships/hyperlink" Id="rId133" Target="https://doi.org/10.1126/science.165.3889.131" TargetMode="External" /><Relationship Type="http://schemas.openxmlformats.org/officeDocument/2006/relationships/hyperlink" Id="rId39" Target="https://doi.org/10.1126/science.aaa2815" TargetMode="External" /><Relationship Type="http://schemas.openxmlformats.org/officeDocument/2006/relationships/hyperlink" Id="rId101" Target="https://doi.org/10.1126/science.adf7122" TargetMode="External" /><Relationship Type="http://schemas.openxmlformats.org/officeDocument/2006/relationships/hyperlink" Id="rId107" Target="https://doi.org/10.1126/science.adi0833" TargetMode="External" /><Relationship Type="http://schemas.openxmlformats.org/officeDocument/2006/relationships/hyperlink" Id="rId69" Target="https://doi.org/10.1126/science.adu0704" TargetMode="External" /><Relationship Type="http://schemas.openxmlformats.org/officeDocument/2006/relationships/hyperlink" Id="rId57" Target="https://doi.org/10.1130/G37624.1" TargetMode="External" /><Relationship Type="http://schemas.openxmlformats.org/officeDocument/2006/relationships/hyperlink" Id="rId139" Target="https://doi.org/10.1130/MEM182-p417" TargetMode="External" /><Relationship Type="http://schemas.openxmlformats.org/officeDocument/2006/relationships/hyperlink" Id="rId67" Target="https://doi.org/10.1146/annurev-earth-072619-060126" TargetMode="External" /><Relationship Type="http://schemas.openxmlformats.org/officeDocument/2006/relationships/hyperlink" Id="rId118" Target="https://doi.org/10.1146/annurev.ecolsys.34.012103.144032" TargetMode="External" /><Relationship Type="http://schemas.openxmlformats.org/officeDocument/2006/relationships/hyperlink" Id="rId95" Target="https://doi.org/10.1371/journal.pbio.3001340" TargetMode="External" /><Relationship Type="http://schemas.openxmlformats.org/officeDocument/2006/relationships/hyperlink" Id="rId97" Target="https://doi.org/10.1371/journal.pone.0332766" TargetMode="External" /><Relationship Type="http://schemas.openxmlformats.org/officeDocument/2006/relationships/hyperlink" Id="rId123" Target="https://doi.org/10.1525/california/9780520268685.003.0018" TargetMode="External" /><Relationship Type="http://schemas.openxmlformats.org/officeDocument/2006/relationships/hyperlink" Id="rId137" Target="https://doi.org/10.1590/S1984-4689.v42.e24051" TargetMode="External" /><Relationship Type="http://schemas.openxmlformats.org/officeDocument/2006/relationships/hyperlink" Id="rId79" Target="https://doi.org/10.2307/1381862" TargetMode="External" /><Relationship Type="http://schemas.openxmlformats.org/officeDocument/2006/relationships/hyperlink" Id="rId51" Target="https://doi.org/10.3389/fgene.2014.00451" TargetMode="External" /><Relationship Type="http://schemas.openxmlformats.org/officeDocument/2006/relationships/hyperlink" Id="rId135" Target="https://doi.org/10.3389/fmamm.2024.1518039" TargetMode="External" /><Relationship Type="http://schemas.openxmlformats.org/officeDocument/2006/relationships/hyperlink" Id="rId85" Target="https://doi.org/10.3390/d17030153" TargetMode="External" /><Relationship Type="http://schemas.openxmlformats.org/officeDocument/2006/relationships/hyperlink" Id="rId109" Target="https://doi.org/10.5194/gmd-12-5137-2019" TargetMode="External" /><Relationship Type="http://schemas.openxmlformats.org/officeDocument/2006/relationships/hyperlink" Id="rId115" Target="https://eartharxiv.org/repository/view/6269/" TargetMode="External" /><Relationship Type="http://schemas.openxmlformats.org/officeDocument/2006/relationships/hyperlink" Id="rId63" Target="https://link.springer.com/10.1007/978-94-017-9792-4" TargetMode="External" /><Relationship Type="http://schemas.openxmlformats.org/officeDocument/2006/relationships/hyperlink" Id="rId49" Target="https://www.degruyterbrill.com/document/doi/10.7312/wood13040-008/html" TargetMode="External" /><Relationship Type="http://schemas.openxmlformats.org/officeDocument/2006/relationships/hyperlink" Id="rId37" Target="https://www.jstor.org/stable/1688046" TargetMode="External" /><Relationship Type="http://schemas.openxmlformats.org/officeDocument/2006/relationships/hyperlink" Id="rId59"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41" Target="http://repository.si.edu/xmlui/handle/10088/35473" TargetMode="External" /><Relationship Type="http://schemas.openxmlformats.org/officeDocument/2006/relationships/hyperlink" Id="rId149" Target="https://CRAN.R-project.org/package=deeptime" TargetMode="External" /><Relationship Type="http://schemas.openxmlformats.org/officeDocument/2006/relationships/hyperlink" Id="rId53" Target="https://doi.org/10.1007/s10914-010-9144-8" TargetMode="External" /><Relationship Type="http://schemas.openxmlformats.org/officeDocument/2006/relationships/hyperlink" Id="rId81" Target="https://doi.org/10.1007/s10914-011-9175-9" TargetMode="External" /><Relationship Type="http://schemas.openxmlformats.org/officeDocument/2006/relationships/hyperlink" Id="rId143" Target="https://doi.org/10.1016/j.earscirev.2021.103617" TargetMode="External" /><Relationship Type="http://schemas.openxmlformats.org/officeDocument/2006/relationships/hyperlink" Id="rId47" Target="https://doi.org/10.1016/j.geobios.2006.09.005" TargetMode="External" /><Relationship Type="http://schemas.openxmlformats.org/officeDocument/2006/relationships/hyperlink" Id="rId147" Target="https://doi.org/10.1016/j.gloplacha.2022.103758" TargetMode="External" /><Relationship Type="http://schemas.openxmlformats.org/officeDocument/2006/relationships/hyperlink" Id="rId131" Target="https://doi.org/10.1016/j.palaeo.2025.112905" TargetMode="External" /><Relationship Type="http://schemas.openxmlformats.org/officeDocument/2006/relationships/hyperlink" Id="rId61" Target="https://doi.org/10.1017/S0094837300010605" TargetMode="External" /><Relationship Type="http://schemas.openxmlformats.org/officeDocument/2006/relationships/hyperlink" Id="rId45" Target="https://doi.org/10.1029/2025GC012288" TargetMode="External" /><Relationship Type="http://schemas.openxmlformats.org/officeDocument/2006/relationships/hyperlink" Id="rId103" Target="https://doi.org/10.1038/s41559-023-02220-8" TargetMode="External" /><Relationship Type="http://schemas.openxmlformats.org/officeDocument/2006/relationships/hyperlink" Id="rId72" Target="https://doi.org/10.1038/s41598-020-58575-6" TargetMode="External" /><Relationship Type="http://schemas.openxmlformats.org/officeDocument/2006/relationships/hyperlink" Id="rId83" Target="https://doi.org/10.1038/s41598-022-05266-z" TargetMode="External" /><Relationship Type="http://schemas.openxmlformats.org/officeDocument/2006/relationships/hyperlink" Id="rId87" Target="https://doi.org/10.1038/s44185-024-00045-7" TargetMode="External" /><Relationship Type="http://schemas.openxmlformats.org/officeDocument/2006/relationships/hyperlink" Id="rId113" Target="https://doi.org/10.1038/sdata.2018.214" TargetMode="External" /><Relationship Type="http://schemas.openxmlformats.org/officeDocument/2006/relationships/hyperlink" Id="rId127" Target="https://doi.org/10.1073/pnas.0903811106" TargetMode="External" /><Relationship Type="http://schemas.openxmlformats.org/officeDocument/2006/relationships/hyperlink" Id="rId55" Target="https://doi.org/10.1073/pnas.1423853112" TargetMode="External" /><Relationship Type="http://schemas.openxmlformats.org/officeDocument/2006/relationships/hyperlink" Id="rId65" Target="https://doi.org/10.1073/pnas.2009397117" TargetMode="External" /><Relationship Type="http://schemas.openxmlformats.org/officeDocument/2006/relationships/hyperlink" Id="rId99" Target="https://doi.org/10.1073/pnas.2026347118" TargetMode="External" /><Relationship Type="http://schemas.openxmlformats.org/officeDocument/2006/relationships/hyperlink" Id="rId105" Target="https://doi.org/10.1093/sysbio/syac048" TargetMode="External" /><Relationship Type="http://schemas.openxmlformats.org/officeDocument/2006/relationships/hyperlink" Id="rId89" Target="https://doi.org/10.1098/rspb.2025.1745" TargetMode="External" /><Relationship Type="http://schemas.openxmlformats.org/officeDocument/2006/relationships/hyperlink" Id="rId93" Target="https://doi.org/10.1111/ecog.06132" TargetMode="External" /><Relationship Type="http://schemas.openxmlformats.org/officeDocument/2006/relationships/hyperlink" Id="rId145" Target="https://doi.org/10.1111/ele.12398" TargetMode="External" /><Relationship Type="http://schemas.openxmlformats.org/officeDocument/2006/relationships/hyperlink" Id="rId75" Target="https://doi.org/10.1111/geb.12504" TargetMode="External" /><Relationship Type="http://schemas.openxmlformats.org/officeDocument/2006/relationships/hyperlink" Id="rId111" Target="https://doi.org/10.1111/geb.13683" TargetMode="External" /><Relationship Type="http://schemas.openxmlformats.org/officeDocument/2006/relationships/hyperlink" Id="rId125" Target="https://doi.org/10.1111/j.1461-0248.2012.01855.x" TargetMode="External" /><Relationship Type="http://schemas.openxmlformats.org/officeDocument/2006/relationships/hyperlink" Id="rId129" Target="https://doi.org/10.1111/j.1600-0587.2009.06335.x" TargetMode="External" /><Relationship Type="http://schemas.openxmlformats.org/officeDocument/2006/relationships/hyperlink" Id="rId141" Target="https://doi.org/10.1111/jbi.14234" TargetMode="External" /><Relationship Type="http://schemas.openxmlformats.org/officeDocument/2006/relationships/hyperlink" Id="rId77" Target="https://doi.org/10.1111/pala.70012" TargetMode="External" /><Relationship Type="http://schemas.openxmlformats.org/officeDocument/2006/relationships/hyperlink" Id="rId43" Target="https://doi.org/10.1126/sciadv.1600883" TargetMode="External" /><Relationship Type="http://schemas.openxmlformats.org/officeDocument/2006/relationships/hyperlink" Id="rId120" Target="https://doi.org/10.1126/sciadv.abc6228" TargetMode="External" /><Relationship Type="http://schemas.openxmlformats.org/officeDocument/2006/relationships/hyperlink" Id="rId91" Target="https://doi.org/10.1126/sciadv.abj2271" TargetMode="External" /><Relationship Type="http://schemas.openxmlformats.org/officeDocument/2006/relationships/hyperlink" Id="rId133" Target="https://doi.org/10.1126/science.165.3889.131" TargetMode="External" /><Relationship Type="http://schemas.openxmlformats.org/officeDocument/2006/relationships/hyperlink" Id="rId39" Target="https://doi.org/10.1126/science.aaa2815" TargetMode="External" /><Relationship Type="http://schemas.openxmlformats.org/officeDocument/2006/relationships/hyperlink" Id="rId101" Target="https://doi.org/10.1126/science.adf7122" TargetMode="External" /><Relationship Type="http://schemas.openxmlformats.org/officeDocument/2006/relationships/hyperlink" Id="rId107" Target="https://doi.org/10.1126/science.adi0833" TargetMode="External" /><Relationship Type="http://schemas.openxmlformats.org/officeDocument/2006/relationships/hyperlink" Id="rId69" Target="https://doi.org/10.1126/science.adu0704" TargetMode="External" /><Relationship Type="http://schemas.openxmlformats.org/officeDocument/2006/relationships/hyperlink" Id="rId57" Target="https://doi.org/10.1130/G37624.1" TargetMode="External" /><Relationship Type="http://schemas.openxmlformats.org/officeDocument/2006/relationships/hyperlink" Id="rId139" Target="https://doi.org/10.1130/MEM182-p417" TargetMode="External" /><Relationship Type="http://schemas.openxmlformats.org/officeDocument/2006/relationships/hyperlink" Id="rId67" Target="https://doi.org/10.1146/annurev-earth-072619-060126" TargetMode="External" /><Relationship Type="http://schemas.openxmlformats.org/officeDocument/2006/relationships/hyperlink" Id="rId118" Target="https://doi.org/10.1146/annurev.ecolsys.34.012103.144032" TargetMode="External" /><Relationship Type="http://schemas.openxmlformats.org/officeDocument/2006/relationships/hyperlink" Id="rId95" Target="https://doi.org/10.1371/journal.pbio.3001340" TargetMode="External" /><Relationship Type="http://schemas.openxmlformats.org/officeDocument/2006/relationships/hyperlink" Id="rId97" Target="https://doi.org/10.1371/journal.pone.0332766" TargetMode="External" /><Relationship Type="http://schemas.openxmlformats.org/officeDocument/2006/relationships/hyperlink" Id="rId123" Target="https://doi.org/10.1525/california/9780520268685.003.0018" TargetMode="External" /><Relationship Type="http://schemas.openxmlformats.org/officeDocument/2006/relationships/hyperlink" Id="rId137" Target="https://doi.org/10.1590/S1984-4689.v42.e24051" TargetMode="External" /><Relationship Type="http://schemas.openxmlformats.org/officeDocument/2006/relationships/hyperlink" Id="rId79" Target="https://doi.org/10.2307/1381862" TargetMode="External" /><Relationship Type="http://schemas.openxmlformats.org/officeDocument/2006/relationships/hyperlink" Id="rId51" Target="https://doi.org/10.3389/fgene.2014.00451" TargetMode="External" /><Relationship Type="http://schemas.openxmlformats.org/officeDocument/2006/relationships/hyperlink" Id="rId135" Target="https://doi.org/10.3389/fmamm.2024.1518039" TargetMode="External" /><Relationship Type="http://schemas.openxmlformats.org/officeDocument/2006/relationships/hyperlink" Id="rId85" Target="https://doi.org/10.3390/d17030153" TargetMode="External" /><Relationship Type="http://schemas.openxmlformats.org/officeDocument/2006/relationships/hyperlink" Id="rId109" Target="https://doi.org/10.5194/gmd-12-5137-2019" TargetMode="External" /><Relationship Type="http://schemas.openxmlformats.org/officeDocument/2006/relationships/hyperlink" Id="rId115" Target="https://eartharxiv.org/repository/view/6269/" TargetMode="External" /><Relationship Type="http://schemas.openxmlformats.org/officeDocument/2006/relationships/hyperlink" Id="rId63" Target="https://link.springer.com/10.1007/978-94-017-9792-4" TargetMode="External" /><Relationship Type="http://schemas.openxmlformats.org/officeDocument/2006/relationships/hyperlink" Id="rId49" Target="https://www.degruyterbrill.com/document/doi/10.7312/wood13040-008/html" TargetMode="External" /><Relationship Type="http://schemas.openxmlformats.org/officeDocument/2006/relationships/hyperlink" Id="rId37" Target="https://www.jstor.org/stable/1688046" TargetMode="External" /><Relationship Type="http://schemas.openxmlformats.org/officeDocument/2006/relationships/hyperlink" Id="rId59"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2025-11-26T16:05:50Z</dcterms:created>
  <dcterms:modified xsi:type="dcterms:W3CDTF">2025-11-26T16:05:50Z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