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0.png" ContentType="image/png"/>
  <Override PartName="/word/media/rId168.png" ContentType="image/png"/>
  <Override PartName="/word/media/rId156.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 a greater number of North American lineages established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faunal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continent’s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Quaternary, the ability of migrant lineages to maintain and diversify in the foreign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The prevailing view, proposed by Webb.</w:t>
      </w:r>
      <w:r>
        <w:rPr>
          <w:vertAlign w:val="superscript"/>
        </w:rPr>
        <w:t xml:space="preserve">14</w:t>
      </w:r>
      <w:r>
        <w:t xml:space="preserve"> </w:t>
      </w:r>
      <w:r>
        <w:t xml:space="preserve">and Vrba.</w:t>
      </w:r>
      <w:r>
        <w:rPr>
          <w:vertAlign w:val="superscript"/>
        </w:rPr>
        <w:t xml:space="preserve">24</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32</w:t>
      </w:r>
      <w:r>
        <w:t xml:space="preserve">. Recently, this family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 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4" w:name="discussion"/>
    <w:p>
      <w:pPr>
        <w:pStyle w:val="Heading1"/>
      </w:pPr>
      <w:r>
        <w:t xml:space="preserve">Discussion</w:t>
      </w:r>
    </w:p>
    <w:bookmarkStart w:id="27"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Great American Biotic Interchange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foreign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It may suggest that the asymmetric land mammals exchange that resulted from the GABI must have been shaped by additional factors than climate alone.</w:t>
      </w:r>
    </w:p>
    <w:p>
      <w:pPr>
        <w:pStyle w:val="BodyText"/>
      </w:pPr>
      <w:r>
        <w:t xml:space="preserve">Seminal works primarily interpreted the empirically-derived asymmetry of the GABI through the lens of a continent-wide extension of the MacArthur &amp; Wilson’s equilibrium theory</w:t>
      </w:r>
      <w:r>
        <w:rPr>
          <w:vertAlign w:val="superscript"/>
        </w:rPr>
        <w:t xml:space="preserve">44</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In that framework, Marshall et al.</w:t>
      </w:r>
      <w:r>
        <w:rPr>
          <w:vertAlign w:val="superscript"/>
        </w:rPr>
        <w:t xml:space="preserve">2</w:t>
      </w:r>
      <w:r>
        <w:t xml:space="preserve"> </w:t>
      </w:r>
      <w:r>
        <w:t xml:space="preserve">argued that the continent offering the largest pool of taxa – which, according to this prediction, would happen to be North America – would in turn have resulted in the larger number of species exchanged in the end. It might be noticed that species pool imbalance between the two source areas has been identified as a key driver in the faunal exchange asymmetry that contributed to the build-up of the unique biodiversity along the Wallace line</w:t>
      </w:r>
      <w:r>
        <w:rPr>
          <w:vertAlign w:val="superscript"/>
        </w:rPr>
        <w:t xml:space="preserve">36</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suggested by our findings goes in contradiction with the mammal fossil record</w:t>
      </w:r>
      <w:r>
        <w:rPr>
          <w:vertAlign w:val="superscript"/>
        </w:rPr>
        <w:t xml:space="preserve">2</w:t>
      </w:r>
      <w:r>
        <w:t xml:space="preserve">, it actually echoes inter-American exchange mechanisms proposed for other groups of vertebrates. For instance, the extant amphibian fauna of South America is almost entirely made up with endemic taxa. By contrast, North American frog fauna is composed of four families of southern origin, and only three of northern origin</w:t>
      </w:r>
      <w:r>
        <w:rPr>
          <w:vertAlign w:val="superscript"/>
        </w:rPr>
        <w:t xml:space="preserve">47</w:t>
      </w:r>
      <w:r>
        <w:t xml:space="preserve">. Also,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be noted that, due to the requirement for connected freshwater networks, the magnitude of the faunal admixture among freshwater fishes has been greatly limited compared to land groups. Next, despite the enhanced dispersal abilities suggested by the mode of locomotion of birds, phylogenetic evidence have shown a significant influence of the closure of the panamanian seaway in the rates of exchange between both continent’s avifaunas</w:t>
      </w:r>
      <w:r>
        <w:rPr>
          <w:vertAlign w:val="superscript"/>
        </w:rPr>
        <w:t xml:space="preserve">50,51</w:t>
      </w:r>
      <w:r>
        <w:t xml:space="preserve">. In particular, transcontinental exchanges occurred symmetrically among clades inhabting tropical regions, but interestingly, just like land mammals, diversification of extra-tropical groups to tropical regions and further dispersal to the other landmass was strongly asymmetrical in favour of North American taxa</w:t>
      </w:r>
      <w:r>
        <w:rPr>
          <w:vertAlign w:val="superscript"/>
        </w:rPr>
        <w:t xml:space="preserve">49,51</w:t>
      </w:r>
      <w:r>
        <w:t xml:space="preserve">. That being said, notable exceptions of South American groups that successfully diversified in North America (including within temperate regions) exist, such as hummingbirds. However, the lack of fossil record for these groups greatly hampers our understanding of the processes behind their biogeographical history.</w:t>
      </w:r>
    </w:p>
    <w:bookmarkEnd w:id="27"/>
    <w:bookmarkStart w:id="28" w:name="Xcc2378c0a74ed408eb952abc767abbfd2a71b7f"/>
    <w:p>
      <w:pPr>
        <w:pStyle w:val="Heading2"/>
      </w:pPr>
      <w:r>
        <w:t xml:space="preserve">Fate of lineages, niche evolution and geographic lottery</w:t>
      </w:r>
    </w:p>
    <w:p>
      <w:pPr>
        <w:pStyle w:val="FirstParagraph"/>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52</w:t>
      </w:r>
      <w:r>
        <w:t xml:space="preserve">.</w:t>
      </w:r>
    </w:p>
    <w:p>
      <w:pPr>
        <w:pStyle w:val="BodyText"/>
      </w:pPr>
      <w:r>
        <w:t xml:space="preserve">Southwards dispersals generated under</w:t>
      </w:r>
      <w:r>
        <w:t xml:space="preserve"> </w:t>
      </w:r>
      <m:oMath>
        <m:r>
          <m:t>M</m:t>
        </m:r>
        <m:r>
          <m:t>0</m:t>
        </m:r>
      </m:oMath>
      <w:r>
        <w:t xml:space="preserve"> </w:t>
      </w:r>
      <w:r>
        <w:t xml:space="preserve">are less frequent but result in a greater colonising ability – larger proportion of colonised area and colonised diversity – than northwards dispersals</w:t>
      </w:r>
      <w:r>
        <w:t xml:space="preserve"> </w:t>
      </w:r>
      <w:hyperlink w:anchor="fig-metrics">
        <w:r>
          <w:rPr>
            <w:rStyle w:val="Hyperlink"/>
          </w:rPr>
          <w:t xml:space="preserve">Figure 3</w:t>
        </w:r>
      </w:hyperlink>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r>
        <w:t xml:space="preserve">,</w:t>
      </w:r>
    </w:p>
    <w:p>
      <w:pPr>
        <w:pStyle w:val="BodyText"/>
      </w:pPr>
      <w:r>
        <w:t xml:space="preserve">“</w:t>
      </w:r>
      <w:r>
        <w:t xml:space="preserve">Too far to be exchanged</w:t>
      </w:r>
      <w:r>
        <w:t xml:space="preserve">”</w:t>
      </w:r>
      <w:r>
        <w:t xml:space="preserve">: example of caprins raised by</w:t>
      </w:r>
      <w:r>
        <w:rPr>
          <w:vertAlign w:val="superscript"/>
        </w:rPr>
        <w:t xml:space="preserve">14</w:t>
      </w:r>
    </w:p>
    <w:p>
      <w:pPr>
        <w:pStyle w:val="BodyText"/>
      </w:pPr>
      <w:r>
        <w:t xml:space="preserve">Fortuitous experiment and neutral/random effect?</w:t>
      </w:r>
    </w:p>
    <w:bookmarkEnd w:id="28"/>
    <w:bookmarkStart w:id="29" w:name="climatic-filtering"/>
    <w:p>
      <w:pPr>
        <w:pStyle w:val="Heading2"/>
      </w:pPr>
      <w:r>
        <w:t xml:space="preserve">Climatic filtering</w:t>
      </w:r>
    </w:p>
    <w:p>
      <w:pPr>
        <w:pStyle w:val="FirstParagraph"/>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North American tropical specialist’s establishment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53</w:t>
      </w:r>
      <w:r>
        <w:t xml:space="preserve">. The latter hypothesis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53</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may in fact reflect an attenuated magnitude of the climatic fragmentation of the isthmian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made up with species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equids, proboscids or camelids on the South American side; ground sloths, toxodontids or glyptodontids on the North American. The co-occurrence of distinct taxa in temporally well-delimited fossil assemblages lead palaeontologists to postulate that the GABI was in fact a succession of exchange pulses punctuated by phases of interruption, related to the climate-driven oscillations between savannah and rainforest in Central America</w:t>
      </w:r>
      <w:r>
        <w:rPr>
          <w:vertAlign w:val="superscript"/>
        </w:rPr>
        <w:t xml:space="preserve">14</w:t>
      </w:r>
      <w:r>
        <w:t xml:space="preserve">. The majority of exchanged taxa therefore had ecologies suited to open habitats, and preferentially dispersed during cold and dry climate intervals</w:t>
      </w:r>
      <w:r>
        <w:rPr>
          <w:vertAlign w:val="superscript"/>
        </w:rPr>
        <w:t xml:space="preserve">11</w:t>
      </w:r>
      <w:r>
        <w:t xml:space="preserve">. That being dsaid, as mentioned by Weir</w:t>
      </w:r>
      <w:r>
        <w:rPr>
          <w:vertAlign w:val="superscript"/>
        </w:rPr>
        <w:t xml:space="preserve">50</w:t>
      </w:r>
      <w:r>
        <w:t xml:space="preserve">, the mammal fossil record in the Americas is highly biased, with few occurrences coming from low-latitude tropical regions, which is particularly striking in the case of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54</w:t>
      </w:r>
      <w:r>
        <w:t xml:space="preserve">. Furthermore, evidence from extant mammal taxa suggest tropical niche conservatism</w:t>
      </w:r>
      <w:r>
        <w:rPr>
          <w:vertAlign w:val="superscript"/>
        </w:rPr>
        <w:t xml:space="preserve">49</w:t>
      </w:r>
      <w:r>
        <w:t xml:space="preserve">. Thus, the fossil-derived number of mammal exchange must have been greatly underestimated, with little to no occurrence documenting interchanges constrained to the tropical biome.</w:t>
      </w:r>
    </w:p>
    <w:p>
      <w:pPr>
        <w:pStyle w:val="BodyText"/>
      </w:pPr>
      <w:r>
        <w:t xml:space="preserve">Also, across simulations, exchange pulses manifestly don’t relate to temperature fluctuations (Figure S11), which has yet been postulated many times (</w:t>
      </w:r>
      <w:r>
        <w:rPr>
          <w:i/>
          <w:iCs/>
        </w:rPr>
        <w:t xml:space="preserve">e</w:t>
      </w:r>
      <w:r>
        <w:t xml:space="preserve">.</w:t>
      </w:r>
      <w:r>
        <w:rPr>
          <w:i/>
          <w:iCs/>
        </w:rPr>
        <w:t xml:space="preserve">g</w:t>
      </w:r>
      <w:r>
        <w:t xml:space="preserve">., Woorburne et al.</w:t>
      </w:r>
      <w:r>
        <w:rPr>
          <w:vertAlign w:val="superscript"/>
        </w:rPr>
        <w:t xml:space="preserve">11</w:t>
      </w:r>
      <w:r>
        <w:t xml:space="preserve"> </w:t>
      </w:r>
      <w:r>
        <w:t xml:space="preserve">and literature therein.</w:t>
      </w:r>
    </w:p>
    <w:p>
      <w:pPr>
        <w:pStyle w:val="BodyText"/>
      </w:pPr>
      <w:r>
        <w:t xml:space="preserve">Climate cooling associated to enhanced dispersal (FO 2024, 2025)</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36</w:t>
      </w:r>
      <w:r>
        <w:t xml:space="preserve">. Result of Figure 2C for</w:t>
      </w:r>
      <w:r>
        <w:t xml:space="preserve"> </w:t>
      </w:r>
      <m:oMath>
        <m:r>
          <m:t>M</m:t>
        </m:r>
        <m:r>
          <m:t>3</m:t>
        </m:r>
      </m:oMath>
      <w:r>
        <w:t xml:space="preserve"> </w:t>
      </w:r>
      <w:r>
        <w:t xml:space="preserve">can be related to tropical biome</w:t>
      </w:r>
    </w:p>
    <w:p>
      <w:pPr>
        <w:pStyle w:val="BodyText"/>
      </w:pPr>
      <w:r>
        <w:t xml:space="preserve">Effect of climate change to keep in mind for megafaunal extinctions</w:t>
      </w:r>
      <w:r>
        <w:rPr>
          <w:vertAlign w:val="superscript"/>
        </w:rPr>
        <w:t xml:space="preserve">55</w:t>
      </w:r>
    </w:p>
    <w:bookmarkEnd w:id="29"/>
    <w:bookmarkStart w:id="30" w:name="notes-about-tropical-niche-conservatism"/>
    <w:p>
      <w:pPr>
        <w:pStyle w:val="Heading2"/>
      </w:pPr>
      <w:r>
        <w:t xml:space="preserve">Notes about tropical niche conservatism</w:t>
      </w:r>
    </w:p>
    <w:p>
      <w:pPr>
        <w:pStyle w:val="FirstParagraph"/>
      </w:pPr>
      <w:r>
        <w:t xml:space="preserve">“</w:t>
      </w:r>
      <w:r>
        <w:t xml:space="preserve">mammal record is derived almost entirely from temperate-latitude fossils and includes few fossils from tropical forests, which may bias estimates of the direction of traffic between the continents</w:t>
      </w:r>
      <w:r>
        <w:t xml:space="preserve">”</w:t>
      </w:r>
      <w:r>
        <w:rPr>
          <w:vertAlign w:val="superscript"/>
        </w:rPr>
        <w:t xml:space="preserve">50</w:t>
      </w:r>
      <w:r>
        <w:t xml:space="preserve"> </w:t>
      </w:r>
      <w:r>
        <w:t xml:space="preserve">Could the apparent abiotic selectivity that facilitated the dispersal of temperate-adapted mammals be in fact a taphonomic bias? Could the empirically-derived migration imbalance be altered by the tropical niche conservatism of south-to-north migrants?</w:t>
      </w:r>
    </w:p>
    <w:p>
      <w:pPr>
        <w:pStyle w:val="BodyText"/>
      </w:pPr>
      <w:r>
        <w:t xml:space="preserve">Asymmetry of success postulated as a contributor to the LBG</w:t>
      </w:r>
    </w:p>
    <w:p>
      <w:pPr>
        <w:pStyle w:val="BodyText"/>
      </w:pPr>
      <w:r>
        <w:t xml:space="preserve">Our results highlight that successful simulations, either starting from North or South America, exhibit a strong tropical niche conservatism.</w:t>
      </w:r>
    </w:p>
    <w:p>
      <w:pPr>
        <w:pStyle w:val="BodyText"/>
      </w:pPr>
      <w:r>
        <w:t xml:space="preserve">North American taxa exhibit strong Tropical Niche Conservatism (TNC), but not South Americans, except for M0. TNC relaxed in M3.</w:t>
      </w:r>
    </w:p>
    <w:p>
      <w:pPr>
        <w:pStyle w:val="BodyText"/>
      </w:pPr>
      <w:r>
        <w:t xml:space="preserve">Faunistic uniqueness (ccl Tilson Smith et al. 2012 + discu Gilles)</w:t>
      </w:r>
    </w:p>
    <w:bookmarkEnd w:id="30"/>
    <w:bookmarkStart w:id="33" w:name="limitations-and-perspectives"/>
    <w:p>
      <w:pPr>
        <w:pStyle w:val="Heading2"/>
      </w:pPr>
      <w:r>
        <w:t xml:space="preserve">Limitations and perspectives</w:t>
      </w:r>
    </w:p>
    <w:bookmarkStart w:id="31" w:name="taxonomic-extinction-issue"/>
    <w:p>
      <w:pPr>
        <w:pStyle w:val="Heading3"/>
      </w:pPr>
      <w:r>
        <w:t xml:space="preserve">Taxonomic extinction issue</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b/>
          <w:bCs/>
          <w:vertAlign w:val="superscript"/>
        </w:rPr>
        <w:t xml:space="preserve">marshall1992?</w:t>
      </w:r>
      <w:r>
        <w:t xml:space="preserve"> </w:t>
      </w:r>
      <w:r>
        <w:t xml:space="preserve">indeed highlighted that northern immigrant genera experienced notoriously higher origination and lower extinction rates than native lineages in South America. They also quantified . More recently, using a probabilitic framework accounting for preservation heterogeneities to infer fossil-based macroevolutionary trends, Carrillo</w:t>
      </w:r>
      <w:r>
        <w:rPr>
          <w:vertAlign w:val="superscript"/>
        </w:rPr>
        <w:t xml:space="preserve">16</w:t>
      </w:r>
      <w:r>
        <w:t xml:space="preserve"> </w:t>
      </w:r>
      <w:r>
        <w:t xml:space="preserve">showed that the asymmetry of the GABI was not due to differences in origination or dispersal rates, but rather in extinction rates, with native South American lineages experiencing more extinction in their home range than migrant lineages. Unfortunately, our simulation framework did not allow us to test for this, as extinction issue (ref?)</w:t>
      </w:r>
    </w:p>
    <w:bookmarkEnd w:id="31"/>
    <w:bookmarkStart w:id="32" w:name="alternative-interchange-pathways"/>
    <w:p>
      <w:pPr>
        <w:pStyle w:val="Heading3"/>
      </w:pPr>
      <w:r>
        <w:t xml:space="preserve">Alternative interchange pathways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2</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56,57</w:t>
      </w:r>
      <w:r>
        <w:t xml:space="preserve">. Although over-water dispersal has long been regarded as the prevailing mechanism</w:t>
      </w:r>
      <w:r>
        <w:rPr>
          <w:vertAlign w:val="superscript"/>
        </w:rPr>
        <w:t xml:space="preserve">56</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58</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59</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Unrealistic timing of colonisation?</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Propose improvements relying on equal-area landscape !</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p>
      <w:r>
        <w:br w:type="page"/>
      </w:r>
    </w:p>
    <w:bookmarkEnd w:id="32"/>
    <w:bookmarkEnd w:id="33"/>
    <w:bookmarkEnd w:id="34"/>
    <w:bookmarkStart w:id="35" w:name="acknowledgements"/>
    <w:p>
      <w:pPr>
        <w:pStyle w:val="Heading1"/>
      </w:pPr>
      <w:r>
        <w:t xml:space="preserve">Acknowledgements</w:t>
      </w:r>
    </w:p>
    <w:p>
      <w:pPr>
        <w:pStyle w:val="FirstParagraph"/>
      </w:pPr>
      <w:r>
        <w:t xml:space="preserve">We thank Adrián Castro Insua for his useful guidelines and recommendations at the onset of the project. We thank Céline Devaux for her useful comments on the present work.</w:t>
      </w:r>
    </w:p>
    <w:p>
      <w:r>
        <w:br w:type="page"/>
      </w:r>
    </w:p>
    <w:bookmarkEnd w:id="35"/>
    <w:bookmarkStart w:id="36" w:name="thrash"/>
    <w:p>
      <w:pPr>
        <w:pStyle w:val="Heading1"/>
      </w:pPr>
      <w:r>
        <w:t xml:space="preserve">Thrash</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60</w:t>
      </w:r>
      <w:r>
        <w:t xml:space="preserve"> </w:t>
      </w:r>
      <w:r>
        <w:t xml:space="preserve">– that followed the establishment of northern lineages</w:t>
      </w:r>
      <w:r>
        <w:rPr>
          <w:vertAlign w:val="superscript"/>
        </w:rPr>
        <w:t xml:space="preserve">19</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20</w:t>
      </w:r>
      <w:r>
        <w:t xml:space="preserve">. Moreover, using phylogenetic regressions, Faurby et al.</w:t>
      </w:r>
      <w:r>
        <w:rPr>
          <w:vertAlign w:val="superscript"/>
        </w:rPr>
        <w:t xml:space="preserve">22</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25,26</w:t>
      </w:r>
      <w:r>
        <w:t xml:space="preserve">. Incorporating biotic compounds in mechanistic frameworks such as the one we have implemented here would be a nice way-to-go for future studies tackling the asymmetry behind the GABI.</w:t>
      </w:r>
    </w:p>
    <w:bookmarkEnd w:id="36"/>
    <w:bookmarkStart w:id="155" w:name="references"/>
    <w:p>
      <w:pPr>
        <w:pStyle w:val="Heading1"/>
      </w:pPr>
      <w:r>
        <w:t xml:space="preserve">References</w:t>
      </w:r>
    </w:p>
    <w:bookmarkStart w:id="154" w:name="refs"/>
    <w:bookmarkStart w:id="38" w:name="ref-webb1976"/>
    <w:p>
      <w:pPr>
        <w:pStyle w:val="Bibliography"/>
      </w:pPr>
      <w:r>
        <w:t xml:space="preserve">1.</w:t>
      </w:r>
      <w:r>
        <w:t xml:space="preserve"> </w:t>
      </w:r>
      <w:r>
        <w:t xml:space="preserve">	</w:t>
      </w:r>
      <w:r>
        <w:t xml:space="preserve">Webb, S.D. (1976).</w:t>
      </w:r>
      <w:r>
        <w:t xml:space="preserve"> </w:t>
      </w:r>
      <w:hyperlink r:id="rId37">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38"/>
    <w:bookmarkStart w:id="40" w:name="ref-marshall1982"/>
    <w:p>
      <w:pPr>
        <w:pStyle w:val="Bibliography"/>
      </w:pPr>
      <w:r>
        <w:t xml:space="preserve">2.</w:t>
      </w:r>
      <w:r>
        <w:t xml:space="preserve"> </w:t>
      </w:r>
      <w:r>
        <w:t xml:space="preserve">	</w:t>
      </w:r>
      <w:r>
        <w:t xml:space="preserve">Marshall, L.G., Webb, S.D., Sepkoski, J.J., and Raup, D.M. (1982).</w:t>
      </w:r>
      <w:r>
        <w:t xml:space="preserve"> </w:t>
      </w:r>
      <w:hyperlink r:id="rId39">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40"/>
    <w:bookmarkStart w:id="42" w:name="ref-stehli_great_1985"/>
    <w:p>
      <w:pPr>
        <w:pStyle w:val="Bibliography"/>
      </w:pPr>
      <w:r>
        <w:t xml:space="preserve">3.</w:t>
      </w:r>
      <w:r>
        <w:t xml:space="preserve"> </w:t>
      </w:r>
      <w:r>
        <w:t xml:space="preserve">	</w:t>
      </w:r>
      <w:r>
        <w:t xml:space="preserve">Stehli, F.G., and Webb, S.D. eds. (1985). The great american biotic interchange Plenum Press. (Springer</w:t>
      </w:r>
      <w:r>
        <w:t xml:space="preserve"> </w:t>
      </w:r>
      <w:r>
        <w:t xml:space="preserve">US</w:t>
      </w:r>
      <w:r>
        <w:t xml:space="preserve">)</w:t>
      </w:r>
      <w:r>
        <w:t xml:space="preserve"> </w:t>
      </w:r>
      <w:hyperlink r:id="rId41">
        <w:r>
          <w:rPr>
            <w:rStyle w:val="Hyperlink"/>
          </w:rPr>
          <w:t xml:space="preserve">https://doi.org/10.1007/978-1-4684-9181-4</w:t>
        </w:r>
      </w:hyperlink>
      <w:r>
        <w:t xml:space="preserve">.</w:t>
      </w:r>
    </w:p>
    <w:bookmarkEnd w:id="42"/>
    <w:bookmarkStart w:id="44"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3">
        <w:r>
          <w:rPr>
            <w:rStyle w:val="Hyperlink"/>
          </w:rPr>
          <w:t xml:space="preserve">https://doi.org/10.1126/science.aaa2815</w:t>
        </w:r>
      </w:hyperlink>
      <w:r>
        <w:t xml:space="preserve">.</w:t>
      </w:r>
    </w:p>
    <w:bookmarkEnd w:id="44"/>
    <w:bookmarkStart w:id="46" w:name="ref-jaramillo2018"/>
    <w:p>
      <w:pPr>
        <w:pStyle w:val="Bibliography"/>
      </w:pPr>
      <w:r>
        <w:t xml:space="preserve">5.</w:t>
      </w:r>
      <w:r>
        <w:t xml:space="preserve"> </w:t>
      </w:r>
      <w:r>
        <w:t xml:space="preserve">	</w:t>
      </w:r>
      <w:r>
        <w:t xml:space="preserve">Jaramillo, C.A. (2018).</w:t>
      </w:r>
      <w:r>
        <w:t xml:space="preserve"> </w:t>
      </w:r>
      <w:hyperlink r:id="rId45">
        <w:r>
          <w:rPr>
            <w:rStyle w:val="Hyperlink"/>
          </w:rPr>
          <w:t xml:space="preserve">Evolution of the isthmus of panama: Biological, paleoceanographic and paleoclimatological implications</w:t>
        </w:r>
      </w:hyperlink>
      <w:r>
        <w:t xml:space="preserve">. In (John Wiley &amp; Sons).</w:t>
      </w:r>
    </w:p>
    <w:bookmarkEnd w:id="46"/>
    <w:bookmarkStart w:id="48"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7">
        <w:r>
          <w:rPr>
            <w:rStyle w:val="Hyperlink"/>
          </w:rPr>
          <w:t xml:space="preserve">https://doi.org/10.1126/sciadv.1600883</w:t>
        </w:r>
      </w:hyperlink>
      <w:r>
        <w:t xml:space="preserve">.</w:t>
      </w:r>
    </w:p>
    <w:bookmarkEnd w:id="48"/>
    <w:bookmarkStart w:id="50" w:name="ref-bourke2025"/>
    <w:p>
      <w:pPr>
        <w:pStyle w:val="Bibliography"/>
      </w:pPr>
      <w:r>
        <w:t xml:space="preserve">7.</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9">
        <w:r>
          <w:rPr>
            <w:rStyle w:val="Hyperlink"/>
          </w:rPr>
          <w:t xml:space="preserve">https://doi.org/10.1029/2025GC012288</w:t>
        </w:r>
      </w:hyperlink>
      <w:r>
        <w:t xml:space="preserve">.</w:t>
      </w:r>
    </w:p>
    <w:bookmarkEnd w:id="50"/>
    <w:bookmarkStart w:id="52" w:name="ref-verzi2008"/>
    <w:p>
      <w:pPr>
        <w:pStyle w:val="Bibliography"/>
      </w:pPr>
      <w:r>
        <w:t xml:space="preserve">8.</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51">
        <w:r>
          <w:rPr>
            <w:rStyle w:val="Hyperlink"/>
          </w:rPr>
          <w:t xml:space="preserve">https://doi.org/10.1016/j.geobios.2006.09.005</w:t>
        </w:r>
      </w:hyperlink>
      <w:r>
        <w:t xml:space="preserve">.</w:t>
      </w:r>
    </w:p>
    <w:bookmarkEnd w:id="52"/>
    <w:bookmarkStart w:id="54"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53">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4"/>
    <w:bookmarkStart w:id="56" w:name="ref-carrillo2015"/>
    <w:p>
      <w:pPr>
        <w:pStyle w:val="Bibliography"/>
      </w:pPr>
      <w:r>
        <w:t xml:space="preserve">10.</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5">
        <w:r>
          <w:rPr>
            <w:rStyle w:val="Hyperlink"/>
          </w:rPr>
          <w:t xml:space="preserve">https://doi.org/10.3389/fgene.2014.00451</w:t>
        </w:r>
      </w:hyperlink>
      <w:r>
        <w:t xml:space="preserve">.</w:t>
      </w:r>
    </w:p>
    <w:bookmarkEnd w:id="56"/>
    <w:bookmarkStart w:id="58" w:name="ref-woodburne2010"/>
    <w:p>
      <w:pPr>
        <w:pStyle w:val="Bibliography"/>
      </w:pPr>
      <w:r>
        <w:t xml:space="preserve">11.</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7">
        <w:r>
          <w:rPr>
            <w:rStyle w:val="Hyperlink"/>
          </w:rPr>
          <w:t xml:space="preserve">https://doi.org/10.1007/s10914-010-9144-8</w:t>
        </w:r>
      </w:hyperlink>
      <w:r>
        <w:t xml:space="preserve">.</w:t>
      </w:r>
    </w:p>
    <w:bookmarkEnd w:id="58"/>
    <w:bookmarkStart w:id="60" w:name="ref-bacon2015"/>
    <w:p>
      <w:pPr>
        <w:pStyle w:val="Bibliography"/>
      </w:pPr>
      <w:r>
        <w:t xml:space="preserve">12.</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9">
        <w:r>
          <w:rPr>
            <w:rStyle w:val="Hyperlink"/>
          </w:rPr>
          <w:t xml:space="preserve">https://doi.org/10.1073/pnas.1423853112</w:t>
        </w:r>
      </w:hyperlink>
      <w:r>
        <w:t xml:space="preserve">.</w:t>
      </w:r>
    </w:p>
    <w:bookmarkEnd w:id="60"/>
    <w:bookmarkStart w:id="62" w:name="ref-bacon2016"/>
    <w:p>
      <w:pPr>
        <w:pStyle w:val="Bibliography"/>
      </w:pPr>
      <w:r>
        <w:t xml:space="preserve">13.</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61">
        <w:r>
          <w:rPr>
            <w:rStyle w:val="Hyperlink"/>
          </w:rPr>
          <w:t xml:space="preserve">https://doi.org/10.1130/G37624.1</w:t>
        </w:r>
      </w:hyperlink>
      <w:r>
        <w:t xml:space="preserve">.</w:t>
      </w:r>
    </w:p>
    <w:bookmarkEnd w:id="62"/>
    <w:bookmarkStart w:id="64" w:name="ref-webb1991"/>
    <w:p>
      <w:pPr>
        <w:pStyle w:val="Bibliography"/>
      </w:pPr>
      <w:r>
        <w:t xml:space="preserve">14.</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3">
        <w:r>
          <w:rPr>
            <w:rStyle w:val="Hyperlink"/>
          </w:rPr>
          <w:t xml:space="preserve">https://doi.org/10.1017/S0094837300010605</w:t>
        </w:r>
      </w:hyperlink>
      <w:r>
        <w:t xml:space="preserve">.</w:t>
      </w:r>
    </w:p>
    <w:bookmarkEnd w:id="64"/>
    <w:bookmarkStart w:id="66"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5">
        <w:r>
          <w:rPr>
            <w:rStyle w:val="Hyperlink"/>
          </w:rPr>
          <w:t xml:space="preserve">The Great American Biotic Interchange: A South American Perspective</w:t>
        </w:r>
      </w:hyperlink>
      <w:r>
        <w:t xml:space="preserve"> </w:t>
      </w:r>
      <w:r>
        <w:t xml:space="preserve">(Springer Netherlands).</w:t>
      </w:r>
    </w:p>
    <w:bookmarkEnd w:id="66"/>
    <w:bookmarkStart w:id="68" w:name="ref-carrillo2020"/>
    <w:p>
      <w:pPr>
        <w:pStyle w:val="Bibliography"/>
      </w:pPr>
      <w:r>
        <w:t xml:space="preserve">16.</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7">
        <w:r>
          <w:rPr>
            <w:rStyle w:val="Hyperlink"/>
          </w:rPr>
          <w:t xml:space="preserve">https://doi.org/10.1073/pnas.2009397117</w:t>
        </w:r>
      </w:hyperlink>
      <w:r>
        <w:t xml:space="preserve">.</w:t>
      </w:r>
    </w:p>
    <w:bookmarkEnd w:id="68"/>
    <w:bookmarkStart w:id="70" w:name="ref-croft2020"/>
    <w:p>
      <w:pPr>
        <w:pStyle w:val="Bibliography"/>
      </w:pPr>
      <w:r>
        <w:t xml:space="preserve">17.</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9">
        <w:r>
          <w:rPr>
            <w:rStyle w:val="Hyperlink"/>
          </w:rPr>
          <w:t xml:space="preserve">https://doi.org/10.1146/annurev-earth-072619-060126</w:t>
        </w:r>
      </w:hyperlink>
      <w:r>
        <w:t xml:space="preserve">.</w:t>
      </w:r>
    </w:p>
    <w:bookmarkEnd w:id="70"/>
    <w:bookmarkStart w:id="72"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71">
        <w:r>
          <w:rPr>
            <w:rStyle w:val="Hyperlink"/>
          </w:rPr>
          <w:t xml:space="preserve">https://doi.org/10.1126/science.adu0704</w:t>
        </w:r>
      </w:hyperlink>
      <w:r>
        <w:t xml:space="preserve">.</w:t>
      </w:r>
    </w:p>
    <w:bookmarkEnd w:id="72"/>
    <w:bookmarkStart w:id="73" w:name="ref-simpson1980"/>
    <w:p>
      <w:pPr>
        <w:pStyle w:val="Bibliography"/>
      </w:pPr>
      <w:r>
        <w:t xml:space="preserve">19.</w:t>
      </w:r>
      <w:r>
        <w:t xml:space="preserve"> </w:t>
      </w:r>
      <w:r>
        <w:t xml:space="preserve">	</w:t>
      </w:r>
      <w:r>
        <w:t xml:space="preserve">Simpson, G.G. (1980). Splendid isolation : The curious history of south american mammals Yale University Press, New Haven.</w:t>
      </w:r>
    </w:p>
    <w:bookmarkEnd w:id="73"/>
    <w:bookmarkStart w:id="75" w:name="ref-domingo2020"/>
    <w:p>
      <w:pPr>
        <w:pStyle w:val="Bibliography"/>
      </w:pPr>
      <w:r>
        <w:t xml:space="preserve">20.</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4">
        <w:r>
          <w:rPr>
            <w:rStyle w:val="Hyperlink"/>
          </w:rPr>
          <w:t xml:space="preserve">https://doi.org/10.1038/s41598-020-58575-6</w:t>
        </w:r>
      </w:hyperlink>
      <w:r>
        <w:t xml:space="preserve">.</w:t>
      </w:r>
    </w:p>
    <w:bookmarkEnd w:id="75"/>
    <w:bookmarkStart w:id="76" w:name="ref-marshall1990"/>
    <w:p>
      <w:pPr>
        <w:pStyle w:val="Bibliography"/>
      </w:pPr>
      <w:r>
        <w:t xml:space="preserve">21.</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6"/>
    <w:bookmarkStart w:id="78" w:name="ref-faurby2016"/>
    <w:p>
      <w:pPr>
        <w:pStyle w:val="Bibliography"/>
      </w:pPr>
      <w:r>
        <w:t xml:space="preserve">22.</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7">
        <w:r>
          <w:rPr>
            <w:rStyle w:val="Hyperlink"/>
          </w:rPr>
          <w:t xml:space="preserve">https://doi.org/10.1111/geb.12504</w:t>
        </w:r>
      </w:hyperlink>
      <w:r>
        <w:t xml:space="preserve">.</w:t>
      </w:r>
    </w:p>
    <w:bookmarkEnd w:id="78"/>
    <w:bookmarkStart w:id="80"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9">
        <w:r>
          <w:rPr>
            <w:rStyle w:val="Hyperlink"/>
          </w:rPr>
          <w:t xml:space="preserve">https://doi.org/10.1111/pala.70012</w:t>
        </w:r>
      </w:hyperlink>
      <w:r>
        <w:t xml:space="preserve">.</w:t>
      </w:r>
    </w:p>
    <w:bookmarkEnd w:id="80"/>
    <w:bookmarkStart w:id="82" w:name="ref-vrba1992"/>
    <w:p>
      <w:pPr>
        <w:pStyle w:val="Bibliography"/>
      </w:pPr>
      <w:r>
        <w:t xml:space="preserve">24.</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81">
        <w:r>
          <w:rPr>
            <w:rStyle w:val="Hyperlink"/>
          </w:rPr>
          <w:t xml:space="preserve">https://doi.org/10.2307/1381862</w:t>
        </w:r>
      </w:hyperlink>
      <w:r>
        <w:t xml:space="preserve">.</w:t>
      </w:r>
    </w:p>
    <w:bookmarkEnd w:id="82"/>
    <w:bookmarkStart w:id="84" w:name="ref-prevosti2013"/>
    <w:p>
      <w:pPr>
        <w:pStyle w:val="Bibliography"/>
      </w:pPr>
      <w:r>
        <w:t xml:space="preserve">25.</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3">
        <w:r>
          <w:rPr>
            <w:rStyle w:val="Hyperlink"/>
          </w:rPr>
          <w:t xml:space="preserve">https://doi.org/10.1007/s10914-011-9175-9</w:t>
        </w:r>
      </w:hyperlink>
      <w:r>
        <w:t xml:space="preserve">.</w:t>
      </w:r>
    </w:p>
    <w:bookmarkEnd w:id="84"/>
    <w:bookmarkStart w:id="86" w:name="ref-tarquini2022"/>
    <w:p>
      <w:pPr>
        <w:pStyle w:val="Bibliography"/>
      </w:pPr>
      <w:r>
        <w:t xml:space="preserve">26.</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5">
        <w:r>
          <w:rPr>
            <w:rStyle w:val="Hyperlink"/>
          </w:rPr>
          <w:t xml:space="preserve">https://doi.org/10.1038/s41598-022-05266-z</w:t>
        </w:r>
      </w:hyperlink>
      <w:r>
        <w:t xml:space="preserve">.</w:t>
      </w:r>
    </w:p>
    <w:bookmarkEnd w:id="86"/>
    <w:bookmarkStart w:id="88" w:name="ref-marsà2025"/>
    <w:p>
      <w:pPr>
        <w:pStyle w:val="Bibliography"/>
      </w:pPr>
      <w:r>
        <w:t xml:space="preserve">27.</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7">
        <w:r>
          <w:rPr>
            <w:rStyle w:val="Hyperlink"/>
          </w:rPr>
          <w:t xml:space="preserve">https://doi.org/10.3390/d17030153</w:t>
        </w:r>
      </w:hyperlink>
      <w:r>
        <w:t xml:space="preserve">.</w:t>
      </w:r>
    </w:p>
    <w:bookmarkEnd w:id="88"/>
    <w:bookmarkStart w:id="90" w:name="ref-freitas-oliveira_no_2024"/>
    <w:p>
      <w:pPr>
        <w:pStyle w:val="Bibliography"/>
      </w:pPr>
      <w:r>
        <w:t xml:space="preserve">28.</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9">
        <w:r>
          <w:rPr>
            <w:rStyle w:val="Hyperlink"/>
          </w:rPr>
          <w:t xml:space="preserve">https://doi.org/10.1038/s44185-024-00045-7</w:t>
        </w:r>
      </w:hyperlink>
      <w:r>
        <w:t xml:space="preserve">.</w:t>
      </w:r>
    </w:p>
    <w:bookmarkEnd w:id="90"/>
    <w:bookmarkStart w:id="91" w:name="ref-freitas-oliveira2024"/>
    <w:p>
      <w:pPr>
        <w:pStyle w:val="Bibliography"/>
      </w:pPr>
      <w:r>
        <w:t xml:space="preserve">29.</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9">
        <w:r>
          <w:rPr>
            <w:rStyle w:val="Hyperlink"/>
          </w:rPr>
          <w:t xml:space="preserve">https://doi.org/10.1038/s44185-024-00045-7</w:t>
        </w:r>
      </w:hyperlink>
      <w:r>
        <w:t xml:space="preserve">.</w:t>
      </w:r>
    </w:p>
    <w:bookmarkEnd w:id="91"/>
    <w:bookmarkStart w:id="93" w:name="ref-freitas-oliveira2025"/>
    <w:p>
      <w:pPr>
        <w:pStyle w:val="Bibliography"/>
      </w:pPr>
      <w:r>
        <w:t xml:space="preserve">30.</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92">
        <w:r>
          <w:rPr>
            <w:rStyle w:val="Hyperlink"/>
          </w:rPr>
          <w:t xml:space="preserve">https://doi.org/10.1098/rspb.2025.1745</w:t>
        </w:r>
      </w:hyperlink>
      <w:r>
        <w:t xml:space="preserve">.</w:t>
      </w:r>
    </w:p>
    <w:bookmarkEnd w:id="93"/>
    <w:bookmarkStart w:id="95" w:name="ref-pilowsky2022"/>
    <w:p>
      <w:pPr>
        <w:pStyle w:val="Bibliography"/>
      </w:pPr>
      <w:r>
        <w:t xml:space="preserve">31.</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4">
        <w:r>
          <w:rPr>
            <w:rStyle w:val="Hyperlink"/>
          </w:rPr>
          <w:t xml:space="preserve">https://doi.org/10.1126/sciadv.abj2271</w:t>
        </w:r>
      </w:hyperlink>
      <w:r>
        <w:t xml:space="preserve">.</w:t>
      </w:r>
    </w:p>
    <w:bookmarkEnd w:id="95"/>
    <w:bookmarkStart w:id="97" w:name="ref-hagen2023"/>
    <w:p>
      <w:pPr>
        <w:pStyle w:val="Bibliography"/>
      </w:pPr>
      <w:r>
        <w:t xml:space="preserve">32.</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6">
        <w:r>
          <w:rPr>
            <w:rStyle w:val="Hyperlink"/>
          </w:rPr>
          <w:t xml:space="preserve">https://doi.org/10.1111/ecog.06132</w:t>
        </w:r>
      </w:hyperlink>
      <w:r>
        <w:t xml:space="preserve">.</w:t>
      </w:r>
    </w:p>
    <w:bookmarkEnd w:id="97"/>
    <w:bookmarkStart w:id="99" w:name="ref-hagen2021"/>
    <w:p>
      <w:pPr>
        <w:pStyle w:val="Bibliography"/>
      </w:pPr>
      <w:r>
        <w:t xml:space="preserve">33.</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8">
        <w:r>
          <w:rPr>
            <w:rStyle w:val="Hyperlink"/>
          </w:rPr>
          <w:t xml:space="preserve">https://doi.org/10.1371/journal.pbio.3001340</w:t>
        </w:r>
      </w:hyperlink>
      <w:r>
        <w:t xml:space="preserve">.</w:t>
      </w:r>
    </w:p>
    <w:bookmarkEnd w:id="99"/>
    <w:bookmarkStart w:id="101" w:name="ref-lorcery2025"/>
    <w:p>
      <w:pPr>
        <w:pStyle w:val="Bibliography"/>
      </w:pPr>
      <w:r>
        <w:t xml:space="preserve">34.</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100">
        <w:r>
          <w:rPr>
            <w:rStyle w:val="Hyperlink"/>
          </w:rPr>
          <w:t xml:space="preserve">https://doi.org/10.1371/journal.pone.0332766</w:t>
        </w:r>
      </w:hyperlink>
      <w:r>
        <w:t xml:space="preserve">.</w:t>
      </w:r>
    </w:p>
    <w:bookmarkEnd w:id="101"/>
    <w:bookmarkStart w:id="103" w:name="ref-hagen2021b"/>
    <w:p>
      <w:pPr>
        <w:pStyle w:val="Bibliography"/>
      </w:pPr>
      <w:r>
        <w:t xml:space="preserve">35.</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102">
        <w:r>
          <w:rPr>
            <w:rStyle w:val="Hyperlink"/>
          </w:rPr>
          <w:t xml:space="preserve">https://doi.org/10.1073/pnas.2026347118</w:t>
        </w:r>
      </w:hyperlink>
      <w:r>
        <w:t xml:space="preserve">.</w:t>
      </w:r>
    </w:p>
    <w:bookmarkEnd w:id="103"/>
    <w:bookmarkStart w:id="105"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4">
        <w:r>
          <w:rPr>
            <w:rStyle w:val="Hyperlink"/>
          </w:rPr>
          <w:t xml:space="preserve">https://doi.org/10.1126/science.adf7122</w:t>
        </w:r>
      </w:hyperlink>
      <w:r>
        <w:t xml:space="preserve">.</w:t>
      </w:r>
    </w:p>
    <w:bookmarkEnd w:id="105"/>
    <w:bookmarkStart w:id="107" w:name="ref-boschman2023"/>
    <w:p>
      <w:pPr>
        <w:pStyle w:val="Bibliography"/>
      </w:pPr>
      <w:r>
        <w:t xml:space="preserve">37.</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6">
        <w:r>
          <w:rPr>
            <w:rStyle w:val="Hyperlink"/>
          </w:rPr>
          <w:t xml:space="preserve">https://doi.org/10.1038/s41559-023-02220-8</w:t>
        </w:r>
      </w:hyperlink>
      <w:r>
        <w:t xml:space="preserve">.</w:t>
      </w:r>
    </w:p>
    <w:bookmarkEnd w:id="107"/>
    <w:bookmarkStart w:id="109" w:name="ref-skeels2023"/>
    <w:p>
      <w:pPr>
        <w:pStyle w:val="Bibliography"/>
      </w:pPr>
      <w:r>
        <w:t xml:space="preserve">38.</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8">
        <w:r>
          <w:rPr>
            <w:rStyle w:val="Hyperlink"/>
          </w:rPr>
          <w:t xml:space="preserve">https://doi.org/10.1093/sysbio/syac048</w:t>
        </w:r>
      </w:hyperlink>
      <w:r>
        <w:t xml:space="preserve">.</w:t>
      </w:r>
    </w:p>
    <w:bookmarkEnd w:id="109"/>
    <w:bookmarkStart w:id="111" w:name="ref-liu2024"/>
    <w:p>
      <w:pPr>
        <w:pStyle w:val="Bibliography"/>
      </w:pPr>
      <w:r>
        <w:t xml:space="preserve">39.</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10">
        <w:r>
          <w:rPr>
            <w:rStyle w:val="Hyperlink"/>
          </w:rPr>
          <w:t xml:space="preserve">https://doi.org/10.1126/science.adi0833</w:t>
        </w:r>
      </w:hyperlink>
      <w:r>
        <w:t xml:space="preserve">.</w:t>
      </w:r>
    </w:p>
    <w:bookmarkEnd w:id="111"/>
    <w:bookmarkStart w:id="113" w:name="ref-holden2019"/>
    <w:p>
      <w:pPr>
        <w:pStyle w:val="Bibliography"/>
      </w:pPr>
      <w:r>
        <w:t xml:space="preserve">40.</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12">
        <w:r>
          <w:rPr>
            <w:rStyle w:val="Hyperlink"/>
          </w:rPr>
          <w:t xml:space="preserve">https://doi.org/10.5194/gmd-12-5137-2019</w:t>
        </w:r>
      </w:hyperlink>
      <w:r>
        <w:t xml:space="preserve">.</w:t>
      </w:r>
    </w:p>
    <w:bookmarkEnd w:id="113"/>
    <w:bookmarkStart w:id="115" w:name="ref-barreto2023"/>
    <w:p>
      <w:pPr>
        <w:pStyle w:val="Bibliography"/>
      </w:pPr>
      <w:r>
        <w:t xml:space="preserve">41.</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4">
        <w:r>
          <w:rPr>
            <w:rStyle w:val="Hyperlink"/>
          </w:rPr>
          <w:t xml:space="preserve">https://doi.org/10.1111/geb.13683</w:t>
        </w:r>
      </w:hyperlink>
      <w:r>
        <w:t xml:space="preserve">.</w:t>
      </w:r>
    </w:p>
    <w:bookmarkEnd w:id="115"/>
    <w:bookmarkStart w:id="117" w:name="ref-beck2018"/>
    <w:p>
      <w:pPr>
        <w:pStyle w:val="Bibliography"/>
      </w:pPr>
      <w:r>
        <w:t xml:space="preserve">42.</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6">
        <w:r>
          <w:rPr>
            <w:rStyle w:val="Hyperlink"/>
          </w:rPr>
          <w:t xml:space="preserve">https://doi.org/10.1038/sdata.2018.214</w:t>
        </w:r>
      </w:hyperlink>
      <w:r>
        <w:t xml:space="preserve">.</w:t>
      </w:r>
    </w:p>
    <w:bookmarkEnd w:id="117"/>
    <w:bookmarkStart w:id="119" w:name="ref-galván2023"/>
    <w:p>
      <w:pPr>
        <w:pStyle w:val="Bibliography"/>
      </w:pPr>
      <w:r>
        <w:t xml:space="preserve">43.</w:t>
      </w:r>
      <w:r>
        <w:t xml:space="preserve"> </w:t>
      </w:r>
      <w:r>
        <w:t xml:space="preserve">	</w:t>
      </w:r>
      <w:r>
        <w:t xml:space="preserve">Galván, S., Gamboa, S., and Varela, S. (2023).</w:t>
      </w:r>
      <w:r>
        <w:t xml:space="preserve"> </w:t>
      </w:r>
      <w:hyperlink r:id="rId118">
        <w:r>
          <w:rPr>
            <w:rStyle w:val="Hyperlink"/>
          </w:rPr>
          <w:t xml:space="preserve">Köppen Geiger climatic classification for R users.</w:t>
        </w:r>
      </w:hyperlink>
    </w:p>
    <w:bookmarkEnd w:id="119"/>
    <w:bookmarkStart w:id="120" w:name="ref-macarthur1967"/>
    <w:p>
      <w:pPr>
        <w:pStyle w:val="Bibliography"/>
      </w:pPr>
      <w:r>
        <w:t xml:space="preserve">44.</w:t>
      </w:r>
      <w:r>
        <w:t xml:space="preserve"> </w:t>
      </w:r>
      <w:r>
        <w:t xml:space="preserve">	</w:t>
      </w:r>
      <w:r>
        <w:t xml:space="preserve">MacArthur, R.H., and Wilson, E.O. (1967). The theory of island biogeography Princeton University Press.</w:t>
      </w:r>
    </w:p>
    <w:bookmarkEnd w:id="120"/>
    <w:bookmarkStart w:id="122" w:name="ref-willig2003"/>
    <w:p>
      <w:pPr>
        <w:pStyle w:val="Bibliography"/>
      </w:pPr>
      <w:r>
        <w:t xml:space="preserve">45.</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21">
        <w:r>
          <w:rPr>
            <w:rStyle w:val="Hyperlink"/>
          </w:rPr>
          <w:t xml:space="preserve">https://doi.org/10.1146/annurev.ecolsys.34.012103.144032</w:t>
        </w:r>
      </w:hyperlink>
      <w:r>
        <w:t xml:space="preserve">.</w:t>
      </w:r>
    </w:p>
    <w:bookmarkEnd w:id="122"/>
    <w:bookmarkStart w:id="124" w:name="ref-raven2020"/>
    <w:p>
      <w:pPr>
        <w:pStyle w:val="Bibliography"/>
      </w:pPr>
      <w:r>
        <w:t xml:space="preserve">46.</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3">
        <w:r>
          <w:rPr>
            <w:rStyle w:val="Hyperlink"/>
          </w:rPr>
          <w:t xml:space="preserve">https://doi.org/10.1126/sciadv.abc6228</w:t>
        </w:r>
      </w:hyperlink>
      <w:r>
        <w:t xml:space="preserve">.</w:t>
      </w:r>
    </w:p>
    <w:bookmarkEnd w:id="124"/>
    <w:bookmarkStart w:id="125" w:name="ref-lomolino2006"/>
    <w:p>
      <w:pPr>
        <w:pStyle w:val="Bibliography"/>
      </w:pPr>
      <w:r>
        <w:t xml:space="preserve">47.</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5"/>
    <w:bookmarkStart w:id="127" w:name="ref-chakrabarty2011"/>
    <w:p>
      <w:pPr>
        <w:pStyle w:val="Bibliography"/>
      </w:pPr>
      <w:r>
        <w:t xml:space="preserve">48.</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6">
        <w:r>
          <w:rPr>
            <w:rStyle w:val="Hyperlink"/>
          </w:rPr>
          <w:t xml:space="preserve">https://doi.org/10.1525/california/9780520268685.003.0018</w:t>
        </w:r>
      </w:hyperlink>
      <w:r>
        <w:t xml:space="preserve">.</w:t>
      </w:r>
    </w:p>
    <w:bookmarkEnd w:id="127"/>
    <w:bookmarkStart w:id="129" w:name="ref-smith2012"/>
    <w:p>
      <w:pPr>
        <w:pStyle w:val="Bibliography"/>
      </w:pPr>
      <w:r>
        <w:t xml:space="preserve">49.</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8">
        <w:r>
          <w:rPr>
            <w:rStyle w:val="Hyperlink"/>
          </w:rPr>
          <w:t xml:space="preserve">https://doi.org/10.1111/j.1461-0248.2012.01855.x</w:t>
        </w:r>
      </w:hyperlink>
      <w:r>
        <w:t xml:space="preserve">.</w:t>
      </w:r>
    </w:p>
    <w:bookmarkEnd w:id="129"/>
    <w:bookmarkStart w:id="131" w:name="ref-weir2009"/>
    <w:p>
      <w:pPr>
        <w:pStyle w:val="Bibliography"/>
      </w:pPr>
      <w:r>
        <w:t xml:space="preserve">50.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30">
        <w:r>
          <w:rPr>
            <w:rStyle w:val="Hyperlink"/>
          </w:rPr>
          <w:t xml:space="preserve">https://doi.org/10.1073/pnas.0903811106</w:t>
        </w:r>
      </w:hyperlink>
      <w:r>
        <w:t xml:space="preserve">.</w:t>
      </w:r>
    </w:p>
    <w:bookmarkEnd w:id="131"/>
    <w:bookmarkStart w:id="133" w:name="ref-smith2010"/>
    <w:p>
      <w:pPr>
        <w:pStyle w:val="Bibliography"/>
      </w:pPr>
      <w:r>
        <w:t xml:space="preserve">51.</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32">
        <w:r>
          <w:rPr>
            <w:rStyle w:val="Hyperlink"/>
          </w:rPr>
          <w:t xml:space="preserve">https://doi.org/10.1111/j.1600-0587.2009.06335.x</w:t>
        </w:r>
      </w:hyperlink>
      <w:r>
        <w:t xml:space="preserve">.</w:t>
      </w:r>
    </w:p>
    <w:bookmarkEnd w:id="133"/>
    <w:bookmarkStart w:id="135" w:name="ref-motta2025"/>
    <w:p>
      <w:pPr>
        <w:pStyle w:val="Bibliography"/>
      </w:pPr>
      <w:r>
        <w:t xml:space="preserve">52.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34">
        <w:r>
          <w:rPr>
            <w:rStyle w:val="Hyperlink"/>
          </w:rPr>
          <w:t xml:space="preserve">https://doi.org/10.1016/j.palaeo.2025.112905</w:t>
        </w:r>
      </w:hyperlink>
      <w:r>
        <w:t xml:space="preserve">.</w:t>
      </w:r>
    </w:p>
    <w:bookmarkEnd w:id="135"/>
    <w:bookmarkStart w:id="137" w:name="ref-haffer1969"/>
    <w:p>
      <w:pPr>
        <w:pStyle w:val="Bibliography"/>
      </w:pPr>
      <w:r>
        <w:t xml:space="preserve">53.</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6">
        <w:r>
          <w:rPr>
            <w:rStyle w:val="Hyperlink"/>
          </w:rPr>
          <w:t xml:space="preserve">https://doi.org/10.1126/science.165.3889.131</w:t>
        </w:r>
      </w:hyperlink>
      <w:r>
        <w:t xml:space="preserve">.</w:t>
      </w:r>
    </w:p>
    <w:bookmarkEnd w:id="137"/>
    <w:bookmarkStart w:id="139" w:name="ref-ugarte2025"/>
    <w:p>
      <w:pPr>
        <w:pStyle w:val="Bibliography"/>
      </w:pPr>
      <w:r>
        <w:t xml:space="preserve">54.</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38">
        <w:r>
          <w:rPr>
            <w:rStyle w:val="Hyperlink"/>
          </w:rPr>
          <w:t xml:space="preserve">https://doi.org/10.3389/fmamm.2024.1518039</w:t>
        </w:r>
      </w:hyperlink>
      <w:r>
        <w:t xml:space="preserve">.</w:t>
      </w:r>
    </w:p>
    <w:bookmarkEnd w:id="139"/>
    <w:bookmarkStart w:id="141" w:name="ref-cruz2025"/>
    <w:p>
      <w:pPr>
        <w:pStyle w:val="Bibliography"/>
      </w:pPr>
      <w:r>
        <w:t xml:space="preserve">55.</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40">
        <w:r>
          <w:rPr>
            <w:rStyle w:val="Hyperlink"/>
          </w:rPr>
          <w:t xml:space="preserve">https://doi.org/10.1590/S1984-4689.v42.e24051</w:t>
        </w:r>
      </w:hyperlink>
      <w:r>
        <w:t xml:space="preserve">.</w:t>
      </w:r>
    </w:p>
    <w:bookmarkEnd w:id="141"/>
    <w:bookmarkStart w:id="143" w:name="ref-morgan1993"/>
    <w:p>
      <w:pPr>
        <w:pStyle w:val="Bibliography"/>
      </w:pPr>
      <w:r>
        <w:t xml:space="preserve">56.</w:t>
      </w:r>
      <w:r>
        <w:t xml:space="preserve"> </w:t>
      </w:r>
      <w:r>
        <w:t xml:space="preserve">	</w:t>
      </w:r>
      <w:r>
        <w:t xml:space="preserve">Morgan, G.S. (1993). Quaternary land vertebrates of jamaica. In, R. M. Wright and E. Robinson, eds. (Geological Society of America), p. 0.</w:t>
      </w:r>
      <w:r>
        <w:t xml:space="preserve"> </w:t>
      </w:r>
      <w:hyperlink r:id="rId142">
        <w:r>
          <w:rPr>
            <w:rStyle w:val="Hyperlink"/>
          </w:rPr>
          <w:t xml:space="preserve">https://doi.org/10.1130/MEM182-p417</w:t>
        </w:r>
      </w:hyperlink>
      <w:r>
        <w:t xml:space="preserve">.</w:t>
      </w:r>
    </w:p>
    <w:bookmarkEnd w:id="143"/>
    <w:bookmarkStart w:id="145" w:name="ref-ali2021b"/>
    <w:p>
      <w:pPr>
        <w:pStyle w:val="Bibliography"/>
      </w:pPr>
      <w:r>
        <w:t xml:space="preserve">57.</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44">
        <w:r>
          <w:rPr>
            <w:rStyle w:val="Hyperlink"/>
          </w:rPr>
          <w:t xml:space="preserve">https://doi.org/10.1111/jbi.14234</w:t>
        </w:r>
      </w:hyperlink>
      <w:r>
        <w:t xml:space="preserve">.</w:t>
      </w:r>
    </w:p>
    <w:bookmarkEnd w:id="145"/>
    <w:bookmarkStart w:id="147" w:name="ref-cornée2021"/>
    <w:p>
      <w:pPr>
        <w:pStyle w:val="Bibliography"/>
      </w:pPr>
      <w:r>
        <w:t xml:space="preserve">58.</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46">
        <w:r>
          <w:rPr>
            <w:rStyle w:val="Hyperlink"/>
          </w:rPr>
          <w:t xml:space="preserve">https://doi.org/10.1016/j.earscirev.2021.103617</w:t>
        </w:r>
      </w:hyperlink>
      <w:r>
        <w:t xml:space="preserve">.</w:t>
      </w:r>
    </w:p>
    <w:bookmarkEnd w:id="147"/>
    <w:bookmarkStart w:id="149" w:name="ref-warren2015"/>
    <w:p>
      <w:pPr>
        <w:pStyle w:val="Bibliography"/>
      </w:pPr>
      <w:r>
        <w:t xml:space="preserve">59.</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48">
        <w:r>
          <w:rPr>
            <w:rStyle w:val="Hyperlink"/>
          </w:rPr>
          <w:t xml:space="preserve">https://doi.org/10.1111/ele.12398</w:t>
        </w:r>
      </w:hyperlink>
      <w:r>
        <w:t xml:space="preserve">.</w:t>
      </w:r>
    </w:p>
    <w:bookmarkEnd w:id="149"/>
    <w:bookmarkStart w:id="151" w:name="ref-pino2022"/>
    <w:p>
      <w:pPr>
        <w:pStyle w:val="Bibliography"/>
      </w:pPr>
      <w:r>
        <w:t xml:space="preserve">60.</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50">
        <w:r>
          <w:rPr>
            <w:rStyle w:val="Hyperlink"/>
          </w:rPr>
          <w:t xml:space="preserve">https://doi.org/10.1016/j.gloplacha.2022.103758</w:t>
        </w:r>
      </w:hyperlink>
      <w:r>
        <w:t xml:space="preserve">.</w:t>
      </w:r>
    </w:p>
    <w:bookmarkEnd w:id="151"/>
    <w:bookmarkStart w:id="153" w:name="ref-gearty2023"/>
    <w:p>
      <w:pPr>
        <w:pStyle w:val="Bibliography"/>
      </w:pPr>
      <w:r>
        <w:t xml:space="preserve">61.</w:t>
      </w:r>
      <w:r>
        <w:t xml:space="preserve"> </w:t>
      </w:r>
      <w:r>
        <w:t xml:space="preserve">	</w:t>
      </w:r>
      <w:r>
        <w:t xml:space="preserve">Gearty, W. (2023).</w:t>
      </w:r>
      <w:r>
        <w:t xml:space="preserve"> </w:t>
      </w:r>
      <w:hyperlink r:id="rId152">
        <w:r>
          <w:rPr>
            <w:rStyle w:val="Hyperlink"/>
          </w:rPr>
          <w:t xml:space="preserve">Deeptime: Plotting tools for anyone working in deep time. R package version 1.0.1.</w:t>
        </w:r>
      </w:hyperlink>
    </w:p>
    <w:bookmarkEnd w:id="153"/>
    <w:bookmarkEnd w:id="154"/>
    <w:bookmarkEnd w:id="155"/>
    <w:bookmarkStart w:id="17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59" w:name="fig-framework"/>
          <w:p>
            <w:pPr>
              <w:pStyle w:val="Compact"/>
              <w:jc w:val="center"/>
            </w:pPr>
            <w:r>
              <w:drawing>
                <wp:inline>
                  <wp:extent cx="3959999" cy="3959999"/>
                  <wp:effectExtent b="0" l="0" r="0" t="0"/>
                  <wp:docPr descr="" title="" id="157" name="Picture"/>
                  <a:graphic>
                    <a:graphicData uri="http://schemas.openxmlformats.org/drawingml/2006/picture">
                      <pic:pic>
                        <pic:nvPicPr>
                          <pic:cNvPr descr="../Figures/MS/Main/Figure_framework/Figure_framework.png" id="158" name="Picture"/>
                          <pic:cNvPicPr>
                            <a:picLocks noChangeArrowheads="1" noChangeAspect="1"/>
                          </pic:cNvPicPr>
                        </pic:nvPicPr>
                        <pic:blipFill>
                          <a:blip r:embed="rId156"/>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Geological timescale was depicted using the deeptime R package</w:t>
            </w:r>
            <w:r>
              <w:rPr>
                <w:vertAlign w:val="superscript"/>
              </w:rPr>
              <w:t xml:space="preserve">61</w:t>
            </w:r>
            <w:r>
              <w:t xml:space="preserve">. The empirically-derived asymmetry of the transcontinental land mammal exchange is represented by the thickness of the two arrows, the thicker the arrow, the more intense the exchange.</w:t>
            </w:r>
          </w:p>
          <w:bookmarkEnd w:id="159"/>
        </w:tc>
      </w:tr>
    </w:tbl>
    <w:tbl>
      <w:tblPr>
        <w:tblStyle w:val="Table"/>
        <w:tblW w:type="pct" w:w="5000"/>
        <w:tblLayout w:type="fixed"/>
        <w:tblLook w:firstRow="0" w:lastRow="0" w:firstColumn="0" w:lastColumn="0" w:noHBand="0" w:noVBand="0" w:val="0000"/>
      </w:tblPr>
      <w:tblGrid>
        <w:gridCol w:w="7920"/>
      </w:tblGrid>
      <w:tr>
        <w:tc>
          <w:tcPr/>
          <w:bookmarkStart w:id="163" w:name="fig-propsuccess"/>
          <w:p>
            <w:pPr>
              <w:pStyle w:val="Compact"/>
              <w:jc w:val="center"/>
            </w:pPr>
            <w:r>
              <w:drawing>
                <wp:inline>
                  <wp:extent cx="3599999" cy="3779999"/>
                  <wp:effectExtent b="0" l="0" r="0" t="0"/>
                  <wp:docPr descr="" title="" id="161" name="Picture"/>
                  <a:graphic>
                    <a:graphicData uri="http://schemas.openxmlformats.org/drawingml/2006/picture">
                      <pic:pic>
                        <pic:nvPicPr>
                          <pic:cNvPr descr="../Figures/MS/Main/Figure_PropSuccess/Figure_PropSuccess.png" id="162" name="Picture"/>
                          <pic:cNvPicPr>
                            <a:picLocks noChangeArrowheads="1" noChangeAspect="1"/>
                          </pic:cNvPicPr>
                        </pic:nvPicPr>
                        <pic:blipFill>
                          <a:blip r:embed="rId160"/>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metrics"/>
          <w:p>
            <w:pPr>
              <w:pStyle w:val="Compact"/>
              <w:jc w:val="left"/>
            </w:pPr>
            <w:r>
              <w:drawing>
                <wp:inline>
                  <wp:extent cx="5039999" cy="4319999"/>
                  <wp:effectExtent b="0" l="0" r="0" t="0"/>
                  <wp:docPr descr="" title="" id="165" name="Picture"/>
                  <a:graphic>
                    <a:graphicData uri="http://schemas.openxmlformats.org/drawingml/2006/picture">
                      <pic:pic>
                        <pic:nvPicPr>
                          <pic:cNvPr descr="../Figures/MS/Main/Figure_metrics/Figure_metrics.png" id="166" name="Picture"/>
                          <pic:cNvPicPr>
                            <a:picLocks noChangeArrowheads="1" noChangeAspect="1"/>
                          </pic:cNvPicPr>
                        </pic:nvPicPr>
                        <pic:blipFill>
                          <a:blip r:embed="rId164"/>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67"/>
        </w:tc>
      </w:tr>
    </w:tbl>
    <w:tbl>
      <w:tblPr>
        <w:tblStyle w:val="Table"/>
        <w:tblW w:type="pct" w:w="5000"/>
        <w:tblLayout w:type="fixed"/>
        <w:tblLook w:firstRow="0" w:lastRow="0" w:firstColumn="0" w:lastColumn="0" w:noHBand="0" w:noVBand="0" w:val="0000"/>
      </w:tblPr>
      <w:tblGrid>
        <w:gridCol w:w="7920"/>
      </w:tblGrid>
      <w:tr>
        <w:tc>
          <w:tcPr/>
          <w:bookmarkStart w:id="171" w:name="fig-biome"/>
          <w:p>
            <w:pPr>
              <w:pStyle w:val="Compact"/>
              <w:jc w:val="center"/>
            </w:pPr>
            <w:r>
              <w:drawing>
                <wp:inline>
                  <wp:extent cx="5399999" cy="5399999"/>
                  <wp:effectExtent b="0" l="0" r="0" t="0"/>
                  <wp:docPr descr="" title="" id="169" name="Picture"/>
                  <a:graphic>
                    <a:graphicData uri="http://schemas.openxmlformats.org/drawingml/2006/picture">
                      <pic:pic>
                        <pic:nvPicPr>
                          <pic:cNvPr descr="../Figures/MS/Main/Figure_biomes/Figure_biomes.png" id="170" name="Picture"/>
                          <pic:cNvPicPr>
                            <a:picLocks noChangeArrowheads="1" noChangeAspect="1"/>
                          </pic:cNvPicPr>
                        </pic:nvPicPr>
                        <pic:blipFill>
                          <a:blip r:embed="rId168"/>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71"/>
        </w:tc>
      </w:tr>
    </w:tbl>
    <w:bookmarkEnd w:id="17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hyperlink" Id="rId45" Target="http://repository.si.edu/xmlui/handle/10088/35473" TargetMode="External" /><Relationship Type="http://schemas.openxmlformats.org/officeDocument/2006/relationships/hyperlink" Id="rId152" Target="https://CRAN.R-project.org/package=deeptime" TargetMode="External" /><Relationship Type="http://schemas.openxmlformats.org/officeDocument/2006/relationships/hyperlink" Id="rId41" Target="https://doi.org/10.1007/978-1-4684-9181-4" TargetMode="External" /><Relationship Type="http://schemas.openxmlformats.org/officeDocument/2006/relationships/hyperlink" Id="rId57"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46" Target="https://doi.org/10.1016/j.earscirev.2021.103617" TargetMode="External" /><Relationship Type="http://schemas.openxmlformats.org/officeDocument/2006/relationships/hyperlink" Id="rId51" Target="https://doi.org/10.1016/j.geobios.2006.09.005" TargetMode="External" /><Relationship Type="http://schemas.openxmlformats.org/officeDocument/2006/relationships/hyperlink" Id="rId150" Target="https://doi.org/10.1016/j.gloplacha.2022.103758" TargetMode="External" /><Relationship Type="http://schemas.openxmlformats.org/officeDocument/2006/relationships/hyperlink" Id="rId134"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49" Target="https://doi.org/10.1029/2025GC012288" TargetMode="External" /><Relationship Type="http://schemas.openxmlformats.org/officeDocument/2006/relationships/hyperlink" Id="rId106" Target="https://doi.org/10.1038/s41559-023-02220-8"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6" Target="https://doi.org/10.1038/sdata.2018.214" TargetMode="External" /><Relationship Type="http://schemas.openxmlformats.org/officeDocument/2006/relationships/hyperlink" Id="rId130"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102" Target="https://doi.org/10.1073/pnas.2026347118" TargetMode="External" /><Relationship Type="http://schemas.openxmlformats.org/officeDocument/2006/relationships/hyperlink" Id="rId108" Target="https://doi.org/10.1093/sysbio/syac048" TargetMode="External" /><Relationship Type="http://schemas.openxmlformats.org/officeDocument/2006/relationships/hyperlink" Id="rId92"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148"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4" Target="https://doi.org/10.1111/geb.13683" TargetMode="External" /><Relationship Type="http://schemas.openxmlformats.org/officeDocument/2006/relationships/hyperlink" Id="rId128" Target="https://doi.org/10.1111/j.1461-0248.2012.01855.x" TargetMode="External" /><Relationship Type="http://schemas.openxmlformats.org/officeDocument/2006/relationships/hyperlink" Id="rId132" Target="https://doi.org/10.1111/j.1600-0587.2009.06335.x" TargetMode="External" /><Relationship Type="http://schemas.openxmlformats.org/officeDocument/2006/relationships/hyperlink" Id="rId144"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47" Target="https://doi.org/10.1126/sciadv.1600883" TargetMode="External" /><Relationship Type="http://schemas.openxmlformats.org/officeDocument/2006/relationships/hyperlink" Id="rId123" Target="https://doi.org/10.1126/sciadv.abc6228" TargetMode="External" /><Relationship Type="http://schemas.openxmlformats.org/officeDocument/2006/relationships/hyperlink" Id="rId94"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3" Target="https://doi.org/10.1126/science.aaa2815" TargetMode="External" /><Relationship Type="http://schemas.openxmlformats.org/officeDocument/2006/relationships/hyperlink" Id="rId104"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142"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121" Target="https://doi.org/10.1146/annurev.ecolsys.34.012103.144032" TargetMode="External" /><Relationship Type="http://schemas.openxmlformats.org/officeDocument/2006/relationships/hyperlink" Id="rId98" Target="https://doi.org/10.1371/journal.pbio.3001340" TargetMode="External" /><Relationship Type="http://schemas.openxmlformats.org/officeDocument/2006/relationships/hyperlink" Id="rId100" Target="https://doi.org/10.1371/journal.pone.0332766" TargetMode="External" /><Relationship Type="http://schemas.openxmlformats.org/officeDocument/2006/relationships/hyperlink" Id="rId126" Target="https://doi.org/10.1525/california/9780520268685.003.0018" TargetMode="External" /><Relationship Type="http://schemas.openxmlformats.org/officeDocument/2006/relationships/hyperlink" Id="rId140" Target="https://doi.org/10.1590/S1984-4689.v42.e24051" TargetMode="External" /><Relationship Type="http://schemas.openxmlformats.org/officeDocument/2006/relationships/hyperlink" Id="rId81" Target="https://doi.org/10.2307/1381862" TargetMode="External" /><Relationship Type="http://schemas.openxmlformats.org/officeDocument/2006/relationships/hyperlink" Id="rId55"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87" Target="https://doi.org/10.3390/d17030153" TargetMode="External" /><Relationship Type="http://schemas.openxmlformats.org/officeDocument/2006/relationships/hyperlink" Id="rId112" Target="https://doi.org/10.5194/gmd-12-5137-2019" TargetMode="External" /><Relationship Type="http://schemas.openxmlformats.org/officeDocument/2006/relationships/hyperlink" Id="rId118"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53" Target="https://www.degruyterbrill.com/document/doi/10.7312/wood13040-008/html" TargetMode="External" /><Relationship Type="http://schemas.openxmlformats.org/officeDocument/2006/relationships/hyperlink" Id="rId39" Target="https://www.jstor.org/stable/1688046" TargetMode="External" /><Relationship Type="http://schemas.openxmlformats.org/officeDocument/2006/relationships/hyperlink" Id="rId37"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5" Target="http://repository.si.edu/xmlui/handle/10088/35473" TargetMode="External" /><Relationship Type="http://schemas.openxmlformats.org/officeDocument/2006/relationships/hyperlink" Id="rId152" Target="https://CRAN.R-project.org/package=deeptime" TargetMode="External" /><Relationship Type="http://schemas.openxmlformats.org/officeDocument/2006/relationships/hyperlink" Id="rId41" Target="https://doi.org/10.1007/978-1-4684-9181-4" TargetMode="External" /><Relationship Type="http://schemas.openxmlformats.org/officeDocument/2006/relationships/hyperlink" Id="rId57"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46" Target="https://doi.org/10.1016/j.earscirev.2021.103617" TargetMode="External" /><Relationship Type="http://schemas.openxmlformats.org/officeDocument/2006/relationships/hyperlink" Id="rId51" Target="https://doi.org/10.1016/j.geobios.2006.09.005" TargetMode="External" /><Relationship Type="http://schemas.openxmlformats.org/officeDocument/2006/relationships/hyperlink" Id="rId150" Target="https://doi.org/10.1016/j.gloplacha.2022.103758" TargetMode="External" /><Relationship Type="http://schemas.openxmlformats.org/officeDocument/2006/relationships/hyperlink" Id="rId134"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49" Target="https://doi.org/10.1029/2025GC012288" TargetMode="External" /><Relationship Type="http://schemas.openxmlformats.org/officeDocument/2006/relationships/hyperlink" Id="rId106" Target="https://doi.org/10.1038/s41559-023-02220-8"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6" Target="https://doi.org/10.1038/sdata.2018.214" TargetMode="External" /><Relationship Type="http://schemas.openxmlformats.org/officeDocument/2006/relationships/hyperlink" Id="rId130"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102" Target="https://doi.org/10.1073/pnas.2026347118" TargetMode="External" /><Relationship Type="http://schemas.openxmlformats.org/officeDocument/2006/relationships/hyperlink" Id="rId108" Target="https://doi.org/10.1093/sysbio/syac048" TargetMode="External" /><Relationship Type="http://schemas.openxmlformats.org/officeDocument/2006/relationships/hyperlink" Id="rId92"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148"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4" Target="https://doi.org/10.1111/geb.13683" TargetMode="External" /><Relationship Type="http://schemas.openxmlformats.org/officeDocument/2006/relationships/hyperlink" Id="rId128" Target="https://doi.org/10.1111/j.1461-0248.2012.01855.x" TargetMode="External" /><Relationship Type="http://schemas.openxmlformats.org/officeDocument/2006/relationships/hyperlink" Id="rId132" Target="https://doi.org/10.1111/j.1600-0587.2009.06335.x" TargetMode="External" /><Relationship Type="http://schemas.openxmlformats.org/officeDocument/2006/relationships/hyperlink" Id="rId144"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47" Target="https://doi.org/10.1126/sciadv.1600883" TargetMode="External" /><Relationship Type="http://schemas.openxmlformats.org/officeDocument/2006/relationships/hyperlink" Id="rId123" Target="https://doi.org/10.1126/sciadv.abc6228" TargetMode="External" /><Relationship Type="http://schemas.openxmlformats.org/officeDocument/2006/relationships/hyperlink" Id="rId94"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3" Target="https://doi.org/10.1126/science.aaa2815" TargetMode="External" /><Relationship Type="http://schemas.openxmlformats.org/officeDocument/2006/relationships/hyperlink" Id="rId104"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142"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121" Target="https://doi.org/10.1146/annurev.ecolsys.34.012103.144032" TargetMode="External" /><Relationship Type="http://schemas.openxmlformats.org/officeDocument/2006/relationships/hyperlink" Id="rId98" Target="https://doi.org/10.1371/journal.pbio.3001340" TargetMode="External" /><Relationship Type="http://schemas.openxmlformats.org/officeDocument/2006/relationships/hyperlink" Id="rId100" Target="https://doi.org/10.1371/journal.pone.0332766" TargetMode="External" /><Relationship Type="http://schemas.openxmlformats.org/officeDocument/2006/relationships/hyperlink" Id="rId126" Target="https://doi.org/10.1525/california/9780520268685.003.0018" TargetMode="External" /><Relationship Type="http://schemas.openxmlformats.org/officeDocument/2006/relationships/hyperlink" Id="rId140" Target="https://doi.org/10.1590/S1984-4689.v42.e24051" TargetMode="External" /><Relationship Type="http://schemas.openxmlformats.org/officeDocument/2006/relationships/hyperlink" Id="rId81" Target="https://doi.org/10.2307/1381862" TargetMode="External" /><Relationship Type="http://schemas.openxmlformats.org/officeDocument/2006/relationships/hyperlink" Id="rId55"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87" Target="https://doi.org/10.3390/d17030153" TargetMode="External" /><Relationship Type="http://schemas.openxmlformats.org/officeDocument/2006/relationships/hyperlink" Id="rId112" Target="https://doi.org/10.5194/gmd-12-5137-2019" TargetMode="External" /><Relationship Type="http://schemas.openxmlformats.org/officeDocument/2006/relationships/hyperlink" Id="rId118"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53" Target="https://www.degruyterbrill.com/document/doi/10.7312/wood13040-008/html" TargetMode="External" /><Relationship Type="http://schemas.openxmlformats.org/officeDocument/2006/relationships/hyperlink" Id="rId39" Target="https://www.jstor.org/stable/1688046" TargetMode="External" /><Relationship Type="http://schemas.openxmlformats.org/officeDocument/2006/relationships/hyperlink" Id="rId37"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Fabien L. Condamine¹, Sara Varela²</dc:creator>
  <cp:keywords/>
  <dcterms:created xsi:type="dcterms:W3CDTF">2025-12-05T14:34:36Z</dcterms:created>
  <dcterms:modified xsi:type="dcterms:W3CDTF">2025-12-05T14:34:36Z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