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144.png" ContentType="image/png"/>
  <Override PartName="/word/media/rId132.png" ContentType="image/png"/>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1,6,9</w:t>
      </w:r>
      <w:r>
        <w:t xml:space="preserve">. However, during the Quaternary, the ability of migrant lineages to maintain and diversify in the foreign continent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26" w:name="results"/>
    <w:p>
      <w:pPr>
        <w:pStyle w:val="Heading1"/>
      </w:pPr>
      <w:r>
        <w:t xml:space="preserve">Results</w:t>
      </w:r>
    </w:p>
    <w:bookmarkStart w:id="23" w:name="Xfb36bcde79b6ee4f4fdf1c41b43e2de14e60110"/>
    <w:p>
      <w:pPr>
        <w:pStyle w:val="Heading2"/>
      </w:pPr>
      <w:r>
        <w:t xml:space="preserve">Climate would have favoured an inverted asymmetry for transcontinental faunal exchanges across the Americas</w:t>
      </w:r>
    </w:p>
    <w:p>
      <w:pPr>
        <w:pStyle w:val="FirstParagraph"/>
      </w:pPr>
      <w:r>
        <w:t xml:space="preserve">The contribution of palaeoclimate to the biogeographic asymmetry of the Great American Biotic Interchange (GABI) was tested in a simulation-based framework relying on gen3sis v1.5.11</w:t>
      </w:r>
      <w:r>
        <w:rPr>
          <w:vertAlign w:val="superscript"/>
        </w:rPr>
        <w:t xml:space="preserve">27</w:t>
      </w:r>
      <w:r>
        <w:t xml:space="preserve">, a mechanistic eco-evolutionary simulator,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strikingly going against our expectations,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holds for all but the</w:t>
      </w:r>
      <w:r>
        <w:t xml:space="preserve"> </w:t>
      </w:r>
      <m:oMath>
        <m:r>
          <m:t>M</m:t>
        </m:r>
        <m:r>
          <m:t>3</m:t>
        </m:r>
      </m:oMath>
      <w:r>
        <w:t xml:space="preserve"> </w:t>
      </w:r>
      <w:r>
        <w:t xml:space="preserve">model – relaxing the precipitation constraint on virtual species’ niche –, the latter suggesting an opposite trend.</w:t>
      </w:r>
    </w:p>
    <w:p>
      <w:pPr>
        <w:pStyle w:val="BodyText"/>
      </w:pPr>
      <w:r>
        <w:t xml:space="preserve">Besides, contrary to the proportion of colonised area, for a given ancestral continent, colonised</w:t>
      </w:r>
      <w:r>
        <w:t xml:space="preserve"> </w:t>
      </w:r>
      <m:oMath>
        <m:r>
          <m:t>α</m:t>
        </m:r>
      </m:oMath>
      <w:r>
        <w:t xml:space="preserve">-diversities –</w:t>
      </w:r>
      <w:r>
        <w:t xml:space="preserve"> </w:t>
      </w:r>
      <w:r>
        <w:rPr>
          <w:i/>
          <w:iCs/>
        </w:rPr>
        <w:t xml:space="preserve">i</w:t>
      </w:r>
      <w:r>
        <w:t xml:space="preserve">.</w:t>
      </w:r>
      <w:r>
        <w:rPr>
          <w:i/>
          <w:iCs/>
        </w:rPr>
        <w:t xml:space="preserve">e</w:t>
      </w:r>
      <w:r>
        <w:t xml:space="preserve">., number of taxa within the colonised continent – do not exhibit huge variations across our four models (</w:t>
      </w:r>
      <w:hyperlink w:anchor="fig-metrics">
        <w:r>
          <w:rPr>
            <w:rStyle w:val="Hyperlink"/>
          </w:rPr>
          <w:t xml:space="preserve">Figure 3</w:t>
        </w:r>
      </w:hyperlink>
      <w:r>
        <w:t xml:space="preserve"> </w:t>
      </w:r>
      <w:r>
        <w:t xml:space="preserve">B). However, given a model, we do retrieve changes in colonised</w:t>
      </w:r>
      <w:r>
        <w:t xml:space="preserve"> </w:t>
      </w:r>
      <m:oMath>
        <m:r>
          <m:t>α</m:t>
        </m:r>
      </m:oMath>
      <w:r>
        <w:t xml:space="preserve">-diversities across ancestral continents, with higher average values achieved for simulation starting from South America than from North America – although no difference is retrieved from simulations generated under</w:t>
      </w:r>
      <w:r>
        <w:t xml:space="preserve"> </w:t>
      </w:r>
      <m:oMath>
        <m:r>
          <m:t>M</m:t>
        </m:r>
        <m:r>
          <m:t>0</m:t>
        </m:r>
      </m:oMath>
      <w:r>
        <w:t xml:space="preserve">.</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SX).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Due to the unequal representativity of each biome between the two continents, the number of simulations starting within each biome was largely uneven across biome classes and continents (Figure S10). Indeed, the majority of North American ancestral species originated in the cold biome (</w:t>
      </w:r>
      <m:oMath>
        <m:r>
          <m:rPr>
            <m:sty m:val="p"/>
          </m:rPr>
          <m:t>≈</m:t>
        </m:r>
        <m:r>
          <m:t>57</m:t>
        </m:r>
        <m:r>
          <m:rPr>
            <m:sty m:val="p"/>
          </m:rPr>
          <m:t>%</m:t>
        </m:r>
      </m:oMath>
      <w:r>
        <w:t xml:space="preserve">), whereas the tropical biome recorded the largest proportion of ancestral species origination in South America (</w:t>
      </w:r>
      <m:oMath>
        <m:r>
          <m:rPr>
            <m:sty m:val="p"/>
          </m:rPr>
          <m:t>≈</m:t>
        </m:r>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rPr>
            <m:sty m:val="p"/>
          </m:rPr>
          <m:t>≈</m:t>
        </m:r>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rPr>
            <m:sty m:val="p"/>
          </m:rPr>
          <m:t>≈</m:t>
        </m:r>
        <m:r>
          <m:t>16</m:t>
        </m:r>
        <m:r>
          <m:rPr>
            <m:sty m:val="p"/>
          </m:rPr>
          <m:t>%</m:t>
        </m:r>
      </m:oMath>
      <w:r>
        <w:t xml:space="preserve"> </w:t>
      </w:r>
      <w:r>
        <w:t xml:space="preserve">to</w:t>
      </w:r>
      <w:r>
        <w:t xml:space="preserve"> </w:t>
      </w:r>
      <m:oMath>
        <m:r>
          <m:t>26</m:t>
        </m:r>
        <m:r>
          <m:rPr>
            <m:sty m:val="p"/>
          </m:rPr>
          <m:t>%</m:t>
        </m:r>
      </m:oMath>
      <w:r>
        <w:t xml:space="preserve">) biomes to the detriment of the cold (from</w:t>
      </w:r>
      <w:r>
        <w:t xml:space="preserve"> </w:t>
      </w:r>
      <m:oMath>
        <m:r>
          <m:rPr>
            <m:sty m:val="p"/>
          </m:rPr>
          <m:t>≈</m:t>
        </m:r>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rPr>
            <m:sty m:val="p"/>
          </m:rPr>
          <m:t>≈</m:t>
        </m:r>
        <m:r>
          <m:t>4</m:t>
        </m:r>
        <m:r>
          <m:rPr>
            <m:sty m:val="p"/>
          </m:rPr>
          <m:t>%</m:t>
        </m:r>
      </m:oMath>
      <w:r>
        <w:t xml:space="preserve"> </w:t>
      </w:r>
      <w:r>
        <w:t xml:space="preserve">to</w:t>
      </w:r>
      <w:r>
        <w:t xml:space="preserve"> </w:t>
      </w:r>
      <m:oMath>
        <m:r>
          <m:t>2</m:t>
        </m:r>
        <m:r>
          <m:rPr>
            <m:sty m:val="p"/>
          </m:rPr>
          <m:t>%</m:t>
        </m:r>
      </m:oMath>
      <w:r>
        <w:t xml:space="preserve">) ones in North America (Figure S10).</w:t>
      </w:r>
    </w:p>
    <w:p>
      <w:pPr>
        <w:pStyle w:val="BodyText"/>
      </w:pPr>
      <w:r>
        <w:t xml:space="preserve">Despite this initial imbalance, our results suggest similar proportions of successful simulations per biome between simulations starting from North and South America in the zero-adaptationist model (</w:t>
      </w:r>
      <m:oMath>
        <m:r>
          <m:t>M</m:t>
        </m:r>
        <m:r>
          <m:t>0</m:t>
        </m:r>
      </m:oMath>
      <w:r>
        <w:t xml:space="preserve">,</w:t>
      </w:r>
      <w:r>
        <w:t xml:space="preserve"> </w:t>
      </w:r>
      <w:hyperlink w:anchor="fig-biome">
        <w:r>
          <w:rPr>
            <w:rStyle w:val="Hyperlink"/>
          </w:rPr>
          <w:t xml:space="preserve">Figure 4</w:t>
        </w:r>
      </w:hyperlink>
      <w:r>
        <w:t xml:space="preserve"> </w:t>
      </w:r>
      <w:r>
        <w:t xml:space="preserve">B</w:t>
      </w:r>
      <w:r>
        <w:t xml:space="preserve"> </w:t>
      </w:r>
      <w:r>
        <w:rPr>
          <w:i/>
          <w:iCs/>
        </w:rPr>
        <w:t xml:space="preserve">first row</w:t>
      </w:r>
      <w:r>
        <w:t xml:space="preserve">). In that case,</w:t>
      </w:r>
    </w:p>
    <w:p>
      <w:pPr>
        <w:pStyle w:val="BodyText"/>
      </w:pPr>
      <w:r>
        <w:t xml:space="preserve">Similar proportions of successful simulations that started from</w:t>
      </w:r>
    </w:p>
    <w:p>
      <w:pPr>
        <w:pStyle w:val="BodyText"/>
      </w:pPr>
      <m:oMath>
        <m:r>
          <m:t>M</m:t>
        </m:r>
        <m:r>
          <m:t>3</m:t>
        </m:r>
      </m:oMath>
      <w:r>
        <w:t xml:space="preserve"> </w:t>
      </w:r>
      <w:r>
        <w:t xml:space="preserve">more permissive towards South American species migrating northwards than the other way around</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 not recovered, with tropical meeting the gighest success</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41</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13</w:t>
      </w:r>
      <w:r>
        <w:t xml:space="preserve"> </w:t>
      </w:r>
      <w:r>
        <w:t xml:space="preserve">or sparassodonts – metatherian predators</w:t>
      </w:r>
      <w:r>
        <w:rPr>
          <w:vertAlign w:val="superscript"/>
        </w:rPr>
        <w:t xml:space="preserve">42</w:t>
      </w:r>
      <w:r>
        <w:t xml:space="preserve"> </w:t>
      </w:r>
      <w:r>
        <w:t xml:space="preserve">– that followed the establishment of northern lineages</w:t>
      </w:r>
      <w:r>
        <w:rPr>
          <w:vertAlign w:val="superscript"/>
        </w:rPr>
        <w:t xml:space="preserve">15</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recent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16</w:t>
      </w:r>
      <w:r>
        <w:t xml:space="preserve">. Moreover, using phylogenetic regressions, Faurby et al.</w:t>
      </w:r>
      <w:r>
        <w:rPr>
          <w:vertAlign w:val="superscript"/>
        </w:rPr>
        <w:t xml:space="preserve">18</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21,22</w:t>
      </w:r>
      <w:r>
        <w:t xml:space="preserve">. Incorporating biotic compounds in mechanistic frameworks such as the one we have implemented here would be a nice way-to-go for future studies tackling the asymmetry behind the GABI.</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43,44</w:t>
      </w:r>
      <w:r>
        <w:t xml:space="preserve">. Although over-water dispersal has long been regarded as the prevailing mechanism</w:t>
      </w:r>
      <w:r>
        <w:rPr>
          <w:vertAlign w:val="superscript"/>
        </w:rPr>
        <w:t xml:space="preserve">43</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45</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46</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48</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1" w:name="references"/>
    <w:p>
      <w:pPr>
        <w:pStyle w:val="Heading1"/>
      </w:pPr>
      <w:r>
        <w:t xml:space="preserve">References</w:t>
      </w:r>
    </w:p>
    <w:bookmarkStart w:id="130"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motta2025"/>
    <w:p>
      <w:pPr>
        <w:pStyle w:val="Bibliography"/>
      </w:pPr>
      <w:r>
        <w:t xml:space="preserve">41.</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2">
        <w:r>
          <w:rPr>
            <w:rStyle w:val="Hyperlink"/>
          </w:rPr>
          <w:t xml:space="preserve">https://doi.org/10.1016/j.palaeo.2025.112905</w:t>
        </w:r>
      </w:hyperlink>
      <w:r>
        <w:t xml:space="preserve">.</w:t>
      </w:r>
    </w:p>
    <w:bookmarkEnd w:id="113"/>
    <w:bookmarkStart w:id="115" w:name="ref-pino2022"/>
    <w:p>
      <w:pPr>
        <w:pStyle w:val="Bibliography"/>
      </w:pPr>
      <w:r>
        <w:t xml:space="preserve">42.</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4">
        <w:r>
          <w:rPr>
            <w:rStyle w:val="Hyperlink"/>
          </w:rPr>
          <w:t xml:space="preserve">https://doi.org/10.1016/j.gloplacha.2022.103758</w:t>
        </w:r>
      </w:hyperlink>
      <w:r>
        <w:t xml:space="preserve">.</w:t>
      </w:r>
    </w:p>
    <w:bookmarkEnd w:id="115"/>
    <w:bookmarkStart w:id="117" w:name="ref-morgan1993"/>
    <w:p>
      <w:pPr>
        <w:pStyle w:val="Bibliography"/>
      </w:pPr>
      <w:r>
        <w:t xml:space="preserve">43.</w:t>
      </w:r>
      <w:r>
        <w:t xml:space="preserve"> </w:t>
      </w:r>
      <w:r>
        <w:t xml:space="preserve">	</w:t>
      </w:r>
      <w:r>
        <w:t xml:space="preserve">Morgan, G.S. (1993). Quaternary land vertebrates of jamaica. In, R. M. Wright and E. Robinson, eds. (Geological Society of America), p. 0.</w:t>
      </w:r>
      <w:r>
        <w:t xml:space="preserve"> </w:t>
      </w:r>
      <w:hyperlink r:id="rId116">
        <w:r>
          <w:rPr>
            <w:rStyle w:val="Hyperlink"/>
          </w:rPr>
          <w:t xml:space="preserve">https://doi.org/10.1130/MEM182-p417</w:t>
        </w:r>
      </w:hyperlink>
      <w:r>
        <w:t xml:space="preserve">.</w:t>
      </w:r>
    </w:p>
    <w:bookmarkEnd w:id="117"/>
    <w:bookmarkStart w:id="119" w:name="ref-ali2021b"/>
    <w:p>
      <w:pPr>
        <w:pStyle w:val="Bibliography"/>
      </w:pPr>
      <w:r>
        <w:t xml:space="preserve">44.</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18">
        <w:r>
          <w:rPr>
            <w:rStyle w:val="Hyperlink"/>
          </w:rPr>
          <w:t xml:space="preserve">https://doi.org/10.1111/jbi.14234</w:t>
        </w:r>
      </w:hyperlink>
      <w:r>
        <w:t xml:space="preserve">.</w:t>
      </w:r>
    </w:p>
    <w:bookmarkEnd w:id="119"/>
    <w:bookmarkStart w:id="121" w:name="ref-cornée2021"/>
    <w:p>
      <w:pPr>
        <w:pStyle w:val="Bibliography"/>
      </w:pPr>
      <w:r>
        <w:t xml:space="preserve">45.</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0">
        <w:r>
          <w:rPr>
            <w:rStyle w:val="Hyperlink"/>
          </w:rPr>
          <w:t xml:space="preserve">https://doi.org/10.1016/j.earscirev.2021.103617</w:t>
        </w:r>
      </w:hyperlink>
      <w:r>
        <w:t xml:space="preserve">.</w:t>
      </w:r>
    </w:p>
    <w:bookmarkEnd w:id="121"/>
    <w:bookmarkStart w:id="123" w:name="ref-warren2015"/>
    <w:p>
      <w:pPr>
        <w:pStyle w:val="Bibliography"/>
      </w:pPr>
      <w:r>
        <w:t xml:space="preserve">46.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2">
        <w:r>
          <w:rPr>
            <w:rStyle w:val="Hyperlink"/>
          </w:rPr>
          <w:t xml:space="preserve">https://doi.org/10.1111/ele.12398</w:t>
        </w:r>
      </w:hyperlink>
      <w:r>
        <w:t xml:space="preserve">.</w:t>
      </w:r>
    </w:p>
    <w:bookmarkEnd w:id="123"/>
    <w:bookmarkStart w:id="125" w:name="ref-couvreur2011"/>
    <w:p>
      <w:pPr>
        <w:pStyle w:val="Bibliography"/>
      </w:pPr>
      <w:r>
        <w:t xml:space="preserve">47.</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4">
        <w:r>
          <w:rPr>
            <w:rStyle w:val="Hyperlink"/>
          </w:rPr>
          <w:t xml:space="preserve">https://doi.org/10.1111/j.1365-2699.2010.02434.x</w:t>
        </w:r>
      </w:hyperlink>
      <w:r>
        <w:t xml:space="preserve">.</w:t>
      </w:r>
    </w:p>
    <w:bookmarkEnd w:id="125"/>
    <w:bookmarkStart w:id="127" w:name="ref-upchurch2024"/>
    <w:p>
      <w:pPr>
        <w:pStyle w:val="Bibliography"/>
      </w:pPr>
      <w:r>
        <w:t xml:space="preserve">48.</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6">
        <w:r>
          <w:rPr>
            <w:rStyle w:val="Hyperlink"/>
          </w:rPr>
          <w:t xml:space="preserve">https://doi.org/10.1098/rsbl.2024.0429</w:t>
        </w:r>
      </w:hyperlink>
      <w:r>
        <w:t xml:space="preserve">.</w:t>
      </w:r>
    </w:p>
    <w:bookmarkEnd w:id="127"/>
    <w:bookmarkStart w:id="129" w:name="ref-gearty2023"/>
    <w:p>
      <w:pPr>
        <w:pStyle w:val="Bibliography"/>
      </w:pPr>
      <w:r>
        <w:t xml:space="preserve">49.</w:t>
      </w:r>
      <w:r>
        <w:t xml:space="preserve"> </w:t>
      </w:r>
      <w:r>
        <w:t xml:space="preserve">	</w:t>
      </w:r>
      <w:r>
        <w:t xml:space="preserve">Gearty, W. (2023).</w:t>
      </w:r>
      <w:r>
        <w:t xml:space="preserve"> </w:t>
      </w:r>
      <w:hyperlink r:id="rId128">
        <w:r>
          <w:rPr>
            <w:rStyle w:val="Hyperlink"/>
          </w:rPr>
          <w:t xml:space="preserve">Deeptime: Plotting tools for anyone working in deep time. R package version 1.0.1.</w:t>
        </w:r>
      </w:hyperlink>
    </w:p>
    <w:bookmarkEnd w:id="129"/>
    <w:bookmarkEnd w:id="130"/>
    <w:bookmarkEnd w:id="131"/>
    <w:bookmarkStart w:id="14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5" w:name="fig-framework"/>
          <w:p>
            <w:pPr>
              <w:pStyle w:val="Compact"/>
              <w:jc w:val="center"/>
            </w:pPr>
            <w:r>
              <w:drawing>
                <wp:inline>
                  <wp:extent cx="3959999" cy="3959999"/>
                  <wp:effectExtent b="0" l="0" r="0" t="0"/>
                  <wp:docPr descr="" title="" id="133" name="Picture"/>
                  <a:graphic>
                    <a:graphicData uri="http://schemas.openxmlformats.org/drawingml/2006/picture">
                      <pic:pic>
                        <pic:nvPicPr>
                          <pic:cNvPr descr="../Figures/MS/Main/Figure_framework/Figure_framework.png" id="134" name="Picture"/>
                          <pic:cNvPicPr>
                            <a:picLocks noChangeArrowheads="1" noChangeAspect="1"/>
                          </pic:cNvPicPr>
                        </pic:nvPicPr>
                        <pic:blipFill>
                          <a:blip r:embed="rId132"/>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6,8</w:t>
            </w:r>
            <w:r>
              <w:t xml:space="preserve"> </w:t>
            </w:r>
            <w:r>
              <w:t xml:space="preserve">is indicated by the light purple vertical bands. Geological timescale was depicted using the deeptime R package</w:t>
            </w:r>
            <w:r>
              <w:rPr>
                <w:vertAlign w:val="superscript"/>
              </w:rPr>
              <w:t xml:space="preserve">49</w:t>
            </w:r>
            <w:r>
              <w:t xml:space="preserve">. The empirically-derived asymmetry of the transcontinental land mammal exchange is represented by the thickness of the two arrows, the thicker the arrow, the more intense the exchange.</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propsuccess"/>
          <w:p>
            <w:pPr>
              <w:pStyle w:val="Compact"/>
              <w:jc w:val="center"/>
            </w:pPr>
            <w:r>
              <w:drawing>
                <wp:inline>
                  <wp:extent cx="3599999" cy="3779999"/>
                  <wp:effectExtent b="0" l="0" r="0" t="0"/>
                  <wp:docPr descr="" title="" id="137" name="Picture"/>
                  <a:graphic>
                    <a:graphicData uri="http://schemas.openxmlformats.org/drawingml/2006/picture">
                      <pic:pic>
                        <pic:nvPicPr>
                          <pic:cNvPr descr="../Figures/MS/Main/Figure_PropSuccess/Figure_PropSuccess.png" id="138" name="Picture"/>
                          <pic:cNvPicPr>
                            <a:picLocks noChangeArrowheads="1" noChangeAspect="1"/>
                          </pic:cNvPicPr>
                        </pic:nvPicPr>
                        <pic:blipFill>
                          <a:blip r:embed="rId136"/>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metrics"/>
          <w:p>
            <w:pPr>
              <w:pStyle w:val="Compact"/>
              <w:jc w:val="left"/>
            </w:pPr>
            <w:r>
              <w:drawing>
                <wp:inline>
                  <wp:extent cx="5039999" cy="4319999"/>
                  <wp:effectExtent b="0" l="0" r="0" t="0"/>
                  <wp:docPr descr="" title="" id="141" name="Picture"/>
                  <a:graphic>
                    <a:graphicData uri="http://schemas.openxmlformats.org/drawingml/2006/picture">
                      <pic:pic>
                        <pic:nvPicPr>
                          <pic:cNvPr descr="../Figures/MS/Main/Figure_metrics/Figure_metrics.png" id="142" name="Picture"/>
                          <pic:cNvPicPr>
                            <a:picLocks noChangeArrowheads="1" noChangeAspect="1"/>
                          </pic:cNvPicPr>
                        </pic:nvPicPr>
                        <pic:blipFill>
                          <a:blip r:embed="rId140"/>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biome"/>
          <w:p>
            <w:pPr>
              <w:pStyle w:val="Compact"/>
              <w:jc w:val="center"/>
            </w:pPr>
            <w:r>
              <w:drawing>
                <wp:inline>
                  <wp:extent cx="5399999" cy="5399999"/>
                  <wp:effectExtent b="0" l="0" r="0" t="0"/>
                  <wp:docPr descr="" title="" id="145" name="Picture"/>
                  <a:graphic>
                    <a:graphicData uri="http://schemas.openxmlformats.org/drawingml/2006/picture">
                      <pic:pic>
                        <pic:nvPicPr>
                          <pic:cNvPr descr="../Figures/MS/Main/Figure_biomes/Figure_biomes.png" id="146" name="Picture"/>
                          <pic:cNvPicPr>
                            <a:picLocks noChangeArrowheads="1" noChangeAspect="1"/>
                          </pic:cNvPicPr>
                        </pic:nvPicPr>
                        <pic:blipFill>
                          <a:blip r:embed="rId144"/>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47"/>
        </w:tc>
      </w:tr>
    </w:tbl>
    <w:bookmarkEnd w:id="14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2025-10-17T10:57:38Z</dcterms:created>
  <dcterms:modified xsi:type="dcterms:W3CDTF">2025-10-17T10:57:38Z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