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[14]</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[14]</w:t>
      </w:r>
      <w:r>
        <w:t xml:space="preserve">.</w:t>
      </w:r>
      <w:r>
        <w:br/>
      </w:r>
      <w:r>
        <w:rPr>
          <w:iCs/>
          <w:i/>
        </w:rPr>
        <w:t xml:space="preserve">Didolodus sp.</w:t>
      </w:r>
      <w:r>
        <w:t xml:space="preserve"> </w:t>
      </w:r>
      <w:r>
        <w:t xml:space="preserve">(coll. nb. 199563,</w:t>
      </w:r>
      <w:r>
        <w:t xml:space="preserve"> </w:t>
      </w:r>
      <w:r>
        <w:t xml:space="preserve">[15]</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[16]</w:t>
      </w:r>
      <w:r>
        <w:t xml:space="preserve">) was synonymised with</w:t>
      </w:r>
      <w:r>
        <w:t xml:space="preserve"> </w:t>
      </w:r>
      <w:r>
        <w:rPr>
          <w:iCs/>
          <w:i/>
        </w:rPr>
        <w:t xml:space="preserve">Ernestokokenia nitida</w:t>
      </w:r>
      <w:r>
        <w:t xml:space="preserve"> </w:t>
      </w:r>
      <w:r>
        <w:t xml:space="preserve">by Gelfo (2006)</w:t>
      </w:r>
      <w:r>
        <w:t xml:space="preserve">[14]</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[18]</w:t>
      </w:r>
      <w:r>
        <w:t xml:space="preserve">; coll. nb. 70673,</w:t>
      </w:r>
      <w:r>
        <w:t xml:space="preserve"> </w:t>
      </w:r>
      <w:r>
        <w:t xml:space="preserve">[19]</w:t>
      </w:r>
      <w:r>
        <w:t xml:space="preserve">; coll. nb. 92814,</w:t>
      </w:r>
      <w:r>
        <w:t xml:space="preserve"> </w:t>
      </w:r>
      <w:r>
        <w:t xml:space="preserve">[20]</w:t>
      </w:r>
      <w:r>
        <w:t xml:space="preserve">),</w:t>
      </w:r>
      <w:r>
        <w:t xml:space="preserve"> </w:t>
      </w:r>
      <w:r>
        <w:rPr>
          <w:iCs/>
          <w:i/>
        </w:rPr>
        <w:t xml:space="preserve">Equus (Amerhippus)</w:t>
      </w:r>
      <w:r>
        <w:t xml:space="preserve"> </w:t>
      </w:r>
      <w:r>
        <w:t xml:space="preserve">(coll. nb. 70673,</w:t>
      </w:r>
      <w:r>
        <w:t xml:space="preserve"> </w:t>
      </w:r>
      <w:r>
        <w:t xml:space="preserve">[21]</w:t>
      </w:r>
      <w:r>
        <w:t xml:space="preserve">) and</w:t>
      </w:r>
      <w:r>
        <w:t xml:space="preserve"> </w:t>
      </w:r>
      <w:r>
        <w:rPr>
          <w:iCs/>
          <w:i/>
        </w:rPr>
        <w:t xml:space="preserve">Hippidion sp.</w:t>
      </w:r>
      <w:r>
        <w:t xml:space="preserve"> </w:t>
      </w:r>
      <w:r>
        <w:t xml:space="preserve">(coll. nb. 70673,</w:t>
      </w:r>
      <w:r>
        <w:t xml:space="preserve"> </w:t>
      </w:r>
      <w:r>
        <w:t xml:space="preserve">[21]</w:t>
      </w:r>
      <w:r>
        <w:t xml:space="preserve">), their upper time boundary were set to 0.99 Ma, according to MacFadden (2013)</w:t>
      </w:r>
      <w:r>
        <w:t xml:space="preserve"> </w:t>
      </w:r>
      <w:r>
        <w:t xml:space="preserve">[22]</w:t>
      </w:r>
      <w:r>
        <w:t xml:space="preserve">.</w:t>
      </w:r>
      <w:r>
        <w:br/>
      </w:r>
      <w:r>
        <w:rPr>
          <w:iCs/>
          <w:i/>
        </w:rPr>
        <w:t xml:space="preserve">Equus sp.</w:t>
      </w:r>
      <w:r>
        <w:t xml:space="preserve"> </w:t>
      </w:r>
      <w:r>
        <w:t xml:space="preserve">(coll. nb. 142158 and 142160,</w:t>
      </w:r>
      <w:r>
        <w:t xml:space="preserve"> </w:t>
      </w:r>
      <w:r>
        <w:t xml:space="preserve">[23]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[21]</w:t>
      </w:r>
      <w:r>
        <w:t xml:space="preserve">) time range was set to Holocene.</w:t>
      </w:r>
      <w:r>
        <w:br/>
      </w:r>
      <w:r>
        <w:rPr>
          <w:iCs/>
          <w:i/>
        </w:rPr>
        <w:t xml:space="preserve">Equus caballus</w:t>
      </w:r>
      <w:r>
        <w:t xml:space="preserve"> </w:t>
      </w:r>
      <w:r>
        <w:t xml:space="preserve">(coll. nb. 142016,</w:t>
      </w:r>
      <w:r>
        <w:t xml:space="preserve"> </w:t>
      </w:r>
      <w:r>
        <w:t xml:space="preserve">[17]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[21]</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[17]</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br/>
      </w:r>
      <w:r>
        <w:rPr>
          <w:iCs/>
          <w:i/>
        </w:rPr>
        <w:t xml:space="preserve">Notiomastodon platensis</w:t>
      </w:r>
      <w:r>
        <w:t xml:space="preserve"> </w:t>
      </w:r>
      <w:r>
        <w:t xml:space="preserve">(coll. nb. 144515,</w:t>
      </w:r>
      <w:r>
        <w:t xml:space="preserve"> </w:t>
      </w:r>
      <w:r>
        <w:t xml:space="preserve">[36]</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[37]</w:t>
      </w:r>
      <w:r>
        <w:t xml:space="preserve">.</w:t>
      </w:r>
    </w:p>
    <w:bookmarkEnd w:id="34"/>
    <w:bookmarkStart w:id="38"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[38]</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[38]</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[39]</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[40]</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[41]</w:t>
      </w:r>
      <w:r>
        <w:t xml:space="preserve">.</w:t>
      </w:r>
    </w:p>
    <w:bookmarkEnd w:id="35"/>
    <w:bookmarkStart w:id="36"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[42]</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[43]</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[43]</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[42]</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[44]</w:t>
      </w:r>
      <w:r>
        <w:t xml:space="preserve">; 176136,</w:t>
      </w:r>
      <w:r>
        <w:t xml:space="preserve"> </w:t>
      </w:r>
      <w:r>
        <w:t xml:space="preserve">[45]</w:t>
      </w:r>
      <w:r>
        <w:t xml:space="preserve">, 207067 and 207062</w:t>
      </w:r>
      <w:r>
        <w:t xml:space="preserve"> </w:t>
      </w:r>
      <w:r>
        <w:t xml:space="preserve">[43]</w:t>
      </w:r>
      <w:r>
        <w:t xml:space="preserve">) were set to Late Eocene (33.9-41.2 Ma). Same for</w:t>
      </w:r>
      <w:r>
        <w:t xml:space="preserve"> </w:t>
      </w:r>
      <w:r>
        <w:rPr>
          <w:iCs/>
          <w:i/>
        </w:rPr>
        <w:t xml:space="preserve">Eobranisamys sp.</w:t>
      </w:r>
      <w:r>
        <w:t xml:space="preserve"> </w:t>
      </w:r>
      <w:r>
        <w:t xml:space="preserve">(coll. nb. 176151,</w:t>
      </w:r>
      <w:r>
        <w:t xml:space="preserve"> </w:t>
      </w:r>
      <w:r>
        <w:t xml:space="preserve">[45]</w:t>
      </w:r>
      <w:r>
        <w:t xml:space="preserve">) and for all occurrences from the 144474 collection, including one</w:t>
      </w:r>
      <w:r>
        <w:t xml:space="preserve"> </w:t>
      </w:r>
      <w:r>
        <w:rPr>
          <w:iCs/>
          <w:i/>
        </w:rPr>
        <w:t xml:space="preserve">Chachapoyamys cf. kathetos</w:t>
      </w:r>
      <w:r>
        <w:t xml:space="preserve"> </w:t>
      </w:r>
      <w:r>
        <w:t xml:space="preserve">[38]</w:t>
      </w:r>
      <w:r>
        <w:t xml:space="preserve">, one</w:t>
      </w:r>
      <w:r>
        <w:t xml:space="preserve"> </w:t>
      </w:r>
      <w:r>
        <w:rPr>
          <w:iCs/>
          <w:i/>
        </w:rPr>
        <w:t xml:space="preserve">Eoespina sp.</w:t>
      </w:r>
      <w:r>
        <w:t xml:space="preserve"> </w:t>
      </w:r>
      <w:r>
        <w:t xml:space="preserve">[44]</w:t>
      </w:r>
      <w:r>
        <w:t xml:space="preserve">, one</w:t>
      </w:r>
      <w:r>
        <w:t xml:space="preserve"> </w:t>
      </w:r>
      <w:r>
        <w:rPr>
          <w:iCs/>
          <w:i/>
        </w:rPr>
        <w:t xml:space="preserve">Canaanimys maquiensis</w:t>
      </w:r>
      <w:r>
        <w:t xml:space="preserve"> </w:t>
      </w:r>
      <w:r>
        <w:t xml:space="preserve">[44]</w:t>
      </w:r>
      <w:r>
        <w:t xml:space="preserve"> </w:t>
      </w:r>
      <w:r>
        <w:t xml:space="preserve">and one</w:t>
      </w:r>
      <w:r>
        <w:t xml:space="preserve"> </w:t>
      </w:r>
      <w:r>
        <w:rPr>
          <w:iCs/>
          <w:i/>
        </w:rPr>
        <w:t xml:space="preserve">Eobranisamys javierpardoi</w:t>
      </w:r>
      <w:r>
        <w:t xml:space="preserve"> </w:t>
      </w:r>
      <w:r>
        <w:t xml:space="preserve">[45]</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[42]</w:t>
      </w:r>
      <w:r>
        <w:t xml:space="preserve">, one</w:t>
      </w:r>
      <w:r>
        <w:t xml:space="preserve"> </w:t>
      </w:r>
      <w:r>
        <w:rPr>
          <w:iCs/>
          <w:i/>
        </w:rPr>
        <w:t xml:space="preserve">Canaanimys sp.</w:t>
      </w:r>
      <w:r>
        <w:t xml:space="preserve"> </w:t>
      </w:r>
      <w:r>
        <w:t xml:space="preserve">[42]</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[46]</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[42]</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[46]</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[47]</w:t>
      </w:r>
      <w:r>
        <w:t xml:space="preserve">; 133539,</w:t>
      </w:r>
      <w:r>
        <w:t xml:space="preserve"> </w:t>
      </w:r>
      <w:r>
        <w:t xml:space="preserve">[48]</w:t>
      </w:r>
      <w:r>
        <w:t xml:space="preserve">), three</w:t>
      </w:r>
      <w:r>
        <w:t xml:space="preserve"> </w:t>
      </w:r>
      <w:r>
        <w:rPr>
          <w:iCs/>
          <w:i/>
        </w:rPr>
        <w:t xml:space="preserve">Branisamys luribayensis</w:t>
      </w:r>
      <w:r>
        <w:t xml:space="preserve"> </w:t>
      </w:r>
      <w:r>
        <w:t xml:space="preserve">(coll. nb. 95688</w:t>
      </w:r>
      <w:r>
        <w:t xml:space="preserve"> </w:t>
      </w:r>
      <w:r>
        <w:t xml:space="preserve">[47]</w:t>
      </w:r>
      <w:r>
        <w:t xml:space="preserve">; 95688</w:t>
      </w:r>
      <w:r>
        <w:t xml:space="preserve"> </w:t>
      </w:r>
      <w:r>
        <w:t xml:space="preserve">[49]</w:t>
      </w:r>
      <w:r>
        <w:t xml:space="preserve">; 133539</w:t>
      </w:r>
      <w:r>
        <w:t xml:space="preserve"> </w:t>
      </w:r>
      <w:r>
        <w:t xml:space="preserve">[48]</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[45]</w:t>
      </w:r>
      <w:r>
        <w:t xml:space="preserve">) were set to Late Eocene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[45]</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[43]</w:t>
      </w:r>
      <w:r>
        <w:t xml:space="preserve">) were set to Rupelian.</w:t>
      </w:r>
      <w:r>
        <w:br/>
      </w:r>
      <w:r>
        <w:rPr>
          <w:iCs/>
          <w:i/>
        </w:rPr>
        <w:t xml:space="preserve">Eoincamys pascuali</w:t>
      </w:r>
      <w:r>
        <w:t xml:space="preserve"> </w:t>
      </w:r>
      <w:r>
        <w:t xml:space="preserve">(coll. nb. 207064,</w:t>
      </w:r>
      <w:r>
        <w:t xml:space="preserve"> </w:t>
      </w:r>
      <w:r>
        <w:t xml:space="preserve">[43]</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[15]</w:t>
      </w:r>
      <w:r>
        <w:t xml:space="preserve">) species name was set to</w:t>
      </w:r>
      <w:r>
        <w:t xml:space="preserve"> </w:t>
      </w:r>
      <w:r>
        <w:rPr>
          <w:iCs/>
          <w:i/>
        </w:rPr>
        <w:t xml:space="preserve">Eopululo sp.</w:t>
      </w:r>
      <w:r>
        <w:t xml:space="preserve"> </w:t>
      </w:r>
      <w:r>
        <w:t xml:space="preserve">according to</w:t>
      </w:r>
      <w:r>
        <w:t xml:space="preserve"> </w:t>
      </w:r>
      <w:r>
        <w:t xml:space="preserve">[38]</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6"/>
    <w:bookmarkStart w:id="37"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[43]</w:t>
      </w:r>
      <w:r>
        <w:t xml:space="preserve">), renamed</w:t>
      </w:r>
      <w:r>
        <w:t xml:space="preserve"> </w:t>
      </w:r>
      <w:r>
        <w:rPr>
          <w:iCs/>
          <w:i/>
        </w:rPr>
        <w:t xml:space="preserve">C. cf. kummeli</w:t>
      </w:r>
      <w:r>
        <w:t xml:space="preserve"> </w:t>
      </w:r>
      <w:r>
        <w:t xml:space="preserve">(doublon) according to</w:t>
      </w:r>
      <w:r>
        <w:t xml:space="preserve"> </w:t>
      </w:r>
      <w:r>
        <w:t xml:space="preserve">[38]</w:t>
      </w:r>
      <w:r>
        <w:t xml:space="preserve">.</w:t>
      </w:r>
      <w:r>
        <w:br/>
      </w:r>
      <w:r>
        <w:rPr>
          <w:iCs/>
          <w:i/>
        </w:rPr>
        <w:t xml:space="preserve">Canaanimys sp.</w:t>
      </w:r>
      <w:r>
        <w:t xml:space="preserve"> </w:t>
      </w:r>
      <w:r>
        <w:t xml:space="preserve">(coll. nb. 176136,</w:t>
      </w:r>
      <w:r>
        <w:t xml:space="preserve"> </w:t>
      </w:r>
      <w:r>
        <w:t xml:space="preserve">[50]</w:t>
      </w:r>
      <w:r>
        <w:t xml:space="preserve">), taxonomic revision</w:t>
      </w:r>
      <w:r>
        <w:t xml:space="preserve"> </w:t>
      </w:r>
      <w:r>
        <w:t xml:space="preserve">[38]</w:t>
      </w:r>
      <w:r>
        <w:t xml:space="preserve">.</w:t>
      </w:r>
      <w:r>
        <w:br/>
      </w:r>
      <w:r>
        <w:rPr>
          <w:iCs/>
          <w:i/>
        </w:rPr>
        <w:t xml:space="preserve">Canaanimys maquiensis</w:t>
      </w:r>
      <w:r>
        <w:t xml:space="preserve"> </w:t>
      </w:r>
      <w:r>
        <w:t xml:space="preserve">(two occurrences, coll. nb. 207066 and 207067,</w:t>
      </w:r>
      <w:r>
        <w:t xml:space="preserve"> </w:t>
      </w:r>
      <w:r>
        <w:t xml:space="preserve">[43]</w:t>
      </w:r>
      <w:r>
        <w:t xml:space="preserve">), taxonomic revision</w:t>
      </w:r>
      <w:r>
        <w:t xml:space="preserve"> </w:t>
      </w:r>
      <w:r>
        <w:t xml:space="preserve">[38]</w:t>
      </w:r>
      <w:r>
        <w:t xml:space="preserve">.</w:t>
      </w:r>
      <w:r>
        <w:br/>
      </w:r>
      <w:r>
        <w:rPr>
          <w:iCs/>
          <w:i/>
        </w:rPr>
        <w:t xml:space="preserve">Chachapoyamys kathetos</w:t>
      </w:r>
      <w:r>
        <w:t xml:space="preserve"> </w:t>
      </w:r>
      <w:r>
        <w:t xml:space="preserve">(coll. nb. 207067,</w:t>
      </w:r>
      <w:r>
        <w:t xml:space="preserve"> </w:t>
      </w:r>
      <w:r>
        <w:t xml:space="preserve">[38]</w:t>
      </w:r>
      <w:r>
        <w:t xml:space="preserve">), re-assigned to</w:t>
      </w:r>
      <w:r>
        <w:t xml:space="preserve"> </w:t>
      </w:r>
      <w:r>
        <w:rPr>
          <w:iCs/>
          <w:i/>
        </w:rPr>
        <w:t xml:space="preserve">C. cf. kathetos</w:t>
      </w:r>
      <w:r>
        <w:t xml:space="preserve"> </w:t>
      </w:r>
      <w:r>
        <w:t xml:space="preserve">(doublon)</w:t>
      </w:r>
      <w:r>
        <w:t xml:space="preserve"> </w:t>
      </w:r>
      <w:r>
        <w:t xml:space="preserve">[38]</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[51]</w:t>
      </w:r>
      <w:r>
        <w:t xml:space="preserve">; coll. nb. 217834,</w:t>
      </w:r>
      <w:r>
        <w:t xml:space="preserve"> </w:t>
      </w:r>
      <w:r>
        <w:t xml:space="preserve">[52]</w:t>
      </w:r>
      <w:r>
        <w:t xml:space="preserve">).</w:t>
      </w:r>
      <w:r>
        <w:br/>
      </w:r>
      <w:r>
        <w:rPr>
          <w:iCs/>
          <w:i/>
        </w:rPr>
        <w:t xml:space="preserve">Tarapotomys sp.</w:t>
      </w:r>
      <w:r>
        <w:t xml:space="preserve"> </w:t>
      </w:r>
      <w:r>
        <w:t xml:space="preserve">(2 occurrences) (coll. nb. 199560,</w:t>
      </w:r>
      <w:r>
        <w:t xml:space="preserve"> </w:t>
      </w:r>
      <w:r>
        <w:t xml:space="preserve">[41]</w:t>
      </w:r>
      <w:r>
        <w:t xml:space="preserve">; coll. nb. 199563,</w:t>
      </w:r>
      <w:r>
        <w:t xml:space="preserve"> </w:t>
      </w:r>
      <w:r>
        <w:t xml:space="preserve">[15]</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[38]</w:t>
      </w:r>
      <w:r>
        <w:t xml:space="preserve">.</w:t>
      </w:r>
      <w:r>
        <w:br/>
      </w:r>
      <w:r>
        <w:rPr>
          <w:iCs/>
          <w:i/>
        </w:rPr>
        <w:t xml:space="preserve">Incamys bolivianus</w:t>
      </w:r>
      <w:r>
        <w:t xml:space="preserve"> </w:t>
      </w:r>
      <w:r>
        <w:t xml:space="preserve">(coll. nb. 95688,</w:t>
      </w:r>
      <w:r>
        <w:t xml:space="preserve"> </w:t>
      </w:r>
      <w:r>
        <w:t xml:space="preserve">[47]</w:t>
      </w:r>
      <w:r>
        <w:t xml:space="preserve">), doulon.</w:t>
      </w:r>
      <w:r>
        <w:br/>
      </w:r>
      <w:r>
        <w:rPr>
          <w:iCs/>
          <w:i/>
        </w:rPr>
        <w:t xml:space="preserve">Asteromys bolivianus</w:t>
      </w:r>
      <w:r>
        <w:t xml:space="preserve"> </w:t>
      </w:r>
      <w:r>
        <w:t xml:space="preserve">(coll. nb. 133591,</w:t>
      </w:r>
      <w:r>
        <w:t xml:space="preserve"> </w:t>
      </w:r>
      <w:r>
        <w:t xml:space="preserve">[53]</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7"/>
    <w:bookmarkEnd w:id="38"/>
    <w:bookmarkStart w:id="39" w:name="sparassodonta"/>
    <w:p>
      <w:pPr>
        <w:pStyle w:val="Titre1"/>
      </w:pPr>
      <w:r>
        <w:t xml:space="preserve">Sparassodonta</w:t>
      </w:r>
    </w:p>
    <w:bookmarkEnd w:id="39"/>
    <w:bookmarkStart w:id="40" w:name="xenungulata"/>
    <w:p>
      <w:pPr>
        <w:pStyle w:val="Titre1"/>
      </w:pPr>
      <w:r>
        <w:t xml:space="preserve">Xenungulata</w:t>
      </w:r>
    </w:p>
    <w:bookmarkEnd w:id="40"/>
    <w:bookmarkStart w:id="95" w:name="references"/>
    <w:p>
      <w:pPr>
        <w:pStyle w:val="Titre1"/>
      </w:pPr>
      <w:r>
        <w:t xml:space="preserve">References</w:t>
      </w:r>
    </w:p>
    <w:bookmarkStart w:id="94" w:name="refs"/>
    <w:bookmarkStart w:id="41"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1"/>
    <w:bookmarkStart w:id="42"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2"/>
    <w:bookmarkStart w:id="43"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3"/>
    <w:bookmarkStart w:id="44"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4"/>
    <w:bookmarkStart w:id="45"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5"/>
    <w:bookmarkStart w:id="46"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6"/>
    <w:bookmarkStart w:id="47"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7"/>
    <w:bookmarkStart w:id="48"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8"/>
    <w:bookmarkStart w:id="49"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9"/>
    <w:bookmarkStart w:id="50"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0"/>
    <w:bookmarkStart w:id="51"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1"/>
    <w:bookmarkStart w:id="52"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2"/>
    <w:bookmarkStart w:id="53"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3"/>
    <w:bookmarkStart w:id="54" w:name="ref-gelfo2006"/>
    <w:p>
      <w:pPr>
        <w:pStyle w:val="Bibliographie"/>
      </w:pPr>
      <w:r>
        <w:t xml:space="preserve">14.</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4"/>
    <w:bookmarkStart w:id="55" w:name="ref-antoine2021"/>
    <w:p>
      <w:pPr>
        <w:pStyle w:val="Bibliographie"/>
      </w:pPr>
      <w:r>
        <w:t xml:space="preserve">15.</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5"/>
    <w:bookmarkStart w:id="56" w:name="ref-simpson1948"/>
    <w:p>
      <w:pPr>
        <w:pStyle w:val="Bibliographie"/>
      </w:pPr>
      <w:r>
        <w:t xml:space="preserve">16.</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6"/>
    <w:bookmarkStart w:id="57" w:name="ref-boule1920"/>
    <w:p>
      <w:pPr>
        <w:pStyle w:val="Bibliographie"/>
      </w:pPr>
      <w:r>
        <w:t xml:space="preserve">17.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7"/>
    <w:bookmarkStart w:id="58" w:name="ref-rolim1974"/>
    <w:p>
      <w:pPr>
        <w:pStyle w:val="Bibliographie"/>
      </w:pPr>
      <w:r>
        <w:t xml:space="preserve">18.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8"/>
    <w:bookmarkStart w:id="59" w:name="ref-oliveira2017"/>
    <w:p>
      <w:pPr>
        <w:pStyle w:val="Bibliographie"/>
      </w:pPr>
      <w:r>
        <w:t xml:space="preserve">19.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9"/>
    <w:bookmarkStart w:id="60" w:name="ref-salles2006"/>
    <w:p>
      <w:pPr>
        <w:pStyle w:val="Bibliographie"/>
      </w:pPr>
      <w:r>
        <w:t xml:space="preserve">20.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0"/>
    <w:bookmarkStart w:id="61" w:name="ref-marshall1991"/>
    <w:p>
      <w:pPr>
        <w:pStyle w:val="Bibliographie"/>
      </w:pPr>
      <w:r>
        <w:t xml:space="preserve">21.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1"/>
    <w:bookmarkStart w:id="62" w:name="ref-macfadden2013"/>
    <w:p>
      <w:pPr>
        <w:pStyle w:val="Bibliographie"/>
      </w:pPr>
      <w:r>
        <w:t xml:space="preserve">22.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2"/>
    <w:bookmarkStart w:id="63" w:name="ref-coltorti2007"/>
    <w:p>
      <w:pPr>
        <w:pStyle w:val="Bibliographie"/>
      </w:pPr>
      <w:r>
        <w:t xml:space="preserve">23.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3"/>
    <w:bookmarkStart w:id="64"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4"/>
    <w:bookmarkStart w:id="65"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5"/>
    <w:bookmarkStart w:id="66"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6"/>
    <w:bookmarkStart w:id="67"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7"/>
    <w:bookmarkStart w:id="68"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8"/>
    <w:bookmarkStart w:id="69"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9"/>
    <w:bookmarkStart w:id="70"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0"/>
    <w:bookmarkStart w:id="71"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1"/>
    <w:bookmarkStart w:id="72"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2"/>
    <w:bookmarkStart w:id="73"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3"/>
    <w:bookmarkStart w:id="74"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4"/>
    <w:bookmarkStart w:id="75"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5"/>
    <w:bookmarkStart w:id="76" w:name="ref-campbell2000"/>
    <w:p>
      <w:pPr>
        <w:pStyle w:val="Bibliographie"/>
      </w:pPr>
      <w:r>
        <w:t xml:space="preserve">36.</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76"/>
    <w:bookmarkStart w:id="77" w:name="ref-negri2009"/>
    <w:p>
      <w:pPr>
        <w:pStyle w:val="Bibliographie"/>
      </w:pPr>
      <w:r>
        <w:t xml:space="preserve">37.</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77"/>
    <w:bookmarkStart w:id="78" w:name="ref-boivin2021"/>
    <w:p>
      <w:pPr>
        <w:pStyle w:val="Bibliographie"/>
      </w:pPr>
      <w:r>
        <w:t xml:space="preserve">38.</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8"/>
    <w:bookmarkStart w:id="79" w:name="ref-arnal2022"/>
    <w:p>
      <w:pPr>
        <w:pStyle w:val="Bibliographie"/>
      </w:pPr>
      <w:r>
        <w:t xml:space="preserve">39.</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9"/>
    <w:bookmarkStart w:id="80" w:name="ref-reguero2007"/>
    <w:p>
      <w:pPr>
        <w:pStyle w:val="Bibliographie"/>
      </w:pPr>
      <w:r>
        <w:t xml:space="preserve">40.</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80"/>
    <w:bookmarkStart w:id="81" w:name="ref-boivin2018"/>
    <w:p>
      <w:pPr>
        <w:pStyle w:val="Bibliographie"/>
      </w:pPr>
      <w:r>
        <w:t xml:space="preserve">41.</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81"/>
    <w:bookmarkStart w:id="82" w:name="ref-arnal2020"/>
    <w:p>
      <w:pPr>
        <w:pStyle w:val="Bibliographie"/>
      </w:pPr>
      <w:r>
        <w:t xml:space="preserve">42.</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2"/>
    <w:bookmarkStart w:id="83" w:name="ref-assemat2019"/>
    <w:p>
      <w:pPr>
        <w:pStyle w:val="Bibliographie"/>
      </w:pPr>
      <w:r>
        <w:t xml:space="preserve">43.</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3"/>
    <w:bookmarkStart w:id="84" w:name="ref-antoine2012"/>
    <w:p>
      <w:pPr>
        <w:pStyle w:val="Bibliographie"/>
      </w:pPr>
      <w:r>
        <w:t xml:space="preserve">44.</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84"/>
    <w:bookmarkStart w:id="85" w:name="ref-boivin2017"/>
    <w:p>
      <w:pPr>
        <w:pStyle w:val="Bibliographie"/>
      </w:pPr>
      <w:r>
        <w:t xml:space="preserve">45.</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85"/>
    <w:bookmarkStart w:id="86" w:name="ref-frailey2004"/>
    <w:p>
      <w:pPr>
        <w:pStyle w:val="Bibliographie"/>
      </w:pPr>
      <w:r>
        <w:t xml:space="preserve">46.</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6"/>
    <w:bookmarkStart w:id="87" w:name="ref-lavocat1976"/>
    <w:p>
      <w:pPr>
        <w:pStyle w:val="Bibliographie"/>
      </w:pPr>
      <w:r>
        <w:t xml:space="preserve">47.</w:t>
      </w:r>
      <w:r>
        <w:t xml:space="preserve"> </w:t>
      </w:r>
      <w:r>
        <w:t xml:space="preserve">	</w:t>
      </w:r>
      <w:r>
        <w:t xml:space="preserve">Lavocat R. 1976 RONGEURS CAVIOMORPHES DE l’OLIGOCENE DE BOLIVIE. II. RONGEURS DU BASSIN DESEADIEN DE SALLA-LURIBAY.(COLLECTION HOFFSTETTER).</w:t>
      </w:r>
      <w:r>
        <w:t xml:space="preserve"> </w:t>
      </w:r>
    </w:p>
    <w:bookmarkEnd w:id="87"/>
    <w:bookmarkStart w:id="88" w:name="ref-patterson1982"/>
    <w:p>
      <w:pPr>
        <w:pStyle w:val="Bibliographie"/>
      </w:pPr>
      <w:r>
        <w:t xml:space="preserve">48.</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8"/>
    <w:bookmarkStart w:id="89" w:name="ref-hartenberger1975"/>
    <w:p>
      <w:pPr>
        <w:pStyle w:val="Bibliographie"/>
      </w:pPr>
      <w:r>
        <w:t xml:space="preserve">49.</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9"/>
    <w:bookmarkStart w:id="90" w:name="ref-antoine2016"/>
    <w:p>
      <w:pPr>
        <w:pStyle w:val="Bibliographie"/>
      </w:pPr>
      <w:r>
        <w:t xml:space="preserve">50.</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90"/>
    <w:bookmarkStart w:id="91" w:name="ref-kerber2017"/>
    <w:p>
      <w:pPr>
        <w:pStyle w:val="Bibliographie"/>
      </w:pPr>
      <w:r>
        <w:t xml:space="preserve">51.</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91"/>
    <w:bookmarkStart w:id="92" w:name="ref-lacerda2021"/>
    <w:p>
      <w:pPr>
        <w:pStyle w:val="Bibliographie"/>
      </w:pPr>
      <w:r>
        <w:t xml:space="preserve">52.</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2"/>
    <w:bookmarkStart w:id="93" w:name="ref-perez2019"/>
    <w:p>
      <w:pPr>
        <w:pStyle w:val="Bibliographie"/>
      </w:pPr>
      <w:r>
        <w:t xml:space="preserve">53.</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3"/>
    <w:bookmarkEnd w:id="94"/>
    <w:bookmarkEnd w:id="95"/>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2023-04-27T14:56:10Z</dcterms:created>
  <dcterms:modified xsi:type="dcterms:W3CDTF">2023-04-27T14:56:10Z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