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rFonts w:ascii="Arial" w:hAnsi="Arial" w:eastAsia="Times New Roman" w:cs="Arial" w:asciiTheme="minorHAnsi" w:cstheme="minorHAnsi" w:hAnsiTheme="minorHAnsi"/>
          <w:b/>
          <w:b/>
          <w:sz w:val="20"/>
          <w:szCs w:val="20"/>
        </w:rPr>
      </w:pPr>
      <w:r>
        <w:rPr>
          <w:rFonts w:eastAsia="Times New Roman" w:cs="Arial" w:cstheme="minorHAnsi"/>
          <w:b/>
          <w:sz w:val="20"/>
          <w:szCs w:val="20"/>
        </w:rPr>
        <w:t>Material and Methods</w:t>
      </w:r>
    </w:p>
    <w:p>
      <w:pPr>
        <w:pStyle w:val="LOnormal"/>
        <w:jc w:val="both"/>
        <w:rPr>
          <w:rFonts w:ascii="Arial" w:hAnsi="Arial" w:eastAsia="Times New Roman" w:cs="Arial" w:asciiTheme="minorHAnsi" w:cstheme="minorHAnsi" w:hAnsiTheme="minorHAnsi"/>
          <w:sz w:val="20"/>
          <w:szCs w:val="20"/>
        </w:rPr>
      </w:pPr>
      <w:r>
        <w:rPr>
          <w:rFonts w:eastAsia="Times New Roman" w:cs="Arial" w:cstheme="minorHAnsi"/>
          <w:sz w:val="20"/>
          <w:szCs w:val="20"/>
        </w:rPr>
        <w:t xml:space="preserve">Additional methodological details are provided in the </w:t>
      </w:r>
      <w:r>
        <w:rPr>
          <w:rFonts w:eastAsia="Times New Roman" w:cs="Arial" w:cstheme="minorHAnsi"/>
          <w:i/>
          <w:iCs/>
          <w:sz w:val="20"/>
          <w:szCs w:val="20"/>
        </w:rPr>
        <w:t>SI Appendix</w:t>
      </w:r>
      <w:r>
        <w:rPr>
          <w:rFonts w:eastAsia="Times New Roman" w:cs="Arial" w:cstheme="minorHAnsi"/>
          <w:sz w:val="20"/>
          <w:szCs w:val="20"/>
        </w:rPr>
        <w:t>.</w:t>
      </w:r>
    </w:p>
    <w:p>
      <w:pPr>
        <w:pStyle w:val="LOnormal"/>
        <w:jc w:val="both"/>
        <w:rPr>
          <w:rFonts w:ascii="Arial" w:hAnsi="Arial" w:eastAsia="Times New Roman" w:cs="Arial" w:asciiTheme="minorHAnsi" w:cstheme="minorHAnsi" w:hAnsiTheme="minorHAnsi"/>
          <w:sz w:val="20"/>
          <w:szCs w:val="20"/>
        </w:rPr>
      </w:pPr>
      <w:r>
        <w:rPr>
          <w:rFonts w:eastAsia="Times New Roman" w:cs="Arial" w:cstheme="minorHAnsi"/>
          <w:sz w:val="20"/>
          <w:szCs w:val="20"/>
        </w:rPr>
      </w:r>
    </w:p>
    <w:p>
      <w:pPr>
        <w:pStyle w:val="LOnormal"/>
        <w:jc w:val="both"/>
        <w:rPr>
          <w:rFonts w:ascii="Arial" w:hAnsi="Arial" w:cs="Arial" w:asciiTheme="minorHAnsi" w:cstheme="minorHAnsi" w:hAnsiTheme="minorHAnsi"/>
          <w:sz w:val="20"/>
          <w:szCs w:val="20"/>
        </w:rPr>
      </w:pPr>
      <w:r>
        <w:rPr>
          <w:rFonts w:eastAsia="Times New Roman" w:cs="Arial" w:cstheme="minorHAnsi"/>
          <w:b/>
          <w:sz w:val="20"/>
          <w:szCs w:val="20"/>
        </w:rPr>
        <w:t>Fossil data compilation and analytical framework.</w:t>
      </w:r>
      <w:r>
        <w:rPr>
          <w:rFonts w:cs="Arial" w:cstheme="minorHAnsi"/>
          <w:sz w:val="20"/>
          <w:szCs w:val="20"/>
        </w:rPr>
        <w:t xml:space="preserve"> </w:t>
      </w:r>
      <w:r>
        <w:rPr>
          <w:rFonts w:eastAsia="Times New Roman" w:cs="Arial" w:cstheme="minorHAnsi"/>
          <w:sz w:val="20"/>
          <w:szCs w:val="20"/>
        </w:rPr>
        <w:t xml:space="preserve">We downloaded and cleaned all genus-level South American terrestrial mammal occurrences from </w:t>
      </w:r>
      <w:r>
        <w:rPr>
          <w:rFonts w:eastAsia="Times New Roman" w:cs="Arial" w:cstheme="minorHAnsi"/>
          <w:i/>
          <w:iCs/>
          <w:sz w:val="20"/>
          <w:szCs w:val="20"/>
        </w:rPr>
        <w:t>The Paleobiology Database</w:t>
      </w:r>
      <w:r>
        <w:rPr>
          <w:rFonts w:eastAsia="Times New Roman" w:cs="Arial" w:cstheme="minorHAnsi"/>
          <w:sz w:val="20"/>
          <w:szCs w:val="20"/>
        </w:rPr>
        <w:t xml:space="preserve"> (</w:t>
      </w:r>
      <w:hyperlink r:id="rId2">
        <w:r>
          <w:rPr>
            <w:rStyle w:val="InternetLink"/>
            <w:rFonts w:eastAsia="Times New Roman" w:cs="Arial" w:cstheme="minorHAnsi"/>
            <w:sz w:val="20"/>
            <w:szCs w:val="20"/>
          </w:rPr>
          <w:t>https://paleobiodb.org/</w:t>
        </w:r>
      </w:hyperlink>
      <w:r>
        <w:rPr>
          <w:rFonts w:eastAsia="Times New Roman" w:cs="Arial" w:cstheme="minorHAnsi"/>
          <w:sz w:val="20"/>
          <w:szCs w:val="20"/>
        </w:rPr>
        <w:t xml:space="preserve">) spanning the late Paleocene to the early Miocene (60-16 Ma) (3,384 occurrences; </w:t>
      </w:r>
      <w:r>
        <w:rPr>
          <w:rFonts w:eastAsia="Times New Roman" w:cs="Arial" w:cstheme="minorHAnsi"/>
          <w:i/>
          <w:iCs/>
          <w:sz w:val="20"/>
          <w:szCs w:val="20"/>
        </w:rPr>
        <w:t>SI Appendix, Extended Materials and Methods</w:t>
      </w:r>
      <w:r>
        <w:rPr>
          <w:rFonts w:eastAsia="Times New Roman" w:cs="Arial" w:cstheme="minorHAnsi"/>
          <w:sz w:val="20"/>
          <w:szCs w:val="20"/>
        </w:rPr>
        <w:t xml:space="preserve">). </w:t>
      </w:r>
      <w:r>
        <w:rPr>
          <w:rFonts w:eastAsia="Times New Roman" w:cs="Arial" w:cstheme="minorHAnsi"/>
          <w:sz w:val="20"/>
          <w:szCs w:val="20"/>
        </w:rPr>
        <w:t>Cleaning consisted of a manual revision of the taxonomic name (e.g., synonymies, missing open nomenclature elements, typos) and time range of each occurrence, the latter often being imprecise (</w:t>
      </w:r>
      <w:r>
        <w:rPr>
          <w:rFonts w:eastAsia="Times New Roman" w:cs="Arial" w:cstheme="minorHAnsi"/>
          <w:i/>
          <w:iCs/>
          <w:sz w:val="20"/>
          <w:szCs w:val="20"/>
        </w:rPr>
        <w:t>SI Appendix,</w:t>
      </w:r>
      <w:r>
        <w:rPr>
          <w:rFonts w:eastAsia="Times New Roman" w:cs="Arial" w:cstheme="minorHAnsi"/>
          <w:b/>
          <w:bCs/>
          <w:i/>
          <w:iCs/>
          <w:sz w:val="20"/>
          <w:szCs w:val="20"/>
        </w:rPr>
        <w:t xml:space="preserve"> </w:t>
      </w:r>
      <w:r>
        <w:rPr>
          <w:rFonts w:eastAsia="Times New Roman" w:cs="Arial" w:cstheme="minorHAnsi"/>
          <w:b/>
          <w:bCs/>
          <w:i w:val="false"/>
          <w:iCs w:val="false"/>
          <w:sz w:val="20"/>
          <w:szCs w:val="20"/>
        </w:rPr>
        <w:t>Fig. S4</w:t>
      </w:r>
      <w:r>
        <w:rPr>
          <w:rFonts w:eastAsia="Times New Roman" w:cs="Arial" w:cstheme="minorHAnsi"/>
          <w:b w:val="false"/>
          <w:bCs w:val="false"/>
          <w:i w:val="false"/>
          <w:iCs w:val="false"/>
          <w:sz w:val="20"/>
          <w:szCs w:val="20"/>
        </w:rPr>
        <w:t xml:space="preserve"> and</w:t>
      </w:r>
      <w:r>
        <w:rPr>
          <w:rFonts w:eastAsia="Times New Roman" w:cs="Arial" w:cstheme="minorHAnsi"/>
          <w:b w:val="false"/>
          <w:bCs w:val="false"/>
          <w:i/>
          <w:iCs/>
          <w:sz w:val="20"/>
          <w:szCs w:val="20"/>
        </w:rPr>
        <w:t xml:space="preserve"> </w:t>
      </w:r>
      <w:r>
        <w:rPr>
          <w:rFonts w:eastAsia="Times New Roman" w:cs="Arial" w:cstheme="minorHAnsi"/>
          <w:i/>
          <w:iCs/>
          <w:sz w:val="20"/>
          <w:szCs w:val="20"/>
        </w:rPr>
        <w:t>Extended Materials and Methods</w:t>
      </w:r>
      <w:r>
        <w:rPr>
          <w:rFonts w:eastAsia="Times New Roman" w:cs="Arial" w:cstheme="minorHAnsi"/>
          <w:i w:val="false"/>
          <w:iCs w:val="false"/>
          <w:sz w:val="20"/>
          <w:szCs w:val="20"/>
        </w:rPr>
        <w:t>)</w:t>
      </w:r>
      <w:r>
        <w:rPr>
          <w:rFonts w:eastAsia="Times New Roman" w:cs="Arial" w:cstheme="minorHAnsi"/>
          <w:sz w:val="20"/>
          <w:szCs w:val="20"/>
        </w:rPr>
        <w:t xml:space="preserve">. </w:t>
      </w:r>
      <w:r>
        <w:rPr>
          <w:rFonts w:eastAsia="Times New Roman" w:cs="Arial" w:cstheme="minorHAnsi"/>
          <w:sz w:val="20"/>
          <w:szCs w:val="20"/>
        </w:rPr>
        <w:t>Using paleocoordinate reconstructions (75) and paleobiome maps (76), we assigned each occurrence a tropical or extratropical affinity, and collapsed the</w:t>
      </w:r>
      <w:r>
        <w:rPr>
          <w:rFonts w:eastAsia="Times New Roman" w:cs="Arial" w:cstheme="minorHAnsi"/>
          <w:sz w:val="20"/>
          <w:szCs w:val="20"/>
        </w:rPr>
        <w:t>ir associated</w:t>
      </w:r>
      <w:r>
        <w:rPr>
          <w:rFonts w:eastAsia="Times New Roman" w:cs="Arial" w:cstheme="minorHAnsi"/>
          <w:sz w:val="20"/>
          <w:szCs w:val="20"/>
        </w:rPr>
        <w:t xml:space="preserve"> dental ecomorphotype-derived trophic classes into four categories: carnivorous, herbivorous, omnivorous, insectivorous (</w:t>
      </w:r>
      <w:r>
        <w:rPr>
          <w:rFonts w:eastAsia="Times New Roman" w:cs="Arial" w:cstheme="minorHAnsi"/>
          <w:b/>
          <w:bCs/>
          <w:sz w:val="20"/>
          <w:szCs w:val="20"/>
        </w:rPr>
        <w:t>Table 1</w:t>
      </w:r>
      <w:r>
        <w:rPr>
          <w:rFonts w:eastAsia="Times New Roman" w:cs="Arial" w:cstheme="minorHAnsi"/>
          <w:sz w:val="20"/>
          <w:szCs w:val="20"/>
        </w:rPr>
        <w:t>).</w:t>
      </w:r>
    </w:p>
    <w:p>
      <w:pPr>
        <w:pStyle w:val="LOnormal"/>
        <w:ind w:firstLine="709"/>
        <w:jc w:val="both"/>
        <w:rPr>
          <w:rFonts w:ascii="Arial" w:hAnsi="Arial" w:cs="Arial" w:asciiTheme="minorHAnsi" w:cstheme="minorHAnsi" w:hAnsiTheme="minorHAnsi"/>
          <w:sz w:val="20"/>
          <w:szCs w:val="20"/>
        </w:rPr>
      </w:pPr>
      <w:r>
        <w:rPr>
          <w:rFonts w:eastAsia="Times New Roman" w:cs="Arial" w:cstheme="minorHAnsi"/>
          <w:sz w:val="20"/>
          <w:szCs w:val="20"/>
        </w:rPr>
        <w:t>We analyzed our database using PyRate v.3 (77)</w:t>
      </w:r>
      <w:r>
        <w:rPr>
          <w:rFonts w:cs="Arial" w:cstheme="minorHAnsi"/>
          <w:sz w:val="20"/>
          <w:szCs w:val="20"/>
        </w:rPr>
        <w:t>, and approximated the posterior distribution of the origination and extinction times (T</w:t>
      </w:r>
      <w:r>
        <w:rPr>
          <w:rFonts w:cs="Arial" w:cstheme="minorHAnsi"/>
          <w:sz w:val="20"/>
          <w:szCs w:val="20"/>
          <w:vertAlign w:val="subscript"/>
        </w:rPr>
        <w:t>s</w:t>
      </w:r>
      <w:r>
        <w:rPr>
          <w:rFonts w:cs="Arial" w:cstheme="minorHAnsi"/>
          <w:sz w:val="20"/>
          <w:szCs w:val="20"/>
        </w:rPr>
        <w:t xml:space="preserve"> and T</w:t>
      </w:r>
      <w:r>
        <w:rPr>
          <w:rFonts w:cs="Arial" w:cstheme="minorHAnsi"/>
          <w:sz w:val="20"/>
          <w:szCs w:val="20"/>
          <w:vertAlign w:val="subscript"/>
        </w:rPr>
        <w:t>e</w:t>
      </w:r>
      <w:r>
        <w:rPr>
          <w:rFonts w:cs="Arial" w:cstheme="minorHAnsi"/>
          <w:sz w:val="20"/>
          <w:szCs w:val="20"/>
        </w:rPr>
        <w:t>, respectively) of each genus and the rate of the preservation process using the RJMCMC algorithm. We then used these T</w:t>
      </w:r>
      <w:r>
        <w:rPr>
          <w:rFonts w:cs="Arial" w:cstheme="minorHAnsi"/>
          <w:sz w:val="20"/>
          <w:szCs w:val="20"/>
          <w:vertAlign w:val="subscript"/>
        </w:rPr>
        <w:t>s</w:t>
      </w:r>
      <w:r>
        <w:rPr>
          <w:rFonts w:cs="Arial" w:cstheme="minorHAnsi"/>
          <w:sz w:val="20"/>
          <w:szCs w:val="20"/>
        </w:rPr>
        <w:t xml:space="preserve"> and T</w:t>
      </w:r>
      <w:r>
        <w:rPr>
          <w:rFonts w:cs="Arial" w:cstheme="minorHAnsi"/>
          <w:sz w:val="20"/>
          <w:szCs w:val="20"/>
          <w:vertAlign w:val="subscript"/>
        </w:rPr>
        <w:t>e</w:t>
      </w:r>
      <w:r>
        <w:rPr>
          <w:rFonts w:cs="Arial" w:cstheme="minorHAnsi"/>
          <w:sz w:val="20"/>
          <w:szCs w:val="20"/>
        </w:rPr>
        <w:t xml:space="preserve"> to estimate the underlying diversification process (origination and extinction rates) with the Birth-Death model with Constrained Shifts (BDCS) (78) (</w:t>
      </w:r>
      <w:r>
        <w:rPr>
          <w:rFonts w:cs="Arial" w:cstheme="minorHAnsi"/>
          <w:i/>
          <w:iCs/>
          <w:sz w:val="20"/>
          <w:szCs w:val="20"/>
        </w:rPr>
        <w:t>SI Appendix, Extended Materials and Methods</w:t>
      </w:r>
      <w:r>
        <w:rPr>
          <w:rFonts w:cs="Arial" w:cstheme="minorHAnsi"/>
          <w:sz w:val="20"/>
          <w:szCs w:val="20"/>
        </w:rPr>
        <w:t>).</w:t>
      </w:r>
    </w:p>
    <w:p>
      <w:pPr>
        <w:pStyle w:val="LOnormal"/>
        <w:ind w:firstLine="709"/>
        <w:jc w:val="both"/>
        <w:rPr>
          <w:rFonts w:ascii="Arial" w:hAnsi="Arial" w:cs="Arial" w:asciiTheme="minorHAnsi" w:cstheme="minorHAnsi" w:hAnsiTheme="minorHAnsi"/>
          <w:sz w:val="20"/>
          <w:szCs w:val="20"/>
        </w:rPr>
      </w:pPr>
      <w:r>
        <w:rPr>
          <w:rFonts w:cs="Arial" w:cstheme="minorHAnsi"/>
          <w:sz w:val="20"/>
          <w:szCs w:val="20"/>
        </w:rPr>
        <w:t>We ran the RJMCMC model for 50 million generations and sampled every 50,000, with a time-dependent preservation process allowing for rate shift between geological stages (</w:t>
      </w:r>
      <w:r>
        <w:rPr>
          <w:rFonts w:cs="Arial" w:cstheme="minorHAnsi"/>
          <w:i/>
          <w:iCs/>
          <w:sz w:val="20"/>
          <w:szCs w:val="20"/>
        </w:rPr>
        <w:t xml:space="preserve">SI Appendix, </w:t>
      </w:r>
      <w:r>
        <w:rPr>
          <w:rFonts w:cs="Arial" w:cstheme="minorHAnsi"/>
          <w:b/>
          <w:bCs/>
          <w:sz w:val="20"/>
          <w:szCs w:val="20"/>
        </w:rPr>
        <w:t xml:space="preserve">Fig. S5-6 </w:t>
      </w:r>
      <w:r>
        <w:rPr>
          <w:rFonts w:cs="Arial" w:cstheme="minorHAnsi"/>
          <w:sz w:val="20"/>
          <w:szCs w:val="20"/>
        </w:rPr>
        <w:t xml:space="preserve">and </w:t>
      </w:r>
      <w:r>
        <w:rPr>
          <w:rFonts w:cs="Arial" w:cstheme="minorHAnsi"/>
          <w:i/>
          <w:iCs/>
          <w:sz w:val="20"/>
          <w:szCs w:val="20"/>
        </w:rPr>
        <w:t>Extended Materials and Methods</w:t>
      </w:r>
      <w:r>
        <w:rPr>
          <w:rFonts w:cs="Arial" w:cstheme="minorHAnsi"/>
          <w:sz w:val="20"/>
          <w:szCs w:val="20"/>
        </w:rPr>
        <w:t>). We allowed for a gamma-distributed preservation heterogeneity across lineages. We ran the BDCS model for 10 million generations, sampled every 10,000, and allowed diversification (i.e. origination and extinction) rates to vary between each geological sub-Epochs (</w:t>
      </w:r>
      <w:r>
        <w:rPr>
          <w:rFonts w:cs="Arial" w:cstheme="minorHAnsi"/>
          <w:i/>
          <w:iCs/>
          <w:sz w:val="20"/>
          <w:szCs w:val="20"/>
        </w:rPr>
        <w:t xml:space="preserve">SI Appendix, </w:t>
      </w:r>
      <w:r>
        <w:rPr>
          <w:rFonts w:cs="Arial" w:cstheme="minorHAnsi"/>
          <w:b/>
          <w:bCs/>
          <w:sz w:val="20"/>
          <w:szCs w:val="20"/>
        </w:rPr>
        <w:t>Fig. S1</w:t>
      </w:r>
      <w:r>
        <w:rPr>
          <w:rFonts w:cs="Arial" w:cstheme="minorHAnsi"/>
          <w:sz w:val="20"/>
          <w:szCs w:val="20"/>
        </w:rPr>
        <w:t>). Diversification analyses were replicated 20 times after randomly drawing fossil ages between their upper and lower age boundaries, and posterior estimates across all replicates were combined. To test the robustness of our macroevolutionary inference, we conducted sensitivity analyses by either removing singletons or subsampling our fossil database to unique locality-lineage combinations</w:t>
      </w:r>
      <w:r>
        <w:rPr>
          <w:rFonts w:cs="Arial" w:cstheme="minorHAnsi"/>
          <w:i/>
          <w:iCs/>
          <w:sz w:val="20"/>
          <w:szCs w:val="20"/>
        </w:rPr>
        <w:t xml:space="preserve"> (SI Appendix,</w:t>
      </w:r>
      <w:r>
        <w:rPr>
          <w:rFonts w:cs="Arial" w:cstheme="minorHAnsi"/>
          <w:sz w:val="20"/>
          <w:szCs w:val="20"/>
        </w:rPr>
        <w:t xml:space="preserve"> </w:t>
      </w:r>
      <w:r>
        <w:rPr>
          <w:rFonts w:cs="Arial" w:cstheme="minorHAnsi"/>
          <w:i/>
          <w:iCs/>
          <w:sz w:val="20"/>
          <w:szCs w:val="20"/>
        </w:rPr>
        <w:t>Extended Materials and Methods</w:t>
      </w:r>
      <w:r>
        <w:rPr>
          <w:rFonts w:cs="Arial" w:cstheme="minorHAnsi"/>
          <w:sz w:val="20"/>
          <w:szCs w:val="20"/>
        </w:rPr>
        <w:t>). We assessed the convergence of each parameter with the pymc 5</w:t>
      </w:r>
      <w:r>
        <w:rPr>
          <w:rFonts w:eastAsia="Times New Roman" w:cs="Arial" w:cstheme="minorHAnsi"/>
          <w:sz w:val="20"/>
          <w:szCs w:val="20"/>
        </w:rPr>
        <w:t>.9.2 python library (79)</w:t>
      </w:r>
      <w:r>
        <w:rPr>
          <w:rFonts w:cs="Arial" w:cstheme="minorHAnsi"/>
          <w:sz w:val="20"/>
          <w:szCs w:val="20"/>
        </w:rPr>
        <w:t>. We considered parameters achieved convergence if their Effective Sample Size (ESS) was above 200.</w:t>
      </w:r>
    </w:p>
    <w:p>
      <w:pPr>
        <w:pStyle w:val="LOnormal"/>
        <w:jc w:val="both"/>
        <w:rPr>
          <w:rFonts w:ascii="Arial" w:hAnsi="Arial" w:cs="Arial" w:asciiTheme="minorHAnsi" w:cstheme="minorHAnsi" w:hAnsiTheme="minorHAnsi"/>
          <w:sz w:val="20"/>
          <w:szCs w:val="20"/>
        </w:rPr>
      </w:pPr>
      <w:commentRangeStart w:id="0"/>
      <w:r>
        <w:rPr>
          <w:rFonts w:cs="Arial" w:cstheme="minorHAnsi"/>
          <w:sz w:val="20"/>
          <w:szCs w:val="20"/>
        </w:rPr>
        <w:t>Subsequent data manipulation and visualization was performed in R v4.4.0 (80), relying on the Tidyverse suite of R packages (81), the palaeoverse (82), deeptime (83), and rphylopic (84) R packages.</w:t>
      </w:r>
      <w:commentRangeEnd w:id="0"/>
      <w:r>
        <w:commentReference w:id="0"/>
      </w:r>
      <w:r>
        <w:rPr>
          <w:rFonts w:cs="Arial" w:cstheme="minorHAnsi"/>
          <w:sz w:val="20"/>
          <w:szCs w:val="20"/>
        </w:rPr>
      </w:r>
    </w:p>
    <w:p>
      <w:pPr>
        <w:pStyle w:val="LOnormal"/>
        <w:jc w:val="both"/>
        <w:rPr>
          <w:rFonts w:ascii="Arial" w:hAnsi="Arial" w:cs="Arial" w:asciiTheme="minorHAnsi" w:cstheme="minorHAnsi" w:hAnsiTheme="minorHAnsi"/>
          <w:sz w:val="20"/>
          <w:szCs w:val="20"/>
        </w:rPr>
      </w:pPr>
      <w:r>
        <w:rPr>
          <w:rFonts w:cs="Arial" w:cstheme="minorHAnsi"/>
          <w:sz w:val="20"/>
          <w:szCs w:val="20"/>
        </w:rPr>
      </w:r>
    </w:p>
    <w:p>
      <w:pPr>
        <w:pStyle w:val="LOnormal"/>
        <w:jc w:val="both"/>
        <w:rPr>
          <w:rFonts w:ascii="Arial" w:hAnsi="Arial" w:cs="Arial" w:asciiTheme="minorHAnsi" w:cstheme="minorHAnsi" w:hAnsiTheme="minorHAnsi"/>
          <w:sz w:val="20"/>
          <w:szCs w:val="20"/>
        </w:rPr>
      </w:pPr>
      <w:r>
        <w:rPr>
          <w:rFonts w:cs="Arial" w:cstheme="minorHAnsi"/>
          <w:b/>
          <w:bCs/>
          <w:sz w:val="20"/>
          <w:szCs w:val="20"/>
        </w:rPr>
        <w:t xml:space="preserve">Age-dependent Extinction (ADE) model. </w:t>
      </w:r>
      <w:r>
        <w:rPr>
          <w:rFonts w:cs="Arial" w:cstheme="minorHAnsi"/>
          <w:sz w:val="20"/>
          <w:szCs w:val="20"/>
        </w:rPr>
        <w:t xml:space="preserve">We assessed the effect of taxon age on its extinction probability by fitting the ADE model to our genus-level occurrence data (56). We ran the model for 100 million generations and sampled every 50,000, with preservation rates varying between geological stages and across lineages according to a </w:t>
      </w:r>
      <w:r>
        <w:rPr>
          <w:rFonts w:cs="Arial" w:cstheme="minorHAnsi"/>
          <w:i/>
          <w:iCs/>
          <w:sz w:val="20"/>
          <w:szCs w:val="20"/>
        </w:rPr>
        <w:t>Gamma</w:t>
      </w:r>
      <w:r>
        <w:rPr>
          <w:rFonts w:cs="Arial" w:cstheme="minorHAnsi"/>
          <w:sz w:val="20"/>
          <w:szCs w:val="20"/>
        </w:rPr>
        <w:t xml:space="preserve"> model. We focused on the shape (</w:t>
      </w:r>
      <w:r>
        <w:rPr>
          <w:rFonts w:cs="Cambria Math" w:ascii="Cambria Math" w:hAnsi="Cambria Math"/>
          <w:sz w:val="20"/>
          <w:szCs w:val="20"/>
        </w:rPr>
        <w:t>𝜙</w:t>
      </w:r>
      <w:r>
        <w:rPr>
          <w:rFonts w:cs="Arial" w:cstheme="minorHAnsi"/>
          <w:sz w:val="20"/>
          <w:szCs w:val="20"/>
        </w:rPr>
        <w:t xml:space="preserve">) of the Weibull distribution, knowing that </w:t>
      </w:r>
      <w:r>
        <w:rPr>
          <w:rFonts w:cs="Cambria Math" w:ascii="Cambria Math" w:hAnsi="Cambria Math"/>
          <w:sz w:val="20"/>
          <w:szCs w:val="20"/>
        </w:rPr>
        <w:t>𝜙</w:t>
      </w:r>
      <w:r>
        <w:rPr>
          <w:rFonts w:cs="Arial" w:cstheme="minorHAnsi"/>
          <w:sz w:val="20"/>
          <w:szCs w:val="20"/>
        </w:rPr>
        <w:t xml:space="preserve"> &lt; 1 indicates a decreasing extinction probability with increasing taxon age and </w:t>
      </w:r>
      <w:r>
        <w:rPr>
          <w:rFonts w:cs="Cambria Math" w:ascii="Cambria Math" w:hAnsi="Cambria Math"/>
          <w:sz w:val="20"/>
          <w:szCs w:val="20"/>
        </w:rPr>
        <w:t>𝜙</w:t>
      </w:r>
      <w:r>
        <w:rPr>
          <w:rFonts w:cs="Arial" w:cstheme="minorHAnsi"/>
          <w:sz w:val="20"/>
          <w:szCs w:val="20"/>
        </w:rPr>
        <w:t xml:space="preserve"> &gt; 1 indicates an increasing extinction probability with increasing taxon age (no effect if </w:t>
      </w:r>
      <w:r>
        <w:rPr>
          <w:rFonts w:cs="Cambria Math" w:ascii="Cambria Math" w:hAnsi="Cambria Math"/>
          <w:sz w:val="20"/>
          <w:szCs w:val="20"/>
        </w:rPr>
        <w:t>𝜙</w:t>
      </w:r>
      <w:r>
        <w:rPr>
          <w:rFonts w:cs="Arial" w:cstheme="minorHAnsi"/>
          <w:sz w:val="20"/>
          <w:szCs w:val="20"/>
        </w:rPr>
        <w:t xml:space="preserve"> = 1). We performed 20 independent ADE analyses of randomized datasets before and after the increase in turnover to assess the age selectivity of this taxonomic renewal (</w:t>
      </w:r>
      <w:r>
        <w:rPr>
          <w:rFonts w:cs="Arial" w:cstheme="minorHAnsi"/>
          <w:i/>
          <w:iCs/>
          <w:sz w:val="20"/>
          <w:szCs w:val="20"/>
        </w:rPr>
        <w:t>SI Appendix,</w:t>
      </w:r>
      <w:r>
        <w:rPr>
          <w:rFonts w:cs="Arial" w:cstheme="minorHAnsi"/>
          <w:sz w:val="20"/>
          <w:szCs w:val="20"/>
        </w:rPr>
        <w:t xml:space="preserve"> </w:t>
      </w:r>
      <w:r>
        <w:rPr>
          <w:rFonts w:cs="Arial" w:cstheme="minorHAnsi"/>
          <w:b/>
          <w:bCs/>
          <w:sz w:val="20"/>
          <w:szCs w:val="20"/>
        </w:rPr>
        <w:t xml:space="preserve">Fig. S8-11 </w:t>
      </w:r>
      <w:r>
        <w:rPr>
          <w:rFonts w:cs="Arial" w:cstheme="minorHAnsi"/>
          <w:sz w:val="20"/>
          <w:szCs w:val="20"/>
        </w:rPr>
        <w:t xml:space="preserve">and </w:t>
      </w:r>
      <w:r>
        <w:rPr>
          <w:rFonts w:cs="Arial" w:cstheme="minorHAnsi"/>
          <w:i/>
          <w:iCs/>
          <w:sz w:val="20"/>
          <w:szCs w:val="20"/>
        </w:rPr>
        <w:t>Extended Materials and Methods</w:t>
      </w:r>
      <w:r>
        <w:rPr>
          <w:rFonts w:cs="Arial" w:cstheme="minorHAnsi"/>
          <w:sz w:val="20"/>
          <w:szCs w:val="20"/>
        </w:rPr>
        <w:t>). We monitored parameter convergence with the pymc 5</w:t>
      </w:r>
      <w:r>
        <w:rPr>
          <w:rFonts w:eastAsia="Times New Roman" w:cs="Arial" w:cstheme="minorHAnsi"/>
          <w:sz w:val="20"/>
          <w:szCs w:val="20"/>
        </w:rPr>
        <w:t>.9.2 python library, and parameters were considered convergent if their ESS was above 200.</w:t>
      </w:r>
    </w:p>
    <w:p>
      <w:pPr>
        <w:pStyle w:val="LOnormal"/>
        <w:jc w:val="both"/>
        <w:rPr>
          <w:rFonts w:ascii="Arial" w:hAnsi="Arial" w:eastAsia="Times New Roman" w:cs="Arial" w:asciiTheme="minorHAnsi" w:cstheme="minorHAnsi" w:hAnsiTheme="minorHAnsi"/>
          <w:sz w:val="20"/>
          <w:szCs w:val="20"/>
        </w:rPr>
      </w:pPr>
      <w:r>
        <w:rPr>
          <w:rFonts w:eastAsia="Times New Roman" w:cs="Arial" w:cstheme="minorHAnsi"/>
          <w:sz w:val="20"/>
          <w:szCs w:val="20"/>
        </w:rPr>
      </w:r>
    </w:p>
    <w:p>
      <w:pPr>
        <w:pStyle w:val="LOnormal"/>
        <w:jc w:val="both"/>
        <w:rPr>
          <w:rFonts w:ascii="Arial" w:hAnsi="Arial" w:cs="Arial" w:asciiTheme="minorHAnsi" w:cstheme="minorHAnsi" w:hAnsiTheme="minorHAnsi"/>
          <w:sz w:val="20"/>
          <w:szCs w:val="20"/>
        </w:rPr>
      </w:pPr>
      <w:r>
        <w:rPr>
          <w:rFonts w:cs="Arial" w:cstheme="minorHAnsi"/>
          <w:b/>
          <w:bCs/>
          <w:sz w:val="20"/>
          <w:szCs w:val="20"/>
        </w:rPr>
        <w:t>Selection of environmental variables.</w:t>
      </w:r>
      <w:r>
        <w:rPr>
          <w:rFonts w:cs="Arial" w:cstheme="minorHAnsi"/>
          <w:sz w:val="20"/>
          <w:szCs w:val="20"/>
        </w:rPr>
        <w:t xml:space="preserve"> To investigate possible environmental correlates for the changes in SAM diversification dynamics over the Eocene-Oligocene interval, we selected two global (i.e., atmospheric temperature and sea level) and four continental-scale (i.e., Andean uplift, Neotropical plant diversity, forest density and habitat openness) variables (</w:t>
      </w:r>
      <w:r>
        <w:rPr>
          <w:rFonts w:cs="Arial" w:cstheme="minorHAnsi"/>
          <w:i/>
          <w:iCs/>
          <w:sz w:val="20"/>
          <w:szCs w:val="20"/>
        </w:rPr>
        <w:t>SI Appendix,</w:t>
      </w:r>
      <w:r>
        <w:rPr>
          <w:rFonts w:cs="Arial" w:cstheme="minorHAnsi"/>
          <w:sz w:val="20"/>
          <w:szCs w:val="20"/>
        </w:rPr>
        <w:t xml:space="preserve"> </w:t>
      </w:r>
      <w:r>
        <w:rPr>
          <w:rFonts w:cs="Arial" w:cstheme="minorHAnsi"/>
          <w:b/>
          <w:bCs/>
          <w:sz w:val="20"/>
          <w:szCs w:val="20"/>
        </w:rPr>
        <w:t>Table S2</w:t>
      </w:r>
      <w:r>
        <w:rPr>
          <w:rFonts w:cs="Arial" w:cstheme="minorHAnsi"/>
          <w:sz w:val="20"/>
          <w:szCs w:val="20"/>
        </w:rPr>
        <w:t>). Temperature is known for influencing macroevolutionary processes across several groups, including mammals (63, 85), and sea level has a direct effect on the connectivity of habitats. Even in its early phase, the Andean uplift was evidenced as a major diversification driver for many South American groups (68). Diversity of SAM, in particular herbivorous taxa, can be controlled by plant diversity. Finally, relative Leaf Area Index (proxy for forest density, 71) and patterns of relative abundance of open habitats (34, 41, 86) are both indicators of the relative abundance of grasslands, which has long been regarded as shaping herbivore diversity (35). As highlighted by Weppe et al. (22), it is important to consider regional-scale variables because environmental changes across the Eocene-Oligocene were shown to be regionally heterogeneous (65, 87).</w:t>
      </w:r>
    </w:p>
    <w:p>
      <w:pPr>
        <w:pStyle w:val="TextBody"/>
        <w:spacing w:before="0" w:after="0"/>
        <w:jc w:val="both"/>
        <w:rPr>
          <w:rFonts w:ascii="Arial" w:hAnsi="Arial" w:cs="Arial" w:asciiTheme="minorHAnsi" w:cstheme="minorHAnsi" w:hAnsiTheme="minorHAnsi"/>
          <w:sz w:val="20"/>
          <w:szCs w:val="20"/>
        </w:rPr>
      </w:pPr>
      <w:r>
        <w:rPr>
          <w:rFonts w:cs="Arial" w:cstheme="minorHAnsi" w:ascii="Arial" w:hAnsi="Arial"/>
          <w:sz w:val="20"/>
          <w:szCs w:val="20"/>
        </w:rPr>
      </w:r>
    </w:p>
    <w:p>
      <w:pPr>
        <w:pStyle w:val="TextBody"/>
        <w:spacing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b/>
          <w:bCs/>
          <w:sz w:val="20"/>
          <w:szCs w:val="20"/>
        </w:rPr>
        <w:t xml:space="preserve">Multivariate Birth-Death (MBD) model. </w:t>
      </w:r>
      <w:r>
        <w:rPr>
          <w:rFonts w:cs="Arial" w:ascii="Arial" w:hAnsi="Arial" w:asciiTheme="minorHAnsi" w:cstheme="minorHAnsi" w:hAnsiTheme="minorHAnsi"/>
          <w:sz w:val="20"/>
          <w:szCs w:val="20"/>
        </w:rPr>
        <w:t xml:space="preserve">We carried out environment-dependent diversification analyses involving the aforementioned variables by running the MBD model included in PyRate (88). </w:t>
      </w:r>
      <w:r>
        <w:rPr>
          <w:rFonts w:eastAsia="Times New Roman" w:cs="Arial" w:ascii="Arial" w:hAnsi="Arial" w:asciiTheme="minorHAnsi" w:cstheme="minorHAnsi" w:hAnsiTheme="minorHAnsi"/>
          <w:sz w:val="20"/>
          <w:szCs w:val="20"/>
        </w:rPr>
        <w:t>This model carries out two independent correlations involving a set of environmental covariates and diversification rates (</w:t>
      </w:r>
      <w:r>
        <w:rPr>
          <w:rFonts w:eastAsia="Times New Roman" w:cs="Arial" w:ascii="Arial" w:hAnsi="Arial" w:asciiTheme="minorHAnsi" w:cstheme="minorHAnsi" w:hAnsiTheme="minorHAnsi"/>
          <w:i/>
          <w:sz w:val="20"/>
          <w:szCs w:val="20"/>
        </w:rPr>
        <w:t xml:space="preserve">λ </w:t>
      </w:r>
      <w:r>
        <w:rPr>
          <w:rFonts w:eastAsia="Times New Roman" w:cs="Arial" w:ascii="Arial" w:hAnsi="Arial" w:asciiTheme="minorHAnsi" w:cstheme="minorHAnsi" w:hAnsiTheme="minorHAnsi"/>
          <w:sz w:val="20"/>
          <w:szCs w:val="20"/>
        </w:rPr>
        <w:t>and</w:t>
      </w:r>
      <w:r>
        <w:rPr>
          <w:rFonts w:eastAsia="Times New Roman" w:cs="Arial" w:ascii="Arial" w:hAnsi="Arial" w:asciiTheme="minorHAnsi" w:cstheme="minorHAnsi" w:hAnsiTheme="minorHAnsi"/>
          <w:i/>
          <w:sz w:val="20"/>
          <w:szCs w:val="20"/>
        </w:rPr>
        <w:t xml:space="preserve"> μ) </w:t>
      </w:r>
      <w:r>
        <w:rPr>
          <w:rFonts w:eastAsia="Times New Roman" w:cs="Arial" w:ascii="Arial" w:hAnsi="Arial" w:asciiTheme="minorHAnsi" w:cstheme="minorHAnsi" w:hAnsiTheme="minorHAnsi"/>
          <w:sz w:val="20"/>
          <w:szCs w:val="20"/>
        </w:rPr>
        <w:t xml:space="preserve">newly-estimated from empirical </w:t>
      </w:r>
      <w:r>
        <w:rPr>
          <w:rFonts w:eastAsia="Times New Roman" w:cs="Arial" w:ascii="Arial" w:hAnsi="Arial" w:asciiTheme="minorHAnsi" w:cstheme="minorHAnsi" w:hAnsiTheme="minorHAnsi"/>
          <w:i/>
          <w:sz w:val="20"/>
          <w:szCs w:val="20"/>
        </w:rPr>
        <w:t>T</w:t>
      </w:r>
      <w:r>
        <w:rPr>
          <w:rFonts w:eastAsia="Times New Roman" w:cs="Arial" w:ascii="Arial" w:hAnsi="Arial" w:asciiTheme="minorHAnsi" w:cstheme="minorHAnsi" w:hAnsiTheme="minorHAnsi"/>
          <w:i/>
          <w:sz w:val="20"/>
          <w:szCs w:val="20"/>
          <w:vertAlign w:val="subscript"/>
        </w:rPr>
        <w:t>s</w:t>
      </w:r>
      <w:r>
        <w:rPr>
          <w:rFonts w:eastAsia="Times New Roman" w:cs="Arial" w:ascii="Arial" w:hAnsi="Arial" w:asciiTheme="minorHAnsi" w:cstheme="minorHAnsi" w:hAnsiTheme="minorHAnsi"/>
          <w:i/>
          <w:sz w:val="20"/>
          <w:szCs w:val="20"/>
        </w:rPr>
        <w:t xml:space="preserve"> </w:t>
      </w:r>
      <w:r>
        <w:rPr>
          <w:rFonts w:eastAsia="Times New Roman" w:cs="Arial" w:ascii="Arial" w:hAnsi="Arial" w:asciiTheme="minorHAnsi" w:cstheme="minorHAnsi" w:hAnsiTheme="minorHAnsi"/>
          <w:sz w:val="20"/>
          <w:szCs w:val="20"/>
        </w:rPr>
        <w:t>and</w:t>
      </w:r>
      <w:r>
        <w:rPr>
          <w:rFonts w:eastAsia="Times New Roman" w:cs="Arial" w:ascii="Arial" w:hAnsi="Arial" w:asciiTheme="minorHAnsi" w:cstheme="minorHAnsi" w:hAnsiTheme="minorHAnsi"/>
          <w:i/>
          <w:sz w:val="20"/>
          <w:szCs w:val="20"/>
        </w:rPr>
        <w:t xml:space="preserve"> T</w:t>
      </w:r>
      <w:r>
        <w:rPr>
          <w:rFonts w:eastAsia="Times New Roman" w:cs="Arial" w:ascii="Arial" w:hAnsi="Arial" w:asciiTheme="minorHAnsi" w:cstheme="minorHAnsi" w:hAnsiTheme="minorHAnsi"/>
          <w:i/>
          <w:sz w:val="20"/>
          <w:szCs w:val="20"/>
          <w:vertAlign w:val="subscript"/>
        </w:rPr>
        <w:t>e</w:t>
      </w:r>
      <w:r>
        <w:rPr>
          <w:rFonts w:eastAsia="Times New Roman" w:cs="Arial" w:ascii="Arial" w:hAnsi="Arial" w:asciiTheme="minorHAnsi" w:cstheme="minorHAnsi" w:hAnsiTheme="minorHAnsi"/>
          <w:sz w:val="20"/>
          <w:szCs w:val="20"/>
        </w:rPr>
        <w:t xml:space="preserve">. Each variable is assigned to two correlation coefficients, one for the correlation with </w:t>
      </w:r>
      <w:r>
        <w:rPr>
          <w:rFonts w:eastAsia="Times New Roman" w:cs="Arial" w:ascii="Arial" w:hAnsi="Arial" w:asciiTheme="minorHAnsi" w:cstheme="minorHAnsi" w:hAnsiTheme="minorHAnsi"/>
          <w:i/>
          <w:sz w:val="20"/>
          <w:szCs w:val="20"/>
        </w:rPr>
        <w:t>λ</w:t>
      </w:r>
      <w:r>
        <w:rPr>
          <w:rFonts w:eastAsia="Times New Roman" w:cs="Arial" w:ascii="Arial" w:hAnsi="Arial" w:asciiTheme="minorHAnsi" w:cstheme="minorHAnsi" w:hAnsiTheme="minorHAnsi"/>
          <w:sz w:val="20"/>
          <w:szCs w:val="20"/>
        </w:rPr>
        <w:t xml:space="preserve"> (G</w:t>
      </w:r>
      <w:r>
        <w:rPr>
          <w:rFonts w:eastAsia="Times New Roman" w:cs="Arial" w:ascii="Arial" w:hAnsi="Arial" w:asciiTheme="minorHAnsi" w:cstheme="minorHAnsi" w:hAnsiTheme="minorHAnsi"/>
          <w:sz w:val="20"/>
          <w:szCs w:val="20"/>
          <w:vertAlign w:val="subscript"/>
        </w:rPr>
        <w:t>i,λ</w:t>
      </w:r>
      <w:r>
        <w:rPr>
          <w:rFonts w:eastAsia="Times New Roman" w:cs="Arial" w:ascii="Arial" w:hAnsi="Arial" w:asciiTheme="minorHAnsi" w:cstheme="minorHAnsi" w:hAnsiTheme="minorHAnsi"/>
          <w:sz w:val="20"/>
          <w:szCs w:val="20"/>
        </w:rPr>
        <w:t xml:space="preserve">, where </w:t>
      </w:r>
      <w:r>
        <w:rPr>
          <w:rFonts w:eastAsia="Times New Roman" w:cs="Arial" w:ascii="Arial" w:hAnsi="Arial" w:asciiTheme="minorHAnsi" w:cstheme="minorHAnsi" w:hAnsiTheme="minorHAnsi"/>
          <w:i/>
          <w:sz w:val="20"/>
          <w:szCs w:val="20"/>
        </w:rPr>
        <w:t>i</w:t>
      </w:r>
      <w:r>
        <w:rPr>
          <w:rFonts w:eastAsia="Times New Roman" w:cs="Arial" w:ascii="Arial" w:hAnsi="Arial" w:asciiTheme="minorHAnsi" w:cstheme="minorHAnsi" w:hAnsiTheme="minorHAnsi"/>
          <w:sz w:val="20"/>
          <w:szCs w:val="20"/>
        </w:rPr>
        <w:t xml:space="preserve"> is the index of the variable in the set of covariates) and the other for the correlation with </w:t>
      </w:r>
      <w:r>
        <w:rPr>
          <w:rFonts w:eastAsia="Times New Roman" w:cs="Arial" w:ascii="Arial" w:hAnsi="Arial" w:asciiTheme="minorHAnsi" w:cstheme="minorHAnsi" w:hAnsiTheme="minorHAnsi"/>
          <w:i/>
          <w:sz w:val="20"/>
          <w:szCs w:val="20"/>
        </w:rPr>
        <w:t>μ</w:t>
      </w:r>
      <w:r>
        <w:rPr>
          <w:rFonts w:eastAsia="Times New Roman" w:cs="Arial" w:ascii="Arial" w:hAnsi="Arial" w:asciiTheme="minorHAnsi" w:cstheme="minorHAnsi" w:hAnsiTheme="minorHAnsi"/>
          <w:sz w:val="20"/>
          <w:szCs w:val="20"/>
        </w:rPr>
        <w:t xml:space="preserve"> (G</w:t>
      </w:r>
      <w:r>
        <w:rPr>
          <w:rFonts w:eastAsia="Times New Roman" w:cs="Arial" w:ascii="Arial" w:hAnsi="Arial" w:asciiTheme="minorHAnsi" w:cstheme="minorHAnsi" w:hAnsiTheme="minorHAnsi"/>
          <w:sz w:val="20"/>
          <w:szCs w:val="20"/>
          <w:vertAlign w:val="subscript"/>
        </w:rPr>
        <w:t>i,μ</w:t>
      </w:r>
      <w:r>
        <w:rPr>
          <w:rFonts w:eastAsia="Times New Roman" w:cs="Arial" w:ascii="Arial" w:hAnsi="Arial" w:asciiTheme="minorHAnsi" w:cstheme="minorHAnsi" w:hAnsiTheme="minorHAnsi"/>
          <w:sz w:val="20"/>
          <w:szCs w:val="20"/>
        </w:rPr>
        <w:t>). An MCMC algorithm jointly estimates baseline origination and extinction rates and all the G</w:t>
      </w:r>
      <w:r>
        <w:rPr>
          <w:rFonts w:eastAsia="Times New Roman" w:cs="Arial" w:ascii="Arial" w:hAnsi="Arial" w:asciiTheme="minorHAnsi" w:cstheme="minorHAnsi" w:hAnsiTheme="minorHAnsi"/>
          <w:sz w:val="20"/>
          <w:szCs w:val="20"/>
          <w:vertAlign w:val="subscript"/>
        </w:rPr>
        <w:t>λ</w:t>
      </w:r>
      <w:r>
        <w:rPr>
          <w:rFonts w:eastAsia="Times New Roman" w:cs="Arial" w:ascii="Arial" w:hAnsi="Arial" w:asciiTheme="minorHAnsi" w:cstheme="minorHAnsi" w:hAnsiTheme="minorHAnsi"/>
          <w:sz w:val="20"/>
          <w:szCs w:val="20"/>
        </w:rPr>
        <w:t xml:space="preserve"> and G</w:t>
      </w:r>
      <w:r>
        <w:rPr>
          <w:rFonts w:eastAsia="Times New Roman" w:cs="Arial" w:ascii="Arial" w:hAnsi="Arial" w:asciiTheme="minorHAnsi" w:cstheme="minorHAnsi" w:hAnsiTheme="minorHAnsi"/>
          <w:sz w:val="20"/>
          <w:szCs w:val="20"/>
          <w:vertAlign w:val="subscript"/>
        </w:rPr>
        <w:t>µ</w:t>
      </w:r>
      <w:r>
        <w:rPr>
          <w:rFonts w:eastAsia="Times New Roman" w:cs="Arial" w:ascii="Arial" w:hAnsi="Arial" w:asciiTheme="minorHAnsi" w:cstheme="minorHAnsi" w:hAnsiTheme="minorHAnsi"/>
          <w:sz w:val="20"/>
          <w:szCs w:val="20"/>
        </w:rPr>
        <w:t>, while controlling for over-parameterization. Each G</w:t>
      </w:r>
      <w:r>
        <w:rPr>
          <w:rFonts w:eastAsia="Times New Roman" w:cs="Arial" w:ascii="Arial" w:hAnsi="Arial" w:asciiTheme="minorHAnsi" w:cstheme="minorHAnsi" w:hAnsiTheme="minorHAnsi"/>
          <w:sz w:val="20"/>
          <w:szCs w:val="20"/>
          <w:vertAlign w:val="subscript"/>
        </w:rPr>
        <w:t xml:space="preserve">λ </w:t>
      </w:r>
      <w:r>
        <w:rPr>
          <w:rFonts w:eastAsia="Times New Roman" w:cs="Arial" w:ascii="Arial" w:hAnsi="Arial" w:asciiTheme="minorHAnsi" w:cstheme="minorHAnsi" w:hAnsiTheme="minorHAnsi"/>
          <w:sz w:val="20"/>
          <w:szCs w:val="20"/>
        </w:rPr>
        <w:t>and G</w:t>
      </w:r>
      <w:r>
        <w:rPr>
          <w:rFonts w:eastAsia="Times New Roman" w:cs="Arial" w:ascii="Arial" w:hAnsi="Arial" w:asciiTheme="minorHAnsi" w:cstheme="minorHAnsi" w:hAnsiTheme="minorHAnsi"/>
          <w:sz w:val="20"/>
          <w:szCs w:val="20"/>
          <w:vertAlign w:val="subscript"/>
        </w:rPr>
        <w:t>µ</w:t>
      </w:r>
      <w:r>
        <w:rPr>
          <w:rFonts w:eastAsia="Times New Roman" w:cs="Arial" w:ascii="Arial" w:hAnsi="Arial" w:asciiTheme="minorHAnsi" w:cstheme="minorHAnsi" w:hAnsiTheme="minorHAnsi"/>
          <w:sz w:val="20"/>
          <w:szCs w:val="20"/>
        </w:rPr>
        <w:t xml:space="preserve"> is assigned a shrinkage weight (</w:t>
      </w:r>
      <w:r>
        <w:rPr>
          <w:rFonts w:eastAsia="Times New Roman" w:cs="Arial" w:ascii="Arial" w:hAnsi="Arial" w:asciiTheme="minorHAnsi" w:cstheme="minorHAnsi" w:hAnsiTheme="minorHAnsi"/>
          <w:i/>
          <w:iCs/>
          <w:sz w:val="20"/>
          <w:szCs w:val="20"/>
        </w:rPr>
        <w:t>w</w:t>
      </w:r>
      <w:r>
        <w:rPr>
          <w:rFonts w:eastAsia="Times New Roman" w:cs="Arial" w:ascii="Arial" w:hAnsi="Arial" w:asciiTheme="minorHAnsi" w:cstheme="minorHAnsi" w:hAnsiTheme="minorHAnsi"/>
          <w:sz w:val="20"/>
          <w:szCs w:val="20"/>
        </w:rPr>
        <w:t>(G</w:t>
      </w:r>
      <w:r>
        <w:rPr>
          <w:rFonts w:eastAsia="Times New Roman" w:cs="Arial" w:ascii="Arial" w:hAnsi="Arial" w:asciiTheme="minorHAnsi" w:cstheme="minorHAnsi" w:hAnsiTheme="minorHAnsi"/>
          <w:sz w:val="20"/>
          <w:szCs w:val="20"/>
          <w:vertAlign w:val="subscript"/>
        </w:rPr>
        <w:t>λ</w:t>
      </w:r>
      <w:r>
        <w:rPr>
          <w:rFonts w:eastAsia="Times New Roman" w:cs="Arial" w:ascii="Arial" w:hAnsi="Arial" w:asciiTheme="minorHAnsi" w:cstheme="minorHAnsi" w:hAnsiTheme="minorHAnsi"/>
          <w:sz w:val="20"/>
          <w:szCs w:val="20"/>
        </w:rPr>
        <w:t xml:space="preserve">) or </w:t>
      </w:r>
      <w:r>
        <w:rPr>
          <w:rFonts w:eastAsia="Times New Roman" w:cs="Arial" w:ascii="Arial" w:hAnsi="Arial" w:asciiTheme="minorHAnsi" w:cstheme="minorHAnsi" w:hAnsiTheme="minorHAnsi"/>
          <w:i/>
          <w:iCs/>
          <w:sz w:val="20"/>
          <w:szCs w:val="20"/>
        </w:rPr>
        <w:t>w</w:t>
      </w:r>
      <w:r>
        <w:rPr>
          <w:rFonts w:eastAsia="Times New Roman" w:cs="Arial" w:ascii="Arial" w:hAnsi="Arial" w:asciiTheme="minorHAnsi" w:cstheme="minorHAnsi" w:hAnsiTheme="minorHAnsi"/>
          <w:sz w:val="20"/>
          <w:szCs w:val="20"/>
        </w:rPr>
        <w:t>(G</w:t>
      </w:r>
      <w:r>
        <w:rPr>
          <w:rFonts w:eastAsia="Times New Roman" w:cs="Arial" w:ascii="Arial" w:hAnsi="Arial" w:asciiTheme="minorHAnsi" w:cstheme="minorHAnsi" w:hAnsiTheme="minorHAnsi"/>
          <w:sz w:val="20"/>
          <w:szCs w:val="20"/>
          <w:vertAlign w:val="subscript"/>
        </w:rPr>
        <w:t>µ</w:t>
      </w:r>
      <w:r>
        <w:rPr>
          <w:rFonts w:eastAsia="Times New Roman" w:cs="Arial" w:ascii="Arial" w:hAnsi="Arial" w:asciiTheme="minorHAnsi" w:cstheme="minorHAnsi" w:hAnsiTheme="minorHAnsi"/>
          <w:sz w:val="20"/>
          <w:szCs w:val="20"/>
        </w:rPr>
        <w:t>)), ranging between 0 and 1, testing the significance of the correlation. A correlation of coefficient G</w:t>
      </w:r>
      <w:r>
        <w:rPr>
          <w:rFonts w:eastAsia="Times New Roman" w:cs="Arial" w:ascii="Arial" w:hAnsi="Arial" w:asciiTheme="minorHAnsi" w:cstheme="minorHAnsi" w:hAnsiTheme="minorHAnsi"/>
          <w:sz w:val="20"/>
          <w:szCs w:val="20"/>
          <w:vertAlign w:val="subscript"/>
        </w:rPr>
        <w:t xml:space="preserve">λ,i </w:t>
      </w:r>
      <w:r>
        <w:rPr>
          <w:rFonts w:eastAsia="Times New Roman" w:cs="Arial" w:ascii="Arial" w:hAnsi="Arial" w:asciiTheme="minorHAnsi" w:cstheme="minorHAnsi" w:hAnsiTheme="minorHAnsi"/>
          <w:sz w:val="20"/>
          <w:szCs w:val="20"/>
        </w:rPr>
        <w:t xml:space="preserve">is considered significant if </w:t>
      </w:r>
      <w:r>
        <w:rPr>
          <w:rFonts w:eastAsia="Times New Roman" w:cs="Arial" w:ascii="Arial" w:hAnsi="Arial" w:asciiTheme="minorHAnsi" w:cstheme="minorHAnsi" w:hAnsiTheme="minorHAnsi"/>
          <w:i/>
          <w:iCs/>
          <w:sz w:val="20"/>
          <w:szCs w:val="20"/>
        </w:rPr>
        <w:t>w</w:t>
      </w:r>
      <w:r>
        <w:rPr>
          <w:rFonts w:eastAsia="Times New Roman" w:cs="Arial" w:ascii="Arial" w:hAnsi="Arial" w:asciiTheme="minorHAnsi" w:cstheme="minorHAnsi" w:hAnsiTheme="minorHAnsi"/>
          <w:sz w:val="20"/>
          <w:szCs w:val="20"/>
        </w:rPr>
        <w:t>(G</w:t>
      </w:r>
      <w:r>
        <w:rPr>
          <w:rFonts w:eastAsia="Times New Roman" w:cs="Arial" w:ascii="Arial" w:hAnsi="Arial" w:asciiTheme="minorHAnsi" w:cstheme="minorHAnsi" w:hAnsiTheme="minorHAnsi"/>
          <w:sz w:val="20"/>
          <w:szCs w:val="20"/>
          <w:vertAlign w:val="subscript"/>
        </w:rPr>
        <w:t>λ,i</w:t>
      </w:r>
      <w:r>
        <w:rPr>
          <w:rFonts w:eastAsia="Times New Roman" w:cs="Arial" w:ascii="Arial" w:hAnsi="Arial" w:asciiTheme="minorHAnsi" w:cstheme="minorHAnsi" w:hAnsiTheme="minorHAnsi"/>
          <w:sz w:val="20"/>
          <w:szCs w:val="20"/>
        </w:rPr>
        <w:t>) &gt; 0.5 and if a sufficiently high proportion (i.e., &gt;90%) of its posterior density does not overlap with 0.</w:t>
      </w:r>
      <w:r>
        <w:rPr>
          <w:rFonts w:cs="Arial" w:ascii="Arial" w:hAnsi="Arial" w:asciiTheme="minorHAnsi" w:cstheme="minorHAnsi" w:hAnsiTheme="minorHAnsi"/>
          <w:sz w:val="20"/>
          <w:szCs w:val="20"/>
        </w:rPr>
        <w:t xml:space="preserve"> </w:t>
      </w:r>
      <w:r>
        <w:rPr>
          <w:rFonts w:eastAsia="Times New Roman" w:cs="Arial" w:ascii="Arial" w:hAnsi="Arial" w:asciiTheme="minorHAnsi" w:cstheme="minorHAnsi" w:hAnsiTheme="minorHAnsi"/>
          <w:sz w:val="20"/>
          <w:szCs w:val="20"/>
        </w:rPr>
        <w:t xml:space="preserve">Each set of MBD analyses was run across 10 million iterations, sampling every 10,000. We carried out exponential correlations. Parameter convergence (i.e., ESS &gt; 200) was assessed using the </w:t>
      </w:r>
      <w:r>
        <w:rPr>
          <w:rFonts w:eastAsia="Times New Roman" w:cs="Arial" w:ascii="Arial" w:hAnsi="Arial" w:asciiTheme="minorHAnsi" w:cstheme="minorHAnsi" w:hAnsiTheme="minorHAnsi"/>
          <w:i/>
          <w:sz w:val="20"/>
          <w:szCs w:val="20"/>
        </w:rPr>
        <w:t xml:space="preserve">pymc </w:t>
      </w:r>
      <w:r>
        <w:rPr>
          <w:rFonts w:eastAsia="Times New Roman" w:cs="Arial" w:ascii="Arial" w:hAnsi="Arial" w:asciiTheme="minorHAnsi" w:cstheme="minorHAnsi" w:hAnsiTheme="minorHAnsi"/>
          <w:sz w:val="20"/>
          <w:szCs w:val="20"/>
        </w:rPr>
        <w:t>5.9.2</w:t>
      </w:r>
      <w:r>
        <w:rPr>
          <w:rFonts w:eastAsia="Times New Roman" w:cs="Arial" w:ascii="Arial" w:hAnsi="Arial" w:asciiTheme="minorHAnsi" w:cstheme="minorHAnsi" w:hAnsiTheme="minorHAnsi"/>
          <w:i/>
          <w:sz w:val="20"/>
          <w:szCs w:val="20"/>
        </w:rPr>
        <w:t xml:space="preserve"> </w:t>
      </w:r>
      <w:r>
        <w:rPr>
          <w:rFonts w:eastAsia="Times New Roman" w:cs="Arial" w:ascii="Arial" w:hAnsi="Arial" w:asciiTheme="minorHAnsi" w:cstheme="minorHAnsi" w:hAnsiTheme="minorHAnsi"/>
          <w:sz w:val="20"/>
          <w:szCs w:val="20"/>
        </w:rPr>
        <w:t>Python library (79).</w:t>
      </w:r>
    </w:p>
    <w:p>
      <w:pPr>
        <w:pStyle w:val="TextBody"/>
        <w:spacing w:before="0" w:after="0"/>
        <w:jc w:val="both"/>
        <w:rPr>
          <w:rFonts w:ascii="Arial" w:hAnsi="Arial" w:eastAsia="Times New Roman" w:cs="Arial" w:asciiTheme="minorHAnsi" w:cstheme="minorHAnsi" w:hAnsiTheme="minorHAnsi"/>
          <w:sz w:val="20"/>
          <w:szCs w:val="20"/>
        </w:rPr>
      </w:pPr>
      <w:r>
        <w:rPr>
          <w:rFonts w:eastAsia="Times New Roman" w:cs="Arial" w:cstheme="minorHAnsi" w:ascii="Arial" w:hAnsi="Arial"/>
          <w:sz w:val="20"/>
          <w:szCs w:val="20"/>
        </w:rPr>
      </w:r>
    </w:p>
    <w:p>
      <w:pPr>
        <w:pStyle w:val="LOnormal"/>
        <w:jc w:val="both"/>
        <w:rPr>
          <w:rFonts w:ascii="Arial" w:hAnsi="Arial" w:eastAsia="Times New Roman" w:cs="Arial" w:asciiTheme="minorHAnsi" w:cstheme="minorHAnsi" w:hAnsiTheme="minorHAnsi"/>
          <w:b/>
          <w:b/>
          <w:sz w:val="20"/>
          <w:szCs w:val="20"/>
        </w:rPr>
      </w:pPr>
      <w:r>
        <w:rPr>
          <w:rFonts w:eastAsia="Times New Roman" w:cs="Arial" w:cstheme="minorHAnsi"/>
          <w:b/>
          <w:sz w:val="20"/>
          <w:szCs w:val="20"/>
        </w:rPr>
        <w:t>Data, Materials, and Software Availability</w:t>
      </w:r>
    </w:p>
    <w:p>
      <w:pPr>
        <w:pStyle w:val="LOnormal"/>
        <w:jc w:val="both"/>
        <w:rPr>
          <w:rFonts w:ascii="Arial" w:hAnsi="Arial" w:cs="Arial" w:asciiTheme="minorHAnsi" w:cstheme="minorHAnsi" w:hAnsiTheme="minorHAnsi"/>
          <w:sz w:val="20"/>
          <w:szCs w:val="20"/>
        </w:rPr>
      </w:pPr>
      <w:r>
        <w:rPr>
          <w:rFonts w:eastAsia="Times New Roman" w:cs="Arial" w:cstheme="minorHAnsi"/>
          <w:sz w:val="20"/>
          <w:szCs w:val="20"/>
        </w:rPr>
        <w:t>All the occurrence and outputs data used in this study are available on a Figshare repository (XXX), and all the data analysis and visualization codes have been deposited in GitHub (</w:t>
      </w:r>
      <w:hyperlink r:id="rId3">
        <w:r>
          <w:rPr>
            <w:rFonts w:eastAsia="Times New Roman" w:cs="Arial" w:cstheme="minorHAnsi"/>
            <w:color w:val="1155CC"/>
            <w:sz w:val="20"/>
            <w:szCs w:val="20"/>
            <w:u w:val="single"/>
          </w:rPr>
          <w:t>https://github.com/Buffan3369/Neotropical_mammals.git</w:t>
        </w:r>
      </w:hyperlink>
      <w:r>
        <w:rPr>
          <w:rFonts w:eastAsia="Times New Roman" w:cs="Arial" w:cstheme="minorHAnsi"/>
          <w:sz w:val="20"/>
          <w:szCs w:val="20"/>
        </w:rPr>
        <w:t xml:space="preserve"> and </w:t>
      </w:r>
      <w:hyperlink r:id="rId4">
        <w:r>
          <w:rPr>
            <w:rFonts w:eastAsia="Times New Roman" w:cs="Arial" w:cstheme="minorHAnsi"/>
            <w:color w:val="1155CC"/>
            <w:sz w:val="20"/>
            <w:szCs w:val="20"/>
            <w:u w:val="single"/>
          </w:rPr>
          <w:t>https://github.com/Alexis-Marion/CorsaiR.git</w:t>
        </w:r>
      </w:hyperlink>
      <w:r>
        <w:rPr>
          <w:rFonts w:eastAsia="Times New Roman" w:cs="Arial" w:cstheme="minorHAnsi"/>
          <w:sz w:val="20"/>
          <w:szCs w:val="20"/>
        </w:rPr>
        <w:t>).</w:t>
      </w:r>
    </w:p>
    <w:p>
      <w:pPr>
        <w:pStyle w:val="LOnormal"/>
        <w:jc w:val="both"/>
        <w:rPr>
          <w:rFonts w:ascii="Arial" w:hAnsi="Arial" w:eastAsia="Times New Roman" w:cs="Arial" w:asciiTheme="minorHAnsi" w:cstheme="minorHAnsi" w:hAnsiTheme="minorHAnsi"/>
          <w:b/>
          <w:b/>
          <w:sz w:val="20"/>
          <w:szCs w:val="20"/>
        </w:rPr>
      </w:pPr>
      <w:r>
        <w:rPr>
          <w:rFonts w:eastAsia="Times New Roman" w:cs="Arial" w:cstheme="minorHAnsi"/>
          <w:b/>
          <w:sz w:val="20"/>
          <w:szCs w:val="20"/>
        </w:rPr>
      </w:r>
    </w:p>
    <w:p>
      <w:pPr>
        <w:pStyle w:val="LOnormal"/>
        <w:jc w:val="both"/>
        <w:rPr>
          <w:rFonts w:ascii="Arial" w:hAnsi="Arial" w:eastAsia="Times New Roman" w:cs="Arial" w:asciiTheme="minorHAnsi" w:cstheme="minorHAnsi" w:hAnsiTheme="minorHAnsi"/>
          <w:b/>
          <w:b/>
          <w:sz w:val="20"/>
          <w:szCs w:val="20"/>
        </w:rPr>
      </w:pPr>
      <w:r>
        <w:rPr>
          <w:rFonts w:eastAsia="Times New Roman" w:cs="Arial" w:cstheme="minorHAnsi"/>
          <w:b/>
          <w:sz w:val="20"/>
          <w:szCs w:val="20"/>
        </w:rPr>
        <w:t>Acknowledgements</w:t>
      </w:r>
    </w:p>
    <w:p>
      <w:pPr>
        <w:pStyle w:val="LOnormal"/>
        <w:jc w:val="both"/>
        <w:rPr>
          <w:rFonts w:ascii="Arial" w:hAnsi="Arial" w:cs="Arial" w:asciiTheme="minorHAnsi" w:cstheme="minorHAnsi" w:hAnsiTheme="minorHAnsi"/>
          <w:sz w:val="20"/>
          <w:szCs w:val="20"/>
        </w:rPr>
      </w:pPr>
      <w:r>
        <w:rPr>
          <w:rFonts w:eastAsia="Times New Roman" w:cs="Arial" w:cstheme="minorHAnsi"/>
          <w:sz w:val="20"/>
          <w:szCs w:val="20"/>
        </w:rPr>
        <w:t xml:space="preserve">We are grateful to all the people who collected and entered the data we used in The Paleobiology Database. Moreover, we thank Chris Scotese (Northwestern Univ., Evanston, USA) and Ignacio Quintero (IBENS, France) for their data sharing. Also, we thank Miranta Kouvari (Imp. College of London, UK) for sharing her Master’s thesis discussions on the South-American eutherian mammal fossil record, especially to study about the emergence of the latitudinal biodiversity gradient at the scale of the continent; Alexis F.P. Marion (ISEM, France) for coding collaborations; and members of the </w:t>
      </w:r>
      <w:r>
        <w:rPr>
          <w:rFonts w:eastAsia="Times New Roman" w:cs="Arial" w:cstheme="minorHAnsi"/>
          <w:i/>
          <w:sz w:val="20"/>
          <w:szCs w:val="20"/>
        </w:rPr>
        <w:t xml:space="preserve">Phylogénie et Évolution Moléculaire </w:t>
      </w:r>
      <w:r>
        <w:rPr>
          <w:rFonts w:eastAsia="Times New Roman" w:cs="Arial" w:cstheme="minorHAnsi"/>
          <w:sz w:val="20"/>
          <w:szCs w:val="20"/>
        </w:rPr>
        <w:t xml:space="preserve">and </w:t>
      </w:r>
      <w:r>
        <w:rPr>
          <w:rFonts w:eastAsia="Times New Roman" w:cs="Arial" w:cstheme="minorHAnsi"/>
          <w:i/>
          <w:sz w:val="20"/>
          <w:szCs w:val="20"/>
        </w:rPr>
        <w:t xml:space="preserve">Paléontologie </w:t>
      </w:r>
      <w:r>
        <w:rPr>
          <w:rFonts w:eastAsia="Times New Roman" w:cs="Arial" w:cstheme="minorHAnsi"/>
          <w:sz w:val="20"/>
          <w:szCs w:val="20"/>
        </w:rPr>
        <w:t xml:space="preserve">teams at ISEM for their useful inputs and feedback on the present work. </w:t>
      </w:r>
      <w:r>
        <w:rPr>
          <w:rFonts w:cs="Arial" w:cstheme="minorHAnsi"/>
          <w:sz w:val="20"/>
          <w:szCs w:val="20"/>
        </w:rPr>
        <w:t xml:space="preserve">This research was supported by the French </w:t>
      </w:r>
      <w:r>
        <w:rPr>
          <w:rFonts w:cs="Arial" w:cstheme="minorHAnsi"/>
          <w:i/>
          <w:sz w:val="20"/>
          <w:szCs w:val="20"/>
        </w:rPr>
        <w:t>Agence Nationale de la Recherche</w:t>
      </w:r>
      <w:r>
        <w:rPr>
          <w:rFonts w:cs="Arial" w:cstheme="minorHAnsi"/>
          <w:sz w:val="20"/>
          <w:szCs w:val="20"/>
        </w:rPr>
        <w:t xml:space="preserve"> (ANR) in the framework of the LabEx CEBA (ANR-10-LABX-25-01; strategic project EMERGENCE). </w:t>
      </w:r>
      <w:r>
        <w:rPr>
          <w:rFonts w:eastAsia="Times New Roman" w:cs="Arial" w:cstheme="minorHAnsi"/>
          <w:sz w:val="20"/>
          <w:szCs w:val="20"/>
        </w:rPr>
        <w:t xml:space="preserve">L.B was funded by a grant offered by the </w:t>
      </w:r>
      <w:r>
        <w:rPr>
          <w:rFonts w:eastAsia="Times New Roman" w:cs="Arial" w:cstheme="minorHAnsi"/>
          <w:i/>
          <w:sz w:val="20"/>
          <w:szCs w:val="20"/>
        </w:rPr>
        <w:t>École Normale Supérieure de Lyon</w:t>
      </w:r>
      <w:r>
        <w:rPr>
          <w:rFonts w:eastAsia="Times New Roman" w:cs="Arial" w:cstheme="minorHAnsi"/>
          <w:sz w:val="20"/>
          <w:szCs w:val="20"/>
        </w:rPr>
        <w:t xml:space="preserve">. This is Paleobiology Database publication no. </w:t>
      </w:r>
      <w:r>
        <w:rPr>
          <w:rFonts w:eastAsia="Times New Roman" w:cs="Arial" w:cstheme="minorHAnsi"/>
          <w:b/>
          <w:bCs/>
          <w:sz w:val="20"/>
          <w:szCs w:val="20"/>
        </w:rPr>
        <w:t xml:space="preserve">XXX </w:t>
      </w:r>
      <w:r>
        <w:rPr>
          <w:rFonts w:eastAsia="Times New Roman" w:cs="Arial" w:cstheme="minorHAnsi"/>
          <w:sz w:val="20"/>
          <w:szCs w:val="20"/>
        </w:rPr>
        <w:t xml:space="preserve">and ISEM-Sud article no. </w:t>
      </w:r>
      <w:r>
        <w:rPr>
          <w:rFonts w:eastAsia="Times New Roman" w:cs="Arial" w:cstheme="minorHAnsi"/>
          <w:b/>
          <w:bCs/>
          <w:sz w:val="20"/>
          <w:szCs w:val="20"/>
        </w:rPr>
        <w:t>202X-XXX</w:t>
      </w:r>
      <w:r>
        <w:rPr>
          <w:rFonts w:eastAsia="Times New Roman" w:cs="Arial" w:cstheme="minorHAnsi"/>
          <w:sz w:val="20"/>
          <w:szCs w:val="20"/>
        </w:rPr>
        <w:t>.</w:t>
      </w:r>
      <w:r>
        <w:br w:type="page"/>
      </w:r>
    </w:p>
    <w:p>
      <w:pPr>
        <w:pStyle w:val="LOnormal"/>
        <w:jc w:val="both"/>
        <w:rPr>
          <w:rFonts w:ascii="Arial" w:hAnsi="Arial" w:eastAsia="Times New Roman" w:cs="Arial" w:asciiTheme="minorHAnsi" w:cstheme="minorHAnsi" w:hAnsiTheme="minorHAnsi"/>
          <w:b/>
          <w:b/>
          <w:sz w:val="20"/>
          <w:szCs w:val="20"/>
        </w:rPr>
      </w:pPr>
      <w:r>
        <w:rPr>
          <w:rFonts w:eastAsia="Times New Roman" w:cs="Arial" w:cstheme="minorHAnsi"/>
          <w:b/>
          <w:sz w:val="20"/>
          <w:szCs w:val="20"/>
        </w:rPr>
        <w:t>References</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1. </w:t>
        <w:tab/>
        <w:t xml:space="preserve">M. R. Willig, D. M. Kaufman, R. D. Stevens, Latitudinal Gradients of Biodiversity: Pattern, Process, Scale, and Synthesis. </w:t>
      </w:r>
      <w:r>
        <w:rPr>
          <w:rFonts w:cs="Arial" w:ascii="Arial" w:hAnsi="Arial" w:asciiTheme="minorHAnsi" w:cstheme="minorHAnsi" w:hAnsiTheme="minorHAnsi"/>
          <w:i/>
          <w:sz w:val="20"/>
          <w:szCs w:val="20"/>
        </w:rPr>
        <w:t>Annu. Rev. Ecol. Evol. Syst.</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34</w:t>
      </w:r>
      <w:r>
        <w:rPr>
          <w:rFonts w:cs="Arial" w:ascii="Arial" w:hAnsi="Arial" w:asciiTheme="minorHAnsi" w:cstheme="minorHAnsi" w:hAnsiTheme="minorHAnsi"/>
          <w:sz w:val="20"/>
          <w:szCs w:val="20"/>
        </w:rPr>
        <w:t>, 273–309 (2003).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2. </w:t>
        <w:tab/>
        <w:t xml:space="preserve">C. R. Scotese, An Atlas of Phanerozoic Paleogeographic Maps: The Seas Come In and the Seas Go Out. </w:t>
      </w:r>
      <w:r>
        <w:rPr>
          <w:rFonts w:cs="Arial" w:ascii="Arial" w:hAnsi="Arial" w:asciiTheme="minorHAnsi" w:cstheme="minorHAnsi" w:hAnsiTheme="minorHAnsi"/>
          <w:i/>
          <w:sz w:val="20"/>
          <w:szCs w:val="20"/>
        </w:rPr>
        <w:t>Annu. Rev. Earth Planet.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49</w:t>
      </w:r>
      <w:r>
        <w:rPr>
          <w:rFonts w:cs="Arial" w:ascii="Arial" w:hAnsi="Arial" w:asciiTheme="minorHAnsi" w:cstheme="minorHAnsi" w:hAnsiTheme="minorHAnsi"/>
          <w:sz w:val="20"/>
          <w:szCs w:val="20"/>
        </w:rPr>
        <w:t>, 679–728 (2021).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 </w:t>
        <w:tab/>
        <w:t xml:space="preserve">F. J. Goin, M. O. Woodburne, A. N. Zimicz, G. M. Martin, L. Chornogubsky, </w:t>
      </w:r>
      <w:r>
        <w:rPr>
          <w:rFonts w:cs="Arial" w:ascii="Arial" w:hAnsi="Arial" w:asciiTheme="minorHAnsi" w:cstheme="minorHAnsi" w:hAnsiTheme="minorHAnsi"/>
          <w:i/>
          <w:sz w:val="20"/>
          <w:szCs w:val="20"/>
        </w:rPr>
        <w:t>A brief history of South American Metatherians: evolutionary contexts and intercontinental dispersals</w:t>
      </w:r>
      <w:r>
        <w:rPr>
          <w:rFonts w:cs="Arial" w:ascii="Arial" w:hAnsi="Arial" w:asciiTheme="minorHAnsi" w:cstheme="minorHAnsi" w:hAnsiTheme="minorHAnsi"/>
          <w:sz w:val="20"/>
          <w:szCs w:val="20"/>
        </w:rPr>
        <w:t>, Springer Dordrecht (2016).</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lang w:val="fr-FR"/>
        </w:rPr>
        <w:t xml:space="preserve">4. </w:t>
        <w:tab/>
        <w:t xml:space="preserve">M. Boivin, L. Marivaux, P.-O. Antoine, L’apport du registre paléogène d’Amazonie sur la diversification initiale des Caviomorpha (Hystricognathi, Rodentia): implications phylogénétiques, macroévolutives et paléobiogéographiques. </w:t>
      </w:r>
      <w:r>
        <w:rPr>
          <w:rFonts w:cs="Arial" w:ascii="Arial" w:hAnsi="Arial" w:asciiTheme="minorHAnsi" w:cstheme="minorHAnsi" w:hAnsiTheme="minorHAnsi"/>
          <w:i/>
          <w:sz w:val="20"/>
          <w:szCs w:val="20"/>
        </w:rPr>
        <w:t>Geodiversitas</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41</w:t>
      </w:r>
      <w:r>
        <w:rPr>
          <w:rFonts w:cs="Arial" w:ascii="Arial" w:hAnsi="Arial" w:asciiTheme="minorHAnsi" w:cstheme="minorHAnsi" w:hAnsiTheme="minorHAnsi"/>
          <w:sz w:val="20"/>
          <w:szCs w:val="20"/>
        </w:rPr>
        <w:t>, 143–245 (2019).</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 </w:t>
        <w:tab/>
        <w:t xml:space="preserve">D. A. Croft, J. N. Gelfo, G. M. López, Splendid Innovation: The Extinct South American Native Ungulates. </w:t>
      </w:r>
      <w:r>
        <w:rPr>
          <w:rFonts w:cs="Arial" w:ascii="Arial" w:hAnsi="Arial" w:asciiTheme="minorHAnsi" w:cstheme="minorHAnsi" w:hAnsiTheme="minorHAnsi"/>
          <w:i/>
          <w:sz w:val="20"/>
          <w:szCs w:val="20"/>
        </w:rPr>
        <w:t>Annu. Rev. Earth Planet.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48</w:t>
      </w:r>
      <w:r>
        <w:rPr>
          <w:rFonts w:cs="Arial" w:ascii="Arial" w:hAnsi="Arial" w:asciiTheme="minorHAnsi" w:cstheme="minorHAnsi" w:hAnsiTheme="minorHAnsi"/>
          <w:sz w:val="20"/>
          <w:szCs w:val="20"/>
        </w:rPr>
        <w:t>, 259–290 (2020).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 </w:t>
        <w:tab/>
        <w:t xml:space="preserve">R. M. D. Beck, D. de Vries, M. C. Janiak, I. B. Goodhead, J. P. Boubli, Total evidence phylogeny of platyrrhine primates and a comparison of undated and tip-dating approaches. </w:t>
      </w:r>
      <w:r>
        <w:rPr>
          <w:rFonts w:cs="Arial" w:ascii="Arial" w:hAnsi="Arial" w:asciiTheme="minorHAnsi" w:cstheme="minorHAnsi" w:hAnsiTheme="minorHAnsi"/>
          <w:i/>
          <w:sz w:val="20"/>
          <w:szCs w:val="20"/>
        </w:rPr>
        <w:t>J. Hum. Evol.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174</w:t>
      </w:r>
      <w:r>
        <w:rPr>
          <w:rFonts w:cs="Arial" w:ascii="Arial" w:hAnsi="Arial" w:asciiTheme="minorHAnsi" w:cstheme="minorHAnsi" w:hAnsiTheme="minorHAnsi"/>
          <w:sz w:val="20"/>
          <w:szCs w:val="20"/>
        </w:rPr>
        <w:t>, 103293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7. </w:t>
        <w:tab/>
        <w:t xml:space="preserve">J. V. Tejada,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Bayesian total-evidence dating revisits sloth phylogeny and biogeography: a cautionary tale on morphological clock analyses. </w:t>
      </w:r>
      <w:r>
        <w:rPr>
          <w:rFonts w:cs="Arial" w:ascii="Arial" w:hAnsi="Arial" w:asciiTheme="minorHAnsi" w:cstheme="minorHAnsi" w:hAnsiTheme="minorHAnsi"/>
          <w:i/>
          <w:sz w:val="20"/>
          <w:szCs w:val="20"/>
        </w:rPr>
        <w:t>Syst. Biol.</w:t>
      </w:r>
      <w:r>
        <w:rPr>
          <w:rFonts w:cs="Arial" w:ascii="Arial" w:hAnsi="Arial" w:asciiTheme="minorHAnsi" w:cstheme="minorHAnsi" w:hAnsiTheme="minorHAnsi"/>
          <w:sz w:val="20"/>
          <w:szCs w:val="20"/>
        </w:rPr>
        <w:t xml:space="preserve"> syad069 (2023). https://doi.org/10.1093/sysbio/syad069.</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8. </w:t>
        <w:tab/>
        <w:t xml:space="preserve">G. G. Simpson, </w:t>
      </w:r>
      <w:r>
        <w:rPr>
          <w:rFonts w:cs="Arial" w:ascii="Arial" w:hAnsi="Arial" w:asciiTheme="minorHAnsi" w:cstheme="minorHAnsi" w:hAnsiTheme="minorHAnsi"/>
          <w:i/>
          <w:sz w:val="20"/>
          <w:szCs w:val="20"/>
        </w:rPr>
        <w:t>Splendid isolation : the curious history of South American mammals</w:t>
      </w:r>
      <w:r>
        <w:rPr>
          <w:rFonts w:cs="Arial" w:ascii="Arial" w:hAnsi="Arial" w:asciiTheme="minorHAnsi" w:cstheme="minorHAnsi" w:hAnsiTheme="minorHAnsi"/>
          <w:sz w:val="20"/>
          <w:szCs w:val="20"/>
        </w:rPr>
        <w:t>, Yale University Press, New Haven (1980).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9. </w:t>
        <w:tab/>
        <w:t xml:space="preserve">D. A. Croft, J. J. Flynn, A. R. Wyss, The Tinguiririca Fauna of Chile and the early stages of “modernization” of South American mammal faunas. </w:t>
      </w:r>
      <w:r>
        <w:rPr>
          <w:rFonts w:cs="Arial" w:ascii="Arial" w:hAnsi="Arial" w:asciiTheme="minorHAnsi" w:cstheme="minorHAnsi" w:hAnsiTheme="minorHAnsi"/>
          <w:i/>
          <w:sz w:val="20"/>
          <w:szCs w:val="20"/>
        </w:rPr>
        <w:t>Arq. Mus. Nac. Rio Jan.</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66</w:t>
      </w:r>
      <w:r>
        <w:rPr>
          <w:rFonts w:cs="Arial" w:ascii="Arial" w:hAnsi="Arial" w:asciiTheme="minorHAnsi" w:cstheme="minorHAnsi" w:hAnsiTheme="minorHAnsi"/>
          <w:sz w:val="20"/>
          <w:szCs w:val="20"/>
        </w:rPr>
        <w:t>, 191–211 (2008).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10. </w:t>
        <w:tab/>
        <w:t xml:space="preserve">P.-O. Antoine,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Middle Eocene rodents from Peruvian Amazonia reveal the pattern and timing of caviomorph origins and biogeography. </w:t>
      </w:r>
      <w:r>
        <w:rPr>
          <w:rFonts w:cs="Arial" w:ascii="Arial" w:hAnsi="Arial" w:asciiTheme="minorHAnsi" w:cstheme="minorHAnsi" w:hAnsiTheme="minorHAnsi"/>
          <w:i/>
          <w:sz w:val="20"/>
          <w:szCs w:val="20"/>
        </w:rPr>
        <w:t>Proc. R. Soc. B Biol.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279</w:t>
      </w:r>
      <w:r>
        <w:rPr>
          <w:rFonts w:cs="Arial" w:ascii="Arial" w:hAnsi="Arial" w:asciiTheme="minorHAnsi" w:cstheme="minorHAnsi" w:hAnsiTheme="minorHAnsi"/>
          <w:sz w:val="20"/>
          <w:szCs w:val="20"/>
        </w:rPr>
        <w:t>, 1319–1326 (2011).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11. </w:t>
        <w:tab/>
        <w:t xml:space="preserve">M. Bond,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Eocene primates of South America and the African origins of New World monkeys. </w:t>
      </w:r>
      <w:r>
        <w:rPr>
          <w:rFonts w:cs="Arial" w:ascii="Arial" w:hAnsi="Arial" w:asciiTheme="minorHAnsi" w:cstheme="minorHAnsi" w:hAnsiTheme="minorHAnsi"/>
          <w:i/>
          <w:sz w:val="20"/>
          <w:szCs w:val="20"/>
        </w:rPr>
        <w:t>Nature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520</w:t>
      </w:r>
      <w:r>
        <w:rPr>
          <w:rFonts w:cs="Arial" w:ascii="Arial" w:hAnsi="Arial" w:asciiTheme="minorHAnsi" w:cstheme="minorHAnsi" w:hAnsiTheme="minorHAnsi"/>
          <w:sz w:val="20"/>
          <w:szCs w:val="20"/>
        </w:rPr>
        <w:t>, 538–541 (2015).</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12. </w:t>
        <w:tab/>
        <w:t xml:space="preserve">L. Marivaux,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An eosimiid primate of South Asian affinities in the Paleogene of Western Amazonia and the origin of New World monkeys. </w:t>
      </w:r>
      <w:r>
        <w:rPr>
          <w:rFonts w:cs="Arial" w:ascii="Arial" w:hAnsi="Arial" w:asciiTheme="minorHAnsi" w:cstheme="minorHAnsi" w:hAnsiTheme="minorHAnsi"/>
          <w:i/>
          <w:sz w:val="20"/>
          <w:szCs w:val="20"/>
        </w:rPr>
        <w:t>Proc. Natl. Acad.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120</w:t>
      </w:r>
      <w:r>
        <w:rPr>
          <w:rFonts w:cs="Arial" w:ascii="Arial" w:hAnsi="Arial" w:asciiTheme="minorHAnsi" w:cstheme="minorHAnsi" w:hAnsiTheme="minorHAnsi"/>
          <w:sz w:val="20"/>
          <w:szCs w:val="20"/>
        </w:rPr>
        <w:t>, e2301338120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13. </w:t>
        <w:tab/>
        <w:t xml:space="preserve">C. Montes,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Middle Miocene closure of the Central American Seaway. </w:t>
      </w:r>
      <w:r>
        <w:rPr>
          <w:rFonts w:cs="Arial" w:ascii="Arial" w:hAnsi="Arial" w:asciiTheme="minorHAnsi" w:cstheme="minorHAnsi" w:hAnsiTheme="minorHAnsi"/>
          <w:i/>
          <w:sz w:val="20"/>
          <w:szCs w:val="20"/>
        </w:rPr>
        <w:t>Science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348</w:t>
      </w:r>
      <w:r>
        <w:rPr>
          <w:rFonts w:cs="Arial" w:ascii="Arial" w:hAnsi="Arial" w:asciiTheme="minorHAnsi" w:cstheme="minorHAnsi" w:hAnsiTheme="minorHAnsi"/>
          <w:sz w:val="20"/>
          <w:szCs w:val="20"/>
        </w:rPr>
        <w:t>, 226–229 (2015).</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14. </w:t>
        <w:tab/>
        <w:t xml:space="preserve">L. G. Marshall, Land Mammals and the Great American Interchange. </w:t>
      </w:r>
      <w:r>
        <w:rPr>
          <w:rFonts w:cs="Arial" w:ascii="Arial" w:hAnsi="Arial" w:asciiTheme="minorHAnsi" w:cstheme="minorHAnsi" w:hAnsiTheme="minorHAnsi"/>
          <w:i/>
          <w:sz w:val="20"/>
          <w:szCs w:val="20"/>
        </w:rPr>
        <w:t>Am.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76</w:t>
      </w:r>
      <w:r>
        <w:rPr>
          <w:rFonts w:cs="Arial" w:ascii="Arial" w:hAnsi="Arial" w:asciiTheme="minorHAnsi" w:cstheme="minorHAnsi" w:hAnsiTheme="minorHAnsi"/>
          <w:sz w:val="20"/>
          <w:szCs w:val="20"/>
        </w:rPr>
        <w:t>, 380–388 (1988).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15. </w:t>
        <w:tab/>
        <w:t xml:space="preserve">H. K. Coxall, P. N. Pearson, “The Eocene–Oligocene Transition” in </w:t>
      </w:r>
      <w:r>
        <w:rPr>
          <w:rFonts w:cs="Arial" w:ascii="Arial" w:hAnsi="Arial" w:asciiTheme="minorHAnsi" w:cstheme="minorHAnsi" w:hAnsiTheme="minorHAnsi"/>
          <w:i/>
          <w:sz w:val="20"/>
          <w:szCs w:val="20"/>
        </w:rPr>
        <w:t>Deep-Time Perspectives on Climate Change: Marrying the Signal from Computer Models and Biological Proxies</w:t>
      </w:r>
      <w:r>
        <w:rPr>
          <w:rFonts w:cs="Arial" w:ascii="Arial" w:hAnsi="Arial" w:asciiTheme="minorHAnsi" w:cstheme="minorHAnsi" w:hAnsiTheme="minorHAnsi"/>
          <w:sz w:val="20"/>
          <w:szCs w:val="20"/>
        </w:rPr>
        <w:t>, M. Williams, A. M. Haywood, F. J. Gregory, D. N. Schmidt, Eds. (Geological Society of London, 2007), p. 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16. </w:t>
        <w:tab/>
        <w:t xml:space="preserve">T. Westerhold,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An astronomically dated record of Earth’s climate and its predictability over the last 66 million years. </w:t>
      </w:r>
      <w:r>
        <w:rPr>
          <w:rFonts w:cs="Arial" w:ascii="Arial" w:hAnsi="Arial" w:asciiTheme="minorHAnsi" w:cstheme="minorHAnsi" w:hAnsiTheme="minorHAnsi"/>
          <w:i/>
          <w:sz w:val="20"/>
          <w:szCs w:val="20"/>
        </w:rPr>
        <w:t>Science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369</w:t>
      </w:r>
      <w:r>
        <w:rPr>
          <w:rFonts w:cs="Arial" w:ascii="Arial" w:hAnsi="Arial" w:asciiTheme="minorHAnsi" w:cstheme="minorHAnsi" w:hAnsiTheme="minorHAnsi"/>
          <w:sz w:val="20"/>
          <w:szCs w:val="20"/>
        </w:rPr>
        <w:t>, 1383–1387 (2020).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17. </w:t>
        <w:tab/>
        <w:t xml:space="preserve">K. G. Miller,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Cenozoic sea-level and cryospheric evolution from deep-sea geochemical and continental margin records. </w:t>
      </w:r>
      <w:r>
        <w:rPr>
          <w:rFonts w:cs="Arial" w:ascii="Arial" w:hAnsi="Arial" w:asciiTheme="minorHAnsi" w:cstheme="minorHAnsi" w:hAnsiTheme="minorHAnsi"/>
          <w:i/>
          <w:sz w:val="20"/>
          <w:szCs w:val="20"/>
        </w:rPr>
        <w:t>Sci. Adv.</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6</w:t>
      </w:r>
      <w:r>
        <w:rPr>
          <w:rFonts w:cs="Arial" w:ascii="Arial" w:hAnsi="Arial" w:asciiTheme="minorHAnsi" w:cstheme="minorHAnsi" w:hAnsiTheme="minorHAnsi"/>
          <w:sz w:val="20"/>
          <w:szCs w:val="20"/>
        </w:rPr>
        <w:t>, eaaz1346 (2020).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18. </w:t>
        <w:tab/>
        <w:t xml:space="preserve">Z. Liu,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Global Cooling During the Eocene-Oligocene Climate Transition. </w:t>
      </w:r>
      <w:r>
        <w:rPr>
          <w:rFonts w:cs="Arial" w:ascii="Arial" w:hAnsi="Arial" w:asciiTheme="minorHAnsi" w:cstheme="minorHAnsi" w:hAnsiTheme="minorHAnsi"/>
          <w:i/>
          <w:sz w:val="20"/>
          <w:szCs w:val="20"/>
        </w:rPr>
        <w:t>Science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323</w:t>
      </w:r>
      <w:r>
        <w:rPr>
          <w:rFonts w:cs="Arial" w:ascii="Arial" w:hAnsi="Arial" w:asciiTheme="minorHAnsi" w:cstheme="minorHAnsi" w:hAnsiTheme="minorHAnsi"/>
          <w:sz w:val="20"/>
          <w:szCs w:val="20"/>
        </w:rPr>
        <w:t>, 1187–1190 (2009).</w:t>
      </w:r>
    </w:p>
    <w:p>
      <w:pPr>
        <w:pStyle w:val="Bibliography1"/>
        <w:spacing w:lineRule="auto" w:line="276" w:before="0" w:after="0"/>
        <w:jc w:val="both"/>
        <w:rPr>
          <w:rFonts w:ascii="Arial" w:hAnsi="Arial" w:cs="Arial" w:asciiTheme="minorHAnsi" w:cstheme="minorHAnsi" w:hAnsiTheme="minorHAnsi"/>
          <w:sz w:val="20"/>
          <w:szCs w:val="20"/>
          <w:lang w:val="fr-FR"/>
        </w:rPr>
      </w:pPr>
      <w:r>
        <w:rPr>
          <w:rFonts w:cs="Arial" w:ascii="Arial" w:hAnsi="Arial" w:asciiTheme="minorHAnsi" w:cstheme="minorHAnsi" w:hAnsiTheme="minorHAnsi"/>
          <w:sz w:val="20"/>
          <w:szCs w:val="20"/>
          <w:lang w:val="fr-FR"/>
        </w:rPr>
        <w:t xml:space="preserve">19. </w:t>
        <w:tab/>
        <w:t>H. G. Stehlin, Remarques sur les faunules de mammifère des couches éocènes et oligocènes du Bassin de Paris. (1909).</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lang w:val="fr-FR"/>
        </w:rPr>
        <w:t xml:space="preserve">20. </w:t>
        <w:tab/>
        <w:t xml:space="preserve">S. Legendre, </w:t>
      </w:r>
      <w:r>
        <w:rPr>
          <w:rFonts w:cs="Arial" w:ascii="Arial" w:hAnsi="Arial" w:asciiTheme="minorHAnsi" w:cstheme="minorHAnsi" w:hAnsiTheme="minorHAnsi"/>
          <w:i/>
          <w:sz w:val="20"/>
          <w:szCs w:val="20"/>
          <w:lang w:val="fr-FR"/>
        </w:rPr>
        <w:t>et al.</w:t>
      </w:r>
      <w:r>
        <w:rPr>
          <w:rFonts w:cs="Arial" w:ascii="Arial" w:hAnsi="Arial" w:asciiTheme="minorHAnsi" w:cstheme="minorHAnsi" w:hAnsiTheme="minorHAnsi"/>
          <w:sz w:val="20"/>
          <w:szCs w:val="20"/>
          <w:lang w:val="fr-FR"/>
        </w:rPr>
        <w:t xml:space="preserve">, Evolution de la diversite des faunes de Mammiferes d’Europe occidentale au Paleogene (MP 11 a MP 30). </w:t>
      </w:r>
      <w:r>
        <w:rPr>
          <w:rFonts w:cs="Arial" w:ascii="Arial" w:hAnsi="Arial" w:asciiTheme="minorHAnsi" w:cstheme="minorHAnsi" w:hAnsiTheme="minorHAnsi"/>
          <w:i/>
          <w:sz w:val="20"/>
          <w:szCs w:val="20"/>
          <w:lang w:val="fr-FR"/>
        </w:rPr>
        <w:t xml:space="preserve">Bull. </w:t>
      </w:r>
      <w:r>
        <w:rPr>
          <w:rFonts w:cs="Arial" w:ascii="Arial" w:hAnsi="Arial" w:asciiTheme="minorHAnsi" w:cstheme="minorHAnsi" w:hAnsiTheme="minorHAnsi"/>
          <w:i/>
          <w:sz w:val="20"/>
          <w:szCs w:val="20"/>
        </w:rPr>
        <w:t>Société Géologique Fr.</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162</w:t>
      </w:r>
      <w:r>
        <w:rPr>
          <w:rFonts w:cs="Arial" w:ascii="Arial" w:hAnsi="Arial" w:asciiTheme="minorHAnsi" w:cstheme="minorHAnsi" w:hAnsiTheme="minorHAnsi"/>
          <w:sz w:val="20"/>
          <w:szCs w:val="20"/>
        </w:rPr>
        <w:t>, 867–874 (1991).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21. </w:t>
        <w:tab/>
        <w:t xml:space="preserve">G. Escarguel, S. Legendre, B. Sigé, Unearthing deep-time biodiversity changes: The Palaeogene mammalian metacommunity of the Quercy and Limagne area (Massif Central, France). </w:t>
      </w:r>
      <w:r>
        <w:rPr>
          <w:rFonts w:cs="Arial" w:ascii="Arial" w:hAnsi="Arial" w:asciiTheme="minorHAnsi" w:cstheme="minorHAnsi" w:hAnsiTheme="minorHAnsi"/>
          <w:i/>
          <w:sz w:val="20"/>
          <w:szCs w:val="20"/>
        </w:rPr>
        <w:t>Comptes Rendus Geosci.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340</w:t>
      </w:r>
      <w:r>
        <w:rPr>
          <w:rFonts w:cs="Arial" w:ascii="Arial" w:hAnsi="Arial" w:asciiTheme="minorHAnsi" w:cstheme="minorHAnsi" w:hAnsiTheme="minorHAnsi"/>
          <w:sz w:val="20"/>
          <w:szCs w:val="20"/>
        </w:rPr>
        <w:t>, 602–614 (2008).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22. </w:t>
        <w:tab/>
        <w:t xml:space="preserve">R. Weppe, F. L. Condamine, G. Guinot, J. Maugoust, M. J. Orliac, Drivers of the artiodactyl turnover in insular western Europe at the Eocene–Oligocene Transition. </w:t>
      </w:r>
      <w:r>
        <w:rPr>
          <w:rFonts w:cs="Arial" w:ascii="Arial" w:hAnsi="Arial" w:asciiTheme="minorHAnsi" w:cstheme="minorHAnsi" w:hAnsiTheme="minorHAnsi"/>
          <w:i/>
          <w:sz w:val="20"/>
          <w:szCs w:val="20"/>
        </w:rPr>
        <w:t>Proc. Natl. Acad.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120</w:t>
      </w:r>
      <w:r>
        <w:rPr>
          <w:rFonts w:cs="Arial" w:ascii="Arial" w:hAnsi="Arial" w:asciiTheme="minorHAnsi" w:cstheme="minorHAnsi" w:hAnsiTheme="minorHAnsi"/>
          <w:sz w:val="20"/>
          <w:szCs w:val="20"/>
        </w:rPr>
        <w:t>, e2309945120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23. </w:t>
        <w:tab/>
        <w:t xml:space="preserve">J. Meng, M. C. McKenna, Faunal turnovers of Palaeogene mammals from the Mongolian Plateau. </w:t>
      </w:r>
      <w:r>
        <w:rPr>
          <w:rFonts w:cs="Arial" w:ascii="Arial" w:hAnsi="Arial" w:asciiTheme="minorHAnsi" w:cstheme="minorHAnsi" w:hAnsiTheme="minorHAnsi"/>
          <w:i/>
          <w:sz w:val="20"/>
          <w:szCs w:val="20"/>
        </w:rPr>
        <w:t>Nature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394</w:t>
      </w:r>
      <w:r>
        <w:rPr>
          <w:rFonts w:cs="Arial" w:ascii="Arial" w:hAnsi="Arial" w:asciiTheme="minorHAnsi" w:cstheme="minorHAnsi" w:hAnsiTheme="minorHAnsi"/>
          <w:sz w:val="20"/>
          <w:szCs w:val="20"/>
        </w:rPr>
        <w:t>, 364–367 (1998).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24. </w:t>
        <w:tab/>
        <w:t xml:space="preserve">B. P. Kraatz, J. H. Geisler, Eocene–Oligocene transition in Central Asia and its effects on mammalian evolution. </w:t>
      </w:r>
      <w:r>
        <w:rPr>
          <w:rFonts w:cs="Arial" w:ascii="Arial" w:hAnsi="Arial" w:asciiTheme="minorHAnsi" w:cstheme="minorHAnsi" w:hAnsiTheme="minorHAnsi"/>
          <w:i/>
          <w:sz w:val="20"/>
          <w:szCs w:val="20"/>
        </w:rPr>
        <w:t>Geology</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38</w:t>
      </w:r>
      <w:r>
        <w:rPr>
          <w:rFonts w:cs="Arial" w:ascii="Arial" w:hAnsi="Arial" w:asciiTheme="minorHAnsi" w:cstheme="minorHAnsi" w:hAnsiTheme="minorHAnsi"/>
          <w:sz w:val="20"/>
          <w:szCs w:val="20"/>
        </w:rPr>
        <w:t>, 111–114 (2010).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25. </w:t>
        <w:tab/>
        <w:t xml:space="preserve">J. Sun,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Synchronous turnover of flora, fauna and climate at the Eocene–Oligocene Boundary in Asia. </w:t>
      </w:r>
      <w:r>
        <w:rPr>
          <w:rFonts w:cs="Arial" w:ascii="Arial" w:hAnsi="Arial" w:asciiTheme="minorHAnsi" w:cstheme="minorHAnsi" w:hAnsiTheme="minorHAnsi"/>
          <w:i/>
          <w:sz w:val="20"/>
          <w:szCs w:val="20"/>
        </w:rPr>
        <w:t>Sci. Rep.</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w:t>
      </w:r>
      <w:r>
        <w:rPr>
          <w:rFonts w:cs="Arial" w:ascii="Arial" w:hAnsi="Arial" w:asciiTheme="minorHAnsi" w:cstheme="minorHAnsi" w:hAnsiTheme="minorHAnsi"/>
          <w:sz w:val="20"/>
          <w:szCs w:val="20"/>
        </w:rPr>
        <w:t>, 7463 (2014).</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26. </w:t>
        <w:tab/>
        <w:t xml:space="preserve">B. Figueirido, C. M. Janis, J. A. Pérez-Claros, M. De Renzi, P. Palmqvist, Cenozoic climate change influences mammalian evolutionary dynamics. </w:t>
      </w:r>
      <w:r>
        <w:rPr>
          <w:rFonts w:cs="Arial" w:ascii="Arial" w:hAnsi="Arial" w:asciiTheme="minorHAnsi" w:cstheme="minorHAnsi" w:hAnsiTheme="minorHAnsi"/>
          <w:i/>
          <w:sz w:val="20"/>
          <w:szCs w:val="20"/>
        </w:rPr>
        <w:t>Proc. Natl. Acad.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109</w:t>
      </w:r>
      <w:r>
        <w:rPr>
          <w:rFonts w:cs="Arial" w:ascii="Arial" w:hAnsi="Arial" w:asciiTheme="minorHAnsi" w:cstheme="minorHAnsi" w:hAnsiTheme="minorHAnsi"/>
          <w:sz w:val="20"/>
          <w:szCs w:val="20"/>
        </w:rPr>
        <w:t>, 722–727 (2012).</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27. </w:t>
        <w:tab/>
        <w:t xml:space="preserve">R. K. Stucky, “24. Mammalian Faunas in North America of Bridgerian to Early Arikareean ‘Ages’ (Eocene and Oligocene)” in </w:t>
      </w:r>
      <w:r>
        <w:rPr>
          <w:rFonts w:cs="Arial" w:ascii="Arial" w:hAnsi="Arial" w:asciiTheme="minorHAnsi" w:cstheme="minorHAnsi" w:hAnsiTheme="minorHAnsi"/>
          <w:i/>
          <w:sz w:val="20"/>
          <w:szCs w:val="20"/>
        </w:rPr>
        <w:t>24. Mammalian Faunas in North America of Bridgerian to Early Arikareean “Ages” (Eocene and Oligocene)</w:t>
      </w:r>
      <w:r>
        <w:rPr>
          <w:rFonts w:cs="Arial" w:ascii="Arial" w:hAnsi="Arial" w:asciiTheme="minorHAnsi" w:cstheme="minorHAnsi" w:hAnsiTheme="minorHAnsi"/>
          <w:sz w:val="20"/>
          <w:szCs w:val="20"/>
        </w:rPr>
        <w:t>, (Princeton University Press, 2014), pp. 464–493.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28. </w:t>
        <w:tab/>
        <w:t xml:space="preserve">D. de Vries, S. Heritage, M. R. Borths, H. M. Sallam, E. R. Seiffert, Widespread loss of mammalian lineage and dietary diversity in the early Oligocene of Afro-Arabia. </w:t>
      </w:r>
      <w:r>
        <w:rPr>
          <w:rFonts w:cs="Arial" w:ascii="Arial" w:hAnsi="Arial" w:asciiTheme="minorHAnsi" w:cstheme="minorHAnsi" w:hAnsiTheme="minorHAnsi"/>
          <w:i/>
          <w:sz w:val="20"/>
          <w:szCs w:val="20"/>
        </w:rPr>
        <w:t>Commun. Biol.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w:t>
      </w:r>
      <w:r>
        <w:rPr>
          <w:rFonts w:cs="Arial" w:ascii="Arial" w:hAnsi="Arial" w:asciiTheme="minorHAnsi" w:cstheme="minorHAnsi" w:hAnsiTheme="minorHAnsi"/>
          <w:sz w:val="20"/>
          <w:szCs w:val="20"/>
        </w:rPr>
        <w:t>, 1–9 (2021).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29. </w:t>
        <w:tab/>
        <w:t xml:space="preserve">L. R. Godfrey,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Mid-Cenozoic climate change, extinction, and faunal turnover in Madagascar, and their bearing on the evolution of lemurs. </w:t>
      </w:r>
      <w:r>
        <w:rPr>
          <w:rFonts w:cs="Arial" w:ascii="Arial" w:hAnsi="Arial" w:asciiTheme="minorHAnsi" w:cstheme="minorHAnsi" w:hAnsiTheme="minorHAnsi"/>
          <w:i/>
          <w:sz w:val="20"/>
          <w:szCs w:val="20"/>
        </w:rPr>
        <w:t>BMC Evol. Biol.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20</w:t>
      </w:r>
      <w:r>
        <w:rPr>
          <w:rFonts w:cs="Arial" w:ascii="Arial" w:hAnsi="Arial" w:asciiTheme="minorHAnsi" w:cstheme="minorHAnsi" w:hAnsiTheme="minorHAnsi"/>
          <w:sz w:val="20"/>
          <w:szCs w:val="20"/>
        </w:rPr>
        <w:t>, 97 (2020).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30. </w:t>
        <w:tab/>
        <w:t xml:space="preserve">J. F. Hoyal Cuthill, N. Guttenberg, G. E. Budd, Impacts of speciation and extinction measured by an evolutionary decay clock. </w:t>
      </w:r>
      <w:r>
        <w:rPr>
          <w:rFonts w:cs="Arial" w:ascii="Arial" w:hAnsi="Arial" w:asciiTheme="minorHAnsi" w:cstheme="minorHAnsi" w:hAnsiTheme="minorHAnsi"/>
          <w:i/>
          <w:sz w:val="20"/>
          <w:szCs w:val="20"/>
        </w:rPr>
        <w:t>Nature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588</w:t>
      </w:r>
      <w:r>
        <w:rPr>
          <w:rFonts w:cs="Arial" w:ascii="Arial" w:hAnsi="Arial" w:asciiTheme="minorHAnsi" w:cstheme="minorHAnsi" w:hAnsiTheme="minorHAnsi"/>
          <w:sz w:val="20"/>
          <w:szCs w:val="20"/>
        </w:rPr>
        <w:t>, 636–641 (2020).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31. </w:t>
        <w:tab/>
        <w:t xml:space="preserve">M. A. Abello, N. Toledo, E. Ortiz-Jaureguizar, Evolution of South American Paucituberculata (Metatheria: Marsupialia): adaptive radiation and climate changes at the Eocene- Oligocene boundary. </w:t>
      </w:r>
      <w:r>
        <w:rPr>
          <w:rFonts w:cs="Arial" w:ascii="Arial" w:hAnsi="Arial" w:asciiTheme="minorHAnsi" w:cstheme="minorHAnsi" w:hAnsiTheme="minorHAnsi"/>
          <w:i/>
          <w:sz w:val="20"/>
          <w:szCs w:val="20"/>
        </w:rPr>
        <w:t>Hist. Biol.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32</w:t>
      </w:r>
      <w:r>
        <w:rPr>
          <w:rFonts w:cs="Arial" w:ascii="Arial" w:hAnsi="Arial" w:asciiTheme="minorHAnsi" w:cstheme="minorHAnsi" w:hAnsiTheme="minorHAnsi"/>
          <w:sz w:val="20"/>
          <w:szCs w:val="20"/>
        </w:rPr>
        <w:t>, 476–493 (2020).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32. </w:t>
        <w:tab/>
        <w:t xml:space="preserve">F. J. Goin, M. A. Abello, L. Chornogubsky, Middle Tertiary marsupials from central Patagonia (early Oligocene of Gran Barranca): understanding South America’s Grande Coupure. </w:t>
      </w:r>
      <w:r>
        <w:rPr>
          <w:rFonts w:cs="Arial" w:ascii="Arial" w:hAnsi="Arial" w:asciiTheme="minorHAnsi" w:cstheme="minorHAnsi" w:hAnsiTheme="minorHAnsi"/>
          <w:i/>
          <w:sz w:val="20"/>
          <w:szCs w:val="20"/>
        </w:rPr>
        <w:t>Paleontol. Gran Barranca Camb. Univ Press N. Y. 448</w:t>
      </w:r>
      <w:r>
        <w:rPr>
          <w:rFonts w:cs="Arial" w:ascii="Arial" w:hAnsi="Arial" w:asciiTheme="minorHAnsi" w:cstheme="minorHAnsi" w:hAnsiTheme="minorHAnsi"/>
          <w:sz w:val="20"/>
          <w:szCs w:val="20"/>
        </w:rPr>
        <w:t xml:space="preserve"> 71–107 (2010).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33. </w:t>
        <w:tab/>
        <w:t xml:space="preserve">P.-O. Antoine,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Biotic community and landscape changes around the Eocene–Oligocene transition at Shapaja, Peruvian Amazonia: Regional or global drivers? </w:t>
      </w:r>
      <w:r>
        <w:rPr>
          <w:rFonts w:cs="Arial" w:ascii="Arial" w:hAnsi="Arial" w:asciiTheme="minorHAnsi" w:cstheme="minorHAnsi" w:hAnsiTheme="minorHAnsi"/>
          <w:i/>
          <w:sz w:val="20"/>
          <w:szCs w:val="20"/>
        </w:rPr>
        <w:t>Glob. Planet. Change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202</w:t>
      </w:r>
      <w:r>
        <w:rPr>
          <w:rFonts w:cs="Arial" w:ascii="Arial" w:hAnsi="Arial" w:asciiTheme="minorHAnsi" w:cstheme="minorHAnsi" w:hAnsiTheme="minorHAnsi"/>
          <w:sz w:val="20"/>
          <w:szCs w:val="20"/>
        </w:rPr>
        <w:t>, 103512 (2021).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34. </w:t>
        <w:tab/>
        <w:t xml:space="preserve">A. Solórzano, M. Núñez-Flores, Evolutionary trends of body size and hypsodonty in notoungulates and their probable drivers. </w:t>
      </w:r>
      <w:r>
        <w:rPr>
          <w:rFonts w:cs="Arial" w:ascii="Arial" w:hAnsi="Arial" w:asciiTheme="minorHAnsi" w:cstheme="minorHAnsi" w:hAnsiTheme="minorHAnsi"/>
          <w:i/>
          <w:sz w:val="20"/>
          <w:szCs w:val="20"/>
        </w:rPr>
        <w:t>Palaeogeogr. Palaeoclimatol. Palaeoecol.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568</w:t>
      </w:r>
      <w:r>
        <w:rPr>
          <w:rFonts w:cs="Arial" w:ascii="Arial" w:hAnsi="Arial" w:asciiTheme="minorHAnsi" w:cstheme="minorHAnsi" w:hAnsiTheme="minorHAnsi"/>
          <w:sz w:val="20"/>
          <w:szCs w:val="20"/>
        </w:rPr>
        <w:t>, 110306 (2021).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35. </w:t>
        <w:tab/>
        <w:t xml:space="preserve">G. L. Stebbins, Coevolution of Grasses and Herbivores. </w:t>
      </w:r>
      <w:r>
        <w:rPr>
          <w:rFonts w:cs="Arial" w:ascii="Arial" w:hAnsi="Arial" w:asciiTheme="minorHAnsi" w:cstheme="minorHAnsi" w:hAnsiTheme="minorHAnsi"/>
          <w:i/>
          <w:sz w:val="20"/>
          <w:szCs w:val="20"/>
        </w:rPr>
        <w:t>Ann. Mo. Bot. Gard.</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68</w:t>
      </w:r>
      <w:r>
        <w:rPr>
          <w:rFonts w:cs="Arial" w:ascii="Arial" w:hAnsi="Arial" w:asciiTheme="minorHAnsi" w:cstheme="minorHAnsi" w:hAnsiTheme="minorHAnsi"/>
          <w:sz w:val="20"/>
          <w:szCs w:val="20"/>
        </w:rPr>
        <w:t>, 75–86 (1981).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36. </w:t>
        <w:tab/>
        <w:t xml:space="preserve">M. A. Reguero, A. M. Candela, G. H. Cassini, “Hypsodonty and body size in rodent-like notoungulates” in </w:t>
      </w:r>
      <w:r>
        <w:rPr>
          <w:rFonts w:cs="Arial" w:ascii="Arial" w:hAnsi="Arial" w:asciiTheme="minorHAnsi" w:cstheme="minorHAnsi" w:hAnsiTheme="minorHAnsi"/>
          <w:i/>
          <w:sz w:val="20"/>
          <w:szCs w:val="20"/>
        </w:rPr>
        <w:t>The Paleontology of Gran Barranca. Evolution and Environmental Change through the Middle Cenozoic of Patagonia.</w:t>
      </w:r>
      <w:r>
        <w:rPr>
          <w:rFonts w:cs="Arial" w:ascii="Arial" w:hAnsi="Arial" w:asciiTheme="minorHAnsi" w:cstheme="minorHAnsi" w:hAnsiTheme="minorHAnsi"/>
          <w:sz w:val="20"/>
          <w:szCs w:val="20"/>
        </w:rPr>
        <w:t>, (Cambridge University Press, 2010).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37. </w:t>
        <w:tab/>
        <w:t xml:space="preserve">G. Guinot, F. L. Condamine, Global impact and selectivity of the Cretaceous-Paleogene mass extinction among sharks, skates, and rays. </w:t>
      </w:r>
      <w:r>
        <w:rPr>
          <w:rFonts w:cs="Arial" w:ascii="Arial" w:hAnsi="Arial" w:asciiTheme="minorHAnsi" w:cstheme="minorHAnsi" w:hAnsiTheme="minorHAnsi"/>
          <w:i/>
          <w:sz w:val="20"/>
          <w:szCs w:val="20"/>
        </w:rPr>
        <w:t>Science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379</w:t>
      </w:r>
      <w:r>
        <w:rPr>
          <w:rFonts w:cs="Arial" w:ascii="Arial" w:hAnsi="Arial" w:asciiTheme="minorHAnsi" w:cstheme="minorHAnsi" w:hAnsiTheme="minorHAnsi"/>
          <w:sz w:val="20"/>
          <w:szCs w:val="20"/>
        </w:rPr>
        <w:t>, 802–806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38. </w:t>
        <w:tab/>
        <w:t xml:space="preserve">A. R. Wallace, </w:t>
      </w:r>
      <w:r>
        <w:rPr>
          <w:rFonts w:cs="Arial" w:ascii="Arial" w:hAnsi="Arial" w:asciiTheme="minorHAnsi" w:cstheme="minorHAnsi" w:hAnsiTheme="minorHAnsi"/>
          <w:i/>
          <w:sz w:val="20"/>
          <w:szCs w:val="20"/>
        </w:rPr>
        <w:t>Tropical Nature, and Other Essays</w:t>
      </w:r>
      <w:r>
        <w:rPr>
          <w:rFonts w:cs="Arial" w:ascii="Arial" w:hAnsi="Arial" w:asciiTheme="minorHAnsi" w:cstheme="minorHAnsi" w:hAnsiTheme="minorHAnsi"/>
          <w:sz w:val="20"/>
          <w:szCs w:val="20"/>
        </w:rPr>
        <w:t xml:space="preserve"> (Macmillan and Company, 1878).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39. </w:t>
        <w:tab/>
        <w:t xml:space="preserve">M. J. Kohn,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Climate stability across the Eocene-Oligocene transition, southern Argentina. </w:t>
      </w:r>
      <w:r>
        <w:rPr>
          <w:rFonts w:cs="Arial" w:ascii="Arial" w:hAnsi="Arial" w:asciiTheme="minorHAnsi" w:cstheme="minorHAnsi" w:hAnsiTheme="minorHAnsi"/>
          <w:i/>
          <w:sz w:val="20"/>
          <w:szCs w:val="20"/>
        </w:rPr>
        <w:t>Geology</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32</w:t>
      </w:r>
      <w:r>
        <w:rPr>
          <w:rFonts w:cs="Arial" w:ascii="Arial" w:hAnsi="Arial" w:asciiTheme="minorHAnsi" w:cstheme="minorHAnsi" w:hAnsiTheme="minorHAnsi"/>
          <w:sz w:val="20"/>
          <w:szCs w:val="20"/>
        </w:rPr>
        <w:t>, 621–624 (2004).</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40. </w:t>
        <w:tab/>
        <w:t xml:space="preserve">M. J. Kohn,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Quasi-static Eocene–Oligocene climate in Patagonia promotes slow faunal evolution and mid-Cenozoic global cooling. </w:t>
      </w:r>
      <w:r>
        <w:rPr>
          <w:rFonts w:cs="Arial" w:ascii="Arial" w:hAnsi="Arial" w:asciiTheme="minorHAnsi" w:cstheme="minorHAnsi" w:hAnsiTheme="minorHAnsi"/>
          <w:i/>
          <w:sz w:val="20"/>
          <w:szCs w:val="20"/>
        </w:rPr>
        <w:t>Palaeogeogr. Palaeoclimatol. Palaeoecol.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435</w:t>
      </w:r>
      <w:r>
        <w:rPr>
          <w:rFonts w:cs="Arial" w:ascii="Arial" w:hAnsi="Arial" w:asciiTheme="minorHAnsi" w:cstheme="minorHAnsi" w:hAnsiTheme="minorHAnsi"/>
          <w:sz w:val="20"/>
          <w:szCs w:val="20"/>
        </w:rPr>
        <w:t>, 24–37 (2015).</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41. </w:t>
        <w:tab/>
        <w:t xml:space="preserve">C. A. E. Strömberg, R. E. Dunn, R. H. Madden, M. J. Kohn, A. A. Carlini, Decoupling the spread of grasslands from the evolution of grazer-type herbivores in South America. </w:t>
      </w:r>
      <w:r>
        <w:rPr>
          <w:rFonts w:cs="Arial" w:ascii="Arial" w:hAnsi="Arial" w:asciiTheme="minorHAnsi" w:cstheme="minorHAnsi" w:hAnsiTheme="minorHAnsi"/>
          <w:i/>
          <w:sz w:val="20"/>
          <w:szCs w:val="20"/>
        </w:rPr>
        <w:t>Nat. Commun.</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w:t>
      </w:r>
      <w:r>
        <w:rPr>
          <w:rFonts w:cs="Arial" w:ascii="Arial" w:hAnsi="Arial" w:asciiTheme="minorHAnsi" w:cstheme="minorHAnsi" w:hAnsiTheme="minorHAnsi"/>
          <w:sz w:val="20"/>
          <w:szCs w:val="20"/>
        </w:rPr>
        <w:t>, 1478 (2013).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42. </w:t>
        <w:tab/>
        <w:t xml:space="preserve">D. Silvestro, J. Schnitzler, L. H. Liow, A. Antonelli, N. Salamin, Bayesian Estimation of Speciation and Extinction from Incomplete Fossil Occurrence Data. </w:t>
      </w:r>
      <w:r>
        <w:rPr>
          <w:rFonts w:cs="Arial" w:ascii="Arial" w:hAnsi="Arial" w:asciiTheme="minorHAnsi" w:cstheme="minorHAnsi" w:hAnsiTheme="minorHAnsi"/>
          <w:i/>
          <w:sz w:val="20"/>
          <w:szCs w:val="20"/>
        </w:rPr>
        <w:t>Syst. Biol.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63</w:t>
      </w:r>
      <w:r>
        <w:rPr>
          <w:rFonts w:cs="Arial" w:ascii="Arial" w:hAnsi="Arial" w:asciiTheme="minorHAnsi" w:cstheme="minorHAnsi" w:hAnsiTheme="minorHAnsi"/>
          <w:sz w:val="20"/>
          <w:szCs w:val="20"/>
        </w:rPr>
        <w:t>, 349–367 (2014).</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43. </w:t>
        <w:tab/>
        <w:t xml:space="preserve">D. Silvestro, N. Salamin, J. Schnitzler, PyRate: a new program to estimate speciation and extinction rates from incomplete fossil data. </w:t>
      </w:r>
      <w:r>
        <w:rPr>
          <w:rFonts w:cs="Arial" w:ascii="Arial" w:hAnsi="Arial" w:asciiTheme="minorHAnsi" w:cstheme="minorHAnsi" w:hAnsiTheme="minorHAnsi"/>
          <w:i/>
          <w:sz w:val="20"/>
          <w:szCs w:val="20"/>
        </w:rPr>
        <w:t>Methods Ecol. Evol.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5</w:t>
      </w:r>
      <w:r>
        <w:rPr>
          <w:rFonts w:cs="Arial" w:ascii="Arial" w:hAnsi="Arial" w:asciiTheme="minorHAnsi" w:cstheme="minorHAnsi" w:hAnsiTheme="minorHAnsi"/>
          <w:sz w:val="20"/>
          <w:szCs w:val="20"/>
        </w:rPr>
        <w:t>, 1126–1131 (2014).</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44. </w:t>
        <w:tab/>
        <w:t xml:space="preserve">J. C. Zachos, G. R. Dickens, R. E. Zeebe, An early Cenozoic perspective on greenhouse warming and carbon-cycle dynamics. </w:t>
      </w:r>
      <w:r>
        <w:rPr>
          <w:rFonts w:cs="Arial" w:ascii="Arial" w:hAnsi="Arial" w:asciiTheme="minorHAnsi" w:cstheme="minorHAnsi" w:hAnsiTheme="minorHAnsi"/>
          <w:i/>
          <w:sz w:val="20"/>
          <w:szCs w:val="20"/>
        </w:rPr>
        <w:t>Nature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451</w:t>
      </w:r>
      <w:r>
        <w:rPr>
          <w:rFonts w:cs="Arial" w:ascii="Arial" w:hAnsi="Arial" w:asciiTheme="minorHAnsi" w:cstheme="minorHAnsi" w:hAnsiTheme="minorHAnsi"/>
          <w:sz w:val="20"/>
          <w:szCs w:val="20"/>
        </w:rPr>
        <w:t>, 279–283 (2008).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45. </w:t>
        <w:tab/>
        <w:t xml:space="preserve">M. R. Ciancio, A. A. Carlini, K. E. Campbell, G. J. Scillato-Yané, New Palaeogene cingulates (Mammalia, Xenarthra) from Santa Rosa, Perú and their importance in the context of South American faunas. </w:t>
      </w:r>
      <w:r>
        <w:rPr>
          <w:rFonts w:cs="Arial" w:ascii="Arial" w:hAnsi="Arial" w:asciiTheme="minorHAnsi" w:cstheme="minorHAnsi" w:hAnsiTheme="minorHAnsi"/>
          <w:i/>
          <w:sz w:val="20"/>
          <w:szCs w:val="20"/>
        </w:rPr>
        <w:t>J. Syst. Palaeontol.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11</w:t>
      </w:r>
      <w:r>
        <w:rPr>
          <w:rFonts w:cs="Arial" w:ascii="Arial" w:hAnsi="Arial" w:asciiTheme="minorHAnsi" w:cstheme="minorHAnsi" w:hAnsiTheme="minorHAnsi"/>
          <w:sz w:val="20"/>
          <w:szCs w:val="20"/>
        </w:rPr>
        <w:t>, 727–741 (2013).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46. </w:t>
        <w:tab/>
        <w:t xml:space="preserve">D. R. Prothero, The Late Eocene-Oligocene Extinctions. </w:t>
      </w:r>
      <w:r>
        <w:rPr>
          <w:rFonts w:cs="Arial" w:ascii="Arial" w:hAnsi="Arial" w:asciiTheme="minorHAnsi" w:cstheme="minorHAnsi" w:hAnsiTheme="minorHAnsi"/>
          <w:i/>
          <w:sz w:val="20"/>
          <w:szCs w:val="20"/>
        </w:rPr>
        <w:t>Annu. Rev. Earth Planet.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22</w:t>
      </w:r>
      <w:r>
        <w:rPr>
          <w:rFonts w:cs="Arial" w:ascii="Arial" w:hAnsi="Arial" w:asciiTheme="minorHAnsi" w:cstheme="minorHAnsi" w:hAnsiTheme="minorHAnsi"/>
          <w:sz w:val="20"/>
          <w:szCs w:val="20"/>
        </w:rPr>
        <w:t>, 145–165 (1994).</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47. </w:t>
        <w:tab/>
        <w:t xml:space="preserve">P.-O. Antoine,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A 60-million-year Cenozoic history of western Amazonian ecosystems in Contamana, eastern Peru. </w:t>
      </w:r>
      <w:r>
        <w:rPr>
          <w:rFonts w:cs="Arial" w:ascii="Arial" w:hAnsi="Arial" w:asciiTheme="minorHAnsi" w:cstheme="minorHAnsi" w:hAnsiTheme="minorHAnsi"/>
          <w:i/>
          <w:sz w:val="20"/>
          <w:szCs w:val="20"/>
        </w:rPr>
        <w:t>Gondwana Res.</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31</w:t>
      </w:r>
      <w:r>
        <w:rPr>
          <w:rFonts w:cs="Arial" w:ascii="Arial" w:hAnsi="Arial" w:asciiTheme="minorHAnsi" w:cstheme="minorHAnsi" w:hAnsiTheme="minorHAnsi"/>
          <w:sz w:val="20"/>
          <w:szCs w:val="20"/>
        </w:rPr>
        <w:t>, 30–59 (2016).</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48. </w:t>
        <w:tab/>
        <w:t xml:space="preserve">B. J. MacFadden,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Magnetic Polarity Stratigraphy and Mammalian Fauna of the Deseadan (Late Oligocene-Early Miocene) Salla Beds of Northern Bolivia. </w:t>
      </w:r>
      <w:r>
        <w:rPr>
          <w:rFonts w:cs="Arial" w:ascii="Arial" w:hAnsi="Arial" w:asciiTheme="minorHAnsi" w:cstheme="minorHAnsi" w:hAnsiTheme="minorHAnsi"/>
          <w:i/>
          <w:sz w:val="20"/>
          <w:szCs w:val="20"/>
        </w:rPr>
        <w:t>J. Geol.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93</w:t>
      </w:r>
      <w:r>
        <w:rPr>
          <w:rFonts w:cs="Arial" w:ascii="Arial" w:hAnsi="Arial" w:asciiTheme="minorHAnsi" w:cstheme="minorHAnsi" w:hAnsiTheme="minorHAnsi"/>
          <w:sz w:val="20"/>
          <w:szCs w:val="20"/>
        </w:rPr>
        <w:t>, 223–250 (1985).</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49. </w:t>
        <w:tab/>
        <w:t xml:space="preserve">G. L. Stebbins, “Trends of Angiosperm Phylogeny - The Ecological Basis of Diversity” in </w:t>
      </w:r>
      <w:r>
        <w:rPr>
          <w:rFonts w:cs="Arial" w:ascii="Arial" w:hAnsi="Arial" w:asciiTheme="minorHAnsi" w:cstheme="minorHAnsi" w:hAnsiTheme="minorHAnsi"/>
          <w:i/>
          <w:sz w:val="20"/>
          <w:szCs w:val="20"/>
        </w:rPr>
        <w:t>Flowering Plants: Evolution above the Species Level</w:t>
      </w:r>
      <w:r>
        <w:rPr>
          <w:rFonts w:cs="Arial" w:ascii="Arial" w:hAnsi="Arial" w:asciiTheme="minorHAnsi" w:cstheme="minorHAnsi" w:hAnsiTheme="minorHAnsi"/>
          <w:sz w:val="20"/>
          <w:szCs w:val="20"/>
        </w:rPr>
        <w:t>, The Belknap Press of Harvard University Press, (1974), pp. 156–170.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50. </w:t>
        <w:tab/>
        <w:t xml:space="preserve">P. D. Mannion, P. Upchurch, R. B. J. Benson, A. Goswami, The latitudinal biodiversity gradient through deep time. </w:t>
      </w:r>
      <w:r>
        <w:rPr>
          <w:rFonts w:cs="Arial" w:ascii="Arial" w:hAnsi="Arial" w:asciiTheme="minorHAnsi" w:cstheme="minorHAnsi" w:hAnsiTheme="minorHAnsi"/>
          <w:i/>
          <w:sz w:val="20"/>
          <w:szCs w:val="20"/>
        </w:rPr>
        <w:t>Trends Ecol. Evol.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29</w:t>
      </w:r>
      <w:r>
        <w:rPr>
          <w:rFonts w:cs="Arial" w:ascii="Arial" w:hAnsi="Arial" w:asciiTheme="minorHAnsi" w:cstheme="minorHAnsi" w:hAnsiTheme="minorHAnsi"/>
          <w:sz w:val="20"/>
          <w:szCs w:val="20"/>
        </w:rPr>
        <w:t>, 42–50 (2014).</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51. </w:t>
        <w:tab/>
        <w:t xml:space="preserve">T. Vasconcelos, B. C. O’Meara, J. M. Beaulieu, Retiring “Cradles” and “Museums” of Biodiversity. </w:t>
      </w:r>
      <w:r>
        <w:rPr>
          <w:rFonts w:cs="Arial" w:ascii="Arial" w:hAnsi="Arial" w:asciiTheme="minorHAnsi" w:cstheme="minorHAnsi" w:hAnsiTheme="minorHAnsi"/>
          <w:i/>
          <w:sz w:val="20"/>
          <w:szCs w:val="20"/>
        </w:rPr>
        <w:t>Am. Nat.</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199</w:t>
      </w:r>
      <w:r>
        <w:rPr>
          <w:rFonts w:cs="Arial" w:ascii="Arial" w:hAnsi="Arial" w:asciiTheme="minorHAnsi" w:cstheme="minorHAnsi" w:hAnsiTheme="minorHAnsi"/>
          <w:sz w:val="20"/>
          <w:szCs w:val="20"/>
        </w:rPr>
        <w:t>, 194–205 (2022).</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52. </w:t>
        <w:tab/>
        <w:t xml:space="preserve">J. Rolland, F. L. Condamine, F. Jiguet, H. Morlon, Faster Speciation and Reduced Extinction in the Tropics Contribute to the Mammalian Latitudinal Diversity Gradient. </w:t>
      </w:r>
      <w:r>
        <w:rPr>
          <w:rFonts w:cs="Arial" w:ascii="Arial" w:hAnsi="Arial" w:asciiTheme="minorHAnsi" w:cstheme="minorHAnsi" w:hAnsiTheme="minorHAnsi"/>
          <w:i/>
          <w:sz w:val="20"/>
          <w:szCs w:val="20"/>
        </w:rPr>
        <w:t>PLOS Biol.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12</w:t>
      </w:r>
      <w:r>
        <w:rPr>
          <w:rFonts w:cs="Arial" w:ascii="Arial" w:hAnsi="Arial" w:asciiTheme="minorHAnsi" w:cstheme="minorHAnsi" w:hAnsiTheme="minorHAnsi"/>
          <w:sz w:val="20"/>
          <w:szCs w:val="20"/>
        </w:rPr>
        <w:t>, e1001775 (2014).</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53. </w:t>
        <w:tab/>
        <w:t xml:space="preserve">I. Quintero, M. J. Landis, W. Jetz, H. Morlon, The build-up of the present-day tropical diversity of tetrapods. </w:t>
      </w:r>
      <w:r>
        <w:rPr>
          <w:rFonts w:cs="Arial" w:ascii="Arial" w:hAnsi="Arial" w:asciiTheme="minorHAnsi" w:cstheme="minorHAnsi" w:hAnsiTheme="minorHAnsi"/>
          <w:i/>
          <w:sz w:val="20"/>
          <w:szCs w:val="20"/>
        </w:rPr>
        <w:t>Proc. Natl. Acad.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120</w:t>
      </w:r>
      <w:r>
        <w:rPr>
          <w:rFonts w:cs="Arial" w:ascii="Arial" w:hAnsi="Arial" w:asciiTheme="minorHAnsi" w:cstheme="minorHAnsi" w:hAnsiTheme="minorHAnsi"/>
          <w:sz w:val="20"/>
          <w:szCs w:val="20"/>
        </w:rPr>
        <w:t>, e2220672120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54. </w:t>
        <w:tab/>
        <w:t xml:space="preserve">A. S. Meseguer, F. L. Condamine, Ancient tropical extinctions at high latitudes contributed to the latitudinal diversity gradient. </w:t>
      </w:r>
      <w:r>
        <w:rPr>
          <w:rFonts w:cs="Arial" w:ascii="Arial" w:hAnsi="Arial" w:asciiTheme="minorHAnsi" w:cstheme="minorHAnsi" w:hAnsiTheme="minorHAnsi"/>
          <w:i/>
          <w:sz w:val="20"/>
          <w:szCs w:val="20"/>
        </w:rPr>
        <w:t>Evolution</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74</w:t>
      </w:r>
      <w:r>
        <w:rPr>
          <w:rFonts w:cs="Arial" w:ascii="Arial" w:hAnsi="Arial" w:asciiTheme="minorHAnsi" w:cstheme="minorHAnsi" w:hAnsiTheme="minorHAnsi"/>
          <w:sz w:val="20"/>
          <w:szCs w:val="20"/>
        </w:rPr>
        <w:t>, 1966–1987 (2020).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55. </w:t>
        <w:tab/>
        <w:t xml:space="preserve">D. Jablonski, K. Roy, J. W. Valentine, Out of the Tropics: Evolutionary Dynamics of the Latitudinal Diversity Gradient. </w:t>
      </w:r>
      <w:r>
        <w:rPr>
          <w:rFonts w:cs="Arial" w:ascii="Arial" w:hAnsi="Arial" w:asciiTheme="minorHAnsi" w:cstheme="minorHAnsi" w:hAnsiTheme="minorHAnsi"/>
          <w:i/>
          <w:sz w:val="20"/>
          <w:szCs w:val="20"/>
        </w:rPr>
        <w:t>Science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314</w:t>
      </w:r>
      <w:r>
        <w:rPr>
          <w:rFonts w:cs="Arial" w:ascii="Arial" w:hAnsi="Arial" w:asciiTheme="minorHAnsi" w:cstheme="minorHAnsi" w:hAnsiTheme="minorHAnsi"/>
          <w:sz w:val="20"/>
          <w:szCs w:val="20"/>
        </w:rPr>
        <w:t>, 102–106 (2006).</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56. </w:t>
        <w:tab/>
        <w:t xml:space="preserve">O. Hagen, T. Andermann, T. B. Quental, A. Antonelli, D. Silvestro, Estimating Age-Dependent Extinction: Contrasting Evidence from Fossils and Phylogenies. </w:t>
      </w:r>
      <w:r>
        <w:rPr>
          <w:rFonts w:cs="Arial" w:ascii="Arial" w:hAnsi="Arial" w:asciiTheme="minorHAnsi" w:cstheme="minorHAnsi" w:hAnsiTheme="minorHAnsi"/>
          <w:i/>
          <w:sz w:val="20"/>
          <w:szCs w:val="20"/>
        </w:rPr>
        <w:t>Syst. Biol.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67</w:t>
      </w:r>
      <w:r>
        <w:rPr>
          <w:rFonts w:cs="Arial" w:ascii="Arial" w:hAnsi="Arial" w:asciiTheme="minorHAnsi" w:cstheme="minorHAnsi" w:hAnsiTheme="minorHAnsi"/>
          <w:sz w:val="20"/>
          <w:szCs w:val="20"/>
        </w:rPr>
        <w:t>, 458–474 (2018).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57. </w:t>
        <w:tab/>
        <w:t xml:space="preserve">S. Finnegan, J. L. Payne, S. C. Wang, The Red Queen Revisited: Reevaluating the Age Selectivity of Phanerozoic Marine Genus Extinctions. </w:t>
      </w:r>
      <w:r>
        <w:rPr>
          <w:rFonts w:cs="Arial" w:ascii="Arial" w:hAnsi="Arial" w:asciiTheme="minorHAnsi" w:cstheme="minorHAnsi" w:hAnsiTheme="minorHAnsi"/>
          <w:i/>
          <w:sz w:val="20"/>
          <w:szCs w:val="20"/>
        </w:rPr>
        <w:t>Paleobiology</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34</w:t>
      </w:r>
      <w:r>
        <w:rPr>
          <w:rFonts w:cs="Arial" w:ascii="Arial" w:hAnsi="Arial" w:asciiTheme="minorHAnsi" w:cstheme="minorHAnsi" w:hAnsiTheme="minorHAnsi"/>
          <w:sz w:val="20"/>
          <w:szCs w:val="20"/>
        </w:rPr>
        <w:t>, 318–341 (2008).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58. </w:t>
        <w:tab/>
        <w:t xml:space="preserve">F. L. Condamine, J. Romieu, G. Guinot, Climate cooling and clade competition likely drove the decline of lamniform sharks. </w:t>
      </w:r>
      <w:r>
        <w:rPr>
          <w:rFonts w:cs="Arial" w:ascii="Arial" w:hAnsi="Arial" w:asciiTheme="minorHAnsi" w:cstheme="minorHAnsi" w:hAnsiTheme="minorHAnsi"/>
          <w:i/>
          <w:sz w:val="20"/>
          <w:szCs w:val="20"/>
        </w:rPr>
        <w:t>Proc. Natl. Acad.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116</w:t>
      </w:r>
      <w:r>
        <w:rPr>
          <w:rFonts w:cs="Arial" w:ascii="Arial" w:hAnsi="Arial" w:asciiTheme="minorHAnsi" w:cstheme="minorHAnsi" w:hAnsiTheme="minorHAnsi"/>
          <w:sz w:val="20"/>
          <w:szCs w:val="20"/>
        </w:rPr>
        <w:t>, 20584–20590 (2019).</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59. </w:t>
        <w:tab/>
        <w:t xml:space="preserve">D. Silvestro,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A 450 million years long latitudinal gradient in age-dependent extinction. </w:t>
      </w:r>
      <w:r>
        <w:rPr>
          <w:rFonts w:cs="Arial" w:ascii="Arial" w:hAnsi="Arial" w:asciiTheme="minorHAnsi" w:cstheme="minorHAnsi" w:hAnsiTheme="minorHAnsi"/>
          <w:i/>
          <w:sz w:val="20"/>
          <w:szCs w:val="20"/>
        </w:rPr>
        <w:t>Ecol. Lett.</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23</w:t>
      </w:r>
      <w:r>
        <w:rPr>
          <w:rFonts w:cs="Arial" w:ascii="Arial" w:hAnsi="Arial" w:asciiTheme="minorHAnsi" w:cstheme="minorHAnsi" w:hAnsiTheme="minorHAnsi"/>
          <w:sz w:val="20"/>
          <w:szCs w:val="20"/>
        </w:rPr>
        <w:t>, 439–446 (2020).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60. </w:t>
        <w:tab/>
        <w:t xml:space="preserve">J. G. Saulsbury, C. T. Parins-Fukuchi, C. J. Wilson, T. Reitan, L. H. Liow, Age-dependent extinction and the neutral theory of biodiversity. </w:t>
      </w:r>
      <w:r>
        <w:rPr>
          <w:rFonts w:cs="Arial" w:ascii="Arial" w:hAnsi="Arial" w:asciiTheme="minorHAnsi" w:cstheme="minorHAnsi" w:hAnsiTheme="minorHAnsi"/>
          <w:i/>
          <w:sz w:val="20"/>
          <w:szCs w:val="20"/>
        </w:rPr>
        <w:t>Proc. Natl. Acad.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121</w:t>
      </w:r>
      <w:r>
        <w:rPr>
          <w:rFonts w:cs="Arial" w:ascii="Arial" w:hAnsi="Arial" w:asciiTheme="minorHAnsi" w:cstheme="minorHAnsi" w:hAnsiTheme="minorHAnsi"/>
          <w:sz w:val="20"/>
          <w:szCs w:val="20"/>
        </w:rPr>
        <w:t>, e2307629121 (2024).</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61. </w:t>
        <w:tab/>
        <w:t>IPCC, “Climate Change 2023: Synthesis Report. Contribution of Working Groups I, II and III to the Sixth Assessment Report of the Intergovernmental Panel on Climate Change [Core Writing Team, H. Lee and J. Romero (eds.)]” (IPCC,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62. </w:t>
        <w:tab/>
        <w:t xml:space="preserve">F. L. Condamine, J. Rolland, H. Morlon, Macroevolutionary perspectives to environmental change. </w:t>
      </w:r>
      <w:r>
        <w:rPr>
          <w:rFonts w:cs="Arial" w:ascii="Arial" w:hAnsi="Arial" w:asciiTheme="minorHAnsi" w:cstheme="minorHAnsi" w:hAnsiTheme="minorHAnsi"/>
          <w:i/>
          <w:sz w:val="20"/>
          <w:szCs w:val="20"/>
        </w:rPr>
        <w:t>Ecol. Lett.</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16</w:t>
      </w:r>
      <w:r>
        <w:rPr>
          <w:rFonts w:cs="Arial" w:ascii="Arial" w:hAnsi="Arial" w:asciiTheme="minorHAnsi" w:cstheme="minorHAnsi" w:hAnsiTheme="minorHAnsi"/>
          <w:sz w:val="20"/>
          <w:szCs w:val="20"/>
        </w:rPr>
        <w:t>, 72–85 (2013).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63. </w:t>
        <w:tab/>
        <w:t xml:space="preserve">F. L. Condamine, J. Rolland, H. Morlon, Assessing the causes of diversification slowdowns: temperature-dependent and diversity-dependent models receive equivalent support. </w:t>
      </w:r>
      <w:r>
        <w:rPr>
          <w:rFonts w:cs="Arial" w:ascii="Arial" w:hAnsi="Arial" w:asciiTheme="minorHAnsi" w:cstheme="minorHAnsi" w:hAnsiTheme="minorHAnsi"/>
          <w:i/>
          <w:sz w:val="20"/>
          <w:szCs w:val="20"/>
        </w:rPr>
        <w:t>Ecol. Lett.</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22</w:t>
      </w:r>
      <w:r>
        <w:rPr>
          <w:rFonts w:cs="Arial" w:ascii="Arial" w:hAnsi="Arial" w:asciiTheme="minorHAnsi" w:cstheme="minorHAnsi" w:hAnsiTheme="minorHAnsi"/>
          <w:sz w:val="20"/>
          <w:szCs w:val="20"/>
        </w:rPr>
        <w:t>, 1900–1912 (2019).</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64. </w:t>
        <w:tab/>
        <w:t xml:space="preserve">R. Weppe, M. J. Orliac, G. Guinot, F. L. Condamine, Evolutionary drivers, morphological evolution and diversity dynamics of a surviving mammal clade: cainotherioids at the Eocene–Oligocene transition. </w:t>
      </w:r>
      <w:r>
        <w:rPr>
          <w:rFonts w:cs="Arial" w:ascii="Arial" w:hAnsi="Arial" w:asciiTheme="minorHAnsi" w:cstheme="minorHAnsi" w:hAnsiTheme="minorHAnsi"/>
          <w:i/>
          <w:sz w:val="20"/>
          <w:szCs w:val="20"/>
        </w:rPr>
        <w:t>Proc. R. Soc. B Biol.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288</w:t>
      </w:r>
      <w:r>
        <w:rPr>
          <w:rFonts w:cs="Arial" w:ascii="Arial" w:hAnsi="Arial" w:asciiTheme="minorHAnsi" w:cstheme="minorHAnsi" w:hAnsiTheme="minorHAnsi"/>
          <w:sz w:val="20"/>
          <w:szCs w:val="20"/>
        </w:rPr>
        <w:t>, 20210173 (2021).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65. </w:t>
        <w:tab/>
        <w:t xml:space="preserve">M. J. Pound, U. Salzmann, Heterogeneity in global vegetation and terrestrial climate change during the late Eocene to early Oligocene transition. </w:t>
      </w:r>
      <w:r>
        <w:rPr>
          <w:rFonts w:cs="Arial" w:ascii="Arial" w:hAnsi="Arial" w:asciiTheme="minorHAnsi" w:cstheme="minorHAnsi" w:hAnsiTheme="minorHAnsi"/>
          <w:i/>
          <w:sz w:val="20"/>
          <w:szCs w:val="20"/>
        </w:rPr>
        <w:t>Sci. Rep.</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7</w:t>
      </w:r>
      <w:r>
        <w:rPr>
          <w:rFonts w:cs="Arial" w:ascii="Arial" w:hAnsi="Arial" w:asciiTheme="minorHAnsi" w:cstheme="minorHAnsi" w:hAnsiTheme="minorHAnsi"/>
          <w:sz w:val="20"/>
          <w:szCs w:val="20"/>
        </w:rPr>
        <w:t>, 43386 (2017).</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66. </w:t>
        <w:tab/>
        <w:t xml:space="preserve">A. Antonelli,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Geological and climatic influences on mountain biodiversity. </w:t>
      </w:r>
      <w:r>
        <w:rPr>
          <w:rFonts w:cs="Arial" w:ascii="Arial" w:hAnsi="Arial" w:asciiTheme="minorHAnsi" w:cstheme="minorHAnsi" w:hAnsiTheme="minorHAnsi"/>
          <w:i/>
          <w:sz w:val="20"/>
          <w:szCs w:val="20"/>
        </w:rPr>
        <w:t>Nat. Geosci.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11</w:t>
      </w:r>
      <w:r>
        <w:rPr>
          <w:rFonts w:cs="Arial" w:ascii="Arial" w:hAnsi="Arial" w:asciiTheme="minorHAnsi" w:cstheme="minorHAnsi" w:hAnsiTheme="minorHAnsi"/>
          <w:sz w:val="20"/>
          <w:szCs w:val="20"/>
        </w:rPr>
        <w:t>, 718–725 (2018).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67. </w:t>
        <w:tab/>
        <w:t xml:space="preserve">A. Antonelli, J. A. A. Nylander, C. Persson, I. Sanmartín, Tracing the impact of the Andean uplift on Neotropical plant evolution. </w:t>
      </w:r>
      <w:r>
        <w:rPr>
          <w:rFonts w:cs="Arial" w:ascii="Arial" w:hAnsi="Arial" w:asciiTheme="minorHAnsi" w:cstheme="minorHAnsi" w:hAnsiTheme="minorHAnsi"/>
          <w:i/>
          <w:sz w:val="20"/>
          <w:szCs w:val="20"/>
        </w:rPr>
        <w:t>Proc. Natl. Acad.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106</w:t>
      </w:r>
      <w:r>
        <w:rPr>
          <w:rFonts w:cs="Arial" w:ascii="Arial" w:hAnsi="Arial" w:asciiTheme="minorHAnsi" w:cstheme="minorHAnsi" w:hAnsiTheme="minorHAnsi"/>
          <w:sz w:val="20"/>
          <w:szCs w:val="20"/>
        </w:rPr>
        <w:t>, 9749–9754 (2009).</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68. </w:t>
        <w:tab/>
        <w:t xml:space="preserve">L. M. Boschman, F. L. Condamine, Mountain radiations are not only rapid and recent: Ancient diversification of South American frog and lizard families related to Paleogene Andean orogeny and Cenozoic climate variations. </w:t>
      </w:r>
      <w:r>
        <w:rPr>
          <w:rFonts w:cs="Arial" w:ascii="Arial" w:hAnsi="Arial" w:asciiTheme="minorHAnsi" w:cstheme="minorHAnsi" w:hAnsiTheme="minorHAnsi"/>
          <w:i/>
          <w:sz w:val="20"/>
          <w:szCs w:val="20"/>
        </w:rPr>
        <w:t>Glob. Planet. Change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208</w:t>
      </w:r>
      <w:r>
        <w:rPr>
          <w:rFonts w:cs="Arial" w:ascii="Arial" w:hAnsi="Arial" w:asciiTheme="minorHAnsi" w:cstheme="minorHAnsi" w:hAnsiTheme="minorHAnsi"/>
          <w:sz w:val="20"/>
          <w:szCs w:val="20"/>
        </w:rPr>
        <w:t>, 103704 (2022).</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69. </w:t>
        <w:tab/>
        <w:t xml:space="preserve">P. Vallejos-Garrido,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The importance of the Andes in the evolutionary radiation of Sigmodontinae (Rodentia, Cricetidae), the most diverse group of mammals in the Neotropics. </w:t>
      </w:r>
      <w:r>
        <w:rPr>
          <w:rFonts w:cs="Arial" w:ascii="Arial" w:hAnsi="Arial" w:asciiTheme="minorHAnsi" w:cstheme="minorHAnsi" w:hAnsiTheme="minorHAnsi"/>
          <w:i/>
          <w:sz w:val="20"/>
          <w:szCs w:val="20"/>
        </w:rPr>
        <w:t>Sci. Rep.</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13</w:t>
      </w:r>
      <w:r>
        <w:rPr>
          <w:rFonts w:cs="Arial" w:ascii="Arial" w:hAnsi="Arial" w:asciiTheme="minorHAnsi" w:cstheme="minorHAnsi" w:hAnsiTheme="minorHAnsi"/>
          <w:sz w:val="20"/>
          <w:szCs w:val="20"/>
        </w:rPr>
        <w:t>, 2207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70. </w:t>
        <w:tab/>
        <w:t xml:space="preserve">P. A. Selkin,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Climate, dust, and fire across the Eocene-Oligocene transition, Patagonia. </w:t>
      </w:r>
      <w:r>
        <w:rPr>
          <w:rFonts w:cs="Arial" w:ascii="Arial" w:hAnsi="Arial" w:asciiTheme="minorHAnsi" w:cstheme="minorHAnsi" w:hAnsiTheme="minorHAnsi"/>
          <w:i/>
          <w:sz w:val="20"/>
          <w:szCs w:val="20"/>
        </w:rPr>
        <w:t>Geology</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43</w:t>
      </w:r>
      <w:r>
        <w:rPr>
          <w:rFonts w:cs="Arial" w:ascii="Arial" w:hAnsi="Arial" w:asciiTheme="minorHAnsi" w:cstheme="minorHAnsi" w:hAnsiTheme="minorHAnsi"/>
          <w:sz w:val="20"/>
          <w:szCs w:val="20"/>
        </w:rPr>
        <w:t>, 567–570 (2015).</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71. </w:t>
        <w:tab/>
        <w:t xml:space="preserve">R. E. Dunn, C. A. E. Strömberg, R. H. Madden, M. J. Kohn, A. A. Carlini, Linked canopy, climate, and faunal change in the Cenozoic of Patagonia. </w:t>
      </w:r>
      <w:r>
        <w:rPr>
          <w:rFonts w:cs="Arial" w:ascii="Arial" w:hAnsi="Arial" w:asciiTheme="minorHAnsi" w:cstheme="minorHAnsi" w:hAnsiTheme="minorHAnsi"/>
          <w:i/>
          <w:sz w:val="20"/>
          <w:szCs w:val="20"/>
        </w:rPr>
        <w:t>Science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347</w:t>
      </w:r>
      <w:r>
        <w:rPr>
          <w:rFonts w:cs="Arial" w:ascii="Arial" w:hAnsi="Arial" w:asciiTheme="minorHAnsi" w:cstheme="minorHAnsi" w:hAnsiTheme="minorHAnsi"/>
          <w:sz w:val="20"/>
          <w:szCs w:val="20"/>
        </w:rPr>
        <w:t>, 258–261 (2015).</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72. </w:t>
        <w:tab/>
        <w:t xml:space="preserve">A. Antonelli,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Amazonia is the primary source of Neotropical biodiversity. </w:t>
      </w:r>
      <w:r>
        <w:rPr>
          <w:rFonts w:cs="Arial" w:ascii="Arial" w:hAnsi="Arial" w:asciiTheme="minorHAnsi" w:cstheme="minorHAnsi" w:hAnsiTheme="minorHAnsi"/>
          <w:i/>
          <w:sz w:val="20"/>
          <w:szCs w:val="20"/>
        </w:rPr>
        <w:t>Proc. Natl. Acad.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115</w:t>
      </w:r>
      <w:r>
        <w:rPr>
          <w:rFonts w:cs="Arial" w:ascii="Arial" w:hAnsi="Arial" w:asciiTheme="minorHAnsi" w:cstheme="minorHAnsi" w:hAnsiTheme="minorHAnsi"/>
          <w:sz w:val="20"/>
          <w:szCs w:val="20"/>
        </w:rPr>
        <w:t>, 6034–6039 (2018).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73. </w:t>
        <w:tab/>
        <w:t xml:space="preserve">J. T. Flannery-Sutherland, D. Silvestro, M. J. Benton, Global diversity dynamics in the fossil record are regionally heterogeneous. </w:t>
      </w:r>
      <w:r>
        <w:rPr>
          <w:rFonts w:cs="Arial" w:ascii="Arial" w:hAnsi="Arial" w:asciiTheme="minorHAnsi" w:cstheme="minorHAnsi" w:hAnsiTheme="minorHAnsi"/>
          <w:i/>
          <w:sz w:val="20"/>
          <w:szCs w:val="20"/>
        </w:rPr>
        <w:t>Nat. Commun.</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13</w:t>
      </w:r>
      <w:r>
        <w:rPr>
          <w:rFonts w:cs="Arial" w:ascii="Arial" w:hAnsi="Arial" w:asciiTheme="minorHAnsi" w:cstheme="minorHAnsi" w:hAnsiTheme="minorHAnsi"/>
          <w:sz w:val="20"/>
          <w:szCs w:val="20"/>
        </w:rPr>
        <w:t>, 2751 (2022).</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74. </w:t>
        <w:tab/>
        <w:t xml:space="preserve">C. Jouault, F. L. Condamine, F. Legendre, V. Perrichot, The Angiosperm Terrestrial Revolution buffered ants against extinction. </w:t>
      </w:r>
      <w:r>
        <w:rPr>
          <w:rFonts w:cs="Arial" w:ascii="Arial" w:hAnsi="Arial" w:asciiTheme="minorHAnsi" w:cstheme="minorHAnsi" w:hAnsiTheme="minorHAnsi"/>
          <w:i/>
          <w:sz w:val="20"/>
          <w:szCs w:val="20"/>
        </w:rPr>
        <w:t>Proc. Natl. Acad. Sci.</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121</w:t>
      </w:r>
      <w:r>
        <w:rPr>
          <w:rFonts w:cs="Arial" w:ascii="Arial" w:hAnsi="Arial" w:asciiTheme="minorHAnsi" w:cstheme="minorHAnsi" w:hAnsiTheme="minorHAnsi"/>
          <w:sz w:val="20"/>
          <w:szCs w:val="20"/>
        </w:rPr>
        <w:t>, e2317795121 (2024).</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75. </w:t>
        <w:tab/>
        <w:t>C. Scotese, N. M. Wright, PALEOMAP Paleodigital Elevation Models (PaleoDEMs) for the Phanerozoic PALEOMAP Project. (2018).</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76. </w:t>
        <w:tab/>
        <w:t xml:space="preserve">C. R. Scotese, H. Song, B. J. W. Mills, D. G. van der Meer, Phanerozoic paleotemperatures: The earth’s changing climate during the last 540 million years. </w:t>
      </w:r>
      <w:r>
        <w:rPr>
          <w:rFonts w:cs="Arial" w:ascii="Arial" w:hAnsi="Arial" w:asciiTheme="minorHAnsi" w:cstheme="minorHAnsi" w:hAnsiTheme="minorHAnsi"/>
          <w:i/>
          <w:sz w:val="20"/>
          <w:szCs w:val="20"/>
        </w:rPr>
        <w:t>Earth-Sci. Rev.</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215</w:t>
      </w:r>
      <w:r>
        <w:rPr>
          <w:rFonts w:cs="Arial" w:ascii="Arial" w:hAnsi="Arial" w:asciiTheme="minorHAnsi" w:cstheme="minorHAnsi" w:hAnsiTheme="minorHAnsi"/>
          <w:sz w:val="20"/>
          <w:szCs w:val="20"/>
        </w:rPr>
        <w:t>, 103503 (2021).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77. </w:t>
        <w:tab/>
        <w:t xml:space="preserve">D. Silvestro, N. Salamin, A. Antonelli, X. Meyer, Improved estimation of macroevolutionary rates from fossil data using a Bayesian framework. </w:t>
      </w:r>
      <w:r>
        <w:rPr>
          <w:rFonts w:cs="Arial" w:ascii="Arial" w:hAnsi="Arial" w:asciiTheme="minorHAnsi" w:cstheme="minorHAnsi" w:hAnsiTheme="minorHAnsi"/>
          <w:i/>
          <w:sz w:val="20"/>
          <w:szCs w:val="20"/>
        </w:rPr>
        <w:t>Paleobiology</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45</w:t>
      </w:r>
      <w:r>
        <w:rPr>
          <w:rFonts w:cs="Arial" w:ascii="Arial" w:hAnsi="Arial" w:asciiTheme="minorHAnsi" w:cstheme="minorHAnsi" w:hAnsiTheme="minorHAnsi"/>
          <w:sz w:val="20"/>
          <w:szCs w:val="20"/>
        </w:rPr>
        <w:t>, 546–570 (2019).</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78. </w:t>
        <w:tab/>
        <w:t xml:space="preserve">D. Silvestro, B. Cascales-Miñana, C. D. Bacon, A. Antonelli, Revisiting the origin and diversification of vascular plants through a comprehensive Bayesian analysis of the fossil record. </w:t>
      </w:r>
      <w:r>
        <w:rPr>
          <w:rFonts w:cs="Arial" w:ascii="Arial" w:hAnsi="Arial" w:asciiTheme="minorHAnsi" w:cstheme="minorHAnsi" w:hAnsiTheme="minorHAnsi"/>
          <w:i/>
          <w:sz w:val="20"/>
          <w:szCs w:val="20"/>
        </w:rPr>
        <w:t>New Phytol.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207</w:t>
      </w:r>
      <w:r>
        <w:rPr>
          <w:rFonts w:cs="Arial" w:ascii="Arial" w:hAnsi="Arial" w:asciiTheme="minorHAnsi" w:cstheme="minorHAnsi" w:hAnsiTheme="minorHAnsi"/>
          <w:sz w:val="20"/>
          <w:szCs w:val="20"/>
        </w:rPr>
        <w:t>, 425–436 (2015).</w:t>
      </w:r>
    </w:p>
    <w:p>
      <w:pPr>
        <w:pStyle w:val="Bibliography1"/>
        <w:spacing w:lineRule="auto" w:line="276" w:before="0" w:after="0"/>
        <w:jc w:val="both"/>
        <w:rPr>
          <w:rFonts w:ascii="Arial" w:hAnsi="Arial" w:cs="Arial" w:asciiTheme="minorHAnsi" w:cstheme="minorHAnsi" w:hAnsiTheme="minorHAnsi"/>
          <w:sz w:val="20"/>
          <w:szCs w:val="20"/>
          <w:lang w:val="fr-FR"/>
        </w:rPr>
      </w:pPr>
      <w:r>
        <w:rPr>
          <w:rFonts w:cs="Arial" w:ascii="Arial" w:hAnsi="Arial" w:asciiTheme="minorHAnsi" w:cstheme="minorHAnsi" w:hAnsiTheme="minorHAnsi"/>
          <w:sz w:val="20"/>
          <w:szCs w:val="20"/>
          <w:lang w:val="fr-FR"/>
        </w:rPr>
        <w:t xml:space="preserve">79. </w:t>
        <w:tab/>
        <w:t xml:space="preserve">T. Wiecki, </w:t>
      </w:r>
      <w:r>
        <w:rPr>
          <w:rFonts w:cs="Arial" w:ascii="Arial" w:hAnsi="Arial" w:asciiTheme="minorHAnsi" w:cstheme="minorHAnsi" w:hAnsiTheme="minorHAnsi"/>
          <w:i/>
          <w:sz w:val="20"/>
          <w:szCs w:val="20"/>
          <w:lang w:val="fr-FR"/>
        </w:rPr>
        <w:t>et al.</w:t>
      </w:r>
      <w:r>
        <w:rPr>
          <w:rFonts w:cs="Arial" w:ascii="Arial" w:hAnsi="Arial" w:asciiTheme="minorHAnsi" w:cstheme="minorHAnsi" w:hAnsiTheme="minorHAnsi"/>
          <w:sz w:val="20"/>
          <w:szCs w:val="20"/>
          <w:lang w:val="fr-FR"/>
        </w:rPr>
        <w:t>, pymc-devs/pymc: v5.9.2. (2023). https://doi.org/10.5281/zenodo.4603970.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lang w:val="fr-FR"/>
        </w:rPr>
        <w:t xml:space="preserve">80. </w:t>
        <w:tab/>
      </w:r>
      <w:r>
        <w:rPr>
          <w:rFonts w:cs="Arial" w:ascii="Arial" w:hAnsi="Arial" w:asciiTheme="minorHAnsi" w:cstheme="minorHAnsi" w:hAnsiTheme="minorHAnsi"/>
          <w:sz w:val="20"/>
          <w:szCs w:val="20"/>
        </w:rPr>
        <w:t>R Core Team, R: A Language and Environment for Statistical Computing. (2024). Deposited 2024.</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81. </w:t>
        <w:tab/>
        <w:t xml:space="preserve">H. Wickham,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Welcome to the Tidyverse. </w:t>
      </w:r>
      <w:r>
        <w:rPr>
          <w:rFonts w:cs="Arial" w:ascii="Arial" w:hAnsi="Arial" w:asciiTheme="minorHAnsi" w:cstheme="minorHAnsi" w:hAnsiTheme="minorHAnsi"/>
          <w:i/>
          <w:sz w:val="20"/>
          <w:szCs w:val="20"/>
        </w:rPr>
        <w:t>J. Open Source Softw.</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4</w:t>
      </w:r>
      <w:r>
        <w:rPr>
          <w:rFonts w:cs="Arial" w:ascii="Arial" w:hAnsi="Arial" w:asciiTheme="minorHAnsi" w:cstheme="minorHAnsi" w:hAnsiTheme="minorHAnsi"/>
          <w:sz w:val="20"/>
          <w:szCs w:val="20"/>
        </w:rPr>
        <w:t>, 1686 (2019).</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82. </w:t>
        <w:tab/>
        <w:t xml:space="preserve">L. A. Jones,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palaeoverse: A community-driven R package to support palaeobiological analysis. </w:t>
      </w:r>
      <w:r>
        <w:rPr>
          <w:rFonts w:cs="Arial" w:ascii="Arial" w:hAnsi="Arial" w:asciiTheme="minorHAnsi" w:cstheme="minorHAnsi" w:hAnsiTheme="minorHAnsi"/>
          <w:i/>
          <w:sz w:val="20"/>
          <w:szCs w:val="20"/>
        </w:rPr>
        <w:t>Methods Ecol. Evol.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14</w:t>
      </w:r>
      <w:r>
        <w:rPr>
          <w:rFonts w:cs="Arial" w:ascii="Arial" w:hAnsi="Arial" w:asciiTheme="minorHAnsi" w:cstheme="minorHAnsi" w:hAnsiTheme="minorHAnsi"/>
          <w:sz w:val="20"/>
          <w:szCs w:val="20"/>
        </w:rPr>
        <w:t>, 2205–2215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83. </w:t>
        <w:tab/>
        <w:t>W. Gearty, deeptime: Plotting Tools for Anyone Working in Deep Time. R package version 1.0.1. (2023). Deposited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84. </w:t>
        <w:tab/>
        <w:t xml:space="preserve">W. Gearty, L. A. Jones, rphylopic: An R package for fetching, transforming, and visualising PhyloPic silhouettes. </w:t>
      </w:r>
      <w:r>
        <w:rPr>
          <w:rFonts w:cs="Arial" w:ascii="Arial" w:hAnsi="Arial" w:asciiTheme="minorHAnsi" w:cstheme="minorHAnsi" w:hAnsiTheme="minorHAnsi"/>
          <w:i/>
          <w:sz w:val="20"/>
          <w:szCs w:val="20"/>
        </w:rPr>
        <w:t>Methods Ecol. Evol.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14</w:t>
      </w:r>
      <w:r>
        <w:rPr>
          <w:rFonts w:cs="Arial" w:ascii="Arial" w:hAnsi="Arial" w:asciiTheme="minorHAnsi" w:cstheme="minorHAnsi" w:hAnsiTheme="minorHAnsi"/>
          <w:sz w:val="20"/>
          <w:szCs w:val="20"/>
        </w:rPr>
        <w:t>, 2700–2708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85. </w:t>
        <w:tab/>
        <w:t xml:space="preserve">A. D. Barnosky, Distinguishing the effects of the Red queen and Court Jester on Miocene mammal evolution in the northern Rocky Mountains. </w:t>
      </w:r>
      <w:r>
        <w:rPr>
          <w:rFonts w:cs="Arial" w:ascii="Arial" w:hAnsi="Arial" w:asciiTheme="minorHAnsi" w:cstheme="minorHAnsi" w:hAnsiTheme="minorHAnsi"/>
          <w:i/>
          <w:sz w:val="20"/>
          <w:szCs w:val="20"/>
        </w:rPr>
        <w:t>J. Vertebr. Paleontol.</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21</w:t>
      </w:r>
      <w:r>
        <w:rPr>
          <w:rFonts w:cs="Arial" w:ascii="Arial" w:hAnsi="Arial" w:asciiTheme="minorHAnsi" w:cstheme="minorHAnsi" w:hAnsiTheme="minorHAnsi"/>
          <w:sz w:val="20"/>
          <w:szCs w:val="20"/>
        </w:rPr>
        <w:t>, 172–185 (2001).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86. </w:t>
        <w:tab/>
        <w:t xml:space="preserve">L. Palazzesi, V. Barreda, Fossil pollen records reveal a late rise of open-habitat ecosystems in Patagonia. </w:t>
      </w:r>
      <w:r>
        <w:rPr>
          <w:rFonts w:cs="Arial" w:ascii="Arial" w:hAnsi="Arial" w:asciiTheme="minorHAnsi" w:cstheme="minorHAnsi" w:hAnsiTheme="minorHAnsi"/>
          <w:i/>
          <w:sz w:val="20"/>
          <w:szCs w:val="20"/>
        </w:rPr>
        <w:t>Nat. Commun.</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w:t>
      </w:r>
      <w:r>
        <w:rPr>
          <w:rFonts w:cs="Arial" w:ascii="Arial" w:hAnsi="Arial" w:asciiTheme="minorHAnsi" w:cstheme="minorHAnsi" w:hAnsiTheme="minorHAnsi"/>
          <w:sz w:val="20"/>
          <w:szCs w:val="20"/>
        </w:rPr>
        <w:t>, 1294 (2012).</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87. </w:t>
        <w:tab/>
        <w:t xml:space="preserve">A. Toumoulin,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Evolution of continental temperature seasonality from the Eocene greenhouse to the Oligocene icehouse –a model–data comparison. </w:t>
      </w:r>
      <w:r>
        <w:rPr>
          <w:rFonts w:cs="Arial" w:ascii="Arial" w:hAnsi="Arial" w:asciiTheme="minorHAnsi" w:cstheme="minorHAnsi" w:hAnsiTheme="minorHAnsi"/>
          <w:i/>
          <w:sz w:val="20"/>
          <w:szCs w:val="20"/>
        </w:rPr>
        <w:t>Clim. Past</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18</w:t>
      </w:r>
      <w:r>
        <w:rPr>
          <w:rFonts w:cs="Arial" w:ascii="Arial" w:hAnsi="Arial" w:asciiTheme="minorHAnsi" w:cstheme="minorHAnsi" w:hAnsiTheme="minorHAnsi"/>
          <w:sz w:val="20"/>
          <w:szCs w:val="20"/>
        </w:rPr>
        <w:t>, 341–362 (2022).</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88. </w:t>
        <w:tab/>
        <w:t xml:space="preserve">S. Lehtonen, </w:t>
      </w:r>
      <w:r>
        <w:rPr>
          <w:rFonts w:cs="Arial" w:ascii="Arial" w:hAnsi="Arial" w:asciiTheme="minorHAnsi" w:cstheme="minorHAnsi" w:hAnsiTheme="minorHAnsi"/>
          <w:i/>
          <w:sz w:val="20"/>
          <w:szCs w:val="20"/>
        </w:rPr>
        <w:t>et al.</w:t>
      </w:r>
      <w:r>
        <w:rPr>
          <w:rFonts w:cs="Arial" w:ascii="Arial" w:hAnsi="Arial" w:asciiTheme="minorHAnsi" w:cstheme="minorHAnsi" w:hAnsiTheme="minorHAnsi"/>
          <w:sz w:val="20"/>
          <w:szCs w:val="20"/>
        </w:rPr>
        <w:t xml:space="preserve">, Environmentally driven extinction and opportunistic origination explain fern diversification patterns. </w:t>
      </w:r>
      <w:r>
        <w:rPr>
          <w:rFonts w:cs="Arial" w:ascii="Arial" w:hAnsi="Arial" w:asciiTheme="minorHAnsi" w:cstheme="minorHAnsi" w:hAnsiTheme="minorHAnsi"/>
          <w:i/>
          <w:sz w:val="20"/>
          <w:szCs w:val="20"/>
        </w:rPr>
        <w:t>Sci. Rep.</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7</w:t>
      </w:r>
      <w:r>
        <w:rPr>
          <w:rFonts w:cs="Arial" w:ascii="Arial" w:hAnsi="Arial" w:asciiTheme="minorHAnsi" w:cstheme="minorHAnsi" w:hAnsiTheme="minorHAnsi"/>
          <w:sz w:val="20"/>
          <w:szCs w:val="20"/>
        </w:rPr>
        <w:t>, 4831 (2017).</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89. </w:t>
        <w:tab/>
        <w:t xml:space="preserve">C. Jouault, A. Nel, F. Legendre, F. L. Condamine, Estimating the Drivers of Diversification of Stoneflies Through Time and the Limits of Their Fossil Record. </w:t>
      </w:r>
      <w:r>
        <w:rPr>
          <w:rFonts w:cs="Arial" w:ascii="Arial" w:hAnsi="Arial" w:asciiTheme="minorHAnsi" w:cstheme="minorHAnsi" w:hAnsiTheme="minorHAnsi"/>
          <w:i/>
          <w:sz w:val="20"/>
          <w:szCs w:val="20"/>
        </w:rPr>
        <w:t>Insect Syst. Divers.</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6</w:t>
      </w:r>
      <w:r>
        <w:rPr>
          <w:rFonts w:cs="Arial" w:ascii="Arial" w:hAnsi="Arial" w:asciiTheme="minorHAnsi" w:cstheme="minorHAnsi" w:hAnsiTheme="minorHAnsi"/>
          <w:sz w:val="20"/>
          <w:szCs w:val="20"/>
        </w:rPr>
        <w:t>, 4 (2022).</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90. </w:t>
        <w:tab/>
        <w:t xml:space="preserve">S. D. Tarquini, S. Ladevèze, F. J. Prevosti, The multicausal twilight of South American native mammalian predators (Metatheria, Sparassodonta). </w:t>
      </w:r>
      <w:r>
        <w:rPr>
          <w:rFonts w:cs="Arial" w:ascii="Arial" w:hAnsi="Arial" w:asciiTheme="minorHAnsi" w:cstheme="minorHAnsi" w:hAnsiTheme="minorHAnsi"/>
          <w:i/>
          <w:sz w:val="20"/>
          <w:szCs w:val="20"/>
        </w:rPr>
        <w:t>Sci. Rep.</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12</w:t>
      </w:r>
      <w:r>
        <w:rPr>
          <w:rFonts w:cs="Arial" w:ascii="Arial" w:hAnsi="Arial" w:asciiTheme="minorHAnsi" w:cstheme="minorHAnsi" w:hAnsiTheme="minorHAnsi"/>
          <w:sz w:val="20"/>
          <w:szCs w:val="20"/>
        </w:rPr>
        <w:t>, 1224 (2022).</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91. </w:t>
        <w:tab/>
        <w:t xml:space="preserve">P. C. Fitzgerald, S. J. Carlson, Examining the Latitudinal Diversity Gradient in Paleozoic Terebratulide Brachiopods: Should Singleton Data Be Removed? </w:t>
      </w:r>
      <w:r>
        <w:rPr>
          <w:rFonts w:cs="Arial" w:ascii="Arial" w:hAnsi="Arial" w:asciiTheme="minorHAnsi" w:cstheme="minorHAnsi" w:hAnsiTheme="minorHAnsi"/>
          <w:i/>
          <w:sz w:val="20"/>
          <w:szCs w:val="20"/>
        </w:rPr>
        <w:t>Paleobiology</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32</w:t>
      </w:r>
      <w:r>
        <w:rPr>
          <w:rFonts w:cs="Arial" w:ascii="Arial" w:hAnsi="Arial" w:asciiTheme="minorHAnsi" w:cstheme="minorHAnsi" w:hAnsiTheme="minorHAnsi"/>
          <w:sz w:val="20"/>
          <w:szCs w:val="20"/>
        </w:rPr>
        <w:t>, 367–386 (2006).</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92. </w:t>
        <w:tab/>
        <w:t xml:space="preserve">M. Foote, Origination and extinction components of taxonomic diversity: General problems. </w:t>
      </w:r>
      <w:r>
        <w:rPr>
          <w:rFonts w:cs="Arial" w:ascii="Arial" w:hAnsi="Arial" w:asciiTheme="minorHAnsi" w:cstheme="minorHAnsi" w:hAnsiTheme="minorHAnsi"/>
          <w:i/>
          <w:sz w:val="20"/>
          <w:szCs w:val="20"/>
        </w:rPr>
        <w:t>Paleobiology</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26</w:t>
      </w:r>
      <w:r>
        <w:rPr>
          <w:rFonts w:cs="Arial" w:ascii="Arial" w:hAnsi="Arial" w:asciiTheme="minorHAnsi" w:cstheme="minorHAnsi" w:hAnsiTheme="minorHAnsi"/>
          <w:sz w:val="20"/>
          <w:szCs w:val="20"/>
        </w:rPr>
        <w:t>, 74–102 (2000).</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93. </w:t>
        <w:tab/>
        <w:t>O. Tange, GNU Parallel 20231222 ('Sundhnúkagígur’). (2023). Deposited 2023.</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94. </w:t>
        <w:tab/>
        <w:t xml:space="preserve">L. M. Boschman, Andean mountain building since the Late Cretaceous: A paleoelevation reconstruction. </w:t>
      </w:r>
      <w:r>
        <w:rPr>
          <w:rFonts w:cs="Arial" w:ascii="Arial" w:hAnsi="Arial" w:asciiTheme="minorHAnsi" w:cstheme="minorHAnsi" w:hAnsiTheme="minorHAnsi"/>
          <w:i/>
          <w:sz w:val="20"/>
          <w:szCs w:val="20"/>
        </w:rPr>
        <w:t>Earth-Sci. Rev.</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220</w:t>
      </w:r>
      <w:r>
        <w:rPr>
          <w:rFonts w:cs="Arial" w:ascii="Arial" w:hAnsi="Arial" w:asciiTheme="minorHAnsi" w:cstheme="minorHAnsi" w:hAnsiTheme="minorHAnsi"/>
          <w:sz w:val="20"/>
          <w:szCs w:val="20"/>
        </w:rPr>
        <w:t>, 103640 (2021).</w:t>
      </w:r>
    </w:p>
    <w:p>
      <w:pPr>
        <w:pStyle w:val="Bibliography1"/>
        <w:spacing w:lineRule="auto" w:line="276" w:before="0" w:after="0"/>
        <w:jc w:val="both"/>
        <w:rPr>
          <w:rFonts w:ascii="Arial" w:hAnsi="Arial" w:cs="Arial" w:asciiTheme="minorHAnsi" w:cstheme="minorHAnsi" w:hAnsiTheme="minorHAnsi"/>
          <w:sz w:val="20"/>
          <w:szCs w:val="20"/>
        </w:rPr>
      </w:pPr>
      <w:r>
        <w:rPr>
          <w:rFonts w:cs="Arial" w:ascii="Arial" w:hAnsi="Arial" w:asciiTheme="minorHAnsi" w:cstheme="minorHAnsi" w:hAnsiTheme="minorHAnsi"/>
          <w:sz w:val="20"/>
          <w:szCs w:val="20"/>
        </w:rPr>
        <w:t xml:space="preserve">95. </w:t>
        <w:tab/>
        <w:t xml:space="preserve">C. Jaramillo, M. J. Rueda, G. Mora, Cenozoic Plant Diversity in the Neotropics. </w:t>
      </w:r>
      <w:r>
        <w:rPr>
          <w:rFonts w:cs="Arial" w:ascii="Arial" w:hAnsi="Arial" w:asciiTheme="minorHAnsi" w:cstheme="minorHAnsi" w:hAnsiTheme="minorHAnsi"/>
          <w:i/>
          <w:sz w:val="20"/>
          <w:szCs w:val="20"/>
        </w:rPr>
        <w:t>Science</w:t>
      </w:r>
      <w:r>
        <w:rPr>
          <w:rFonts w:cs="Arial" w:ascii="Arial" w:hAnsi="Arial" w:asciiTheme="minorHAnsi" w:cstheme="minorHAnsi" w:hAnsiTheme="minorHAnsi"/>
          <w:sz w:val="20"/>
          <w:szCs w:val="20"/>
        </w:rPr>
        <w:t xml:space="preserve"> </w:t>
      </w:r>
      <w:r>
        <w:rPr>
          <w:rFonts w:cs="Arial" w:ascii="Arial" w:hAnsi="Arial" w:asciiTheme="minorHAnsi" w:cstheme="minorHAnsi" w:hAnsiTheme="minorHAnsi"/>
          <w:b/>
          <w:sz w:val="20"/>
          <w:szCs w:val="20"/>
        </w:rPr>
        <w:t>311</w:t>
      </w:r>
      <w:r>
        <w:rPr>
          <w:rFonts w:cs="Arial" w:ascii="Arial" w:hAnsi="Arial" w:asciiTheme="minorHAnsi" w:cstheme="minorHAnsi" w:hAnsiTheme="minorHAnsi"/>
          <w:sz w:val="20"/>
          <w:szCs w:val="20"/>
        </w:rPr>
        <w:t>, 1893–1896 (2006).</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Fabien Condamine" w:date="2024-06-15T15:41:00Z" w:initials="FC">
    <w:p>
      <w:r>
        <w:rPr>
          <w:rFonts w:eastAsia="DejaVu Sans" w:cs="DejaVu Sans"/>
          <w:kern w:val="0"/>
          <w:lang w:eastAsia="en-US" w:bidi="en-US" w:val="fr-FR"/>
        </w:rPr>
        <w:t>Je ferai sauter cette phrase perso. Je mets jamais ça, et en plus tu gagnes des refs.</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Cambria Math">
    <w:charset w:val="01" w:characterSet="utf-8"/>
    <w:family w:val="roman"/>
    <w:pitch w:val="variable"/>
  </w:font>
</w:fonts>
</file>

<file path=word/settings.xml><?xml version="1.0" encoding="utf-8"?>
<w:settings xmlns:w="http://schemas.openxmlformats.org/wordprocessingml/2006/main">
  <w:zoom w:percent="172"/>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CommentaireCar" w:customStyle="1">
    <w:name w:val="Commentaire Car"/>
    <w:basedOn w:val="DefaultParagraphFont"/>
    <w:link w:val="Annotation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CommentaireCar"/>
    <w:link w:val="Annotationsubject"/>
    <w:uiPriority w:val="99"/>
    <w:semiHidden/>
    <w:qFormat/>
    <w:rsid w:val="00256335"/>
    <w:rPr>
      <w:rFonts w:cs="Mangal"/>
      <w:b/>
      <w:bCs/>
      <w:sz w:val="20"/>
      <w:szCs w:val="18"/>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customStyle="1">
    <w:name w:val="Bibliography 1"/>
    <w:basedOn w:val="Index"/>
    <w:qFormat/>
    <w:pPr>
      <w:tabs>
        <w:tab w:val="clear" w:pos="709"/>
        <w:tab w:val="left" w:pos="1008" w:leader="none"/>
      </w:tabs>
      <w:spacing w:lineRule="atLeast" w:line="240" w:before="0" w:after="240"/>
      <w:ind w:start="504" w:hanging="504"/>
    </w:pPr>
    <w:rPr/>
  </w:style>
  <w:style w:type="paragraph" w:styleId="LOnormal" w:customStyle="1">
    <w:name w:val="LO-normal"/>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Annotationtext">
    <w:name w:val="annotation text"/>
    <w:basedOn w:val="Normal"/>
    <w:link w:val="CommentaireCar"/>
    <w:uiPriority w:val="99"/>
    <w:semiHidden/>
    <w:unhideWhenUsed/>
    <w:qFormat/>
    <w:pPr/>
    <w:rPr>
      <w:rFonts w:cs="Mangal"/>
      <w:sz w:val="20"/>
      <w:szCs w:val="18"/>
    </w:rPr>
  </w:style>
  <w:style w:type="paragraph" w:styleId="Revision">
    <w:name w:val="Revision"/>
    <w:uiPriority w:val="99"/>
    <w:semiHidden/>
    <w:qFormat/>
    <w:rsid w:val="00fd5b60"/>
    <w:pPr>
      <w:widowControl/>
      <w:suppressAutoHyphens w:val="false"/>
      <w:bidi w:val="0"/>
      <w:spacing w:before="0" w:after="0"/>
      <w:jc w:val="start"/>
    </w:pPr>
    <w:rPr>
      <w:rFonts w:cs="Mangal" w:ascii="Liberation Serif" w:hAnsi="Liberation Serif" w:eastAsia="Noto Serif CJK SC"/>
      <w:color w:val="auto"/>
      <w:kern w:val="2"/>
      <w:sz w:val="24"/>
      <w:szCs w:val="21"/>
      <w:lang w:val="en-US" w:eastAsia="zh-CN" w:bidi="hi-IN"/>
    </w:rPr>
  </w:style>
  <w:style w:type="paragraph" w:styleId="Annotationsubject">
    <w:name w:val="annotation subject"/>
    <w:basedOn w:val="Annotationtext"/>
    <w:next w:val="Annotationtext"/>
    <w:link w:val="ObjetducommentaireCar"/>
    <w:uiPriority w:val="99"/>
    <w:semiHidden/>
    <w:unhideWhenUsed/>
    <w:qFormat/>
    <w:rsid w:val="00256335"/>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leobiodb.org/" TargetMode="External"/><Relationship Id="rId3" Type="http://schemas.openxmlformats.org/officeDocument/2006/relationships/hyperlink" Target="https://github.com/Buffan3369/Neotropical_mammals.git" TargetMode="External"/><Relationship Id="rId4" Type="http://schemas.openxmlformats.org/officeDocument/2006/relationships/hyperlink" Target="https://github.com/Alexis-Marion/CorsaiR.git"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LibreOffice/7.3.7.2$Linux_X86_64 LibreOffice_project/30$Build-2</Application>
  <AppVersion>15.0000</AppVersion>
  <Pages>6</Pages>
  <Words>3588</Words>
  <Characters>20363</Characters>
  <CharactersWithSpaces>23872</CharactersWithSpaces>
  <Paragraphs>109</Paragraphs>
  <Company>CNRS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2024-06-15T11:24:56Z</dcterms:created>
  <dc:creator>Lucas Buffan</dc:creator>
  <dc:description/>
  <dc:language>fr-FR</dc:language>
  <cp:lastModifiedBy>Lucas Buffan</cp:lastModifiedBy>
  <dcterms:modified xsi:type="dcterms:W3CDTF">2024-06-15T17:33:57Z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