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header-n0"/>
    <w:p>
      <w:pPr>
        <w:pStyle w:val="Heading1"/>
      </w:pPr>
      <w:r>
        <w:t xml:space="preserve">防倒卖设计文档</w:t>
      </w:r>
      <w:r>
        <w:t xml:space="preserve"> </w:t>
      </w:r>
    </w:p>
    <w:bookmarkStart w:id="20" w:name="header-n2"/>
    <w:p>
      <w:pPr>
        <w:pStyle w:val="Heading2"/>
      </w:pPr>
      <w:r>
        <w:t xml:space="preserve">业务需求</w:t>
      </w:r>
    </w:p>
    <w:p>
      <w:pPr>
        <w:pStyle w:val="FirstParagraph"/>
      </w:pPr>
      <w:r>
        <w:t xml:space="preserve">数据倒卖是目前数据交易市场面临的一大痛点。数据由于其特殊性———“所见即所得”，无复制成本，数据转卖成为数据交易中的一大难题。数据存储方、交易平台和数据请求者在获得数据后都可能对数据进行转卖，造成数据所有者利益受损。在集中式的数据交易模式下，一些数据所有者选择对数据加密，这一方法虽然可以避免数据存储方和交易平台对数据进行转卖，但仍然无法规避被数据请求者再次转卖的风险。</w:t>
      </w:r>
    </w:p>
    <w:p>
      <w:pPr>
        <w:pStyle w:val="BodyText"/>
      </w:pPr>
      <w:r>
        <w:t xml:space="preserve">中科大团队在论文</w:t>
      </w:r>
      <w:r>
        <w:rPr>
          <w:iCs/>
          <w:i/>
        </w:rPr>
        <w:t xml:space="preserve">AccountTrade: Accountable Protocols for Big Data Trading Against Dishonest Consumers</w:t>
      </w:r>
      <w:r>
        <w:t xml:space="preserve">中提出了唯一性指数（uniqueness index），该指数可以很好地衡量数据的唯一性，该方法由一系列目前业界最前沿的不同类型数据（视频，图片，表格，文章，JSON）查重算法组成，本文将介绍其原理，并利用唯一指数实现防倒卖。</w:t>
      </w:r>
    </w:p>
    <w:bookmarkEnd w:id="20"/>
    <w:bookmarkStart w:id="33" w:name="header-n15"/>
    <w:p>
      <w:pPr>
        <w:pStyle w:val="Heading2"/>
      </w:pPr>
      <w:r>
        <w:t xml:space="preserve">基本原理</w:t>
      </w:r>
    </w:p>
    <w:p>
      <w:pPr>
        <w:pStyle w:val="FirstParagraph"/>
      </w:pPr>
      <w:r>
        <w:t xml:space="preserve">对于信息提取（IR)技术，文章，图片，视频都被表征为元素的集合。例如，假设原始数据是'bad boy'，利用k-grams算法（k = 4)可以得到集合{“bad ”, “ad b”, “d bo”, “ boy”} 。下图给出了唯一指数的定义：</w:t>
      </w:r>
    </w:p>
    <w:p>
      <w:pPr>
        <w:pStyle w:val="CaptionedFigure"/>
      </w:pPr>
      <w:r>
        <w:drawing>
          <wp:inline>
            <wp:extent cx="5334000" cy="264350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21818165868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如上图所示，唯一指数由公式</w:t>
      </w:r>
      <w:r>
        <w:drawing>
          <wp:inline>
            <wp:extent cx="5334000" cy="520574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21818201959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定义，其中Jaccard index表征两个集合的重合程度（也就是两份数据的重合程度）。计算两个集合的交集时间复杂度为O(n)，论文中给出了一种时间复杂度O(1)的估算方法——借助minHash：</w:t>
      </w:r>
      <w:r>
        <w:drawing>
          <wp:inline>
            <wp:extent cx="5334000" cy="2375296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2181826437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简单来说图中公式的含义为S1的minHash与S2的minHash相等的概率等于jaccard index, 我们估算出前者，就能获得jaccard index的估算值（估算结果可靠并且时间复杂度为O(1))；对于前者，我们需要预先定义M个全排列向量</w:t>
      </w:r>
      <w:r>
        <w:drawing>
          <wp:inline>
            <wp:extent cx="5016500" cy="90170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21818423419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然后计算出M对S1和S2的minHash，最后，用其中相等的除以总量就可以获得jaccard index的估计值，从而获得唯一指数。</w:t>
      </w:r>
    </w:p>
    <w:p>
      <w:pPr>
        <w:pStyle w:val="BodyText"/>
      </w:pPr>
      <w:r>
        <w:t xml:space="preserve">对于我们的DDM，我们需要设置一个存储代理。每次卖家上架数据的时候，都需要对代理内的全量数据进行scan，计算数据的唯一指数并检查是否构成转卖，如果合法，则将数据转存进入代理。</w:t>
      </w:r>
    </w:p>
    <w:bookmarkEnd w:id="33"/>
    <w:bookmarkStart w:id="34" w:name="header-n36"/>
    <w:p>
      <w:pPr>
        <w:pStyle w:val="Heading2"/>
      </w:pPr>
      <w:r>
        <w:t xml:space="preserve">方案二数据嵌入</w:t>
      </w:r>
    </w:p>
    <w:p>
      <w:pPr>
        <w:pStyle w:val="FirstParagraph"/>
      </w:pPr>
      <w:r>
        <w:t xml:space="preserve">论文</w:t>
      </w:r>
      <w:r>
        <w:rPr>
          <w:iCs/>
          <w:i/>
        </w:rPr>
        <w:t xml:space="preserve">ZHOU J,TANG F,ZHU H,et al．Distributed data vending on blockchain</w:t>
      </w:r>
      <w:r>
        <w:t xml:space="preserve">提出一种结合数据嵌入和距离度量学习的技术，它首先学习一个隐私保护签名来有效地总结原始隐私数据，然后使用通过选择的相似性度量来计算相似性，最后从数据库中实现智能合约的检索，无需损害私有数据的完整性。</w:t>
      </w:r>
    </w:p>
    <w:bookmarkEnd w:id="34"/>
    <w:bookmarkStart w:id="52" w:name="header-n39"/>
    <w:p>
      <w:pPr>
        <w:pStyle w:val="Heading2"/>
      </w:pPr>
      <w:r>
        <w:t xml:space="preserve">实现原理</w:t>
      </w:r>
    </w:p>
    <w:p>
      <w:pPr>
        <w:pStyle w:val="CaptionedFigure"/>
      </w:pPr>
      <w:r>
        <w:drawing>
          <wp:inline>
            <wp:extent cx="5334000" cy="307699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5491658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47" w:name="header-n41"/>
    <w:p>
      <w:pPr>
        <w:pStyle w:val="Heading3"/>
      </w:pPr>
      <w:r>
        <w:t xml:space="preserve">数据嵌入</w:t>
      </w:r>
    </w:p>
    <w:p>
      <w:pPr>
        <w:pStyle w:val="FirstParagraph"/>
      </w:pPr>
      <w:r>
        <w:t xml:space="preserve">其中θ和γ分别表示加密函数f和其反函数的一系列参数的向量。</w:t>
      </w:r>
    </w:p>
    <w:p>
      <w:pPr>
        <w:pStyle w:val="BodyText"/>
      </w:pPr>
      <w:r>
        <w:t xml:space="preserve">论文中给出了计算θ和γ的目标函数</w:t>
      </w:r>
      <w:r>
        <w:drawing>
          <wp:inline>
            <wp:extent cx="5334000" cy="869461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5581302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在有一定的数据样本的情况下，可以通过机器学习算出其最优解，即获得了将高维数据映射成向量的函数f，这个向量可以在最大程度上保持原有数据特征，买家将这个一维向量发布到链上。</w:t>
      </w:r>
    </w:p>
    <w:p>
      <w:pPr>
        <w:pStyle w:val="BodyText"/>
      </w:pPr>
      <w:r>
        <w:t xml:space="preserve">由于这个方法需要样本量的支撑，在运营初期可能没有那么多的样本供机器学习，所以论文提出了一种随样本量不断优化学习的方法：</w:t>
      </w:r>
      <w:r>
        <w:drawing>
          <wp:inline>
            <wp:extent cx="5334000" cy="480125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6143719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另一方面，由于加密函数f是公开的，其反函数f-1也是公开的。在某个买家在购买了一定量的数据之后，可能能够推算出γ从而恢复原始数据，鉴于此，论文做出了一个trade-off，加入了一个高斯噪音来破坏这个可逆的推算过程（然而，这样会影响检索性能）：</w:t>
      </w:r>
    </w:p>
    <w:p>
      <w:pPr>
        <w:pStyle w:val="CaptionedFigure"/>
      </w:pPr>
      <w:r>
        <w:drawing>
          <wp:inline>
            <wp:extent cx="5334000" cy="633094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6203006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7"/>
    <w:bookmarkStart w:id="51" w:name="header-n49"/>
    <w:p>
      <w:pPr>
        <w:pStyle w:val="Heading3"/>
      </w:pPr>
      <w:r>
        <w:t xml:space="preserve">相似性检索</w:t>
      </w:r>
    </w:p>
    <w:p>
      <w:pPr>
        <w:pStyle w:val="FirstParagraph"/>
      </w:pPr>
      <w:r>
        <w:t xml:space="preserve">对于一个查询请求v`, 它和数据嵌入向量v之间的马氏距离决定了它们之间的相似程度：</w:t>
      </w:r>
    </w:p>
    <w:p>
      <w:pPr>
        <w:pStyle w:val="CaptionedFigure"/>
      </w:pPr>
      <w:r>
        <w:drawing>
          <wp:inline>
            <wp:extent cx="4241800" cy="6858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639066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其中Mt描述了该特定查询的参数矩阵。</w:t>
      </w:r>
    </w:p>
    <w:p>
      <w:pPr>
        <w:pStyle w:val="BodyText"/>
      </w:pPr>
      <w:r>
        <w:t xml:space="preserve">用RNN可以轻松实现该算法。</w:t>
      </w:r>
    </w:p>
    <w:p>
      <w:pPr>
        <w:pStyle w:val="BodyText"/>
      </w:pPr>
      <w:r>
        <w:t xml:space="preserve">对于我们的DDM，每次卖家发布数据时，都需要将原始数据隐射到低维向量，这个低维向量最大程度地保留了原始数据的特征，并将结果发布到链上，服务器对之前所有的向量进行全量scan，检查它们的距离以判别它们的相似程度。</w:t>
      </w:r>
    </w:p>
    <w:bookmarkEnd w:id="51"/>
    <w:bookmarkEnd w:id="52"/>
    <w:bookmarkStart w:id="53" w:name="header-n57"/>
    <w:p>
      <w:pPr>
        <w:pStyle w:val="Heading2"/>
      </w:pPr>
      <w:r>
        <w:t xml:space="preserve">两种方案的优劣</w:t>
      </w:r>
    </w:p>
    <w:p>
      <w:pPr>
        <w:pStyle w:val="FirstParagraph"/>
      </w:pPr>
      <w:r>
        <w:t xml:space="preserve">方案一需要设置存储代理，要保留全量数据，这会对数据的隐私性构成挑战，同时对代理的算力要求较高；优点是支持几乎所有数据类型，尤其是表格类型，在这之前还没有对表格类型进行查重的相关研究。方案二不需要设置存储代理，不保留全量数据，隐私性较高，但是不支持表格类型的查重（因为表格的行和列可以任意转换），同时对于其他类型的数据，在样本量不够大的情况下，查重精度远没有方案一高，对算力有一定的要求。优点是简单快捷且隐私性较高。</w:t>
      </w:r>
    </w:p>
    <w:p>
      <w:pPr>
        <w:pStyle w:val="BodyText"/>
      </w:pPr>
      <w:r>
        <w:t xml:space="preserve">我们可以在初期样本量不大的时候用方案一，同时对方案二的模型进行训练。等到样本量足够监测精度的时候再使用方案二代替。</w:t>
      </w:r>
    </w:p>
    <w:bookmarkEnd w:id="53"/>
    <w:bookmarkStart w:id="54" w:name="header-n59"/>
    <w:p>
      <w:pPr>
        <w:pStyle w:val="Heading2"/>
      </w:pPr>
      <w:r>
        <w:t xml:space="preserve">计划</w:t>
      </w:r>
    </w:p>
    <w:p>
      <w:pPr>
        <w:pStyle w:val="FirstParagraph"/>
      </w:pPr>
      <w:r>
        <w:t xml:space="preserve">接下来四周我将分别实现两种算法，计划如下：</w:t>
      </w:r>
      <w:r>
        <w:br/>
      </w:r>
      <w:r>
        <w:t xml:space="preserve">第一周实现方案一，第二周实现方案二，第三周将两种方案结合，第四周测试。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2022-12-18T11:18:00Z</dcterms:created>
  <dcterms:modified xsi:type="dcterms:W3CDTF">2022-12-18T11:18:00Z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