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42E9"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4A11BBC9" w14:textId="08CA0AC5" w:rsidR="00F260D0" w:rsidRDefault="00AC7552" w:rsidP="00554938">
      <w:pPr>
        <w:pStyle w:val="Ttulo"/>
        <w:framePr w:wrap="notBeside"/>
        <w:rPr>
          <w:lang w:val="es-ES"/>
        </w:rPr>
      </w:pPr>
      <w:r w:rsidRPr="00AC7552">
        <w:rPr>
          <w:lang w:val="es-ES"/>
        </w:rPr>
        <w:t>CONTROL POR GESTOS USANDO VISION ARTIFICIAL PARA FACILITAR EL USO DE PROGRMAS</w:t>
      </w:r>
    </w:p>
    <w:p w14:paraId="08CD95B0" w14:textId="77777777" w:rsidR="00AC7552" w:rsidRPr="00AC7552" w:rsidRDefault="00AC7552" w:rsidP="00AC7552">
      <w:pPr>
        <w:rPr>
          <w:lang w:val="es-ES"/>
        </w:rPr>
      </w:pPr>
    </w:p>
    <w:p w14:paraId="243DA6AD" w14:textId="77777777" w:rsidR="00AC7552" w:rsidRPr="00AC7552" w:rsidRDefault="00AC7552" w:rsidP="00AC7552">
      <w:pPr>
        <w:rPr>
          <w:lang w:val="es-ES"/>
        </w:rPr>
      </w:pPr>
    </w:p>
    <w:p w14:paraId="255DF160" w14:textId="38724EC6" w:rsidR="00F260D0" w:rsidRPr="00F260D0" w:rsidRDefault="00AC7552"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Daniel Felipe Calderon Paredes 20171155357</w:t>
      </w:r>
    </w:p>
    <w:p w14:paraId="2001C42C" w14:textId="77777777" w:rsidR="00F260D0" w:rsidRPr="00F260D0" w:rsidRDefault="00F260D0" w:rsidP="00CA72FF">
      <w:pPr>
        <w:pStyle w:val="Authors"/>
        <w:framePr w:wrap="notBeside"/>
        <w:jc w:val="both"/>
        <w:rPr>
          <w:lang w:val="es-ES"/>
        </w:rPr>
      </w:pPr>
    </w:p>
    <w:p w14:paraId="7ECF8CB8" w14:textId="77777777" w:rsidR="00F260D0" w:rsidRPr="00672119" w:rsidRDefault="00F260D0" w:rsidP="00672119">
      <w:pPr>
        <w:pStyle w:val="Abstract"/>
        <w:rPr>
          <w:lang w:val="es-ES"/>
        </w:rPr>
      </w:pPr>
      <w:r w:rsidRPr="00672119">
        <w:rPr>
          <w:lang w:val="es-ES"/>
        </w:rPr>
        <w:t xml:space="preserve">Resumen - Estas instrucciones le dan las directrices para la preparación de documentos para IEEE TRANSACTIONS y </w:t>
      </w:r>
      <w:r w:rsidR="005E3D89" w:rsidRPr="00672119">
        <w:rPr>
          <w:lang w:val="es-ES"/>
        </w:rPr>
        <w:t>JOURNALS</w:t>
      </w:r>
      <w:r w:rsidRPr="00672119">
        <w:rPr>
          <w:lang w:val="es-ES"/>
        </w:rPr>
        <w:t>.</w:t>
      </w:r>
      <w:r w:rsidR="005E3D89" w:rsidRPr="00672119">
        <w:rPr>
          <w:lang w:val="es-ES"/>
        </w:rPr>
        <w:t xml:space="preserve"> Use </w:t>
      </w:r>
      <w:r w:rsidRPr="00672119">
        <w:rPr>
          <w:lang w:val="es-ES"/>
        </w:rPr>
        <w:t xml:space="preserve">este documento como una plantilla si está utilizando Microsoft Word 6.0 o posterior. En caso contrario, utilice este documento como un conjunto de instrucciones. </w:t>
      </w:r>
      <w:r w:rsidR="003F4A7F" w:rsidRPr="00672119">
        <w:rPr>
          <w:lang w:val="es-CO"/>
        </w:rPr>
        <w:t xml:space="preserve">El archivo electrónico de su documento será estructurado por </w:t>
      </w:r>
      <w:smartTag w:uri="urn:schemas-microsoft-com:office:smarttags" w:element="PersonName">
        <w:smartTagPr>
          <w:attr w:name="ProductID" w:val="la IEEE. Definina"/>
        </w:smartTagPr>
        <w:r w:rsidR="003F4A7F" w:rsidRPr="00672119">
          <w:rPr>
            <w:lang w:val="es-CO"/>
          </w:rPr>
          <w:t>la IEEE</w:t>
        </w:r>
        <w:r w:rsidRPr="00672119">
          <w:rPr>
            <w:lang w:val="es-ES"/>
          </w:rPr>
          <w:t xml:space="preserve">. </w:t>
        </w:r>
        <w:proofErr w:type="spellStart"/>
        <w:r w:rsidRPr="00672119">
          <w:rPr>
            <w:lang w:val="es-ES"/>
          </w:rPr>
          <w:t>Defini</w:t>
        </w:r>
        <w:r w:rsidR="005E3D89" w:rsidRPr="00672119">
          <w:rPr>
            <w:lang w:val="es-ES"/>
          </w:rPr>
          <w:t>na</w:t>
        </w:r>
      </w:smartTag>
      <w:proofErr w:type="spellEnd"/>
      <w:r w:rsidRPr="00672119">
        <w:rPr>
          <w:lang w:val="es-ES"/>
        </w:rPr>
        <w:t xml:space="preserve"> todos los símbolos utilizados en el resumen. No citar referencias en el resumen. No elimine la línea en blanco inmediatamente encima del resumen; Establ</w:t>
      </w:r>
      <w:r w:rsidR="005E3D89" w:rsidRPr="00672119">
        <w:rPr>
          <w:lang w:val="es-ES"/>
        </w:rPr>
        <w:t xml:space="preserve">ezca </w:t>
      </w:r>
      <w:r w:rsidRPr="00672119">
        <w:rPr>
          <w:lang w:val="es-ES"/>
        </w:rPr>
        <w:t>la nota de pie de página en la parte inferior de esta columna.</w:t>
      </w:r>
    </w:p>
    <w:p w14:paraId="7B566CA5" w14:textId="77777777" w:rsidR="00F260D0" w:rsidRPr="00F260D0" w:rsidRDefault="00F260D0" w:rsidP="00CA72FF">
      <w:pPr>
        <w:jc w:val="both"/>
        <w:rPr>
          <w:lang w:val="es-ES"/>
        </w:rPr>
      </w:pPr>
    </w:p>
    <w:p w14:paraId="3D92F53F" w14:textId="77777777" w:rsidR="00583195" w:rsidRDefault="00583195" w:rsidP="00CA72FF">
      <w:pPr>
        <w:jc w:val="both"/>
        <w:rPr>
          <w:b/>
          <w:color w:val="000000"/>
          <w:sz w:val="18"/>
          <w:szCs w:val="18"/>
          <w:lang w:val="es-ES"/>
        </w:rPr>
      </w:pPr>
      <w:bookmarkStart w:id="0" w:name="PointTmp"/>
    </w:p>
    <w:p w14:paraId="49D73CBD"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 Alrededor de cuatro palabras o frases clave en orden alfabético, separadas por comas. Para obtener una lista de palabras claves sugeridas, envíe un correo en blanco a </w:t>
      </w:r>
      <w:r w:rsidRPr="00672119">
        <w:rPr>
          <w:rStyle w:val="Hipervnculo"/>
          <w:lang w:val="es-ES"/>
        </w:rPr>
        <w:t>keywords@ieee.org</w:t>
      </w:r>
      <w:r w:rsidRPr="00672119">
        <w:rPr>
          <w:b/>
          <w:color w:val="000000"/>
          <w:sz w:val="18"/>
          <w:szCs w:val="18"/>
          <w:lang w:val="es-ES"/>
        </w:rPr>
        <w:t xml:space="preserve"> o</w:t>
      </w:r>
      <w:r w:rsidR="00672119">
        <w:rPr>
          <w:b/>
          <w:color w:val="000000"/>
          <w:sz w:val="18"/>
          <w:szCs w:val="18"/>
          <w:lang w:val="es-ES"/>
        </w:rPr>
        <w:t xml:space="preserve"> </w:t>
      </w:r>
      <w:r w:rsidRPr="00672119">
        <w:rPr>
          <w:b/>
          <w:color w:val="000000"/>
          <w:sz w:val="18"/>
          <w:szCs w:val="18"/>
          <w:lang w:val="es-ES"/>
        </w:rPr>
        <w:t xml:space="preserve">visite el sitio web de IEEE en </w:t>
      </w:r>
      <w:r w:rsidR="00672119">
        <w:rPr>
          <w:b/>
          <w:color w:val="000000"/>
          <w:sz w:val="18"/>
          <w:szCs w:val="18"/>
          <w:lang w:val="es-ES"/>
        </w:rPr>
        <w:t xml:space="preserve">    </w:t>
      </w:r>
      <w:r w:rsidRPr="00672119">
        <w:rPr>
          <w:rStyle w:val="Hipervnculo"/>
          <w:lang w:val="es-ES"/>
        </w:rPr>
        <w:t>http://www.ieee.org/organizations/pubs/ani_prod/keywrd98.tx</w:t>
      </w:r>
      <w:r w:rsidR="00672119" w:rsidRPr="00672119">
        <w:rPr>
          <w:rStyle w:val="Hipervnculo"/>
          <w:lang w:val="es-ES"/>
        </w:rPr>
        <w:t>t</w:t>
      </w:r>
    </w:p>
    <w:p w14:paraId="61420A1B" w14:textId="77777777" w:rsidR="00583195" w:rsidRPr="00672119" w:rsidRDefault="00583195" w:rsidP="00CA72FF">
      <w:pPr>
        <w:jc w:val="both"/>
        <w:rPr>
          <w:lang w:val="es-ES"/>
        </w:rPr>
      </w:pPr>
    </w:p>
    <w:bookmarkEnd w:id="0"/>
    <w:p w14:paraId="3D8A99C8" w14:textId="77777777" w:rsidR="00F260D0" w:rsidRDefault="005A29D4" w:rsidP="00AB04BE">
      <w:pPr>
        <w:pStyle w:val="Ttulo1"/>
      </w:pPr>
      <w:r w:rsidRPr="00AB04BE">
        <w:t>introduccion</w:t>
      </w:r>
    </w:p>
    <w:p w14:paraId="39DD6388" w14:textId="70D32A6D" w:rsidR="00AC7552" w:rsidRPr="00AC7552" w:rsidRDefault="005A29D4" w:rsidP="00AC7552">
      <w:pPr>
        <w:jc w:val="both"/>
        <w:rPr>
          <w:rStyle w:val="TextCarCarCar"/>
          <w:lang w:val="es-ES"/>
        </w:rPr>
      </w:pPr>
      <w:r w:rsidRPr="005A29D4">
        <w:rPr>
          <w:color w:val="000000"/>
          <w:lang w:val="es-ES"/>
        </w:rPr>
        <w:t xml:space="preserve"> </w:t>
      </w:r>
      <w:r w:rsidR="00AC7552">
        <w:rPr>
          <w:rStyle w:val="TextCarCarCar"/>
          <w:sz w:val="56"/>
          <w:szCs w:val="56"/>
          <w:lang w:val="es-ES"/>
        </w:rPr>
        <w:t>C</w:t>
      </w:r>
      <w:r w:rsidR="00AC7552" w:rsidRPr="00AC7552">
        <w:rPr>
          <w:rStyle w:val="TextCarCarCar"/>
          <w:lang w:val="es-ES"/>
        </w:rPr>
        <w:t xml:space="preserve">ada dispositivo </w:t>
      </w:r>
      <w:r w:rsidR="00AC7552">
        <w:rPr>
          <w:rStyle w:val="TextCarCarCar"/>
          <w:lang w:val="es-ES"/>
        </w:rPr>
        <w:t>posee</w:t>
      </w:r>
      <w:r w:rsidR="00AC7552" w:rsidRPr="00AC7552">
        <w:rPr>
          <w:rStyle w:val="TextCarCarCar"/>
          <w:lang w:val="es-ES"/>
        </w:rPr>
        <w:t xml:space="preserve"> un </w:t>
      </w:r>
      <w:r w:rsidR="00AC7552">
        <w:rPr>
          <w:rStyle w:val="TextCarCarCar"/>
          <w:lang w:val="es-ES"/>
        </w:rPr>
        <w:t>medio</w:t>
      </w:r>
      <w:r w:rsidR="00AC7552" w:rsidRPr="00AC7552">
        <w:rPr>
          <w:rStyle w:val="TextCarCarCar"/>
          <w:lang w:val="es-ES"/>
        </w:rPr>
        <w:t xml:space="preserve"> </w:t>
      </w:r>
      <w:r w:rsidR="00AC7552">
        <w:rPr>
          <w:rStyle w:val="TextCarCarCar"/>
          <w:lang w:val="es-ES"/>
        </w:rPr>
        <w:t>para</w:t>
      </w:r>
      <w:r w:rsidR="00AC7552" w:rsidRPr="00AC7552">
        <w:rPr>
          <w:rStyle w:val="TextCarCarCar"/>
          <w:lang w:val="es-ES"/>
        </w:rPr>
        <w:t xml:space="preserve"> ser controlado </w:t>
      </w:r>
      <w:r w:rsidR="00AC7552">
        <w:rPr>
          <w:rStyle w:val="TextCarCarCar"/>
          <w:lang w:val="es-ES"/>
        </w:rPr>
        <w:t>buscando</w:t>
      </w:r>
      <w:r w:rsidR="00AC7552" w:rsidRPr="00AC7552">
        <w:rPr>
          <w:rStyle w:val="TextCarCarCar"/>
          <w:lang w:val="es-ES"/>
        </w:rPr>
        <w:t xml:space="preserve"> que el usuario pueda usarlo de la manera que </w:t>
      </w:r>
      <w:r w:rsidR="00AC7552">
        <w:rPr>
          <w:rStyle w:val="TextCarCarCar"/>
          <w:lang w:val="es-ES"/>
        </w:rPr>
        <w:t>requiera</w:t>
      </w:r>
      <w:r w:rsidR="00AC7552" w:rsidRPr="00AC7552">
        <w:rPr>
          <w:rStyle w:val="TextCarCarCar"/>
          <w:lang w:val="es-ES"/>
        </w:rPr>
        <w:t xml:space="preserve">, esto es conocido como User Interface (UI). A través de la historia esta tecnología se ha desarrollado y cada vez ha buscado entregarle al usuario una forma </w:t>
      </w:r>
      <w:r w:rsidR="009B6BDD" w:rsidRPr="00AC7552">
        <w:rPr>
          <w:rStyle w:val="TextCarCarCar"/>
          <w:lang w:val="es-ES"/>
        </w:rPr>
        <w:t>más</w:t>
      </w:r>
      <w:r w:rsidR="00AC7552" w:rsidRPr="00AC7552">
        <w:rPr>
          <w:rStyle w:val="TextCarCarCar"/>
          <w:lang w:val="es-ES"/>
        </w:rPr>
        <w:t xml:space="preserve"> intuitiva de manejar un programa o dispositivo.</w:t>
      </w:r>
    </w:p>
    <w:p w14:paraId="7D402175" w14:textId="5B168C62" w:rsidR="00AC7552" w:rsidRPr="00AC7552" w:rsidRDefault="00AC7552" w:rsidP="00AC7552">
      <w:pPr>
        <w:jc w:val="both"/>
        <w:rPr>
          <w:rStyle w:val="TextCarCarCar"/>
          <w:lang w:val="es-ES"/>
        </w:rPr>
      </w:pPr>
      <w:r w:rsidRPr="00AC7552">
        <w:rPr>
          <w:rStyle w:val="TextCarCarCar"/>
          <w:lang w:val="es-ES"/>
        </w:rPr>
        <w:t xml:space="preserve">El reconocimiento de gestos y el control por gestos es una propuesta que busca ofrecerle al usuario una forma </w:t>
      </w:r>
      <w:r w:rsidRPr="00AC7552">
        <w:rPr>
          <w:rStyle w:val="TextCarCarCar"/>
          <w:lang w:val="es-ES"/>
        </w:rPr>
        <w:t>más</w:t>
      </w:r>
      <w:r w:rsidRPr="00AC7552">
        <w:rPr>
          <w:rStyle w:val="TextCarCarCar"/>
          <w:lang w:val="es-ES"/>
        </w:rPr>
        <w:t xml:space="preserve"> “natural” de interactuar con los programas, haciendo uso de los gestos de las manos que siempre ha utilizado.</w:t>
      </w:r>
    </w:p>
    <w:p w14:paraId="093A5DAF" w14:textId="3A7E5312" w:rsidR="005A29D4" w:rsidRDefault="00AC7552" w:rsidP="00AC7552">
      <w:pPr>
        <w:jc w:val="both"/>
        <w:rPr>
          <w:color w:val="000000"/>
          <w:lang w:val="es-ES"/>
        </w:rPr>
      </w:pPr>
      <w:r w:rsidRPr="00AC7552">
        <w:rPr>
          <w:rStyle w:val="TextCarCarCar"/>
          <w:lang w:val="es-ES"/>
        </w:rPr>
        <w:t xml:space="preserve">Lo anterior combinado con el uso de visión artificial para una detección y rastreo efectivo de las manos del usuario hacen posible la idea de tener este tipo de control </w:t>
      </w:r>
      <w:r w:rsidRPr="00AC7552">
        <w:rPr>
          <w:rStyle w:val="TextCarCarCar"/>
          <w:lang w:val="es-ES"/>
        </w:rPr>
        <w:t>más</w:t>
      </w:r>
      <w:r w:rsidRPr="00AC7552">
        <w:rPr>
          <w:rStyle w:val="TextCarCarCar"/>
          <w:lang w:val="es-ES"/>
        </w:rPr>
        <w:t xml:space="preserve"> plausible.</w:t>
      </w:r>
      <w:r w:rsidR="005A29D4" w:rsidRPr="009B35CF">
        <w:rPr>
          <w:rStyle w:val="TextCarCarCar"/>
          <w:lang w:val="es-ES"/>
        </w:rPr>
        <w:t xml:space="preserve"> </w:t>
      </w:r>
    </w:p>
    <w:p w14:paraId="1F28B5C1" w14:textId="77777777" w:rsidR="007D13BD" w:rsidRPr="00672119" w:rsidRDefault="009B35CF" w:rsidP="009B35CF">
      <w:pPr>
        <w:pStyle w:val="TextCarCar"/>
        <w:rPr>
          <w:lang w:val="es-ES"/>
        </w:rPr>
      </w:pPr>
      <w:r>
        <w:rPr>
          <w:lang w:val="es-ES"/>
        </w:rPr>
        <w:t>S</w:t>
      </w:r>
      <w:r w:rsidR="007D13BD" w:rsidRPr="00672119">
        <w:rPr>
          <w:lang w:val="es-ES"/>
        </w:rPr>
        <w:t>i el documento está destinado a una conferencia, por favor póngase en contacto con el conferenci</w:t>
      </w:r>
      <w:r w:rsidR="00D80731" w:rsidRPr="00672119">
        <w:rPr>
          <w:lang w:val="es-ES"/>
        </w:rPr>
        <w:t>sta</w:t>
      </w:r>
      <w:r w:rsidR="007D13BD" w:rsidRPr="00672119">
        <w:rPr>
          <w:lang w:val="es-ES"/>
        </w:rPr>
        <w:t xml:space="preserve"> </w:t>
      </w:r>
      <w:r w:rsidR="00D80731" w:rsidRPr="00672119">
        <w:rPr>
          <w:lang w:val="es-ES"/>
        </w:rPr>
        <w:t>para acordar</w:t>
      </w:r>
      <w:r w:rsidR="007D13BD" w:rsidRPr="00672119">
        <w:rPr>
          <w:lang w:val="es-ES"/>
        </w:rPr>
        <w:t xml:space="preserve"> </w:t>
      </w:r>
      <w:r w:rsidR="00D80731" w:rsidRPr="00672119">
        <w:rPr>
          <w:lang w:val="es-ES"/>
        </w:rPr>
        <w:t xml:space="preserve">un </w:t>
      </w:r>
      <w:r w:rsidR="007D13BD" w:rsidRPr="00672119">
        <w:rPr>
          <w:lang w:val="es-ES"/>
        </w:rPr>
        <w:t>formato de procesador de textos</w:t>
      </w:r>
      <w:r w:rsidR="00D80731" w:rsidRPr="00672119">
        <w:rPr>
          <w:lang w:val="es-ES"/>
        </w:rPr>
        <w:t>.</w:t>
      </w:r>
    </w:p>
    <w:p w14:paraId="5271AF19" w14:textId="77777777" w:rsidR="00CA3EB6" w:rsidRPr="008F7844" w:rsidRDefault="00CA3EB6" w:rsidP="00AC7552">
      <w:pPr>
        <w:pStyle w:val="TextCarCar"/>
        <w:ind w:firstLine="0"/>
        <w:rPr>
          <w:lang w:val="es-CO"/>
        </w:rPr>
      </w:pPr>
    </w:p>
    <w:p w14:paraId="6E57434C" w14:textId="2776965D" w:rsidR="008F7844" w:rsidRDefault="00013B18" w:rsidP="008F7844">
      <w:pPr>
        <w:pStyle w:val="Ttulo1"/>
        <w:rPr>
          <w:lang w:val="es-ES"/>
        </w:rPr>
      </w:pPr>
      <w:r>
        <w:rPr>
          <w:lang w:val="es-ES"/>
        </w:rPr>
        <w:t>Problemática</w:t>
      </w:r>
    </w:p>
    <w:p w14:paraId="393D24E6" w14:textId="77777777" w:rsidR="00681683" w:rsidRPr="00681683" w:rsidRDefault="00CA3EB6" w:rsidP="00013B18">
      <w:pPr>
        <w:pStyle w:val="TextCarCar"/>
        <w:ind w:firstLine="0"/>
        <w:rPr>
          <w:lang w:val="es-ES"/>
        </w:rPr>
      </w:pPr>
      <w:r w:rsidRPr="005C4039">
        <w:rPr>
          <w:lang w:val="es-ES"/>
        </w:rPr>
        <w:br/>
      </w:r>
      <w:r w:rsidR="00681683" w:rsidRPr="00681683">
        <w:rPr>
          <w:lang w:val="es-ES"/>
        </w:rPr>
        <w:t>El manejo del periférico de control por excelencia “el mouse”, se ha expandido y establecido en la vida diaria de cada una de las personas, pero su uso sigue siendo (en muchos casos) el mismo de hace años e incluso décadas, esto debido a dos factores: costumbre y falta de innovación.</w:t>
      </w:r>
    </w:p>
    <w:p w14:paraId="79BD4F96" w14:textId="77777777" w:rsidR="00681683" w:rsidRPr="00681683" w:rsidRDefault="00681683" w:rsidP="00681683">
      <w:pPr>
        <w:pStyle w:val="TextCarCar"/>
        <w:rPr>
          <w:lang w:val="es-ES"/>
        </w:rPr>
      </w:pPr>
      <w:r w:rsidRPr="00681683">
        <w:rPr>
          <w:lang w:val="es-ES"/>
        </w:rPr>
        <w:t>La tecnología ha avanzado y hoy en día se trabajan con programas de diseño complejos capaces de trabajar con entornos en 3 dimensiones, pero el mouse no está a la altura de la tarea siendo difícil hacer acciones como: Rotar, Girar, Mover, entre otros.</w:t>
      </w:r>
    </w:p>
    <w:p w14:paraId="6EA32AFF" w14:textId="77777777" w:rsidR="00681683" w:rsidRPr="00681683" w:rsidRDefault="00681683" w:rsidP="00681683">
      <w:pPr>
        <w:pStyle w:val="TextCarCar"/>
        <w:rPr>
          <w:lang w:val="es-ES"/>
        </w:rPr>
      </w:pPr>
      <w:r w:rsidRPr="00681683">
        <w:rPr>
          <w:lang w:val="es-ES"/>
        </w:rPr>
        <w:t>Después del uso continuo de la mayoría de periféricos se percibe un cansancio por el uso de los mismos e incluso puede generar problemas más complejos como esguinces, síndromes como el túnel carpiano y la tendinitis; problemas que no están presentes en los gestos naturales que usamos todos los días.</w:t>
      </w:r>
    </w:p>
    <w:p w14:paraId="04B55C12" w14:textId="77777777" w:rsidR="00681683" w:rsidRPr="00681683" w:rsidRDefault="00681683" w:rsidP="00681683">
      <w:pPr>
        <w:pStyle w:val="TextCarCar"/>
        <w:rPr>
          <w:lang w:val="es-ES"/>
        </w:rPr>
      </w:pPr>
      <w:r w:rsidRPr="00681683">
        <w:rPr>
          <w:lang w:val="es-ES"/>
        </w:rPr>
        <w:t xml:space="preserve">Adicionalmente, el uso de cualquier periférico físico ocupa un lugar en el espacio de trabajo, los cables suelen ser molestos, y una alternativa Wireless resulta costosa y tienden a tener problemas de tiempo de respuesta y en ambos casos es limitado a una pequeña área útil dada por: </w:t>
      </w:r>
      <w:proofErr w:type="spellStart"/>
      <w:r w:rsidRPr="00681683">
        <w:rPr>
          <w:lang w:val="es-ES"/>
        </w:rPr>
        <w:t>pad</w:t>
      </w:r>
      <w:proofErr w:type="spellEnd"/>
      <w:r w:rsidRPr="00681683">
        <w:rPr>
          <w:lang w:val="es-ES"/>
        </w:rPr>
        <w:t xml:space="preserve"> </w:t>
      </w:r>
      <w:proofErr w:type="spellStart"/>
      <w:r w:rsidRPr="00681683">
        <w:rPr>
          <w:lang w:val="es-ES"/>
        </w:rPr>
        <w:t>mause</w:t>
      </w:r>
      <w:proofErr w:type="spellEnd"/>
      <w:r w:rsidRPr="00681683">
        <w:rPr>
          <w:lang w:val="es-ES"/>
        </w:rPr>
        <w:t xml:space="preserve"> o rango de conexión. </w:t>
      </w:r>
    </w:p>
    <w:p w14:paraId="606C4147" w14:textId="77777777" w:rsidR="00486C65" w:rsidRDefault="00681683" w:rsidP="00486C65">
      <w:pPr>
        <w:pStyle w:val="TextCarCar"/>
        <w:rPr>
          <w:lang w:val="es-ES"/>
        </w:rPr>
      </w:pPr>
      <w:r w:rsidRPr="00681683">
        <w:rPr>
          <w:lang w:val="es-ES"/>
        </w:rPr>
        <w:t>En un enfoque más empresarial, los empleados especializados en diseño o modelado tienen un uso normalizado de tabletas graficas para el diseño que son más precisas en su área de trabajo, pero aun así presenta los mismos problemas mencionados anteriormente.</w:t>
      </w:r>
      <w:r w:rsidR="00CA3EB6" w:rsidRPr="00FD07C6">
        <w:rPr>
          <w:lang w:val="es-ES"/>
        </w:rPr>
        <w:t xml:space="preserve"> </w:t>
      </w:r>
    </w:p>
    <w:p w14:paraId="047EBBCC" w14:textId="00E447A1" w:rsidR="00F260D0" w:rsidRPr="00486C65" w:rsidRDefault="00F260D0" w:rsidP="00486C65">
      <w:pPr>
        <w:pStyle w:val="TextCarCar"/>
        <w:rPr>
          <w:color w:val="000000"/>
          <w:lang w:val="es-ES" w:eastAsia="es-ES"/>
        </w:rPr>
      </w:pPr>
    </w:p>
    <w:p w14:paraId="0CF730FE" w14:textId="2FCC1447" w:rsidR="00BA03B0" w:rsidRDefault="00D52DF9" w:rsidP="00E1067B">
      <w:pPr>
        <w:pStyle w:val="Ttulo1"/>
        <w:rPr>
          <w:lang w:val="es-CO"/>
        </w:rPr>
      </w:pPr>
      <w:r>
        <w:rPr>
          <w:lang w:val="es-CO"/>
        </w:rPr>
        <w:lastRenderedPageBreak/>
        <w:t>Justificación</w:t>
      </w:r>
    </w:p>
    <w:p w14:paraId="4332A72F" w14:textId="77777777" w:rsidR="00D52DF9" w:rsidRPr="00D52DF9" w:rsidRDefault="00D52DF9" w:rsidP="00D52DF9">
      <w:pPr>
        <w:rPr>
          <w:lang w:val="es-CO"/>
        </w:rPr>
      </w:pPr>
    </w:p>
    <w:p w14:paraId="0BD78EB1" w14:textId="77777777" w:rsidR="00D52DF9" w:rsidRPr="00D52DF9" w:rsidRDefault="00D52DF9" w:rsidP="00D52DF9">
      <w:pPr>
        <w:pStyle w:val="TextCarCar"/>
        <w:rPr>
          <w:lang w:val="es-CO"/>
        </w:rPr>
      </w:pPr>
      <w:r w:rsidRPr="00D52DF9">
        <w:rPr>
          <w:lang w:val="es-CO"/>
        </w:rPr>
        <w:t>La mejor forma de expresar, manipular y manejar algo es con las manos, medio con el cual se tiene más experiencia. Por mencionar un ejemplo, cuando se tiene un objeto en la mano y se desea rotar dicho objeto, basta con tan solo girar la palma de la mano; en un computador lo más probable es que se deba usar la combinación de un comando y una acción para realizar dicha tarea.</w:t>
      </w:r>
    </w:p>
    <w:p w14:paraId="6789C49C" w14:textId="77777777" w:rsidR="00D52DF9" w:rsidRPr="00D52DF9" w:rsidRDefault="00D52DF9" w:rsidP="00D52DF9">
      <w:pPr>
        <w:pStyle w:val="TextCarCar"/>
        <w:rPr>
          <w:lang w:val="es-CO"/>
        </w:rPr>
      </w:pPr>
      <w:r w:rsidRPr="00D52DF9">
        <w:rPr>
          <w:lang w:val="es-CO"/>
        </w:rPr>
        <w:t>Adicionalmente, el manejo de un dispositivo o aplicación a través de gestos genera más libertad de acción y opciones porque el espacio útil del control se desplaza a todo el espacio que las manos pueden manejar, teniendo como única limitante el ángulo de la cámara y su capacidad periférica; en cualquier caso, esto será superior y más cómodo a comparación de la tecnología actual.</w:t>
      </w:r>
    </w:p>
    <w:p w14:paraId="2B488A3C" w14:textId="77777777" w:rsidR="00D52DF9" w:rsidRPr="00D52DF9" w:rsidRDefault="00D52DF9" w:rsidP="00D52DF9">
      <w:pPr>
        <w:pStyle w:val="TextCarCar"/>
        <w:rPr>
          <w:lang w:val="es-CO"/>
        </w:rPr>
      </w:pPr>
      <w:r w:rsidRPr="00D52DF9">
        <w:rPr>
          <w:lang w:val="es-CO"/>
        </w:rPr>
        <w:t>Este proyecto busca reconocer gestos y comandos a través de sensores o una cámara especializada al rastrear e identificar la mano del usuario y los movimientos que está haciendo y como esto interactúa con la aplicación deseada a controlar. Para esto emplea el mapeado que hace uso de puntos de referencia situados en las articulaciones de la palma de la mano, con esto, se calcula la distancia de dichos puntos y el ángulo que forman para así detectar que gesto (en base a la posición de los puntos de referencia), se está ejecutando.</w:t>
      </w:r>
    </w:p>
    <w:p w14:paraId="0275B9E6" w14:textId="24692BAB" w:rsidR="00F260D0" w:rsidRPr="00D52DF9" w:rsidRDefault="00D52DF9" w:rsidP="00D52DF9">
      <w:pPr>
        <w:pStyle w:val="TextCarCar"/>
        <w:rPr>
          <w:lang w:val="es-ES"/>
        </w:rPr>
      </w:pPr>
      <w:r w:rsidRPr="00D52DF9">
        <w:rPr>
          <w:lang w:val="es-CO"/>
        </w:rPr>
        <w:t>Esto puede ser expandido a el manejo de múltiples objetos y características de dispositivos como televisores inteligentes, luces, etc. Siempre y cuando dichos dispositivos puedan ser usados como parte del internet de las cosas.</w:t>
      </w:r>
    </w:p>
    <w:p w14:paraId="45B06491" w14:textId="77777777" w:rsidR="00F260D0" w:rsidRPr="00E1067B" w:rsidRDefault="00F260D0" w:rsidP="00E1067B">
      <w:pPr>
        <w:pStyle w:val="TextCarCar"/>
        <w:rPr>
          <w:lang w:val="es-CO"/>
        </w:rPr>
      </w:pPr>
    </w:p>
    <w:p w14:paraId="1B0EDAA8" w14:textId="1DF18707" w:rsidR="00C95A99" w:rsidRPr="00E1067B" w:rsidRDefault="00D52DF9" w:rsidP="00D52DF9">
      <w:pPr>
        <w:pStyle w:val="Ttulo1"/>
        <w:rPr>
          <w:lang w:val="es-CO"/>
        </w:rPr>
      </w:pPr>
      <w:r>
        <w:rPr>
          <w:lang w:val="es-CO"/>
        </w:rPr>
        <w:t>Marco Teórico</w:t>
      </w:r>
    </w:p>
    <w:p w14:paraId="23E7198D" w14:textId="15C26446" w:rsidR="00C95A99" w:rsidRPr="00E1067B" w:rsidRDefault="00C95A99" w:rsidP="00E1067B">
      <w:pPr>
        <w:pStyle w:val="Ttulo2"/>
        <w:jc w:val="both"/>
        <w:rPr>
          <w:lang w:val="es-CO"/>
        </w:rPr>
      </w:pPr>
      <w:r w:rsidRPr="00E1067B">
        <w:rPr>
          <w:lang w:val="es-CO"/>
        </w:rPr>
        <w:t xml:space="preserve"> </w:t>
      </w:r>
      <w:r w:rsidR="00D52DF9">
        <w:rPr>
          <w:lang w:val="es-CO"/>
        </w:rPr>
        <w:t>Mediapipe</w:t>
      </w:r>
    </w:p>
    <w:p w14:paraId="73CC0ABD" w14:textId="77777777" w:rsidR="00C95A99" w:rsidRPr="00E1067B" w:rsidRDefault="00C95A99" w:rsidP="00E1067B">
      <w:pPr>
        <w:pStyle w:val="TextCarCar"/>
      </w:pPr>
    </w:p>
    <w:p w14:paraId="497D2DB6" w14:textId="2F8EAFDF" w:rsidR="00BE6588" w:rsidRDefault="00BE6588" w:rsidP="00CA72FF">
      <w:pPr>
        <w:pStyle w:val="TextCarCar"/>
        <w:rPr>
          <w:noProof/>
          <w:color w:val="000000"/>
          <w:lang w:val="es-ES"/>
        </w:rPr>
      </w:pPr>
      <w:r w:rsidRPr="00BE6588">
        <w:rPr>
          <w:color w:val="000000"/>
          <w:lang w:val="es-ES"/>
        </w:rPr>
        <w:t>Es un entorno de trabajo multiplataforma de código abierto para construir “pipelines” para procesar datos perceptuales de diferentes modalidades, como video y audio. Este enfoque proporciona un seguimiento de manos y dedos de alta fidelidad mediante el aprendizaje automático (ML) para inferir 21 puntos clave 3D de una mano desde un solo cuadro. Mientras que los enfoques de vanguardia actuales se basan principalmente en entornos de escritorio potentes para la inferencia, este método logra un rendimiento en tiempo real en un teléfono móvil e incluso se escala a varias manos.</w:t>
      </w:r>
      <w:r>
        <w:rPr>
          <w:noProof/>
          <w:color w:val="000000"/>
          <w:lang w:val="es-ES"/>
        </w:rPr>
        <w:t xml:space="preserve"> </w:t>
      </w:r>
      <w:r w:rsidR="009B6BDD">
        <w:rPr>
          <w:noProof/>
          <w:color w:val="000000"/>
          <w:lang w:val="es-ES"/>
        </w:rPr>
        <w:t xml:space="preserve"> </w:t>
      </w:r>
      <w:r w:rsidR="009B6BDD" w:rsidRPr="009B6BDD">
        <w:rPr>
          <w:noProof/>
          <w:color w:val="000000"/>
          <w:lang w:val="es-ES"/>
        </w:rPr>
        <w:t>[1]</w:t>
      </w:r>
      <w:bookmarkStart w:id="1" w:name="_GoBack"/>
      <w:bookmarkEnd w:id="1"/>
    </w:p>
    <w:p w14:paraId="1159B1F4" w14:textId="5F31B215" w:rsidR="00486C65" w:rsidRDefault="00486C65" w:rsidP="00CA72FF">
      <w:pPr>
        <w:pStyle w:val="TextCarCar"/>
        <w:rPr>
          <w:color w:val="000000"/>
          <w:lang w:val="es-ES"/>
        </w:rPr>
      </w:pPr>
    </w:p>
    <w:p w14:paraId="06C7E03C" w14:textId="716578DC" w:rsidR="00486C65" w:rsidRDefault="00486C65" w:rsidP="00486C65">
      <w:pPr>
        <w:jc w:val="center"/>
      </w:pPr>
      <w:r w:rsidRPr="00013B18">
        <w:rPr>
          <w:noProof/>
          <w:sz w:val="24"/>
          <w:szCs w:val="24"/>
          <w:lang w:eastAsia="es-ES"/>
        </w:rPr>
        <w:pict w14:anchorId="0FE60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3" type="#_x0000_t75" alt="hand_tracking_mobile_graph" style="width:174pt;height:286.5pt;visibility:visible;mso-wrap-style:square">
            <v:imagedata r:id="rId8" o:title="hand_tracking_mobile_graph" grayscale="t"/>
          </v:shape>
        </w:pict>
      </w:r>
    </w:p>
    <w:p w14:paraId="3CF20D74" w14:textId="77777777" w:rsidR="00486C65" w:rsidRPr="009D5582" w:rsidRDefault="00486C65" w:rsidP="00486C65">
      <w:pPr>
        <w:jc w:val="both"/>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Grafico del funcionamiento del aplicativo Mediapipe de Google</w:t>
      </w:r>
      <w:r w:rsidRPr="009D5582">
        <w:rPr>
          <w:color w:val="000000"/>
          <w:sz w:val="16"/>
          <w:szCs w:val="16"/>
          <w:lang w:val="es-ES" w:eastAsia="es-ES"/>
        </w:rPr>
        <w:t xml:space="preserve">. </w:t>
      </w:r>
      <w:r>
        <w:rPr>
          <w:color w:val="000000"/>
          <w:sz w:val="16"/>
          <w:szCs w:val="16"/>
          <w:lang w:val="es-ES" w:eastAsia="es-ES"/>
        </w:rPr>
        <w:t>Muestra el funcionamiento estructurado del programa en cada etapa y como se comunican entre procesos para llegar a un video renderizado con la predicción del aplicativo.</w:t>
      </w:r>
    </w:p>
    <w:p w14:paraId="4749766A" w14:textId="441127B7" w:rsidR="00117D49" w:rsidRPr="009B6BDD" w:rsidRDefault="00117D49" w:rsidP="009B6BDD">
      <w:pPr>
        <w:pStyle w:val="TextCarCar"/>
        <w:ind w:firstLine="0"/>
        <w:rPr>
          <w:lang w:val="es-ES"/>
        </w:rPr>
      </w:pPr>
    </w:p>
    <w:p w14:paraId="68509374" w14:textId="458F1DAA" w:rsidR="00117D49" w:rsidRPr="00E1067B" w:rsidRDefault="009B6BDD" w:rsidP="00117D49">
      <w:pPr>
        <w:pStyle w:val="Ttulo2"/>
        <w:rPr>
          <w:lang w:val="es-CO"/>
        </w:rPr>
      </w:pPr>
      <w:r>
        <w:rPr>
          <w:lang w:val="es-CO"/>
        </w:rPr>
        <w:t>Pipelines</w:t>
      </w:r>
      <w:r w:rsidR="00117D49" w:rsidRPr="00E1067B">
        <w:rPr>
          <w:lang w:val="es-CO"/>
        </w:rPr>
        <w:t xml:space="preserve"> </w:t>
      </w:r>
    </w:p>
    <w:p w14:paraId="7635A5E6" w14:textId="77777777" w:rsidR="00117D49" w:rsidRPr="00E1067B" w:rsidRDefault="00117D49" w:rsidP="007B7E41">
      <w:pPr>
        <w:pStyle w:val="TextCarCar"/>
        <w:rPr>
          <w:lang w:val="es-CO"/>
        </w:rPr>
      </w:pPr>
    </w:p>
    <w:p w14:paraId="4765816B" w14:textId="77777777" w:rsidR="009B6BDD" w:rsidRPr="009B6BDD" w:rsidRDefault="009B6BDD" w:rsidP="009B6BDD">
      <w:pPr>
        <w:pStyle w:val="TextCarCar"/>
        <w:rPr>
          <w:lang w:val="es-CO"/>
        </w:rPr>
      </w:pPr>
      <w:r w:rsidRPr="009B6BDD">
        <w:rPr>
          <w:lang w:val="es-CO"/>
        </w:rPr>
        <w:t>En arquitecturas de computadoras es una técnica que implemente paralelismo a nivel de instrucciones dentro de un solo procesador. En programación se basa en filtros y consiste en ir transformando un flujo de datos en un proceso comprendido por varias fases secuenciales, siendo la entrada de cada una la salida de la anterior.</w:t>
      </w:r>
    </w:p>
    <w:p w14:paraId="1C22AFE7" w14:textId="77777777" w:rsidR="009B6BDD" w:rsidRPr="009B6BDD" w:rsidRDefault="009B6BDD" w:rsidP="009B6BDD">
      <w:pPr>
        <w:pStyle w:val="TextCarCar"/>
        <w:rPr>
          <w:lang w:val="es-CO"/>
        </w:rPr>
      </w:pPr>
      <w:r w:rsidRPr="009B6BDD">
        <w:rPr>
          <w:lang w:val="es-CO"/>
        </w:rPr>
        <w:t>Esta arquitectura es muy común en el desarrollo de programas para el intérprete de comandos, ya que se pueden conectar comandos fácilmente con tuberías (pipe).</w:t>
      </w:r>
    </w:p>
    <w:p w14:paraId="40A0C941" w14:textId="7F09492A" w:rsidR="007B7E41" w:rsidRDefault="009B6BDD" w:rsidP="009B6BDD">
      <w:pPr>
        <w:pStyle w:val="TextCarCar"/>
        <w:rPr>
          <w:sz w:val="24"/>
          <w:lang w:val="es-CO"/>
        </w:rPr>
      </w:pPr>
      <w:r w:rsidRPr="009B6BDD">
        <w:rPr>
          <w:lang w:val="es-CO"/>
        </w:rPr>
        <w:t xml:space="preserve">También es una arquitectura muy natural en el paradigma de programación funcional, ya que equivale a la composición de funciones matemáticas. </w:t>
      </w:r>
    </w:p>
    <w:p w14:paraId="73558B54" w14:textId="77777777" w:rsidR="007B7E41" w:rsidRPr="00E1067B" w:rsidRDefault="007B7E41" w:rsidP="007B7E41">
      <w:pPr>
        <w:pStyle w:val="Ttulo2"/>
        <w:rPr>
          <w:lang w:val="es-CO"/>
        </w:rPr>
      </w:pPr>
      <w:r>
        <w:rPr>
          <w:sz w:val="24"/>
          <w:lang w:val="es-CO"/>
        </w:rPr>
        <w:t xml:space="preserve">Abreviaciones </w:t>
      </w:r>
      <w:r w:rsidRPr="00E1067B">
        <w:rPr>
          <w:lang w:val="es-CO"/>
        </w:rPr>
        <w:t xml:space="preserve">y Siglas </w:t>
      </w:r>
    </w:p>
    <w:p w14:paraId="33CF0D67" w14:textId="77777777" w:rsidR="00117D49" w:rsidRPr="00E1067B" w:rsidRDefault="00117D49" w:rsidP="00117D49">
      <w:pPr>
        <w:rPr>
          <w:lang w:val="es-CO"/>
        </w:rPr>
      </w:pPr>
    </w:p>
    <w:p w14:paraId="2941F3DF" w14:textId="77777777" w:rsidR="007B7E41" w:rsidRPr="00E1067B" w:rsidRDefault="007B7E41" w:rsidP="007B7E41">
      <w:pPr>
        <w:pStyle w:val="TextCarCar"/>
        <w:rPr>
          <w:lang w:val="es-CO"/>
        </w:rPr>
      </w:pPr>
      <w:r w:rsidRPr="00E1067B">
        <w:rPr>
          <w:lang w:val="es-CO"/>
        </w:rPr>
        <w:t xml:space="preserve">Defina las abreviaciones y siglas la primera vez que sean usadas en el texto, incluso después de que se hayan definido en la teoría. Las abreviaciones como ACM, IEEE, SI, ac, y </w:t>
      </w:r>
      <w:proofErr w:type="spellStart"/>
      <w:r w:rsidRPr="00E1067B">
        <w:rPr>
          <w:lang w:val="es-CO"/>
        </w:rPr>
        <w:t>dc</w:t>
      </w:r>
      <w:proofErr w:type="spellEnd"/>
      <w:r w:rsidRPr="00E1067B">
        <w:rPr>
          <w:lang w:val="es-CO"/>
        </w:rPr>
        <w:t xml:space="preserve"> no tienen que ser definidas. Las abreviaciones que llevan  puntos incorporados no deben tener espacios: escriba “C.N.R.S.,” no “C. N. R. S.” </w:t>
      </w:r>
      <w:r w:rsidRPr="00E1067B">
        <w:rPr>
          <w:i/>
          <w:lang w:val="es-CO"/>
        </w:rPr>
        <w:t>No use las abreviaciones en el título</w:t>
      </w:r>
      <w:r w:rsidRPr="00E1067B">
        <w:rPr>
          <w:lang w:val="es-CO"/>
        </w:rPr>
        <w:t xml:space="preserve"> a menos que ellas sean inevitables (por ejemplo, “IEEE” en el título de este artículo). </w:t>
      </w:r>
    </w:p>
    <w:p w14:paraId="6235887A" w14:textId="77777777" w:rsidR="00C6158D" w:rsidRPr="00E1067B" w:rsidRDefault="00C6158D" w:rsidP="007B7E41">
      <w:pPr>
        <w:pStyle w:val="TextCarCar"/>
        <w:rPr>
          <w:lang w:val="es-CO"/>
        </w:rPr>
      </w:pPr>
    </w:p>
    <w:p w14:paraId="3AC1A1B0" w14:textId="12443FCD" w:rsidR="00C6158D" w:rsidRPr="00E1067B" w:rsidRDefault="00C6158D" w:rsidP="00C6158D">
      <w:pPr>
        <w:pStyle w:val="Ttulo2"/>
        <w:rPr>
          <w:lang w:val="es-CO"/>
        </w:rPr>
      </w:pPr>
      <w:r w:rsidRPr="00E1067B">
        <w:rPr>
          <w:lang w:val="es-CO"/>
        </w:rPr>
        <w:t xml:space="preserve">Ecuaciones </w:t>
      </w:r>
    </w:p>
    <w:p w14:paraId="3164AFF6" w14:textId="77777777" w:rsidR="00C6158D" w:rsidRPr="00E1067B" w:rsidRDefault="00C6158D" w:rsidP="00C6158D">
      <w:pPr>
        <w:pStyle w:val="TextCarCar"/>
        <w:rPr>
          <w:lang w:val="es-CO"/>
        </w:rPr>
      </w:pPr>
      <w:r w:rsidRPr="00E1067B">
        <w:rPr>
          <w:lang w:val="es-CO"/>
        </w:rPr>
        <w:t xml:space="preserve">Numere las ecuaciones consecutivamente con los números </w:t>
      </w:r>
      <w:r w:rsidRPr="00E1067B">
        <w:rPr>
          <w:lang w:val="es-CO"/>
        </w:rPr>
        <w:lastRenderedPageBreak/>
        <w:t xml:space="preserve">de la ecuación en paréntesis contra el margen derecho, como en (1). Primero use el editor de ecuaciones para crear la ecuación. Luego seleccione estilo de “Ecuación”. Presione la tecla </w:t>
      </w:r>
      <w:proofErr w:type="spellStart"/>
      <w:r w:rsidRPr="00E1067B">
        <w:rPr>
          <w:lang w:val="es-CO"/>
        </w:rPr>
        <w:t>tab</w:t>
      </w:r>
      <w:proofErr w:type="spellEnd"/>
      <w:r w:rsidRPr="00E1067B">
        <w:rPr>
          <w:lang w:val="es-CO"/>
        </w:rPr>
        <w:t xml:space="preserve"> y escriba el número de la ecuación en los paréntesis. Para hacer sus ecuaciones más compactas, usted puede usar (/), la función </w:t>
      </w:r>
      <w:proofErr w:type="spellStart"/>
      <w:r w:rsidRPr="00E1067B">
        <w:rPr>
          <w:lang w:val="es-CO"/>
        </w:rPr>
        <w:t>exp</w:t>
      </w:r>
      <w:proofErr w:type="spellEnd"/>
      <w:r w:rsidRPr="00E1067B">
        <w:rPr>
          <w:lang w:val="es-CO"/>
        </w:rPr>
        <w:t xml:space="preserve">, o exponentes apropiados. Use los paréntesis para evitar las ambigüedades en los denominadores. Puntúe las ecuaciones cuando sean parte de una frase, como en </w:t>
      </w:r>
    </w:p>
    <w:p w14:paraId="7EBF2DBB" w14:textId="77777777" w:rsidR="00F260D0" w:rsidRPr="00E1067B" w:rsidRDefault="00F260D0" w:rsidP="00CA72FF">
      <w:pPr>
        <w:pStyle w:val="TextCarCar"/>
        <w:rPr>
          <w:lang w:val="es-CO"/>
        </w:rPr>
      </w:pPr>
    </w:p>
    <w:p w14:paraId="074A5613" w14:textId="77777777" w:rsidR="00F260D0" w:rsidRPr="00B64D71" w:rsidRDefault="00F260D0" w:rsidP="00CA72FF">
      <w:pPr>
        <w:pStyle w:val="Equation"/>
        <w:rPr>
          <w:lang w:val="es-ES"/>
        </w:rPr>
      </w:pPr>
      <w:r w:rsidRPr="00E1067B">
        <w:rPr>
          <w:position w:val="-50"/>
        </w:rPr>
        <w:object w:dxaOrig="4940" w:dyaOrig="1120" w14:anchorId="236057D2">
          <v:shape id="_x0000_i1026" type="#_x0000_t75" style="width:225pt;height:45.75pt" o:ole="" fillcolor="window">
            <v:imagedata r:id="rId9" o:title=""/>
          </v:shape>
          <o:OLEObject Type="Embed" ProgID="Unknown" ShapeID="_x0000_i1026" DrawAspect="Content" ObjectID="_1637964570" r:id="rId10"/>
        </w:object>
      </w:r>
      <w:r w:rsidRPr="00B64D71">
        <w:rPr>
          <w:lang w:val="es-ES"/>
        </w:rPr>
        <w:tab/>
        <w:t>(1)</w:t>
      </w:r>
    </w:p>
    <w:p w14:paraId="49D4C32F" w14:textId="77777777" w:rsidR="00F260D0" w:rsidRPr="00B64D71" w:rsidRDefault="00F260D0" w:rsidP="00CA72FF">
      <w:pPr>
        <w:jc w:val="both"/>
        <w:rPr>
          <w:lang w:val="es-ES"/>
        </w:rPr>
      </w:pPr>
    </w:p>
    <w:p w14:paraId="0250C954" w14:textId="77777777" w:rsidR="00117D49" w:rsidRPr="00E1067B" w:rsidRDefault="00117D49" w:rsidP="00117D49">
      <w:pPr>
        <w:pStyle w:val="TextCarCar"/>
        <w:rPr>
          <w:lang w:val="es-CO"/>
        </w:rPr>
      </w:pPr>
      <w:r w:rsidRPr="00E1067B">
        <w:rPr>
          <w:lang w:val="es-CO"/>
        </w:rPr>
        <w:t>Asegúrese de que los símbolos en su ecuación han estado definidos antes de aparecer la ecuación o inmediatamente enseguida. Ponga en cursiva los símbolos (</w:t>
      </w:r>
      <w:r w:rsidRPr="00E1067B">
        <w:rPr>
          <w:i/>
          <w:lang w:val="es-CO"/>
        </w:rPr>
        <w:t>T</w:t>
      </w:r>
      <w:r w:rsidRPr="00E1067B">
        <w:rPr>
          <w:lang w:val="es-CO"/>
        </w:rPr>
        <w:t xml:space="preserve"> podría referirse a la temperatura, pero T es la unidad tesla). Refiérase a “(1),” no a “</w:t>
      </w:r>
      <w:proofErr w:type="spellStart"/>
      <w:r w:rsidRPr="00E1067B">
        <w:rPr>
          <w:lang w:val="es-CO"/>
        </w:rPr>
        <w:t>Eq</w:t>
      </w:r>
      <w:proofErr w:type="spellEnd"/>
      <w:r w:rsidRPr="00E1067B">
        <w:rPr>
          <w:lang w:val="es-CO"/>
        </w:rPr>
        <w:t>. (1)” o “la ecuación (1),” excepto al principio de una oración: “</w:t>
      </w:r>
      <w:smartTag w:uri="urn:schemas-microsoft-com:office:smarttags" w:element="PersonName">
        <w:smartTagPr>
          <w:attr w:name="ProductID" w:val="la Ecuaci￳n"/>
        </w:smartTagPr>
        <w:r w:rsidRPr="00E1067B">
          <w:rPr>
            <w:lang w:val="es-CO"/>
          </w:rPr>
          <w:t>la Ecuación</w:t>
        </w:r>
      </w:smartTag>
      <w:r w:rsidRPr="00E1067B">
        <w:rPr>
          <w:lang w:val="es-CO"/>
        </w:rPr>
        <w:t xml:space="preserve"> (1) es</w:t>
      </w:r>
      <w:r w:rsidR="005612A1" w:rsidRPr="00E1067B">
        <w:rPr>
          <w:lang w:val="es-CO"/>
        </w:rPr>
        <w:t>....”</w:t>
      </w:r>
    </w:p>
    <w:p w14:paraId="70485A87" w14:textId="77777777" w:rsidR="00117D49" w:rsidRPr="00E1067B" w:rsidRDefault="00117D49" w:rsidP="00117D49">
      <w:pPr>
        <w:pStyle w:val="TextCarCar"/>
        <w:rPr>
          <w:lang w:val="es-CO"/>
        </w:rPr>
      </w:pPr>
    </w:p>
    <w:p w14:paraId="22C5E409" w14:textId="77777777" w:rsidR="00633013" w:rsidRPr="00E1067B" w:rsidRDefault="00633013" w:rsidP="00633013">
      <w:pPr>
        <w:pStyle w:val="Ttulo2"/>
        <w:rPr>
          <w:lang w:val="es-CO"/>
        </w:rPr>
      </w:pPr>
      <w:r w:rsidRPr="00E1067B">
        <w:rPr>
          <w:lang w:val="es-CO"/>
        </w:rPr>
        <w:t xml:space="preserve">Otras Recomendaciones </w:t>
      </w:r>
    </w:p>
    <w:p w14:paraId="1CC9E28C" w14:textId="77777777" w:rsidR="00633013" w:rsidRPr="00E1067B" w:rsidRDefault="00633013" w:rsidP="00CA72FF">
      <w:pPr>
        <w:pStyle w:val="TextCarCar"/>
      </w:pPr>
    </w:p>
    <w:p w14:paraId="0804CDF5" w14:textId="77777777" w:rsidR="00665540" w:rsidRPr="00E1067B" w:rsidRDefault="00665540" w:rsidP="00CA72FF">
      <w:pPr>
        <w:pStyle w:val="TextCarCar"/>
        <w:rPr>
          <w:lang w:val="es-CO"/>
        </w:rPr>
      </w:pPr>
      <w:r w:rsidRPr="00E1067B">
        <w:rPr>
          <w:lang w:val="es-CO"/>
        </w:rPr>
        <w:t xml:space="preserve">Use un espacio después de los puntos finales y de los dos puntos. Una con guión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3B5DF337" w14:textId="77777777" w:rsidR="00665540" w:rsidRPr="00E1067B" w:rsidRDefault="00665540" w:rsidP="00CA72FF">
      <w:pPr>
        <w:pStyle w:val="TextCarCar"/>
        <w:rPr>
          <w:lang w:val="es-CO"/>
        </w:rPr>
      </w:pPr>
    </w:p>
    <w:p w14:paraId="1E485C33" w14:textId="77777777" w:rsidR="00665540" w:rsidRPr="00E1067B" w:rsidRDefault="00665540" w:rsidP="00665540">
      <w:pPr>
        <w:pStyle w:val="TextCarCar"/>
        <w:rPr>
          <w:lang w:val="es-CO"/>
        </w:rPr>
      </w:pPr>
      <w:r w:rsidRPr="00E1067B">
        <w:rPr>
          <w:lang w:val="es-CO"/>
        </w:rPr>
        <w:t>Use un cero antes de los puntos decimales: “0.25,” no “.25.” Use “cm</w:t>
      </w:r>
      <w:r w:rsidRPr="00E1067B">
        <w:rPr>
          <w:vertAlign w:val="superscript"/>
          <w:lang w:val="es-CO"/>
        </w:rPr>
        <w:t>3</w:t>
      </w:r>
      <w:r w:rsidRPr="00E1067B">
        <w:rPr>
          <w:lang w:val="es-CO"/>
        </w:rPr>
        <w:t>,” no “</w:t>
      </w:r>
      <w:proofErr w:type="spellStart"/>
      <w:r w:rsidRPr="00E1067B">
        <w:rPr>
          <w:lang w:val="es-CO"/>
        </w:rPr>
        <w:t>cc.</w:t>
      </w:r>
      <w:proofErr w:type="spellEnd"/>
      <w:r w:rsidRPr="00E1067B">
        <w:rPr>
          <w:lang w:val="es-CO"/>
        </w:rPr>
        <w:t>” Indique las dimensiones simplificadas como “</w:t>
      </w:r>
      <w:smartTag w:uri="urn:schemas-microsoft-com:office:smarttags" w:element="metricconverter">
        <w:smartTagPr>
          <w:attr w:name="ProductID" w:val="0.1 cm"/>
        </w:smartTagPr>
        <w:r w:rsidRPr="00E1067B">
          <w:rPr>
            <w:lang w:val="es-CO"/>
          </w:rPr>
          <w:t>0.1 cm</w:t>
        </w:r>
      </w:smartTag>
      <w:r w:rsidRPr="00E1067B">
        <w:rPr>
          <w:lang w:val="es-CO"/>
        </w:rPr>
        <w:t xml:space="preserve"> </w:t>
      </w:r>
      <w:r w:rsidRPr="00E1067B">
        <w:rPr>
          <w:lang w:val="es-CO" w:eastAsia="es-CO"/>
        </w:rPr>
        <w:t></w:t>
      </w:r>
      <w:r w:rsidRPr="00E1067B">
        <w:rPr>
          <w:lang w:val="es-CO" w:eastAsia="es-CO"/>
        </w:rPr>
        <w:t></w:t>
      </w:r>
      <w:r w:rsidRPr="00E1067B">
        <w:rPr>
          <w:lang w:val="es-CO"/>
        </w:rPr>
        <w:t xml:space="preserve">0.2 cm,” no “0.1 </w:t>
      </w:r>
      <w:r w:rsidRPr="00E1067B">
        <w:rPr>
          <w:lang w:val="es-CO" w:eastAsia="es-CO"/>
        </w:rPr>
        <w:t></w:t>
      </w:r>
      <w:r w:rsidRPr="00E1067B">
        <w:rPr>
          <w:lang w:val="es-CO" w:eastAsia="es-CO"/>
        </w:rPr>
        <w:t></w:t>
      </w:r>
      <w:r w:rsidRPr="00E1067B">
        <w:rPr>
          <w:lang w:val="es-CO"/>
        </w:rPr>
        <w:t>0.2 cm</w:t>
      </w:r>
      <w:r w:rsidRPr="00E1067B">
        <w:rPr>
          <w:vertAlign w:val="superscript"/>
          <w:lang w:val="es-CO"/>
        </w:rPr>
        <w:t>2</w:t>
      </w:r>
      <w:r w:rsidRPr="00E1067B">
        <w:rPr>
          <w:lang w:val="es-CO"/>
        </w:rPr>
        <w:t>.” La abreviación para “segundos” es “s,” no “sec.” No mezcle los nombres completos y abreviaciones de unidades: use “Wb/m</w:t>
      </w:r>
      <w:r w:rsidRPr="00E1067B">
        <w:rPr>
          <w:vertAlign w:val="superscript"/>
          <w:lang w:val="es-CO"/>
        </w:rPr>
        <w:t>2</w:t>
      </w:r>
      <w:r w:rsidRPr="00E1067B">
        <w:rPr>
          <w:lang w:val="es-CO"/>
        </w:rPr>
        <w:t>” o “webers por metro cuadrado,” no “webers/m</w:t>
      </w:r>
      <w:r w:rsidRPr="00E1067B">
        <w:rPr>
          <w:vertAlign w:val="superscript"/>
          <w:lang w:val="es-CO"/>
        </w:rPr>
        <w:t>2</w:t>
      </w:r>
      <w:r w:rsidRPr="00E1067B">
        <w:rPr>
          <w:lang w:val="es-CO"/>
        </w:rPr>
        <w:t>.” Al expresar un rango de valores, escriba “</w:t>
      </w:r>
      <w:smartTag w:uri="urn:schemas-microsoft-com:office:smarttags" w:element="metricconverter">
        <w:smartTagPr>
          <w:attr w:name="ProductID" w:val="7 a"/>
        </w:smartTagPr>
        <w:r w:rsidRPr="00E1067B">
          <w:rPr>
            <w:lang w:val="es-CO"/>
          </w:rPr>
          <w:t>7 a</w:t>
        </w:r>
      </w:smartTag>
      <w:r w:rsidRPr="00E1067B">
        <w:rPr>
          <w:lang w:val="es-CO"/>
        </w:rPr>
        <w:t xml:space="preserve"> </w:t>
      </w:r>
      <w:smartTag w:uri="urn:schemas-microsoft-com:office:smarttags" w:element="metricconverter">
        <w:smartTagPr>
          <w:attr w:name="ProductID" w:val="9”"/>
        </w:smartTagPr>
        <w:r w:rsidRPr="00E1067B">
          <w:rPr>
            <w:lang w:val="es-CO"/>
          </w:rPr>
          <w:t>9”</w:t>
        </w:r>
      </w:smartTag>
      <w:r w:rsidRPr="00E1067B">
        <w:rPr>
          <w:lang w:val="es-CO"/>
        </w:rPr>
        <w:t xml:space="preserve"> o “7-</w:t>
      </w:r>
      <w:smartTag w:uri="urn:schemas-microsoft-com:office:smarttags" w:element="metricconverter">
        <w:smartTagPr>
          <w:attr w:name="ProductID" w:val="9,”"/>
        </w:smartTagPr>
        <w:r w:rsidRPr="00E1067B">
          <w:rPr>
            <w:lang w:val="es-CO"/>
          </w:rPr>
          <w:t>9,”</w:t>
        </w:r>
      </w:smartTag>
      <w:r w:rsidRPr="00E1067B">
        <w:rPr>
          <w:lang w:val="es-CO"/>
        </w:rPr>
        <w:t xml:space="preserve"> no “7~9.” </w:t>
      </w:r>
    </w:p>
    <w:p w14:paraId="5905D47C" w14:textId="77777777" w:rsidR="001F60FC" w:rsidRPr="00E1067B" w:rsidRDefault="001F60FC" w:rsidP="00CA72FF">
      <w:pPr>
        <w:pStyle w:val="TextCarCar"/>
        <w:rPr>
          <w:lang w:val="es-CO"/>
        </w:rPr>
      </w:pPr>
    </w:p>
    <w:p w14:paraId="4FB58F95" w14:textId="77777777" w:rsidR="001F60FC" w:rsidRPr="00E1067B" w:rsidRDefault="001F60FC" w:rsidP="001F60FC">
      <w:pPr>
        <w:pStyle w:val="TextCarCar"/>
        <w:rPr>
          <w:lang w:val="es-CO"/>
        </w:rPr>
      </w:pPr>
      <w:r w:rsidRPr="00E1067B">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Otra puntuación va “afuera”! Evite las contracciones; por ejemplo, escriba “do </w:t>
      </w:r>
      <w:proofErr w:type="spellStart"/>
      <w:r w:rsidRPr="00E1067B">
        <w:rPr>
          <w:lang w:val="es-CO"/>
        </w:rPr>
        <w:t>not</w:t>
      </w:r>
      <w:proofErr w:type="spellEnd"/>
      <w:r w:rsidRPr="00E1067B">
        <w:rPr>
          <w:lang w:val="es-CO"/>
        </w:rPr>
        <w:t>” en lugar de “</w:t>
      </w:r>
      <w:proofErr w:type="spellStart"/>
      <w:r w:rsidRPr="00E1067B">
        <w:rPr>
          <w:lang w:val="es-CO"/>
        </w:rPr>
        <w:t>don’t</w:t>
      </w:r>
      <w:proofErr w:type="spellEnd"/>
      <w:r w:rsidRPr="00E1067B">
        <w:rPr>
          <w:lang w:val="es-CO"/>
        </w:rPr>
        <w:t xml:space="preserve">.” La coma consecutiva se prefiere: “A, B, y C” en lugar de “A, B y C.” </w:t>
      </w:r>
    </w:p>
    <w:p w14:paraId="03522E9C" w14:textId="77777777" w:rsidR="001F60FC" w:rsidRDefault="001F60FC" w:rsidP="001F60FC">
      <w:pPr>
        <w:pStyle w:val="TextCarCar"/>
        <w:rPr>
          <w:sz w:val="24"/>
          <w:lang w:val="es-CO"/>
        </w:rPr>
      </w:pPr>
    </w:p>
    <w:p w14:paraId="02D2C43B" w14:textId="77777777" w:rsidR="00952E86" w:rsidRPr="00E1067B" w:rsidRDefault="00952E86" w:rsidP="00952E86">
      <w:pPr>
        <w:pStyle w:val="TextCarCar"/>
        <w:ind w:firstLine="180"/>
        <w:rPr>
          <w:lang w:val="es-CO"/>
        </w:rPr>
      </w:pPr>
      <w:r w:rsidRPr="00E1067B">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E1067B">
        <w:rPr>
          <w:lang w:val="es-CO"/>
        </w:rPr>
        <w:t>”)</w:t>
      </w:r>
      <w:r w:rsidRPr="00E1067B">
        <w:rPr>
          <w:lang w:val="es-CO"/>
        </w:rPr>
        <w:t xml:space="preserve">. Recuerde verificar la ortografía. Si su idioma nativo no es inglés, por favor consiga que un colega angloparlante nativo corrija su documento. </w:t>
      </w:r>
    </w:p>
    <w:p w14:paraId="6ABECFB1" w14:textId="77777777" w:rsidR="00952E86" w:rsidRPr="00E1067B" w:rsidRDefault="00952E86" w:rsidP="00952E86">
      <w:pPr>
        <w:pStyle w:val="TextCarCar"/>
        <w:rPr>
          <w:lang w:val="es-CO"/>
        </w:rPr>
      </w:pPr>
    </w:p>
    <w:p w14:paraId="3532BC59" w14:textId="77777777" w:rsidR="00F260D0" w:rsidRPr="00E1067B" w:rsidRDefault="00F260D0" w:rsidP="00CA72FF">
      <w:pPr>
        <w:pStyle w:val="TextCarCar"/>
        <w:rPr>
          <w:lang w:val="es-ES"/>
        </w:rPr>
      </w:pPr>
    </w:p>
    <w:p w14:paraId="7670689D" w14:textId="77777777" w:rsidR="00814101" w:rsidRPr="00E1067B" w:rsidRDefault="00814101" w:rsidP="00814101">
      <w:pPr>
        <w:pStyle w:val="Ttulo1"/>
        <w:rPr>
          <w:lang w:val="es-CO"/>
        </w:rPr>
      </w:pPr>
      <w:r w:rsidRPr="00E1067B">
        <w:rPr>
          <w:lang w:val="es-CO"/>
        </w:rPr>
        <w:t xml:space="preserve">Algunos Errores Comunes </w:t>
      </w:r>
    </w:p>
    <w:p w14:paraId="516A3769" w14:textId="77777777" w:rsidR="00B73393" w:rsidRPr="00E1067B" w:rsidRDefault="00B73393" w:rsidP="00B73393">
      <w:pPr>
        <w:pStyle w:val="TextCarCar"/>
        <w:rPr>
          <w:lang w:val="es-CO"/>
        </w:rPr>
      </w:pPr>
      <w:r w:rsidRPr="00E1067B">
        <w:rPr>
          <w:lang w:val="es-CO"/>
        </w:rPr>
        <w:t>La palabra “data (datos)” es plural, no singular. El subíndice para la permeabilidad del vacío µ</w:t>
      </w:r>
      <w:r w:rsidRPr="00E1067B">
        <w:rPr>
          <w:vertAlign w:val="subscript"/>
          <w:lang w:val="es-CO"/>
        </w:rPr>
        <w:t>0</w:t>
      </w:r>
      <w:r w:rsidRPr="00E1067B">
        <w:rPr>
          <w:lang w:val="es-CO"/>
        </w:rPr>
        <w:t xml:space="preserve"> es cero, no un escriba en letras minúsculas la letra “o.” El término para la magnetización residual es “remanente”. Use la palabra “micrómetro” en lugar de “</w:t>
      </w:r>
      <w:proofErr w:type="spellStart"/>
      <w:r w:rsidRPr="00E1067B">
        <w:rPr>
          <w:lang w:val="es-CO"/>
        </w:rPr>
        <w:t>microm</w:t>
      </w:r>
      <w:proofErr w:type="spellEnd"/>
      <w:r w:rsidRPr="00E1067B">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E1067B">
        <w:rPr>
          <w:lang w:val="es-CO"/>
        </w:rPr>
        <w:t>NiMn</w:t>
      </w:r>
      <w:proofErr w:type="spellEnd"/>
      <w:r w:rsidRPr="00E1067B">
        <w:rPr>
          <w:lang w:val="es-CO"/>
        </w:rPr>
        <w:t>” indica la aleación Ni</w:t>
      </w:r>
      <w:r w:rsidRPr="00E1067B">
        <w:rPr>
          <w:vertAlign w:val="subscript"/>
          <w:lang w:val="es-CO"/>
        </w:rPr>
        <w:t>0.5</w:t>
      </w:r>
      <w:r w:rsidRPr="00E1067B">
        <w:rPr>
          <w:lang w:val="es-CO"/>
        </w:rPr>
        <w:t>Mn</w:t>
      </w:r>
      <w:r w:rsidRPr="00E1067B">
        <w:rPr>
          <w:vertAlign w:val="subscript"/>
          <w:lang w:val="es-CO"/>
        </w:rPr>
        <w:t>0.5</w:t>
      </w:r>
      <w:r w:rsidRPr="00E1067B">
        <w:rPr>
          <w:lang w:val="es-CO"/>
        </w:rPr>
        <w:t xml:space="preserve"> compuesto considerando que “Ni-Mn” indica una aleación de alguna composición Ni</w:t>
      </w:r>
      <w:r w:rsidRPr="00E1067B">
        <w:rPr>
          <w:vertAlign w:val="subscript"/>
          <w:lang w:val="es-CO"/>
        </w:rPr>
        <w:t>x</w:t>
      </w:r>
      <w:r w:rsidRPr="00E1067B">
        <w:rPr>
          <w:lang w:val="es-CO"/>
        </w:rPr>
        <w:t>Mn</w:t>
      </w:r>
      <w:r w:rsidRPr="00E1067B">
        <w:rPr>
          <w:vertAlign w:val="subscript"/>
          <w:lang w:val="es-CO"/>
        </w:rPr>
        <w:t>1-x</w:t>
      </w:r>
      <w:r w:rsidRPr="00E1067B">
        <w:rPr>
          <w:lang w:val="es-CO"/>
        </w:rPr>
        <w:t xml:space="preserve">. </w:t>
      </w:r>
    </w:p>
    <w:p w14:paraId="72DC9208" w14:textId="77777777" w:rsidR="00B73393" w:rsidRPr="00E1067B" w:rsidRDefault="00B73393" w:rsidP="00B73393">
      <w:pPr>
        <w:pStyle w:val="TextCarCar"/>
        <w:rPr>
          <w:lang w:val="es-CO"/>
        </w:rPr>
      </w:pPr>
    </w:p>
    <w:p w14:paraId="12DB2369" w14:textId="77777777" w:rsidR="00C770E1" w:rsidRPr="00E1067B" w:rsidRDefault="00C770E1" w:rsidP="00C770E1">
      <w:pPr>
        <w:pStyle w:val="TextCarCar"/>
        <w:rPr>
          <w:lang w:val="es-CO"/>
        </w:rPr>
      </w:pPr>
      <w:r w:rsidRPr="00E1067B">
        <w:rPr>
          <w:lang w:val="es-CO"/>
        </w:rPr>
        <w:t>Sea consciente de los</w:t>
      </w:r>
      <w:r w:rsidRPr="00E1067B">
        <w:rPr>
          <w:color w:val="0000FF"/>
          <w:lang w:val="es-CO"/>
        </w:rPr>
        <w:t xml:space="preserve"> </w:t>
      </w:r>
      <w:r w:rsidRPr="00E1067B">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7BEA3933" w14:textId="77777777" w:rsidR="00F260D0" w:rsidRPr="00E1067B" w:rsidRDefault="00F260D0" w:rsidP="00CA72FF">
      <w:pPr>
        <w:pStyle w:val="TextCarCar"/>
        <w:rPr>
          <w:lang w:val="es-ES"/>
        </w:rPr>
      </w:pPr>
      <w:r w:rsidRPr="00E1067B">
        <w:rPr>
          <w:lang w:val="es-ES"/>
        </w:rPr>
        <w:t xml:space="preserve"> </w:t>
      </w:r>
    </w:p>
    <w:p w14:paraId="63A1535C" w14:textId="77777777" w:rsidR="00122915" w:rsidRPr="00E1067B" w:rsidRDefault="00122915" w:rsidP="00122915">
      <w:pPr>
        <w:pStyle w:val="TextCarCar"/>
        <w:rPr>
          <w:u w:val="single"/>
          <w:lang w:val="es-CO"/>
        </w:rPr>
      </w:pPr>
      <w:r w:rsidRPr="00E1067B">
        <w:rPr>
          <w:lang w:val="es-CO"/>
        </w:rPr>
        <w:t>Los prefijos como “sub,” “micro,” “multi,” y “" ultra” no son palabras independientes; ellas deben unirse a las palabras que ellos modifican, normalmente sin un guión. No hay ningún período después “et” en la abreviación latina “</w:t>
      </w:r>
      <w:r w:rsidRPr="00E1067B">
        <w:rPr>
          <w:i/>
          <w:lang w:val="es-CO"/>
        </w:rPr>
        <w:t>et al.</w:t>
      </w:r>
      <w:r w:rsidRPr="00E1067B">
        <w:rPr>
          <w:lang w:val="es-CO"/>
        </w:rPr>
        <w:t>” (Además se pone en cursiva). La abreviación “i.e.,” significa “es decir,” y la abreviación “</w:t>
      </w:r>
      <w:proofErr w:type="spellStart"/>
      <w:r w:rsidRPr="00E1067B">
        <w:rPr>
          <w:lang w:val="es-CO"/>
        </w:rPr>
        <w:t>e.g</w:t>
      </w:r>
      <w:proofErr w:type="spellEnd"/>
      <w:r w:rsidRPr="00E1067B">
        <w:rPr>
          <w:lang w:val="es-CO"/>
        </w:rPr>
        <w:t xml:space="preserve">.,” significa “por ejemplo” (estas abreviaciones no se ponen cursiva). Un excelente manual de estilos y fuente de información para escritores de la ciencia es [8]. Una guía general de estilos IEEE, </w:t>
      </w:r>
      <w:r w:rsidRPr="00E1067B">
        <w:rPr>
          <w:i/>
          <w:lang w:val="es-CO"/>
        </w:rPr>
        <w:t>Información para Autores</w:t>
      </w:r>
      <w:r w:rsidRPr="00E1067B">
        <w:rPr>
          <w:lang w:val="es-CO"/>
        </w:rPr>
        <w:t xml:space="preserve">, está disponible en </w:t>
      </w:r>
      <w:r w:rsidRPr="00E1067B">
        <w:rPr>
          <w:color w:val="0000FF"/>
          <w:u w:val="single"/>
          <w:lang w:val="es-CO"/>
        </w:rPr>
        <w:t>http://www.ieee.org/organizations/pubs/transactions/information.htm</w:t>
      </w:r>
      <w:r w:rsidRPr="00E1067B">
        <w:rPr>
          <w:u w:val="single"/>
          <w:lang w:val="es-CO"/>
        </w:rPr>
        <w:t xml:space="preserve"> </w:t>
      </w:r>
    </w:p>
    <w:p w14:paraId="3F07D7C0" w14:textId="77777777" w:rsidR="00F260D0" w:rsidRDefault="00F260D0" w:rsidP="00CA72FF">
      <w:pPr>
        <w:pStyle w:val="TextCarCar"/>
        <w:rPr>
          <w:lang w:val="es-CO"/>
        </w:rPr>
      </w:pPr>
    </w:p>
    <w:p w14:paraId="2AECA6BC" w14:textId="77777777" w:rsidR="00B0004F" w:rsidRDefault="00B0004F" w:rsidP="00CA72FF">
      <w:pPr>
        <w:pStyle w:val="TextCarCar"/>
        <w:rPr>
          <w:lang w:val="es-CO"/>
        </w:rPr>
      </w:pPr>
    </w:p>
    <w:p w14:paraId="53C546CC" w14:textId="77777777" w:rsidR="00B0004F" w:rsidRDefault="00B0004F" w:rsidP="00CA72FF">
      <w:pPr>
        <w:pStyle w:val="TextCarCar"/>
        <w:rPr>
          <w:lang w:val="es-CO"/>
        </w:rPr>
      </w:pPr>
    </w:p>
    <w:p w14:paraId="5239EB68" w14:textId="77777777" w:rsidR="00B0004F" w:rsidRPr="00E1067B" w:rsidRDefault="00B0004F" w:rsidP="00CA72FF">
      <w:pPr>
        <w:pStyle w:val="TextCarCar"/>
        <w:rPr>
          <w:lang w:val="es-CO"/>
        </w:rPr>
      </w:pPr>
    </w:p>
    <w:p w14:paraId="1308D2D2" w14:textId="77777777" w:rsidR="00F260D0" w:rsidRPr="00E1067B" w:rsidRDefault="00F260D0" w:rsidP="00CA72FF">
      <w:pPr>
        <w:pStyle w:val="TextCarCar"/>
        <w:ind w:firstLine="0"/>
        <w:rPr>
          <w:lang w:val="es-ES"/>
        </w:rPr>
      </w:pPr>
    </w:p>
    <w:p w14:paraId="548C7431" w14:textId="77777777" w:rsidR="00752136" w:rsidRPr="00E1067B" w:rsidRDefault="00752136" w:rsidP="00752136">
      <w:pPr>
        <w:pStyle w:val="Ttulo1"/>
        <w:rPr>
          <w:lang w:val="es-CO"/>
        </w:rPr>
      </w:pPr>
      <w:r w:rsidRPr="00E1067B">
        <w:rPr>
          <w:lang w:val="es-CO"/>
        </w:rPr>
        <w:t xml:space="preserve">Política editorial </w:t>
      </w:r>
    </w:p>
    <w:p w14:paraId="2B525498" w14:textId="77777777" w:rsidR="00752136" w:rsidRPr="00E1067B" w:rsidRDefault="00752136" w:rsidP="00CA72FF">
      <w:pPr>
        <w:pStyle w:val="TextCarCar"/>
      </w:pPr>
    </w:p>
    <w:p w14:paraId="10840810" w14:textId="77777777" w:rsidR="00F260D0" w:rsidRPr="00E1067B" w:rsidRDefault="00752136" w:rsidP="00CA72FF">
      <w:pPr>
        <w:pStyle w:val="TextCarCar"/>
        <w:rPr>
          <w:lang w:val="es-CO"/>
        </w:rPr>
      </w:pPr>
      <w:r w:rsidRPr="00E1067B">
        <w:rPr>
          <w:color w:val="000000"/>
          <w:lang w:val="es-ES"/>
        </w:rPr>
        <w:t>Presentación de un manuscrito no es necesaria para la participación en una conferencia</w:t>
      </w:r>
      <w:r w:rsidR="00F260D0" w:rsidRPr="00E1067B">
        <w:rPr>
          <w:lang w:val="es-ES"/>
        </w:rPr>
        <w:t xml:space="preserve">. </w:t>
      </w:r>
      <w:r w:rsidRPr="00E1067B">
        <w:rPr>
          <w:lang w:val="es-CO"/>
        </w:rPr>
        <w:t xml:space="preserve">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w:t>
      </w:r>
      <w:r w:rsidRPr="00E1067B">
        <w:rPr>
          <w:lang w:val="es-CO"/>
        </w:rPr>
        <w:lastRenderedPageBreak/>
        <w:t>un documento (</w:t>
      </w:r>
      <w:proofErr w:type="spellStart"/>
      <w:r w:rsidRPr="00E1067B">
        <w:rPr>
          <w:lang w:val="es-CO"/>
        </w:rPr>
        <w:t>paper</w:t>
      </w:r>
      <w:proofErr w:type="spellEnd"/>
      <w:r w:rsidRPr="00E1067B">
        <w:rPr>
          <w:lang w:val="es-CO"/>
        </w:rPr>
        <w:t xml:space="preserve">). </w:t>
      </w:r>
      <w:smartTag w:uri="urn:schemas-microsoft-com:office:smarttags" w:element="PersonName">
        <w:smartTagPr>
          <w:attr w:name="ProductID" w:val="La IEEE"/>
        </w:smartTagPr>
        <w:r w:rsidRPr="00E1067B">
          <w:rPr>
            <w:lang w:val="es-CO" w:eastAsia="es-CO"/>
          </w:rPr>
          <w:t xml:space="preserve">La </w:t>
        </w:r>
        <w:r w:rsidR="00D57769" w:rsidRPr="00E1067B">
          <w:rPr>
            <w:lang w:val="es-CO" w:eastAsia="es-CO"/>
          </w:rPr>
          <w:t>IEEE</w:t>
        </w:r>
      </w:smartTag>
      <w:r w:rsidRPr="00E1067B">
        <w:rPr>
          <w:lang w:val="es-CO" w:eastAsia="es-CO"/>
        </w:rPr>
        <w:t xml:space="preserve"> </w:t>
      </w:r>
      <w:r w:rsidRPr="00E1067B">
        <w:rPr>
          <w:lang w:val="es-CO"/>
        </w:rPr>
        <w:t>rechaza radicalmente la paternidad literaria de cortesía. Es obligación de los autores citar el trabajo previo pertinente.</w:t>
      </w:r>
    </w:p>
    <w:p w14:paraId="3436142C" w14:textId="77777777" w:rsidR="00752136" w:rsidRPr="00E1067B" w:rsidRDefault="00752136" w:rsidP="00CA72FF">
      <w:pPr>
        <w:pStyle w:val="TextCarCar"/>
        <w:rPr>
          <w:lang w:val="es-CO"/>
        </w:rPr>
      </w:pPr>
    </w:p>
    <w:p w14:paraId="19B0A4F8" w14:textId="77777777" w:rsidR="00F260D0" w:rsidRPr="00B64D71" w:rsidRDefault="00F260D0" w:rsidP="00CA72FF">
      <w:pPr>
        <w:pStyle w:val="TextCarCar"/>
        <w:rPr>
          <w:lang w:val="es-ES"/>
        </w:rPr>
      </w:pPr>
    </w:p>
    <w:p w14:paraId="28B56E6D" w14:textId="77777777" w:rsidR="00E53978" w:rsidRPr="00E1067B" w:rsidRDefault="00E53978" w:rsidP="00E53978">
      <w:pPr>
        <w:pStyle w:val="Ttulo1"/>
        <w:rPr>
          <w:lang w:val="es-CO"/>
        </w:rPr>
      </w:pPr>
      <w:r w:rsidRPr="00E1067B">
        <w:rPr>
          <w:lang w:val="es-CO"/>
        </w:rPr>
        <w:t xml:space="preserve">Principios de publicación </w:t>
      </w:r>
    </w:p>
    <w:p w14:paraId="535A0524" w14:textId="77777777" w:rsidR="00E53978" w:rsidRPr="00E1067B" w:rsidRDefault="00E53978" w:rsidP="00CA72FF">
      <w:pPr>
        <w:pStyle w:val="TextCarCar"/>
      </w:pPr>
    </w:p>
    <w:p w14:paraId="3F842319" w14:textId="77777777" w:rsidR="00C21809" w:rsidRPr="00C255F4" w:rsidRDefault="00C255F4" w:rsidP="00C21809">
      <w:pPr>
        <w:pStyle w:val="TextCarCar"/>
        <w:ind w:firstLine="0"/>
        <w:jc w:val="left"/>
        <w:rPr>
          <w:lang w:val="es-ES"/>
        </w:rPr>
      </w:pPr>
      <w:r w:rsidRPr="007A0281">
        <w:rPr>
          <w:color w:val="000000"/>
          <w:lang w:val="es-ES" w:eastAsia="es-ES"/>
        </w:rPr>
        <w:t xml:space="preserve">El contenido de </w:t>
      </w:r>
      <w:r w:rsidRPr="00C255F4">
        <w:rPr>
          <w:lang w:val="es-ES"/>
        </w:rPr>
        <w:t>TRANSACTIONS y JOURNALS</w:t>
      </w:r>
      <w:r w:rsidRPr="00C255F4">
        <w:rPr>
          <w:color w:val="000000"/>
          <w:lang w:val="es-ES" w:eastAsia="es-ES"/>
        </w:rPr>
        <w:t xml:space="preserve"> es</w:t>
      </w:r>
      <w:r w:rsidR="00C21809">
        <w:rPr>
          <w:color w:val="000000"/>
          <w:lang w:val="es-ES" w:eastAsia="es-ES"/>
        </w:rPr>
        <w:t xml:space="preserve"> </w:t>
      </w:r>
      <w:r w:rsidRPr="007A0281">
        <w:rPr>
          <w:color w:val="000000"/>
          <w:lang w:val="es-ES" w:eastAsia="es-ES"/>
        </w:rPr>
        <w:t>revisad</w:t>
      </w:r>
      <w:r w:rsidRPr="00C255F4">
        <w:rPr>
          <w:color w:val="000000"/>
          <w:lang w:val="es-ES" w:eastAsia="es-ES"/>
        </w:rPr>
        <w:t>o</w:t>
      </w:r>
      <w:r w:rsidR="00C21809">
        <w:rPr>
          <w:color w:val="000000"/>
          <w:lang w:val="es-ES" w:eastAsia="es-ES"/>
        </w:rPr>
        <w:t xml:space="preserve"> </w:t>
      </w:r>
      <w:r w:rsidR="00C21809" w:rsidRPr="007A0281">
        <w:rPr>
          <w:color w:val="000000"/>
          <w:lang w:val="es-ES" w:eastAsia="es-ES"/>
        </w:rPr>
        <w:t>y archiv</w:t>
      </w:r>
      <w:r w:rsidR="00C21809" w:rsidRPr="00C255F4">
        <w:rPr>
          <w:color w:val="000000"/>
          <w:lang w:val="es-ES" w:eastAsia="es-ES"/>
        </w:rPr>
        <w:t>ado</w:t>
      </w:r>
      <w:r w:rsidRPr="007A0281">
        <w:rPr>
          <w:color w:val="000000"/>
          <w:lang w:val="es-ES" w:eastAsia="es-ES"/>
        </w:rPr>
        <w:t xml:space="preserve"> por expertos</w:t>
      </w:r>
      <w:r w:rsidRPr="00C255F4">
        <w:rPr>
          <w:lang w:val="es-ES"/>
        </w:rPr>
        <w:t>.</w:t>
      </w:r>
    </w:p>
    <w:p w14:paraId="4B435AEF" w14:textId="77777777" w:rsidR="00F260D0" w:rsidRPr="00C255F4" w:rsidRDefault="00C255F4" w:rsidP="00C21809">
      <w:pPr>
        <w:pStyle w:val="TextCarCar"/>
        <w:ind w:firstLine="0"/>
        <w:jc w:val="left"/>
        <w:rPr>
          <w:lang w:val="es-ES"/>
        </w:rPr>
      </w:pPr>
      <w:r w:rsidRPr="007A0281">
        <w:rPr>
          <w:color w:val="000000"/>
          <w:lang w:val="es-ES" w:eastAsia="es-ES"/>
        </w:rPr>
        <w:t>Los autores deben considerar los siguientes puntos</w:t>
      </w:r>
      <w:r w:rsidR="00F260D0" w:rsidRPr="00C255F4">
        <w:rPr>
          <w:lang w:val="es-ES"/>
        </w:rPr>
        <w:t>:</w:t>
      </w:r>
    </w:p>
    <w:p w14:paraId="72046F65" w14:textId="77777777" w:rsidR="00E53978" w:rsidRPr="00E1067B" w:rsidRDefault="003628C5" w:rsidP="003628C5">
      <w:pPr>
        <w:pStyle w:val="TextCarCar"/>
        <w:ind w:firstLine="0"/>
        <w:rPr>
          <w:lang w:val="es-ES"/>
        </w:rPr>
      </w:pPr>
      <w:r w:rsidRPr="00E1067B">
        <w:rPr>
          <w:lang w:val="es-ES"/>
        </w:rPr>
        <w:t xml:space="preserve">1) </w:t>
      </w:r>
      <w:r w:rsidR="00E53978" w:rsidRPr="00E1067B">
        <w:rPr>
          <w:lang w:val="es-ES"/>
        </w:rPr>
        <w:t>Los documentos técnicos enviados para publicación deben adelantar el estado de conocimiento y deben citar el trabajo previo pertinente.</w:t>
      </w:r>
    </w:p>
    <w:p w14:paraId="2F325719" w14:textId="77777777" w:rsidR="00E53978" w:rsidRPr="00E1067B" w:rsidRDefault="00E53978" w:rsidP="00E53978">
      <w:pPr>
        <w:pStyle w:val="TextCarCar"/>
        <w:ind w:firstLine="0"/>
        <w:rPr>
          <w:lang w:val="es-ES"/>
        </w:rPr>
      </w:pPr>
    </w:p>
    <w:p w14:paraId="39443904" w14:textId="77777777" w:rsidR="002643FA" w:rsidRPr="00E1067B" w:rsidRDefault="002643FA" w:rsidP="002643FA">
      <w:pPr>
        <w:pStyle w:val="TextCarCar"/>
        <w:ind w:firstLine="0"/>
        <w:rPr>
          <w:lang w:val="es-CO"/>
        </w:rPr>
      </w:pPr>
      <w:r w:rsidRPr="00E1067B">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94C2D9E" w14:textId="77777777" w:rsidR="003628C5" w:rsidRPr="00E1067B" w:rsidRDefault="003628C5" w:rsidP="003628C5">
      <w:pPr>
        <w:pStyle w:val="Ttulo3"/>
        <w:numPr>
          <w:ilvl w:val="0"/>
          <w:numId w:val="0"/>
        </w:numPr>
        <w:rPr>
          <w:lang w:val="es-CO"/>
        </w:rPr>
      </w:pPr>
    </w:p>
    <w:p w14:paraId="4A7EADBC" w14:textId="77777777" w:rsidR="003628C5" w:rsidRPr="00E1067B" w:rsidRDefault="003628C5" w:rsidP="003628C5">
      <w:pPr>
        <w:pStyle w:val="TextCarCar"/>
        <w:ind w:firstLine="0"/>
        <w:rPr>
          <w:lang w:val="es-CO"/>
        </w:rPr>
      </w:pPr>
      <w:r w:rsidRPr="00E1067B">
        <w:rPr>
          <w:lang w:val="es-ES"/>
        </w:rPr>
        <w:t xml:space="preserve">3) </w:t>
      </w:r>
      <w:r w:rsidRPr="00E1067B">
        <w:rPr>
          <w:lang w:val="es-CO"/>
        </w:rPr>
        <w:t xml:space="preserve">Los autores deben convencer al Comité Editorial, por medio de su documento, del mérito académico, científico o técnico del documento; las normas de evaluación son más exigentes cuando se reportan resultados extraordinarios o inesperados. </w:t>
      </w:r>
    </w:p>
    <w:p w14:paraId="78DBECFF" w14:textId="77777777" w:rsidR="00F260D0" w:rsidRPr="00E1067B" w:rsidRDefault="00F260D0" w:rsidP="003628C5">
      <w:pPr>
        <w:pStyle w:val="Ttulo3"/>
        <w:numPr>
          <w:ilvl w:val="0"/>
          <w:numId w:val="0"/>
        </w:numPr>
        <w:rPr>
          <w:lang w:val="es-ES"/>
        </w:rPr>
      </w:pPr>
      <w:r w:rsidRPr="00E1067B">
        <w:rPr>
          <w:lang w:val="es-ES"/>
        </w:rPr>
        <w:t xml:space="preserve"> </w:t>
      </w:r>
    </w:p>
    <w:p w14:paraId="281FDB77" w14:textId="77777777" w:rsidR="004E2675" w:rsidRPr="00E1067B" w:rsidRDefault="003628C5" w:rsidP="003628C5">
      <w:pPr>
        <w:pStyle w:val="TextCarCar"/>
        <w:ind w:firstLine="0"/>
        <w:rPr>
          <w:lang w:val="es-CO"/>
        </w:rPr>
      </w:pPr>
      <w:r w:rsidRPr="00E1067B">
        <w:rPr>
          <w:lang w:val="es-ES"/>
        </w:rPr>
        <w:t xml:space="preserve">4) </w:t>
      </w:r>
      <w:r w:rsidRPr="00E1067B">
        <w:rPr>
          <w:lang w:val="es-CO"/>
        </w:rPr>
        <w:t xml:space="preserve">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E1067B">
        <w:rPr>
          <w:lang w:val="es-CO"/>
        </w:rPr>
        <w:t>URLs</w:t>
      </w:r>
      <w:proofErr w:type="spellEnd"/>
      <w:r w:rsidRPr="00E1067B">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E1067B">
        <w:rPr>
          <w:i/>
          <w:lang w:val="es-CO"/>
        </w:rPr>
        <w:t>Los autores deben esperar ser desafiados por críticos si los resultados no son soportados por los datos adecuados y los detalles críticos</w:t>
      </w:r>
      <w:r w:rsidRPr="00E1067B">
        <w:rPr>
          <w:lang w:val="es-CO"/>
        </w:rPr>
        <w:t>.</w:t>
      </w:r>
    </w:p>
    <w:p w14:paraId="69331C33" w14:textId="77777777" w:rsidR="004E2675" w:rsidRPr="00E1067B" w:rsidRDefault="004E2675" w:rsidP="003628C5">
      <w:pPr>
        <w:pStyle w:val="TextCarCar"/>
        <w:ind w:firstLine="0"/>
        <w:rPr>
          <w:lang w:val="es-CO"/>
        </w:rPr>
      </w:pPr>
    </w:p>
    <w:p w14:paraId="68CDC4AA" w14:textId="77777777" w:rsidR="00D96019" w:rsidRPr="00D96019" w:rsidRDefault="004E2675" w:rsidP="00D96019">
      <w:pPr>
        <w:rPr>
          <w:lang w:val="es-ES"/>
        </w:rPr>
      </w:pPr>
      <w:r w:rsidRPr="00D96019">
        <w:rPr>
          <w:lang w:val="es-ES"/>
        </w:rPr>
        <w:t xml:space="preserve">5) </w:t>
      </w:r>
      <w:r w:rsidR="00D96019" w:rsidRPr="00D96019">
        <w:rPr>
          <w:lang w:val="es-ES"/>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D96019">
        <w:rPr>
          <w:lang w:val="es-ES"/>
        </w:rPr>
        <w:t>or</w:t>
      </w:r>
      <w:proofErr w:type="spellEnd"/>
      <w:r w:rsidR="00D96019" w:rsidRPr="00D96019">
        <w:rPr>
          <w:lang w:val="es-ES"/>
        </w:rPr>
        <w:t xml:space="preserve"> JOURNAL</w:t>
      </w:r>
    </w:p>
    <w:p w14:paraId="38FE9C6D" w14:textId="77777777" w:rsidR="00F260D0" w:rsidRPr="00B64D71" w:rsidRDefault="00F260D0" w:rsidP="003628C5">
      <w:pPr>
        <w:pStyle w:val="TextCarCar"/>
        <w:ind w:firstLine="0"/>
        <w:rPr>
          <w:color w:val="FF0000"/>
          <w:lang w:val="es-ES"/>
        </w:rPr>
      </w:pPr>
    </w:p>
    <w:p w14:paraId="1AC3E64E" w14:textId="77777777" w:rsidR="00F260D0" w:rsidRPr="00B64D71" w:rsidRDefault="00F260D0" w:rsidP="00CA72FF">
      <w:pPr>
        <w:pStyle w:val="TextCarCar"/>
        <w:ind w:firstLine="0"/>
        <w:rPr>
          <w:lang w:val="es-ES"/>
        </w:rPr>
      </w:pPr>
    </w:p>
    <w:p w14:paraId="6866F69B" w14:textId="77777777" w:rsidR="004E2675" w:rsidRPr="00E1067B" w:rsidRDefault="004E2675" w:rsidP="00CA72FF">
      <w:pPr>
        <w:pStyle w:val="TextCarCar"/>
        <w:rPr>
          <w:color w:val="000000"/>
        </w:rPr>
      </w:pPr>
      <w:r w:rsidRPr="00E1067B">
        <w:rPr>
          <w:color w:val="000000"/>
        </w:rPr>
        <w:t xml:space="preserve">IX. CONCLUSIÓN </w:t>
      </w:r>
    </w:p>
    <w:p w14:paraId="510F81F5" w14:textId="77777777" w:rsidR="004E2675" w:rsidRPr="00E1067B" w:rsidRDefault="004E2675" w:rsidP="00CA72FF">
      <w:pPr>
        <w:pStyle w:val="TextCarCar"/>
        <w:rPr>
          <w:color w:val="000000"/>
        </w:rPr>
      </w:pPr>
    </w:p>
    <w:p w14:paraId="5AF97230"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no repita el resumen  como conclusión. Una conclusión se elabora con base en la importancia del trabajo realizado o en las aplicaciones y extensiones sugeridas.</w:t>
      </w:r>
    </w:p>
    <w:p w14:paraId="2E9E81A4" w14:textId="77777777" w:rsidR="004E2675" w:rsidRPr="00E1067B" w:rsidRDefault="004E2675" w:rsidP="004E2675">
      <w:pPr>
        <w:pStyle w:val="ReferenceHead"/>
        <w:rPr>
          <w:lang w:val="es-CO"/>
        </w:rPr>
      </w:pPr>
      <w:r w:rsidRPr="00E1067B">
        <w:rPr>
          <w:lang w:val="es-CO"/>
        </w:rPr>
        <w:t xml:space="preserve">Apéndice </w:t>
      </w:r>
    </w:p>
    <w:p w14:paraId="11E04121"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632F4C94" w14:textId="77777777" w:rsidR="003616D5" w:rsidRPr="00E1067B" w:rsidRDefault="003616D5" w:rsidP="003616D5">
      <w:pPr>
        <w:pStyle w:val="ReferenceHead"/>
        <w:rPr>
          <w:lang w:val="es-CO"/>
        </w:rPr>
      </w:pPr>
      <w:r w:rsidRPr="00E1067B">
        <w:rPr>
          <w:lang w:val="es-CO"/>
        </w:rPr>
        <w:t xml:space="preserve"> Reconocimiento </w:t>
      </w:r>
    </w:p>
    <w:p w14:paraId="2899AF72" w14:textId="77777777" w:rsidR="003616D5" w:rsidRPr="00E1067B" w:rsidRDefault="003616D5" w:rsidP="003616D5">
      <w:pPr>
        <w:pStyle w:val="TextCarCar"/>
        <w:rPr>
          <w:lang w:val="es-CO"/>
        </w:rPr>
      </w:pPr>
      <w:r w:rsidRPr="00E1067B">
        <w:rPr>
          <w:lang w:val="es-CO"/>
        </w:rPr>
        <w:t xml:space="preserve">Use el título singular aún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14:paraId="2AEC6E8C" w14:textId="77777777" w:rsidR="00F260D0" w:rsidRDefault="00F260D0" w:rsidP="00CA72FF">
      <w:pPr>
        <w:pStyle w:val="ReferenceHead"/>
        <w:jc w:val="both"/>
      </w:pPr>
      <w:r>
        <w:t>References</w:t>
      </w:r>
    </w:p>
    <w:p w14:paraId="4B59CB4C"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14:paraId="4ED905AA"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14:paraId="76BB298A"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05358AB9" w14:textId="77777777" w:rsidR="00F260D0" w:rsidRDefault="00F260D0" w:rsidP="00CA72FF">
      <w:pPr>
        <w:pStyle w:val="References"/>
        <w:numPr>
          <w:ilvl w:val="0"/>
          <w:numId w:val="4"/>
        </w:numPr>
      </w:pPr>
      <w:r>
        <w:t>B. Smith, “An approach to graphs of linear forms (Unpublished work style),” unpublished.</w:t>
      </w:r>
    </w:p>
    <w:p w14:paraId="72178AC9"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0C3427F9"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47EE451D" w14:textId="77777777" w:rsidR="00F260D0" w:rsidRDefault="00F260D0" w:rsidP="00CA72FF">
      <w:pPr>
        <w:pStyle w:val="References"/>
        <w:numPr>
          <w:ilvl w:val="0"/>
          <w:numId w:val="4"/>
        </w:numPr>
      </w:pPr>
      <w:r>
        <w:t>C. J. Kaufman, Rocky Mountain Research Lab., Boulder, CO, private communication, May 1995.</w:t>
      </w:r>
    </w:p>
    <w:p w14:paraId="1ADE3238" w14:textId="77777777" w:rsidR="00F260D0" w:rsidRDefault="00F260D0" w:rsidP="00CA72FF">
      <w:pPr>
        <w:pStyle w:val="References"/>
        <w:numPr>
          <w:ilvl w:val="0"/>
          <w:numId w:val="4"/>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place">
        <w:smartTag w:uri="urn:schemas-microsoft-com:office:smarttags" w:element="country-region">
          <w:r>
            <w:t>Japan</w:t>
          </w:r>
        </w:smartTag>
      </w:smartTag>
      <w:r>
        <w:t>, 1982, p. 301].</w:t>
      </w:r>
    </w:p>
    <w:p w14:paraId="59394929" w14:textId="77777777" w:rsidR="00F260D0" w:rsidRDefault="00F260D0" w:rsidP="00CA72FF">
      <w:pPr>
        <w:pStyle w:val="References"/>
        <w:numPr>
          <w:ilvl w:val="0"/>
          <w:numId w:val="4"/>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05B89A4A"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1603CE0B"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2B044893"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5E60FB4E" w14:textId="77777777" w:rsidR="00F260D0" w:rsidRDefault="00F260D0" w:rsidP="00CA72FF">
      <w:pPr>
        <w:numPr>
          <w:ilvl w:val="0"/>
          <w:numId w:val="4"/>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14:paraId="4995B940" w14:textId="77777777" w:rsidR="00F260D0" w:rsidRDefault="00F260D0" w:rsidP="00CA72FF">
      <w:pPr>
        <w:numPr>
          <w:ilvl w:val="0"/>
          <w:numId w:val="4"/>
        </w:numPr>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0FF0A4E5"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1DF29419" w14:textId="77777777" w:rsidR="00F260D0" w:rsidRDefault="00F260D0" w:rsidP="00CA72FF">
      <w:pPr>
        <w:numPr>
          <w:ilvl w:val="0"/>
          <w:numId w:val="4"/>
        </w:numPr>
        <w:jc w:val="both"/>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7E2851AE" w14:textId="77777777" w:rsidR="00F260D0" w:rsidRDefault="00F260D0" w:rsidP="00CA72FF">
      <w:pPr>
        <w:pStyle w:val="References"/>
        <w:numPr>
          <w:ilvl w:val="0"/>
          <w:numId w:val="4"/>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6BD26ECE" w14:textId="77777777" w:rsidR="00F260D0" w:rsidRDefault="00F260D0" w:rsidP="00CA72FF">
      <w:pPr>
        <w:pStyle w:val="References"/>
        <w:numPr>
          <w:ilvl w:val="0"/>
          <w:numId w:val="4"/>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02F1B293" w14:textId="77777777" w:rsidR="00F260D0" w:rsidRDefault="00F260D0" w:rsidP="00CA72FF">
      <w:pPr>
        <w:pStyle w:val="References"/>
        <w:numPr>
          <w:ilvl w:val="0"/>
          <w:numId w:val="4"/>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0D5C6DDF" w14:textId="77777777" w:rsidR="00F260D0" w:rsidRDefault="00F260D0" w:rsidP="00CA72FF">
      <w:pPr>
        <w:pStyle w:val="References"/>
        <w:numPr>
          <w:ilvl w:val="0"/>
          <w:numId w:val="4"/>
        </w:numPr>
      </w:pPr>
      <w:r>
        <w:t xml:space="preserve">J. P. Wilkinson, “Nonlinear resonant circuit devices (Patent style),” U.S. Patent 3 624 12, </w:t>
      </w:r>
      <w:smartTag w:uri="urn:schemas-microsoft-com:office:smarttags" w:element="date">
        <w:smartTagPr>
          <w:attr w:name="Month" w:val="7"/>
          <w:attr w:name="Day" w:val="16"/>
          <w:attr w:name="Year" w:val="1990"/>
        </w:smartTagPr>
        <w:r>
          <w:t>July 16, 1990</w:t>
        </w:r>
      </w:smartTag>
      <w:r>
        <w:t xml:space="preserve">. </w:t>
      </w:r>
    </w:p>
    <w:p w14:paraId="2DEFCDE5"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63BA986A" w14:textId="77777777" w:rsidR="00F260D0" w:rsidRDefault="00F260D0" w:rsidP="00CA72FF">
      <w:pPr>
        <w:pStyle w:val="References"/>
        <w:numPr>
          <w:ilvl w:val="0"/>
          <w:numId w:val="4"/>
        </w:numPr>
      </w:pPr>
      <w:r>
        <w:rPr>
          <w:i/>
          <w:iCs/>
        </w:rPr>
        <w:lastRenderedPageBreak/>
        <w:t>Letter Symbols for Quantities</w:t>
      </w:r>
      <w:r>
        <w:t>, ANSI Standard Y10.5-1968.</w:t>
      </w:r>
    </w:p>
    <w:p w14:paraId="08760CA1" w14:textId="77777777" w:rsidR="00F260D0" w:rsidRDefault="00F260D0" w:rsidP="00CA72FF">
      <w:pPr>
        <w:pStyle w:val="References"/>
        <w:numPr>
          <w:ilvl w:val="0"/>
          <w:numId w:val="4"/>
        </w:numPr>
      </w:pPr>
      <w:r>
        <w:t>R. E. Haskell and C. T. Case, “Transient signal propagation in lossless isotropic plasmas (Report style),” USAF Cambridge Res. Lab., Cambridge, MA Rep. ARCRL-66-234 (II), 1994, vol. 2.</w:t>
      </w:r>
    </w:p>
    <w:p w14:paraId="33CF221A" w14:textId="77777777" w:rsidR="00F260D0" w:rsidRDefault="00F260D0" w:rsidP="00CA72FF">
      <w:pPr>
        <w:pStyle w:val="References"/>
        <w:numPr>
          <w:ilvl w:val="0"/>
          <w:numId w:val="4"/>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2C5C2054"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65510B08" w14:textId="77777777" w:rsidR="00F260D0" w:rsidRDefault="00F260D0" w:rsidP="00CA72FF">
      <w:pPr>
        <w:pStyle w:val="References"/>
        <w:numPr>
          <w:ilvl w:val="0"/>
          <w:numId w:val="4"/>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71212DE9"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11" w:history="1">
        <w:r>
          <w:rPr>
            <w:rStyle w:val="Hipervnculo"/>
          </w:rPr>
          <w:t>http://www.(URL</w:t>
        </w:r>
      </w:hyperlink>
      <w:r>
        <w:t>)</w:t>
      </w:r>
    </w:p>
    <w:p w14:paraId="20EB3517" w14:textId="77777777" w:rsidR="00F260D0" w:rsidRDefault="00F260D0" w:rsidP="00CA72FF">
      <w:pPr>
        <w:pStyle w:val="References"/>
        <w:numPr>
          <w:ilvl w:val="0"/>
          <w:numId w:val="4"/>
        </w:numPr>
      </w:pPr>
      <w:r>
        <w:t xml:space="preserve">J. Jones. (1991, May 10). Networks (2nd ed.) [Online]. Available: </w:t>
      </w:r>
      <w:hyperlink r:id="rId12" w:history="1">
        <w:r>
          <w:rPr>
            <w:rStyle w:val="Hipervnculo"/>
          </w:rPr>
          <w:t>http://www.atm.com</w:t>
        </w:r>
      </w:hyperlink>
    </w:p>
    <w:p w14:paraId="7A606721" w14:textId="77777777" w:rsidR="00F260D0" w:rsidRDefault="00F260D0" w:rsidP="00CA72FF">
      <w:pPr>
        <w:pStyle w:val="References"/>
        <w:numPr>
          <w:ilvl w:val="0"/>
          <w:numId w:val="4"/>
        </w:numPr>
      </w:pPr>
      <w:r>
        <w:t xml:space="preserve">(Journal Online Sources style) K. Author. (year, month). Title. </w:t>
      </w:r>
      <w:r>
        <w:rPr>
          <w:i/>
          <w:iCs/>
        </w:rPr>
        <w:t>Journal</w:t>
      </w:r>
      <w:r>
        <w:t xml:space="preserve"> [Type of medium]. Volume(issue), paging if given.</w:t>
      </w:r>
      <w:r>
        <w:tab/>
        <w:t xml:space="preserve">  Available: </w:t>
      </w:r>
      <w:hyperlink r:id="rId13" w:history="1">
        <w:r>
          <w:rPr>
            <w:rStyle w:val="Hipervnculo"/>
          </w:rPr>
          <w:t>http://www.(URL</w:t>
        </w:r>
      </w:hyperlink>
      <w:r>
        <w:t>)</w:t>
      </w:r>
    </w:p>
    <w:p w14:paraId="5F614A88"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 xml:space="preserve">IEEE Trans. Plasma </w:t>
      </w:r>
      <w:proofErr w:type="spellStart"/>
      <w:r w:rsidRPr="00F9242A">
        <w:rPr>
          <w:i/>
          <w:iCs/>
          <w:lang w:val="fr-FR"/>
        </w:rPr>
        <w:t>Sci</w:t>
      </w:r>
      <w:proofErr w:type="spellEnd"/>
      <w:r w:rsidRPr="00F9242A">
        <w:rPr>
          <w:i/>
          <w:iCs/>
          <w:lang w:val="fr-FR"/>
        </w:rPr>
        <w:t>.</w:t>
      </w:r>
      <w:r w:rsidRPr="00F9242A">
        <w:rPr>
          <w:lang w:val="fr-FR"/>
        </w:rPr>
        <w:t xml:space="preserve"> [Online]. </w:t>
      </w:r>
      <w:r w:rsidRPr="00F9242A">
        <w:rPr>
          <w:i/>
          <w:iCs/>
          <w:lang w:val="fr-FR"/>
        </w:rPr>
        <w:t>21(3).</w:t>
      </w:r>
      <w:r w:rsidRPr="00F9242A">
        <w:rPr>
          <w:lang w:val="fr-FR"/>
        </w:rPr>
        <w:t xml:space="preserve"> pp. 876—880.   </w:t>
      </w:r>
      <w:proofErr w:type="spellStart"/>
      <w:r w:rsidRPr="00F9242A">
        <w:rPr>
          <w:lang w:val="fr-FR"/>
        </w:rPr>
        <w:t>Available</w:t>
      </w:r>
      <w:proofErr w:type="spellEnd"/>
      <w:r w:rsidRPr="00F9242A">
        <w:rPr>
          <w:lang w:val="fr-FR"/>
        </w:rPr>
        <w:t>: http://www.halcyon.com/pub/journals/21ps03-vidmar</w:t>
      </w:r>
    </w:p>
    <w:p w14:paraId="327532D3" w14:textId="77777777" w:rsidR="00F260D0" w:rsidRPr="00F9242A" w:rsidRDefault="00F260D0" w:rsidP="00CA72FF">
      <w:pPr>
        <w:pStyle w:val="FigureCaption"/>
        <w:rPr>
          <w:b/>
          <w:bCs/>
          <w:lang w:val="fr-FR"/>
        </w:rPr>
      </w:pPr>
    </w:p>
    <w:p w14:paraId="552BA650" w14:textId="77777777" w:rsidR="00F260D0" w:rsidRPr="00F9242A" w:rsidRDefault="00F260D0" w:rsidP="00CA72FF">
      <w:pPr>
        <w:pStyle w:val="FigureCaption"/>
        <w:rPr>
          <w:b/>
          <w:bCs/>
          <w:lang w:val="fr-FR"/>
        </w:rPr>
      </w:pPr>
    </w:p>
    <w:p w14:paraId="069826DA" w14:textId="77777777" w:rsidR="00F260D0" w:rsidRPr="00F9242A" w:rsidRDefault="00F260D0" w:rsidP="00CA72FF">
      <w:pPr>
        <w:pStyle w:val="FigureCaption"/>
        <w:rPr>
          <w:b/>
          <w:bCs/>
          <w:lang w:val="fr-FR"/>
        </w:rPr>
      </w:pPr>
    </w:p>
    <w:p w14:paraId="1617403B" w14:textId="77777777" w:rsidR="00F260D0" w:rsidRPr="00F9242A" w:rsidRDefault="00F260D0" w:rsidP="00CA72FF">
      <w:pPr>
        <w:pStyle w:val="FigureCaption"/>
        <w:rPr>
          <w:b/>
          <w:bCs/>
          <w:lang w:val="fr-FR"/>
        </w:rPr>
      </w:pPr>
    </w:p>
    <w:p w14:paraId="1507D268" w14:textId="77777777" w:rsidR="00F260D0" w:rsidRPr="00F9242A" w:rsidRDefault="00F260D0" w:rsidP="00CA72FF">
      <w:pPr>
        <w:pStyle w:val="FigureCaption"/>
        <w:rPr>
          <w:b/>
          <w:bCs/>
          <w:lang w:val="fr-FR"/>
        </w:rPr>
      </w:pPr>
    </w:p>
    <w:p w14:paraId="681F9162"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w:t>
      </w:r>
      <w:proofErr w:type="spellStart"/>
      <w:r>
        <w:rPr>
          <w:sz w:val="20"/>
          <w:lang w:val="es-CO"/>
        </w:rPr>
        <w:t>papers</w:t>
      </w:r>
      <w:proofErr w:type="spellEnd"/>
      <w:r>
        <w:rPr>
          <w:sz w:val="20"/>
          <w:lang w:val="es-CO"/>
        </w:rPr>
        <w:t xml:space="preserve">) regulares.  Por favor incluyan nombres y apellidos con los cuales puedan ser identificados al registrar sus artículos (Son registrados en la base de </w:t>
      </w:r>
      <w:proofErr w:type="spellStart"/>
      <w:r>
        <w:rPr>
          <w:sz w:val="20"/>
          <w:lang w:val="es-CO"/>
        </w:rPr>
        <w:t>Publindex</w:t>
      </w:r>
      <w:proofErr w:type="spellEnd"/>
      <w:r>
        <w:rPr>
          <w:sz w:val="20"/>
          <w:lang w:val="es-CO"/>
        </w:rPr>
        <w:t xml:space="preserve">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1E193FE2"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49B48E6D"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w:t>
      </w:r>
      <w:proofErr w:type="spellStart"/>
      <w:r>
        <w:rPr>
          <w:sz w:val="20"/>
          <w:lang w:val="es-CO"/>
        </w:rPr>
        <w:t>Kajor</w:t>
      </w:r>
      <w:proofErr w:type="spellEnd"/>
      <w:r>
        <w:rPr>
          <w:sz w:val="20"/>
          <w:lang w:val="es-CO"/>
        </w:rPr>
        <w:t xml:space="preserve">, </w:t>
      </w:r>
      <w:r>
        <w:rPr>
          <w:sz w:val="20"/>
          <w:lang w:val="es-CO" w:eastAsia="es-CO"/>
        </w:rPr>
        <w:t>Ms. Hunter</w:t>
      </w:r>
      <w:r>
        <w:rPr>
          <w:sz w:val="20"/>
          <w:lang w:val="es-CO"/>
        </w:rPr>
        <w:t xml:space="preserve">). Finalmente, liste cualquier premio por trabajos y publicaciones. Proporcionar una fotografía es requisito para </w:t>
      </w:r>
      <w:r w:rsidRPr="005612A1">
        <w:rPr>
          <w:sz w:val="20"/>
          <w:lang w:val="es-ES"/>
        </w:rPr>
        <w:t>publicar su artículo: la biografía se dentará alrededor de ella. La fotografía se pone en la esquina superior izquierda de la biografía. Se quitarán las aficiones personales de la biografía.</w:t>
      </w:r>
    </w:p>
    <w:p w14:paraId="4BD5774C" w14:textId="77777777" w:rsidR="009B6BDD" w:rsidRPr="005612A1" w:rsidRDefault="009B6BDD" w:rsidP="00CA72FF">
      <w:pPr>
        <w:jc w:val="both"/>
        <w:rPr>
          <w:lang w:val="es-ES"/>
        </w:rPr>
      </w:pPr>
      <w:r>
        <w:rPr>
          <w:lang w:val="es-ES"/>
        </w:rPr>
        <w:br w:type="page"/>
      </w:r>
    </w:p>
    <w:p w14:paraId="574E73BA" w14:textId="77777777" w:rsidR="009B6BDD" w:rsidRDefault="009B6BDD">
      <w:pPr>
        <w:pStyle w:val="Ttulo1"/>
      </w:pPr>
      <w:r>
        <w:rPr>
          <w:lang w:val="es-ES"/>
        </w:rPr>
        <w:t>Referencias</w:t>
      </w:r>
    </w:p>
    <w:p w14:paraId="659C5218" w14:textId="09DF0027" w:rsidR="009B6BDD" w:rsidRDefault="009B6BDD">
      <w:pPr>
        <w:rPr>
          <w:rFonts w:ascii="Calibri" w:eastAsia="Calibri" w:hAnsi="Calibri"/>
          <w:noProof/>
          <w:lang w:val="es-ES" w:eastAsia="es-E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5668"/>
      </w:tblGrid>
      <w:tr w:rsidR="009B6BDD" w14:paraId="0CFABEF4" w14:textId="77777777">
        <w:trPr>
          <w:divId w:val="1307783389"/>
          <w:tblCellSpacing w:w="15" w:type="dxa"/>
        </w:trPr>
        <w:tc>
          <w:tcPr>
            <w:tcW w:w="50" w:type="pct"/>
            <w:hideMark/>
          </w:tcPr>
          <w:p w14:paraId="2F6BE342" w14:textId="1E7E129A" w:rsidR="009B6BDD" w:rsidRDefault="009B6BDD">
            <w:pPr>
              <w:pStyle w:val="Bibliografa"/>
              <w:rPr>
                <w:noProof/>
                <w:sz w:val="24"/>
                <w:szCs w:val="24"/>
              </w:rPr>
            </w:pPr>
            <w:r>
              <w:rPr>
                <w:noProof/>
              </w:rPr>
              <w:t xml:space="preserve">[1] </w:t>
            </w:r>
          </w:p>
        </w:tc>
        <w:tc>
          <w:tcPr>
            <w:tcW w:w="0" w:type="auto"/>
            <w:hideMark/>
          </w:tcPr>
          <w:p w14:paraId="58FA14BF" w14:textId="77777777" w:rsidR="009B6BDD" w:rsidRDefault="009B6BDD">
            <w:pPr>
              <w:pStyle w:val="Bibliografa"/>
              <w:rPr>
                <w:noProof/>
              </w:rPr>
            </w:pPr>
            <w:r>
              <w:rPr>
                <w:noProof/>
              </w:rPr>
              <w:t>LeapMotion, «Blog LeapMotion,» 09 08 2014. [En línea]. Available: http://blog.leapmotion.com/hardware-to-software-how-does-the-leap-motion-controller-work/.</w:t>
            </w:r>
          </w:p>
        </w:tc>
      </w:tr>
      <w:tr w:rsidR="009B6BDD" w14:paraId="75917265" w14:textId="77777777">
        <w:trPr>
          <w:divId w:val="1307783389"/>
          <w:tblCellSpacing w:w="15" w:type="dxa"/>
        </w:trPr>
        <w:tc>
          <w:tcPr>
            <w:tcW w:w="50" w:type="pct"/>
            <w:hideMark/>
          </w:tcPr>
          <w:p w14:paraId="0A7C48C5" w14:textId="77777777" w:rsidR="009B6BDD" w:rsidRDefault="009B6BDD">
            <w:pPr>
              <w:pStyle w:val="Bibliografa"/>
              <w:rPr>
                <w:noProof/>
              </w:rPr>
            </w:pPr>
            <w:r>
              <w:rPr>
                <w:noProof/>
              </w:rPr>
              <w:t xml:space="preserve">[2] </w:t>
            </w:r>
          </w:p>
        </w:tc>
        <w:tc>
          <w:tcPr>
            <w:tcW w:w="0" w:type="auto"/>
            <w:hideMark/>
          </w:tcPr>
          <w:p w14:paraId="5D0074E6" w14:textId="77777777" w:rsidR="009B6BDD" w:rsidRDefault="009B6BDD">
            <w:pPr>
              <w:pStyle w:val="Bibliografa"/>
              <w:rPr>
                <w:noProof/>
              </w:rPr>
            </w:pPr>
            <w:r w:rsidRPr="009B6BDD">
              <w:rPr>
                <w:noProof/>
                <w:lang w:val="es-ES"/>
              </w:rPr>
              <w:t xml:space="preserve">Facebook, «Facebook Artificial Inteligence,» 25 09 2019. [En línea]. </w:t>
            </w:r>
            <w:r>
              <w:rPr>
                <w:noProof/>
              </w:rPr>
              <w:t>Available: https://ai.facebook.com/blog/hand-tracking-deep-neural-networks.</w:t>
            </w:r>
          </w:p>
        </w:tc>
      </w:tr>
      <w:tr w:rsidR="009B6BDD" w:rsidRPr="009B6BDD" w14:paraId="4013A634" w14:textId="77777777">
        <w:trPr>
          <w:divId w:val="1307783389"/>
          <w:tblCellSpacing w:w="15" w:type="dxa"/>
        </w:trPr>
        <w:tc>
          <w:tcPr>
            <w:tcW w:w="50" w:type="pct"/>
            <w:hideMark/>
          </w:tcPr>
          <w:p w14:paraId="67DE7A89" w14:textId="77777777" w:rsidR="009B6BDD" w:rsidRDefault="009B6BDD">
            <w:pPr>
              <w:pStyle w:val="Bibliografa"/>
              <w:rPr>
                <w:noProof/>
              </w:rPr>
            </w:pPr>
            <w:r>
              <w:rPr>
                <w:noProof/>
              </w:rPr>
              <w:t xml:space="preserve">[3] </w:t>
            </w:r>
          </w:p>
        </w:tc>
        <w:tc>
          <w:tcPr>
            <w:tcW w:w="0" w:type="auto"/>
            <w:hideMark/>
          </w:tcPr>
          <w:p w14:paraId="5D0FBEB2" w14:textId="77777777" w:rsidR="009B6BDD" w:rsidRPr="009B6BDD" w:rsidRDefault="009B6BDD">
            <w:pPr>
              <w:pStyle w:val="Bibliografa"/>
              <w:rPr>
                <w:noProof/>
                <w:lang w:val="es-ES"/>
              </w:rPr>
            </w:pPr>
            <w:r>
              <w:rPr>
                <w:noProof/>
              </w:rPr>
              <w:t xml:space="preserve">Google AI, «Google AI Blog,» 19 08 2019. </w:t>
            </w:r>
            <w:r w:rsidRPr="009B6BDD">
              <w:rPr>
                <w:noProof/>
                <w:lang w:val="es-ES"/>
              </w:rPr>
              <w:t>[En línea]. Available: https://ai.googleblog.com/2019/08/on-device-real-time-hand-tracking-with.html.</w:t>
            </w:r>
          </w:p>
        </w:tc>
      </w:tr>
      <w:tr w:rsidR="009B6BDD" w14:paraId="21E637AC" w14:textId="77777777">
        <w:trPr>
          <w:divId w:val="1307783389"/>
          <w:tblCellSpacing w:w="15" w:type="dxa"/>
        </w:trPr>
        <w:tc>
          <w:tcPr>
            <w:tcW w:w="50" w:type="pct"/>
            <w:hideMark/>
          </w:tcPr>
          <w:p w14:paraId="4CDBF62D" w14:textId="77777777" w:rsidR="009B6BDD" w:rsidRDefault="009B6BDD">
            <w:pPr>
              <w:pStyle w:val="Bibliografa"/>
              <w:rPr>
                <w:noProof/>
              </w:rPr>
            </w:pPr>
            <w:r>
              <w:rPr>
                <w:noProof/>
              </w:rPr>
              <w:t xml:space="preserve">[4] </w:t>
            </w:r>
          </w:p>
        </w:tc>
        <w:tc>
          <w:tcPr>
            <w:tcW w:w="0" w:type="auto"/>
            <w:hideMark/>
          </w:tcPr>
          <w:p w14:paraId="2D7FFBA8" w14:textId="77777777" w:rsidR="009B6BDD" w:rsidRDefault="009B6BDD">
            <w:pPr>
              <w:pStyle w:val="Bibliografa"/>
              <w:rPr>
                <w:noProof/>
              </w:rPr>
            </w:pPr>
            <w:r w:rsidRPr="009B6BDD">
              <w:rPr>
                <w:noProof/>
                <w:lang w:val="es-ES"/>
              </w:rPr>
              <w:t xml:space="preserve">HUAWEI, «Huawei Support,» [En línea]. </w:t>
            </w:r>
            <w:r>
              <w:rPr>
                <w:noProof/>
              </w:rPr>
              <w:t>Available: https://consumer.huawei.com/uk/support/faq/navigate-your-phone-using-gesture-control/.</w:t>
            </w:r>
          </w:p>
        </w:tc>
      </w:tr>
      <w:tr w:rsidR="009B6BDD" w:rsidRPr="009B6BDD" w14:paraId="03B705D3" w14:textId="77777777">
        <w:trPr>
          <w:divId w:val="1307783389"/>
          <w:tblCellSpacing w:w="15" w:type="dxa"/>
        </w:trPr>
        <w:tc>
          <w:tcPr>
            <w:tcW w:w="50" w:type="pct"/>
            <w:hideMark/>
          </w:tcPr>
          <w:p w14:paraId="17F27A95" w14:textId="77777777" w:rsidR="009B6BDD" w:rsidRDefault="009B6BDD">
            <w:pPr>
              <w:pStyle w:val="Bibliografa"/>
              <w:rPr>
                <w:noProof/>
              </w:rPr>
            </w:pPr>
            <w:r>
              <w:rPr>
                <w:noProof/>
              </w:rPr>
              <w:t xml:space="preserve">[5] </w:t>
            </w:r>
          </w:p>
        </w:tc>
        <w:tc>
          <w:tcPr>
            <w:tcW w:w="0" w:type="auto"/>
            <w:hideMark/>
          </w:tcPr>
          <w:p w14:paraId="4C556957" w14:textId="77777777" w:rsidR="009B6BDD" w:rsidRPr="009B6BDD" w:rsidRDefault="009B6BDD">
            <w:pPr>
              <w:pStyle w:val="Bibliografa"/>
              <w:rPr>
                <w:noProof/>
                <w:lang w:val="es-ES"/>
              </w:rPr>
            </w:pPr>
            <w:r w:rsidRPr="009B6BDD">
              <w:rPr>
                <w:noProof/>
                <w:lang w:val="es-ES"/>
              </w:rPr>
              <w:t>TensorFlow, «TensorFlow,» [En línea]. Available: https://www.tensorflow.org/lite/guide.</w:t>
            </w:r>
          </w:p>
        </w:tc>
      </w:tr>
      <w:tr w:rsidR="009B6BDD" w:rsidRPr="009B6BDD" w14:paraId="41E07EBB" w14:textId="77777777">
        <w:trPr>
          <w:divId w:val="1307783389"/>
          <w:tblCellSpacing w:w="15" w:type="dxa"/>
        </w:trPr>
        <w:tc>
          <w:tcPr>
            <w:tcW w:w="50" w:type="pct"/>
            <w:hideMark/>
          </w:tcPr>
          <w:p w14:paraId="1F67339D" w14:textId="77777777" w:rsidR="009B6BDD" w:rsidRDefault="009B6BDD">
            <w:pPr>
              <w:pStyle w:val="Bibliografa"/>
              <w:rPr>
                <w:noProof/>
              </w:rPr>
            </w:pPr>
            <w:r>
              <w:rPr>
                <w:noProof/>
              </w:rPr>
              <w:t xml:space="preserve">[6] </w:t>
            </w:r>
          </w:p>
        </w:tc>
        <w:tc>
          <w:tcPr>
            <w:tcW w:w="0" w:type="auto"/>
            <w:hideMark/>
          </w:tcPr>
          <w:p w14:paraId="5533DE35" w14:textId="77777777" w:rsidR="009B6BDD" w:rsidRPr="009B6BDD" w:rsidRDefault="009B6BDD">
            <w:pPr>
              <w:pStyle w:val="Bibliografa"/>
              <w:rPr>
                <w:noProof/>
                <w:lang w:val="es-ES"/>
              </w:rPr>
            </w:pPr>
            <w:r w:rsidRPr="009B6BDD">
              <w:rPr>
                <w:noProof/>
                <w:lang w:val="es-ES"/>
              </w:rPr>
              <w:t>Wikipedia, «Wikipedia,» 30 07 2019. [En línea]. Available: https://es.wikipedia.org/wiki/Arquitectura_en_pipeline_(informática).</w:t>
            </w:r>
          </w:p>
        </w:tc>
      </w:tr>
      <w:tr w:rsidR="009B6BDD" w14:paraId="26F335F9" w14:textId="77777777">
        <w:trPr>
          <w:divId w:val="1307783389"/>
          <w:tblCellSpacing w:w="15" w:type="dxa"/>
        </w:trPr>
        <w:tc>
          <w:tcPr>
            <w:tcW w:w="50" w:type="pct"/>
            <w:hideMark/>
          </w:tcPr>
          <w:p w14:paraId="5C6A9FDA" w14:textId="77777777" w:rsidR="009B6BDD" w:rsidRDefault="009B6BDD">
            <w:pPr>
              <w:pStyle w:val="Bibliografa"/>
              <w:rPr>
                <w:noProof/>
              </w:rPr>
            </w:pPr>
            <w:r>
              <w:rPr>
                <w:noProof/>
              </w:rPr>
              <w:t xml:space="preserve">[7] </w:t>
            </w:r>
          </w:p>
        </w:tc>
        <w:tc>
          <w:tcPr>
            <w:tcW w:w="0" w:type="auto"/>
            <w:hideMark/>
          </w:tcPr>
          <w:p w14:paraId="018358D3" w14:textId="77777777" w:rsidR="009B6BDD" w:rsidRDefault="009B6BDD">
            <w:pPr>
              <w:pStyle w:val="Bibliografa"/>
              <w:rPr>
                <w:noProof/>
              </w:rPr>
            </w:pPr>
            <w:r w:rsidRPr="009B6BDD">
              <w:rPr>
                <w:noProof/>
                <w:lang w:val="es-ES"/>
              </w:rPr>
              <w:t xml:space="preserve">L. Garber, «IEEE Xplore,» 31 10 2013. [En línea]. </w:t>
            </w:r>
            <w:r>
              <w:rPr>
                <w:noProof/>
              </w:rPr>
              <w:t>Available: https://ieeexplore.ieee.org/abstract/document/6649963.</w:t>
            </w:r>
          </w:p>
        </w:tc>
      </w:tr>
      <w:tr w:rsidR="009B6BDD" w14:paraId="5A936BCF" w14:textId="77777777">
        <w:trPr>
          <w:divId w:val="1307783389"/>
          <w:tblCellSpacing w:w="15" w:type="dxa"/>
        </w:trPr>
        <w:tc>
          <w:tcPr>
            <w:tcW w:w="50" w:type="pct"/>
            <w:hideMark/>
          </w:tcPr>
          <w:p w14:paraId="5B6A6873" w14:textId="77777777" w:rsidR="009B6BDD" w:rsidRDefault="009B6BDD">
            <w:pPr>
              <w:pStyle w:val="Bibliografa"/>
              <w:rPr>
                <w:noProof/>
              </w:rPr>
            </w:pPr>
            <w:r>
              <w:rPr>
                <w:noProof/>
              </w:rPr>
              <w:t xml:space="preserve">[8] </w:t>
            </w:r>
          </w:p>
        </w:tc>
        <w:tc>
          <w:tcPr>
            <w:tcW w:w="0" w:type="auto"/>
            <w:hideMark/>
          </w:tcPr>
          <w:p w14:paraId="1C35E4B3" w14:textId="77777777" w:rsidR="009B6BDD" w:rsidRDefault="009B6BDD">
            <w:pPr>
              <w:pStyle w:val="Bibliografa"/>
              <w:rPr>
                <w:noProof/>
              </w:rPr>
            </w:pPr>
            <w:r>
              <w:rPr>
                <w:noProof/>
              </w:rPr>
              <w:t xml:space="preserve">M. Rahman, Beginning Microsoft Kinect for Windows SDK 2.0, Apress, 2017. </w:t>
            </w:r>
          </w:p>
        </w:tc>
      </w:tr>
      <w:tr w:rsidR="009B6BDD" w:rsidRPr="009B6BDD" w14:paraId="57F226F5" w14:textId="77777777">
        <w:trPr>
          <w:divId w:val="1307783389"/>
          <w:tblCellSpacing w:w="15" w:type="dxa"/>
        </w:trPr>
        <w:tc>
          <w:tcPr>
            <w:tcW w:w="50" w:type="pct"/>
            <w:hideMark/>
          </w:tcPr>
          <w:p w14:paraId="649BDAA9" w14:textId="77777777" w:rsidR="009B6BDD" w:rsidRDefault="009B6BDD">
            <w:pPr>
              <w:pStyle w:val="Bibliografa"/>
              <w:rPr>
                <w:noProof/>
              </w:rPr>
            </w:pPr>
            <w:r>
              <w:rPr>
                <w:noProof/>
              </w:rPr>
              <w:t xml:space="preserve">[9] </w:t>
            </w:r>
          </w:p>
        </w:tc>
        <w:tc>
          <w:tcPr>
            <w:tcW w:w="0" w:type="auto"/>
            <w:hideMark/>
          </w:tcPr>
          <w:p w14:paraId="4A2065E7" w14:textId="77777777" w:rsidR="009B6BDD" w:rsidRPr="009B6BDD" w:rsidRDefault="009B6BDD">
            <w:pPr>
              <w:pStyle w:val="Bibliografa"/>
              <w:rPr>
                <w:noProof/>
                <w:lang w:val="es-ES"/>
              </w:rPr>
            </w:pPr>
            <w:r w:rsidRPr="009B6BDD">
              <w:rPr>
                <w:noProof/>
                <w:lang w:val="es-ES"/>
              </w:rPr>
              <w:t>Wikipedia, «Wikipedia,» 03 10 2019. [En línea]. Available: https://en.wikipedia.org/wiki/Frame_rate.</w:t>
            </w:r>
          </w:p>
        </w:tc>
      </w:tr>
    </w:tbl>
    <w:p w14:paraId="7FCD6F40" w14:textId="77777777" w:rsidR="009B6BDD" w:rsidRPr="009B6BDD" w:rsidRDefault="009B6BDD">
      <w:pPr>
        <w:divId w:val="1307783389"/>
        <w:rPr>
          <w:noProof/>
          <w:lang w:val="es-ES"/>
        </w:rPr>
      </w:pPr>
    </w:p>
    <w:p w14:paraId="77BA8D98" w14:textId="38DCCE31" w:rsidR="009B6BDD" w:rsidRPr="009B6BDD" w:rsidRDefault="009B6BDD">
      <w:pPr>
        <w:rPr>
          <w:lang w:val="es-ES"/>
        </w:rPr>
      </w:pPr>
    </w:p>
    <w:p w14:paraId="2EC8D6D2" w14:textId="044AFCEB" w:rsidR="00097FD7" w:rsidRPr="005612A1" w:rsidRDefault="00097FD7" w:rsidP="00CA72FF">
      <w:pPr>
        <w:jc w:val="both"/>
        <w:rPr>
          <w:lang w:val="es-ES"/>
        </w:rPr>
      </w:pPr>
    </w:p>
    <w:sectPr w:rsidR="00097FD7" w:rsidRPr="005612A1">
      <w:headerReference w:type="even" r:id="rId14"/>
      <w:headerReference w:type="default" r:id="rId15"/>
      <w:footerReference w:type="even" r:id="rId16"/>
      <w:footerReference w:type="default" r:id="rId17"/>
      <w:headerReference w:type="first" r:id="rId18"/>
      <w:footerReference w:type="firs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3B232" w14:textId="77777777" w:rsidR="00362757" w:rsidRDefault="00362757" w:rsidP="00F260D0">
      <w:r>
        <w:separator/>
      </w:r>
    </w:p>
  </w:endnote>
  <w:endnote w:type="continuationSeparator" w:id="0">
    <w:p w14:paraId="18CB2D49" w14:textId="77777777" w:rsidR="00362757" w:rsidRDefault="00362757"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D680F" w14:textId="77777777" w:rsidR="00E67915" w:rsidRDefault="00E679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58F0" w14:textId="77777777" w:rsidR="00E67915" w:rsidRDefault="00E679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203D" w14:textId="77777777" w:rsidR="00E67915" w:rsidRDefault="00E67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3C08" w14:textId="77777777" w:rsidR="00362757" w:rsidRDefault="00362757" w:rsidP="00F260D0">
      <w:r>
        <w:separator/>
      </w:r>
    </w:p>
  </w:footnote>
  <w:footnote w:type="continuationSeparator" w:id="0">
    <w:p w14:paraId="3128AAB4" w14:textId="77777777" w:rsidR="00362757" w:rsidRDefault="00362757" w:rsidP="00F260D0">
      <w:r>
        <w:continuationSeparator/>
      </w:r>
    </w:p>
  </w:footnote>
  <w:footnote w:id="1">
    <w:p w14:paraId="037CC8A5" w14:textId="77777777" w:rsidR="00B64D71" w:rsidRPr="00B64D71" w:rsidRDefault="00B64D71"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w:t>
      </w:r>
      <w:smartTag w:uri="urn:schemas-microsoft-com:office:smarttags" w:element="date">
        <w:smartTagPr>
          <w:attr w:name="ls" w:val="trans"/>
          <w:attr w:name="Month" w:val="10"/>
          <w:attr w:name="Day" w:val="9"/>
          <w:attr w:name="Year" w:val="2001"/>
        </w:smartTagPr>
        <w:r w:rsidRPr="00EC0995">
          <w:rPr>
            <w:sz w:val="16"/>
            <w:szCs w:val="16"/>
            <w:lang w:val="es-ES" w:eastAsia="es-ES"/>
          </w:rPr>
          <w:t>9 de octubre de 2001</w:t>
        </w:r>
      </w:smartTag>
      <w:r w:rsidRPr="00EC0995">
        <w:rPr>
          <w:sz w:val="16"/>
          <w:szCs w:val="16"/>
          <w:lang w:val="es-ES" w:eastAsia="es-ES"/>
        </w:rPr>
        <w:t xml:space="preserve">. (Anote la fecha en que usted presentó su documento para su revisión.) Este trabajo fue apoyado en parte por los </w:t>
      </w:r>
      <w:r w:rsidRPr="00B64D71">
        <w:rPr>
          <w:sz w:val="16"/>
          <w:szCs w:val="16"/>
          <w:lang w:val="es-ES"/>
        </w:rPr>
        <w:t xml:space="preserve">U.S. </w:t>
      </w:r>
      <w:proofErr w:type="spellStart"/>
      <w:r w:rsidRPr="00B64D71">
        <w:rPr>
          <w:sz w:val="16"/>
          <w:szCs w:val="16"/>
          <w:lang w:val="es-ES"/>
        </w:rPr>
        <w:t>Depart</w:t>
      </w:r>
      <w:r w:rsidRPr="00B64D71">
        <w:rPr>
          <w:sz w:val="16"/>
          <w:szCs w:val="16"/>
          <w:lang w:val="es-ES"/>
        </w:rPr>
        <w:softHyphen/>
        <w:t>ment</w:t>
      </w:r>
      <w:proofErr w:type="spellEnd"/>
      <w:r w:rsidRPr="00B64D71">
        <w:rPr>
          <w:sz w:val="16"/>
          <w:szCs w:val="16"/>
          <w:lang w:val="es-ES"/>
        </w:rPr>
        <w:t xml:space="preserve"> of Com</w:t>
      </w:r>
      <w:r w:rsidRPr="00B64D71">
        <w:rPr>
          <w:sz w:val="16"/>
          <w:szCs w:val="16"/>
          <w:lang w:val="es-ES"/>
        </w:rPr>
        <w:softHyphen/>
        <w:t xml:space="preserve">merce </w:t>
      </w:r>
      <w:proofErr w:type="spellStart"/>
      <w:r w:rsidRPr="00B64D71">
        <w:rPr>
          <w:sz w:val="16"/>
          <w:szCs w:val="16"/>
          <w:lang w:val="es-ES"/>
        </w:rPr>
        <w:t>under</w:t>
      </w:r>
      <w:proofErr w:type="spellEnd"/>
      <w:r w:rsidRPr="00B64D71">
        <w:rPr>
          <w:sz w:val="16"/>
          <w:szCs w:val="16"/>
          <w:lang w:val="es-ES"/>
        </w:rPr>
        <w:t xml:space="preserve"> Grant </w:t>
      </w:r>
      <w:r w:rsidR="00911351" w:rsidRPr="00B64D71">
        <w:rPr>
          <w:sz w:val="16"/>
          <w:szCs w:val="16"/>
          <w:lang w:val="es-ES"/>
        </w:rPr>
        <w:t>S123456</w:t>
      </w:r>
      <w:r w:rsidR="00911351" w:rsidRPr="00EC0995">
        <w:rPr>
          <w:sz w:val="16"/>
          <w:szCs w:val="16"/>
          <w:lang w:val="es-ES" w:eastAsia="es-ES"/>
        </w:rPr>
        <w:t xml:space="preserve"> (</w:t>
      </w:r>
      <w:r w:rsidRPr="00EC0995">
        <w:rPr>
          <w:sz w:val="16"/>
          <w:szCs w:val="16"/>
          <w:lang w:val="es-ES" w:eastAsia="es-ES"/>
        </w:rPr>
        <w:t>reconocimiento</w:t>
      </w:r>
      <w:r w:rsidRPr="00B64D71">
        <w:rPr>
          <w:sz w:val="16"/>
          <w:szCs w:val="16"/>
          <w:lang w:val="es-ES" w:eastAsia="es-ES"/>
        </w:rPr>
        <w:t xml:space="preserve"> al </w:t>
      </w:r>
      <w:r w:rsidRPr="00EC0995">
        <w:rPr>
          <w:sz w:val="16"/>
          <w:szCs w:val="16"/>
          <w:lang w:val="es-ES" w:eastAsia="es-ES"/>
        </w:rPr>
        <w:t>patrocinador y apoyo financiero va aquí). los títulos</w:t>
      </w:r>
      <w:r w:rsidRPr="00B64D71">
        <w:rPr>
          <w:sz w:val="16"/>
          <w:szCs w:val="16"/>
          <w:lang w:val="es-ES" w:eastAsia="es-ES"/>
        </w:rPr>
        <w:t xml:space="preserve"> del </w:t>
      </w:r>
      <w:r w:rsidRPr="00EC0995">
        <w:rPr>
          <w:sz w:val="16"/>
          <w:szCs w:val="16"/>
          <w:lang w:val="es-ES" w:eastAsia="es-ES"/>
        </w:rPr>
        <w:t>Documento deben ser escritos en letras mayúsculas y minúsculas, no todas las mayúsculas. Evite escribir</w:t>
      </w:r>
      <w:r w:rsidRPr="00B64D71">
        <w:rPr>
          <w:sz w:val="16"/>
          <w:szCs w:val="16"/>
          <w:lang w:val="es-ES" w:eastAsia="es-ES"/>
        </w:rPr>
        <w:t xml:space="preserve"> </w:t>
      </w:r>
      <w:r w:rsidRPr="00EC0995">
        <w:rPr>
          <w:sz w:val="16"/>
          <w:szCs w:val="16"/>
          <w:lang w:val="es-ES" w:eastAsia="es-ES"/>
        </w:rPr>
        <w:t>fórmulas</w:t>
      </w:r>
      <w:r w:rsidRPr="00B64D71">
        <w:rPr>
          <w:sz w:val="16"/>
          <w:szCs w:val="16"/>
          <w:lang w:val="es-ES" w:eastAsia="es-ES"/>
        </w:rPr>
        <w:t xml:space="preserve"> extensas</w:t>
      </w:r>
      <w:r w:rsidRPr="00EC0995">
        <w:rPr>
          <w:sz w:val="16"/>
          <w:szCs w:val="16"/>
          <w:lang w:val="es-ES" w:eastAsia="es-ES"/>
        </w:rPr>
        <w:t xml:space="preserve"> con subíndices en el título;</w:t>
      </w:r>
      <w:r w:rsidRPr="00B64D71">
        <w:rPr>
          <w:sz w:val="16"/>
          <w:szCs w:val="16"/>
          <w:lang w:val="es-ES" w:eastAsia="es-ES"/>
        </w:rPr>
        <w:t xml:space="preserve"> Utilice F</w:t>
      </w:r>
      <w:r w:rsidRPr="00EC0995">
        <w:rPr>
          <w:sz w:val="16"/>
          <w:szCs w:val="16"/>
          <w:lang w:val="es-ES" w:eastAsia="es-ES"/>
        </w:rPr>
        <w:t>órmulas</w:t>
      </w:r>
      <w:r w:rsidRPr="00B64D71">
        <w:rPr>
          <w:sz w:val="16"/>
          <w:szCs w:val="16"/>
          <w:lang w:val="es-ES" w:eastAsia="es-ES"/>
        </w:rPr>
        <w:t xml:space="preserve"> cortas</w:t>
      </w:r>
      <w:r w:rsidRPr="00EC0995">
        <w:rPr>
          <w:sz w:val="16"/>
          <w:szCs w:val="16"/>
          <w:lang w:val="es-ES" w:eastAsia="es-ES"/>
        </w:rPr>
        <w:t xml:space="preserve"> que identifi</w:t>
      </w:r>
      <w:r w:rsidRPr="00B64D71">
        <w:rPr>
          <w:sz w:val="16"/>
          <w:szCs w:val="16"/>
          <w:lang w:val="es-ES" w:eastAsia="es-ES"/>
        </w:rPr>
        <w:t>quen</w:t>
      </w:r>
      <w:r w:rsidRPr="00EC0995">
        <w:rPr>
          <w:sz w:val="16"/>
          <w:szCs w:val="16"/>
          <w:lang w:val="es-ES" w:eastAsia="es-ES"/>
        </w:rPr>
        <w:t xml:space="preserve"> los </w:t>
      </w:r>
      <w:r w:rsidR="00911351" w:rsidRPr="00EC0995">
        <w:rPr>
          <w:sz w:val="16"/>
          <w:szCs w:val="16"/>
          <w:lang w:val="es-ES" w:eastAsia="es-ES"/>
        </w:rPr>
        <w:t>elementos (</w:t>
      </w:r>
      <w:r w:rsidRPr="00EC0995">
        <w:rPr>
          <w:sz w:val="16"/>
          <w:szCs w:val="16"/>
          <w:lang w:val="es-ES" w:eastAsia="es-ES"/>
        </w:rPr>
        <w:t>por ejemplo, "Nd-Fe-B"). No escriba "(invitado</w:t>
      </w:r>
      <w:r w:rsidRPr="00B64D71">
        <w:rPr>
          <w:sz w:val="16"/>
          <w:szCs w:val="16"/>
          <w:lang w:val="es-ES" w:eastAsia="es-ES"/>
        </w:rPr>
        <w:t>s</w:t>
      </w:r>
      <w:r w:rsidRPr="00EC0995">
        <w:rPr>
          <w:sz w:val="16"/>
          <w:szCs w:val="16"/>
          <w:lang w:val="es-ES" w:eastAsia="es-ES"/>
        </w:rPr>
        <w:t xml:space="preserve">)" en el título. </w:t>
      </w:r>
      <w:r w:rsidRPr="00B64D71">
        <w:rPr>
          <w:sz w:val="16"/>
          <w:szCs w:val="16"/>
          <w:lang w:val="es-ES" w:eastAsia="es-ES"/>
        </w:rPr>
        <w:t xml:space="preserve"> </w:t>
      </w:r>
      <w:r w:rsidRPr="00911351">
        <w:rPr>
          <w:sz w:val="16"/>
          <w:szCs w:val="16"/>
          <w:lang w:val="es-ES" w:eastAsia="es-ES"/>
        </w:rPr>
        <w:t>Escriba los Nombres completos de los autores en el campo autor, pero no es necesario. Ponga un espacio entre los autores</w:t>
      </w:r>
      <w:r w:rsidRPr="00EC0995">
        <w:rPr>
          <w:sz w:val="16"/>
          <w:szCs w:val="16"/>
          <w:lang w:eastAsia="es-ES"/>
        </w:rPr>
        <w:t xml:space="preserve">. </w:t>
      </w:r>
    </w:p>
    <w:p w14:paraId="652A18C9" w14:textId="77777777" w:rsidR="002702DE" w:rsidRPr="00B64D71" w:rsidRDefault="002702DE" w:rsidP="005D69CF">
      <w:pPr>
        <w:pStyle w:val="Textonotapie"/>
      </w:pPr>
      <w:r w:rsidRPr="00B64D71">
        <w:t xml:space="preserve">F. A. Author is with the National Institute of Standards and Technology, </w:t>
      </w:r>
      <w:smartTag w:uri="urn:schemas-microsoft-com:office:smarttags" w:element="place">
        <w:smartTag w:uri="urn:schemas-microsoft-com:office:smarttags" w:element="City">
          <w:r w:rsidRPr="00B64D71">
            <w:t>Boulder</w:t>
          </w:r>
        </w:smartTag>
        <w:r w:rsidRPr="00B64D71">
          <w:t xml:space="preserve">, </w:t>
        </w:r>
        <w:smartTag w:uri="urn:schemas-microsoft-com:office:smarttags" w:element="State">
          <w:r w:rsidRPr="00B64D71">
            <w:t>CO</w:t>
          </w:r>
        </w:smartTag>
        <w:r w:rsidRPr="00B64D71">
          <w:t xml:space="preserve"> </w:t>
        </w:r>
        <w:smartTag w:uri="urn:schemas-microsoft-com:office:smarttags" w:element="PostalCode">
          <w:r w:rsidRPr="00B64D71">
            <w:t>80305</w:t>
          </w:r>
        </w:smartTag>
        <w:r w:rsidRPr="00B64D71">
          <w:t xml:space="preserve"> </w:t>
        </w:r>
        <w:smartTag w:uri="urn:schemas-microsoft-com:office:smarttags" w:element="country-region">
          <w:r w:rsidRPr="00B64D71">
            <w:t>USA</w:t>
          </w:r>
        </w:smartTag>
      </w:smartTag>
      <w:r w:rsidRPr="00B64D71">
        <w:t xml:space="preserve"> (corresponding author to provide phone: </w:t>
      </w:r>
      <w:smartTag w:uri="urn:schemas-microsoft-com:office:smarttags" w:element="phone">
        <w:smartTagPr>
          <w:attr w:uri="urn:schemas-microsoft-com:office:office" w:name="ls" w:val="trans"/>
        </w:smartTagPr>
        <w:r w:rsidRPr="00B64D71">
          <w:t>303-555-5555</w:t>
        </w:r>
      </w:smartTag>
      <w:r w:rsidRPr="00B64D71">
        <w:t xml:space="preserve">; fax: </w:t>
      </w:r>
      <w:smartTag w:uri="urn:schemas-microsoft-com:office:smarttags" w:element="phone">
        <w:smartTagPr>
          <w:attr w:uri="urn:schemas-microsoft-com:office:office" w:name="ls" w:val="trans"/>
        </w:smartTagPr>
        <w:r w:rsidRPr="00B64D71">
          <w:t>303-555-5555</w:t>
        </w:r>
      </w:smartTag>
      <w:r w:rsidRPr="00B64D71">
        <w:t xml:space="preserve">; e-mail: author@ boulder.nist.gov). </w:t>
      </w:r>
    </w:p>
    <w:p w14:paraId="1B05D5BA" w14:textId="77777777" w:rsidR="002702DE" w:rsidRPr="00B64D71" w:rsidRDefault="002702DE" w:rsidP="005D69CF">
      <w:pPr>
        <w:pStyle w:val="Textonotapie"/>
      </w:pPr>
      <w:r w:rsidRPr="00B64D71">
        <w:t xml:space="preserve">S. B. Author, Jr., was with </w:t>
      </w:r>
      <w:smartTag w:uri="urn:schemas-microsoft-com:office:smarttags" w:element="PlaceName">
        <w:r w:rsidRPr="00B64D71">
          <w:t>Rice</w:t>
        </w:r>
      </w:smartTag>
      <w:r w:rsidRPr="00B64D71">
        <w:t xml:space="preserve"> </w:t>
      </w:r>
      <w:smartTag w:uri="urn:schemas-microsoft-com:office:smarttags" w:element="PlaceType">
        <w:r w:rsidRPr="00B64D71">
          <w:t>University</w:t>
        </w:r>
      </w:smartTag>
      <w:r w:rsidRPr="00B64D71">
        <w:t xml:space="preserve">, </w:t>
      </w:r>
      <w:smartTag w:uri="urn:schemas-microsoft-com:office:smarttags" w:element="place">
        <w:smartTag w:uri="urn:schemas-microsoft-com:office:smarttags" w:element="City">
          <w:r w:rsidRPr="00B64D71">
            <w:t>Houston</w:t>
          </w:r>
        </w:smartTag>
        <w:r w:rsidRPr="00B64D71">
          <w:t xml:space="preserve">, </w:t>
        </w:r>
        <w:smartTag w:uri="urn:schemas-microsoft-com:office:smarttags" w:element="State">
          <w:r w:rsidRPr="00B64D71">
            <w:t>TX</w:t>
          </w:r>
        </w:smartTag>
        <w:r w:rsidRPr="00B64D71">
          <w:t xml:space="preserve"> </w:t>
        </w:r>
        <w:smartTag w:uri="urn:schemas-microsoft-com:office:smarttags" w:element="PostalCode">
          <w:r w:rsidRPr="00B64D71">
            <w:t>77005</w:t>
          </w:r>
        </w:smartTag>
        <w:r w:rsidRPr="00B64D71">
          <w:t xml:space="preserve"> </w:t>
        </w:r>
        <w:smartTag w:uri="urn:schemas-microsoft-com:office:smarttags" w:element="country-region">
          <w:r w:rsidRPr="00B64D71">
            <w:t>USA</w:t>
          </w:r>
        </w:smartTag>
      </w:smartTag>
      <w:r w:rsidRPr="00B64D71">
        <w:t xml:space="preserve">. He is now with the Department of Physics, Colorado State University, Fort Collins, CO 80523 </w:t>
      </w:r>
      <w:smartTag w:uri="urn:schemas-microsoft-com:office:smarttags" w:element="country-region">
        <w:smartTag w:uri="urn:schemas-microsoft-com:office:smarttags" w:element="place">
          <w:r w:rsidRPr="00B64D71">
            <w:t>USA</w:t>
          </w:r>
        </w:smartTag>
      </w:smartTag>
      <w:r w:rsidRPr="00B64D71">
        <w:t xml:space="preserve"> (e-mail: author@lamar. colostate.edu).</w:t>
      </w:r>
    </w:p>
    <w:p w14:paraId="49E4F9F7" w14:textId="77777777" w:rsidR="002702DE" w:rsidRPr="002C09C9" w:rsidRDefault="002702DE" w:rsidP="005D69CF">
      <w:pPr>
        <w:pStyle w:val="Textonotapie"/>
        <w:rPr>
          <w:color w:val="FF0000"/>
        </w:rPr>
      </w:pPr>
      <w:r w:rsidRPr="00B64D71">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935B" w14:textId="376BC277" w:rsidR="00E67915" w:rsidRDefault="00E67915">
    <w:pPr>
      <w:pStyle w:val="Encabezado"/>
    </w:pPr>
    <w:r>
      <w:rPr>
        <w:noProof/>
      </w:rPr>
      <w:pict w14:anchorId="3C101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69" o:spid="_x0000_s2050" type="#_x0000_t75" style="position:absolute;margin-left:0;margin-top:0;width:518.35pt;height:247.45pt;z-index:-2;mso-position-horizontal:center;mso-position-horizontal-relative:margin;mso-position-vertical:center;mso-position-vertical-relative:margin" o:allowincell="f">
          <v:imagedata r:id="rId1" o:title="as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A2E38" w14:textId="51131F95" w:rsidR="002702DE" w:rsidRPr="00F260D0" w:rsidRDefault="00E67915" w:rsidP="00F260D0">
    <w:pPr>
      <w:framePr w:wrap="auto" w:vAnchor="text" w:hAnchor="margin" w:xAlign="right" w:y="1"/>
      <w:jc w:val="center"/>
    </w:pPr>
    <w:r>
      <w:rPr>
        <w:noProof/>
      </w:rPr>
      <w:pict w14:anchorId="65AF8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70" o:spid="_x0000_s2051" type="#_x0000_t75" style="position:absolute;left:0;text-align:left;margin-left:0;margin-top:0;width:518.35pt;height:247.45pt;z-index:-1;mso-position-horizontal:center;mso-position-horizontal-relative:margin;mso-position-vertical:center;mso-position-vertical-relative:margin" o:allowincell="f">
          <v:imagedata r:id="rId1" o:title="ass" gain="19661f" blacklevel="22938f"/>
        </v:shape>
      </w:pict>
    </w:r>
    <w:r w:rsidR="002702DE" w:rsidRPr="00F260D0">
      <w:fldChar w:fldCharType="begin"/>
    </w:r>
    <w:r w:rsidR="002702DE" w:rsidRPr="00F260D0">
      <w:instrText xml:space="preserve">PAGE  </w:instrText>
    </w:r>
    <w:r w:rsidR="002702DE" w:rsidRPr="00F260D0">
      <w:fldChar w:fldCharType="separate"/>
    </w:r>
    <w:r w:rsidR="001B7BB6">
      <w:rPr>
        <w:noProof/>
      </w:rPr>
      <w:t>1</w:t>
    </w:r>
    <w:r w:rsidR="002702DE" w:rsidRPr="00F260D0">
      <w:fldChar w:fldCharType="end"/>
    </w:r>
  </w:p>
  <w:p w14:paraId="35F58711" w14:textId="09A930FD" w:rsidR="002702DE" w:rsidRPr="00AC7552" w:rsidRDefault="00AC7552" w:rsidP="00F260D0">
    <w:pPr>
      <w:ind w:right="360"/>
      <w:jc w:val="center"/>
      <w:rPr>
        <w:lang w:val="es-ES"/>
      </w:rPr>
    </w:pPr>
    <w:r w:rsidRPr="00AC7552">
      <w:rPr>
        <w:lang w:val="es-ES"/>
      </w:rPr>
      <w:t>CONTROL POR GESTOS HACIENDO USO DE VISION ARTIFICIAL PARA PROGRAMAS DE COMPUTADORA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8800" w14:textId="2135960F" w:rsidR="00E67915" w:rsidRDefault="00E67915">
    <w:pPr>
      <w:pStyle w:val="Encabezado"/>
    </w:pPr>
    <w:r>
      <w:rPr>
        <w:noProof/>
      </w:rPr>
      <w:pict w14:anchorId="1FCA8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77968" o:spid="_x0000_s2049" type="#_x0000_t75" style="position:absolute;margin-left:0;margin-top:0;width:518.35pt;height:247.45pt;z-index:-3;mso-position-horizontal:center;mso-position-horizontal-relative:margin;mso-position-vertical:center;mso-position-vertical-relative:margin" o:allowincell="f">
          <v:imagedata r:id="rId1" o:title="as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13B18"/>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2F7C61"/>
    <w:rsid w:val="00302099"/>
    <w:rsid w:val="00302930"/>
    <w:rsid w:val="003178E7"/>
    <w:rsid w:val="00334099"/>
    <w:rsid w:val="003616D5"/>
    <w:rsid w:val="00362757"/>
    <w:rsid w:val="003628C5"/>
    <w:rsid w:val="003A21D2"/>
    <w:rsid w:val="003A48D9"/>
    <w:rsid w:val="003B0AED"/>
    <w:rsid w:val="003B16C7"/>
    <w:rsid w:val="003D3DE2"/>
    <w:rsid w:val="003E3B72"/>
    <w:rsid w:val="003F4A7F"/>
    <w:rsid w:val="00486C65"/>
    <w:rsid w:val="004E2675"/>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81683"/>
    <w:rsid w:val="006A63F8"/>
    <w:rsid w:val="006E1905"/>
    <w:rsid w:val="00727D29"/>
    <w:rsid w:val="00752136"/>
    <w:rsid w:val="0078093B"/>
    <w:rsid w:val="0079399A"/>
    <w:rsid w:val="007B7E41"/>
    <w:rsid w:val="007D13BD"/>
    <w:rsid w:val="00814101"/>
    <w:rsid w:val="00814F5F"/>
    <w:rsid w:val="00834C74"/>
    <w:rsid w:val="00843084"/>
    <w:rsid w:val="00864427"/>
    <w:rsid w:val="00867C88"/>
    <w:rsid w:val="00893213"/>
    <w:rsid w:val="008B514A"/>
    <w:rsid w:val="008F7844"/>
    <w:rsid w:val="00906BB8"/>
    <w:rsid w:val="00911351"/>
    <w:rsid w:val="00937754"/>
    <w:rsid w:val="00952E86"/>
    <w:rsid w:val="009563A3"/>
    <w:rsid w:val="00967E58"/>
    <w:rsid w:val="009B35CF"/>
    <w:rsid w:val="009B6BDD"/>
    <w:rsid w:val="009D1A86"/>
    <w:rsid w:val="00A002A8"/>
    <w:rsid w:val="00A06E38"/>
    <w:rsid w:val="00A66AD1"/>
    <w:rsid w:val="00A735C3"/>
    <w:rsid w:val="00A853D1"/>
    <w:rsid w:val="00A94B02"/>
    <w:rsid w:val="00AB04BE"/>
    <w:rsid w:val="00AC7552"/>
    <w:rsid w:val="00AE5750"/>
    <w:rsid w:val="00B0004F"/>
    <w:rsid w:val="00B445B5"/>
    <w:rsid w:val="00B55287"/>
    <w:rsid w:val="00B64D71"/>
    <w:rsid w:val="00B658EA"/>
    <w:rsid w:val="00B73393"/>
    <w:rsid w:val="00B85710"/>
    <w:rsid w:val="00B914CB"/>
    <w:rsid w:val="00BA03B0"/>
    <w:rsid w:val="00BE6588"/>
    <w:rsid w:val="00C21809"/>
    <w:rsid w:val="00C255F4"/>
    <w:rsid w:val="00C6158D"/>
    <w:rsid w:val="00C770E1"/>
    <w:rsid w:val="00C95A99"/>
    <w:rsid w:val="00CA3EB6"/>
    <w:rsid w:val="00CA72FF"/>
    <w:rsid w:val="00CC267A"/>
    <w:rsid w:val="00CC409B"/>
    <w:rsid w:val="00CE73F0"/>
    <w:rsid w:val="00CF4C59"/>
    <w:rsid w:val="00D24269"/>
    <w:rsid w:val="00D26801"/>
    <w:rsid w:val="00D52DF9"/>
    <w:rsid w:val="00D53181"/>
    <w:rsid w:val="00D57769"/>
    <w:rsid w:val="00D725E7"/>
    <w:rsid w:val="00D80731"/>
    <w:rsid w:val="00D859AB"/>
    <w:rsid w:val="00D85E5A"/>
    <w:rsid w:val="00D96019"/>
    <w:rsid w:val="00DA7F65"/>
    <w:rsid w:val="00E1067B"/>
    <w:rsid w:val="00E1449A"/>
    <w:rsid w:val="00E30D7B"/>
    <w:rsid w:val="00E53978"/>
    <w:rsid w:val="00E67915"/>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phone"/>
  <w:smartTagType w:namespaceuri="urn:schemas-microsoft-com:office:smarttags" w:name="PostalCode"/>
  <w:shapeDefaults>
    <o:shapedefaults v:ext="edit" spidmax="2052"/>
    <o:shapelayout v:ext="edit">
      <o:idmap v:ext="edit" data="1"/>
    </o:shapelayout>
  </w:shapeDefaults>
  <w:decimalSymbol w:val=","/>
  <w:listSeparator w:val=";"/>
  <w14:docId w14:val="78E971E7"/>
  <w15:chartTrackingRefBased/>
  <w15:docId w15:val="{7B802A42-D604-434C-98EC-43BCE337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Bibliografa">
    <w:name w:val="Bibliography"/>
    <w:basedOn w:val="Normal"/>
    <w:next w:val="Normal"/>
    <w:uiPriority w:val="37"/>
    <w:unhideWhenUsed/>
    <w:rsid w:val="009B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2460">
      <w:bodyDiv w:val="1"/>
      <w:marLeft w:val="0"/>
      <w:marRight w:val="0"/>
      <w:marTop w:val="0"/>
      <w:marBottom w:val="0"/>
      <w:divBdr>
        <w:top w:val="none" w:sz="0" w:space="0" w:color="auto"/>
        <w:left w:val="none" w:sz="0" w:space="0" w:color="auto"/>
        <w:bottom w:val="none" w:sz="0" w:space="0" w:color="auto"/>
        <w:right w:val="none" w:sz="0" w:space="0" w:color="auto"/>
      </w:divBdr>
    </w:div>
    <w:div w:id="148061837">
      <w:bodyDiv w:val="1"/>
      <w:marLeft w:val="0"/>
      <w:marRight w:val="0"/>
      <w:marTop w:val="0"/>
      <w:marBottom w:val="0"/>
      <w:divBdr>
        <w:top w:val="none" w:sz="0" w:space="0" w:color="auto"/>
        <w:left w:val="none" w:sz="0" w:space="0" w:color="auto"/>
        <w:bottom w:val="none" w:sz="0" w:space="0" w:color="auto"/>
        <w:right w:val="none" w:sz="0" w:space="0" w:color="auto"/>
      </w:divBdr>
    </w:div>
    <w:div w:id="196965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738478266">
      <w:bodyDiv w:val="1"/>
      <w:marLeft w:val="0"/>
      <w:marRight w:val="0"/>
      <w:marTop w:val="0"/>
      <w:marBottom w:val="0"/>
      <w:divBdr>
        <w:top w:val="none" w:sz="0" w:space="0" w:color="auto"/>
        <w:left w:val="none" w:sz="0" w:space="0" w:color="auto"/>
        <w:bottom w:val="none" w:sz="0" w:space="0" w:color="auto"/>
        <w:right w:val="none" w:sz="0" w:space="0" w:color="auto"/>
      </w:divBdr>
    </w:div>
    <w:div w:id="743339559">
      <w:bodyDiv w:val="1"/>
      <w:marLeft w:val="0"/>
      <w:marRight w:val="0"/>
      <w:marTop w:val="0"/>
      <w:marBottom w:val="0"/>
      <w:divBdr>
        <w:top w:val="none" w:sz="0" w:space="0" w:color="auto"/>
        <w:left w:val="none" w:sz="0" w:space="0" w:color="auto"/>
        <w:bottom w:val="none" w:sz="0" w:space="0" w:color="auto"/>
        <w:right w:val="none" w:sz="0" w:space="0" w:color="auto"/>
      </w:divBdr>
    </w:div>
    <w:div w:id="1012492129">
      <w:bodyDiv w:val="1"/>
      <w:marLeft w:val="0"/>
      <w:marRight w:val="0"/>
      <w:marTop w:val="0"/>
      <w:marBottom w:val="0"/>
      <w:divBdr>
        <w:top w:val="none" w:sz="0" w:space="0" w:color="auto"/>
        <w:left w:val="none" w:sz="0" w:space="0" w:color="auto"/>
        <w:bottom w:val="none" w:sz="0" w:space="0" w:color="auto"/>
        <w:right w:val="none" w:sz="0" w:space="0" w:color="auto"/>
      </w:divBdr>
    </w:div>
    <w:div w:id="1034035105">
      <w:bodyDiv w:val="1"/>
      <w:marLeft w:val="0"/>
      <w:marRight w:val="0"/>
      <w:marTop w:val="0"/>
      <w:marBottom w:val="0"/>
      <w:divBdr>
        <w:top w:val="none" w:sz="0" w:space="0" w:color="auto"/>
        <w:left w:val="none" w:sz="0" w:space="0" w:color="auto"/>
        <w:bottom w:val="none" w:sz="0" w:space="0" w:color="auto"/>
        <w:right w:val="none" w:sz="0" w:space="0" w:color="auto"/>
      </w:divBdr>
    </w:div>
    <w:div w:id="1188525385">
      <w:bodyDiv w:val="1"/>
      <w:marLeft w:val="0"/>
      <w:marRight w:val="0"/>
      <w:marTop w:val="0"/>
      <w:marBottom w:val="0"/>
      <w:divBdr>
        <w:top w:val="none" w:sz="0" w:space="0" w:color="auto"/>
        <w:left w:val="none" w:sz="0" w:space="0" w:color="auto"/>
        <w:bottom w:val="none" w:sz="0" w:space="0" w:color="auto"/>
        <w:right w:val="none" w:sz="0" w:space="0" w:color="auto"/>
      </w:divBdr>
    </w:div>
    <w:div w:id="1297488249">
      <w:bodyDiv w:val="1"/>
      <w:marLeft w:val="0"/>
      <w:marRight w:val="0"/>
      <w:marTop w:val="0"/>
      <w:marBottom w:val="0"/>
      <w:divBdr>
        <w:top w:val="none" w:sz="0" w:space="0" w:color="auto"/>
        <w:left w:val="none" w:sz="0" w:space="0" w:color="auto"/>
        <w:bottom w:val="none" w:sz="0" w:space="0" w:color="auto"/>
        <w:right w:val="none" w:sz="0" w:space="0" w:color="auto"/>
      </w:divBdr>
    </w:div>
    <w:div w:id="1307783389">
      <w:bodyDiv w:val="1"/>
      <w:marLeft w:val="0"/>
      <w:marRight w:val="0"/>
      <w:marTop w:val="0"/>
      <w:marBottom w:val="0"/>
      <w:divBdr>
        <w:top w:val="none" w:sz="0" w:space="0" w:color="auto"/>
        <w:left w:val="none" w:sz="0" w:space="0" w:color="auto"/>
        <w:bottom w:val="none" w:sz="0" w:space="0" w:color="auto"/>
        <w:right w:val="none" w:sz="0" w:space="0" w:color="auto"/>
      </w:divBdr>
    </w:div>
    <w:div w:id="1386561110">
      <w:bodyDiv w:val="1"/>
      <w:marLeft w:val="0"/>
      <w:marRight w:val="0"/>
      <w:marTop w:val="0"/>
      <w:marBottom w:val="0"/>
      <w:divBdr>
        <w:top w:val="none" w:sz="0" w:space="0" w:color="auto"/>
        <w:left w:val="none" w:sz="0" w:space="0" w:color="auto"/>
        <w:bottom w:val="none" w:sz="0" w:space="0" w:color="auto"/>
        <w:right w:val="none" w:sz="0" w:space="0" w:color="auto"/>
      </w:divBdr>
    </w:div>
    <w:div w:id="1430080254">
      <w:bodyDiv w:val="1"/>
      <w:marLeft w:val="0"/>
      <w:marRight w:val="0"/>
      <w:marTop w:val="0"/>
      <w:marBottom w:val="0"/>
      <w:divBdr>
        <w:top w:val="none" w:sz="0" w:space="0" w:color="auto"/>
        <w:left w:val="none" w:sz="0" w:space="0" w:color="auto"/>
        <w:bottom w:val="none" w:sz="0" w:space="0" w:color="auto"/>
        <w:right w:val="none" w:sz="0" w:space="0" w:color="auto"/>
      </w:divBdr>
    </w:div>
    <w:div w:id="19799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R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tm.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Lea14</b:Tag>
    <b:SourceType>DocumentFromInternetSite</b:SourceType>
    <b:Guid>{F7C1B392-7AE3-45B2-9B05-EC082B74FEAD}</b:Guid>
    <b:Author>
      <b:Author>
        <b:Corporate>LeapMotion</b:Corporate>
      </b:Author>
    </b:Author>
    <b:Title>Blog LeapMotion</b:Title>
    <b:InternetSiteTitle>Blog LeapMotion</b:InternetSiteTitle>
    <b:Year>2014</b:Year>
    <b:Month>08</b:Month>
    <b:Day>09</b:Day>
    <b:URL>http://blog.leapmotion.com/hardware-to-software-how-does-the-leap-motion-controller-work/</b:URL>
    <b:RefOrder>2</b:RefOrder>
  </b:Source>
  <b:Source>
    <b:Tag>Fac19</b:Tag>
    <b:SourceType>DocumentFromInternetSite</b:SourceType>
    <b:Guid>{F6ED1854-719D-4BB4-8A0C-53D1D61F5B4F}</b:Guid>
    <b:Author>
      <b:Author>
        <b:Corporate>Facebook</b:Corporate>
      </b:Author>
    </b:Author>
    <b:Title>Facebook Artificial Inteligence</b:Title>
    <b:InternetSiteTitle>Facebook Artificial Inteligence</b:InternetSiteTitle>
    <b:Year>2019</b:Year>
    <b:Month>09</b:Month>
    <b:Day>25</b:Day>
    <b:URL>https://ai.facebook.com/blog/hand-tracking-deep-neural-networks</b:URL>
    <b:RefOrder>1</b:RefOrder>
  </b:Source>
  <b:Source>
    <b:Tag>Goo</b:Tag>
    <b:SourceType>DocumentFromInternetSite</b:SourceType>
    <b:Guid>{746E3E72-A941-4306-9E47-F9ADDF677D03}</b:Guid>
    <b:Author>
      <b:Author>
        <b:Corporate>Google AI</b:Corporate>
      </b:Author>
    </b:Author>
    <b:Title>Google AI Blog</b:Title>
    <b:InternetSiteTitle>Google AI Blog</b:InternetSiteTitle>
    <b:Year>2019</b:Year>
    <b:Month>08</b:Month>
    <b:Day>19</b:Day>
    <b:URL>https://ai.googleblog.com/2019/08/on-device-real-time-hand-tracking-with.html</b:URL>
    <b:RefOrder>3</b:RefOrder>
  </b:Source>
  <b:Source>
    <b:Tag>HUA</b:Tag>
    <b:SourceType>InternetSite</b:SourceType>
    <b:Guid>{99FE4FFC-2EFC-4398-A0FA-1DE876F3B997}</b:Guid>
    <b:Title>Huawei Support</b:Title>
    <b:URL>https://consumer.huawei.com/uk/support/faq/navigate-your-phone-using-gesture-control/</b:URL>
    <b:Author>
      <b:Author>
        <b:Corporate>HUAWEI</b:Corporate>
      </b:Author>
    </b:Author>
    <b:RefOrder>4</b:RefOrder>
  </b:Source>
  <b:Source>
    <b:Tag>Ten</b:Tag>
    <b:SourceType>DocumentFromInternetSite</b:SourceType>
    <b:Guid>{7B7B82B0-E837-4441-B0DE-100F63CB561B}</b:Guid>
    <b:Author>
      <b:Author>
        <b:Corporate>TensorFlow</b:Corporate>
      </b:Author>
    </b:Author>
    <b:Title>TensorFlow</b:Title>
    <b:InternetSiteTitle>TensorFlow</b:InternetSiteTitle>
    <b:URL>https://www.tensorflow.org/lite/guide</b:URL>
    <b:RefOrder>5</b:RefOrder>
  </b:Source>
  <b:Source>
    <b:Tag>Wik191</b:Tag>
    <b:SourceType>DocumentFromInternetSite</b:SourceType>
    <b:Guid>{FA0F7182-FE72-4BF2-83DE-00809D7D6226}</b:Guid>
    <b:Author>
      <b:Author>
        <b:Corporate>Wikipedia</b:Corporate>
      </b:Author>
    </b:Author>
    <b:Title>Wikipedia</b:Title>
    <b:InternetSiteTitle>Wikipedia</b:InternetSiteTitle>
    <b:Year>2019</b:Year>
    <b:Month>07</b:Month>
    <b:Day>30</b:Day>
    <b:URL>https://es.wikipedia.org/wiki/Arquitectura_en_pipeline_(informática)</b:URL>
    <b:RefOrder>6</b:RefOrder>
  </b:Source>
  <b:Source>
    <b:Tag>Lee</b:Tag>
    <b:SourceType>DocumentFromInternetSite</b:SourceType>
    <b:Guid>{25EFC66F-D53E-4EA6-BFC5-867510F7B9FD}</b:Guid>
    <b:Title>IEEE Xplore</b:Title>
    <b:Author>
      <b:Author>
        <b:NameList>
          <b:Person>
            <b:Last>Garber</b:Last>
            <b:First>Lee</b:First>
          </b:Person>
        </b:NameList>
      </b:Author>
    </b:Author>
    <b:InternetSiteTitle>IEEE Xplore</b:InternetSiteTitle>
    <b:Month>10</b:Month>
    <b:URL>https://ieeexplore.ieee.org/abstract/document/6649963</b:URL>
    <b:Year>2013</b:Year>
    <b:Day>31</b:Day>
    <b:RefOrder>7</b:RefOrder>
  </b:Source>
  <b:Source>
    <b:Tag>Rah17</b:Tag>
    <b:SourceType>Book</b:SourceType>
    <b:Guid>{79A3CB8D-0238-4E69-BA55-4B29C9E75295}</b:Guid>
    <b:Author>
      <b:Author>
        <b:NameList>
          <b:Person>
            <b:Last>Rahman</b:Last>
            <b:First>Mansib</b:First>
          </b:Person>
        </b:NameList>
      </b:Author>
    </b:Author>
    <b:Title>Beginning Microsoft Kinect for Windows SDK 2.0</b:Title>
    <b:Year>2017</b:Year>
    <b:URL>https://drive.google.com/file/d/1nKg-kDQvq43ZREScyUa22TFmtNzxwj0b/view</b:URL>
    <b:Publisher>Apress</b:Publisher>
    <b:RefOrder>8</b:RefOrder>
  </b:Source>
  <b:Source>
    <b:Tag>Wik192</b:Tag>
    <b:SourceType>DocumentFromInternetSite</b:SourceType>
    <b:Guid>{A85DBDAB-6CD3-46A8-ACB7-3DC1142FE600}</b:Guid>
    <b:Author>
      <b:Author>
        <b:Corporate>Wikipedia</b:Corporate>
      </b:Author>
    </b:Author>
    <b:Title>Wikipedia</b:Title>
    <b:InternetSiteTitle>Wikipedia</b:InternetSiteTitle>
    <b:Year>2019</b:Year>
    <b:Month>10</b:Month>
    <b:Day>03</b:Day>
    <b:URL>https://en.wikipedia.org/wiki/Frame_rate</b:URL>
    <b:RefOrder>9</b:RefOrder>
  </b:Source>
</b:Sources>
</file>

<file path=customXml/itemProps1.xml><?xml version="1.0" encoding="utf-8"?>
<ds:datastoreItem xmlns:ds="http://schemas.openxmlformats.org/officeDocument/2006/customXml" ds:itemID="{2673582D-C994-44E1-9782-9D2D11E3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3373</Words>
  <Characters>18553</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21883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Bug Cry</cp:lastModifiedBy>
  <cp:revision>10</cp:revision>
  <dcterms:created xsi:type="dcterms:W3CDTF">2019-12-16T05:52:00Z</dcterms:created>
  <dcterms:modified xsi:type="dcterms:W3CDTF">2019-12-16T06:23:00Z</dcterms:modified>
</cp:coreProperties>
</file>