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jc w:val="center"/>
      </w:pPr>
      <w:r>
        <w:rPr>
          <w:noProof/>
        </w:rPr>
        <w:drawing>
          <wp:inline distT="0" distB="0" distL="0" distR="0" wp14:anchorId="47EF79E0" wp14:editId="492364A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Heading1"/>
        <w:jc w:val="center"/>
        <w:rPr>
          <w:sz w:val="32"/>
          <w:u w:val="none"/>
        </w:rPr>
      </w:pPr>
      <w:r>
        <w:rPr>
          <w:sz w:val="32"/>
          <w:u w:val="none"/>
        </w:rPr>
        <w:t>Asset Allocation Models</w:t>
      </w:r>
    </w:p>
    <w:p w:rsidR="00FC0E1C" w:rsidRPr="005A00BF" w:rsidRDefault="00FC0E1C" w:rsidP="00FC0E1C">
      <w:pPr>
        <w:spacing w:line="360" w:lineRule="auto"/>
        <w:rPr>
          <w:rFonts w:ascii="Times New Roman" w:hAnsi="Times New Roman" w:cs="Times New Roman"/>
          <w:sz w:val="24"/>
          <w:szCs w:val="24"/>
        </w:rPr>
      </w:pPr>
    </w:p>
    <w:p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v3</w:t>
      </w:r>
      <w:r w:rsidR="00FC0E1C" w:rsidRPr="005A00BF">
        <w:rPr>
          <w:rFonts w:ascii="Times New Roman" w:hAnsi="Times New Roman" w:cs="Times New Roman"/>
          <w:b/>
          <w:bCs/>
          <w:sz w:val="24"/>
          <w:szCs w:val="24"/>
        </w:rPr>
        <w:t>.</w:t>
      </w:r>
      <w:r w:rsidR="00B479DC">
        <w:rPr>
          <w:rFonts w:ascii="Times New Roman" w:hAnsi="Times New Roman" w:cs="Times New Roman"/>
          <w:b/>
          <w:bCs/>
          <w:sz w:val="24"/>
          <w:szCs w:val="24"/>
        </w:rPr>
        <w:t>05</w:t>
      </w:r>
      <w:bookmarkStart w:id="0" w:name="_GoBack"/>
      <w:bookmarkEnd w:id="0"/>
      <w:r w:rsidR="00FC0E1C" w:rsidRPr="005A00BF">
        <w:rPr>
          <w:rFonts w:ascii="Times New Roman" w:hAnsi="Times New Roman" w:cs="Times New Roman"/>
          <w:sz w:val="24"/>
          <w:szCs w:val="24"/>
        </w:rPr>
        <w:t xml:space="preserve"> </w:t>
      </w:r>
      <w:r>
        <w:rPr>
          <w:rFonts w:ascii="Times New Roman" w:hAnsi="Times New Roman" w:cs="Times New Roman"/>
          <w:sz w:val="24"/>
          <w:szCs w:val="24"/>
        </w:rPr>
        <w:t>2</w:t>
      </w:r>
      <w:r w:rsidR="00B479DC">
        <w:rPr>
          <w:rFonts w:ascii="Times New Roman" w:hAnsi="Times New Roman" w:cs="Times New Roman"/>
          <w:sz w:val="24"/>
          <w:szCs w:val="24"/>
        </w:rPr>
        <w:t>8</w:t>
      </w:r>
      <w:r w:rsidR="00FC0E1C" w:rsidRPr="005A00BF">
        <w:rPr>
          <w:rFonts w:ascii="Times New Roman" w:hAnsi="Times New Roman" w:cs="Times New Roman"/>
          <w:sz w:val="24"/>
          <w:szCs w:val="24"/>
        </w:rPr>
        <w:t xml:space="preserve"> </w:t>
      </w:r>
      <w:r>
        <w:rPr>
          <w:rFonts w:ascii="Times New Roman" w:hAnsi="Times New Roman" w:cs="Times New Roman"/>
          <w:sz w:val="24"/>
          <w:szCs w:val="24"/>
        </w:rPr>
        <w:t>August</w:t>
      </w:r>
      <w:r w:rsidR="006031BD">
        <w:rPr>
          <w:rFonts w:ascii="Times New Roman" w:hAnsi="Times New Roman" w:cs="Times New Roman"/>
          <w:sz w:val="24"/>
          <w:szCs w:val="24"/>
        </w:rPr>
        <w:t xml:space="preserve"> 2017</w:t>
      </w:r>
    </w:p>
    <w:p w:rsidR="00FC0E1C" w:rsidRDefault="00FC0E1C" w:rsidP="00FC0E1C">
      <w:pPr>
        <w:pStyle w:val="Heading1"/>
        <w:jc w:val="center"/>
        <w:rPr>
          <w:b w:val="0"/>
          <w:bCs w:val="0"/>
        </w:rPr>
      </w:pPr>
      <w:r>
        <w:rPr>
          <w:b w:val="0"/>
          <w:bCs w:val="0"/>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 an investor will take on increased risks only if compensated with higher expected returns. Conversely, an investor who wants higher expected returns must accept more risk.</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rsidR="00CE3A32" w:rsidRPr="00A9066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rsidR="00CE3A32" w:rsidRPr="007179E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q≥0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One key result of the above analysis is the two mutual fund theorem (Merton (1972)). The theorem states that any portfolio on the efficient frontier can be generated by any two give portfolios on the frontier; the latter two portfolios are the mutual funds in the theorem’s name. So in the absence of a risk-free asset, the investor can achieve any desired efficient portfolio even if all that is accessible is a pair of efficient mutual funds.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 free asset is a hypothetical asset that pays a risk free rate. In practice, short term government securities such as UST bills are used as risk-free asset because they pay a fixed coupon and have an exceptionally low default risk. The </w:t>
      </w:r>
      <w:r>
        <w:rPr>
          <w:rFonts w:ascii="Times New Roman" w:hAnsi="Times New Roman" w:cs="Times New Roman"/>
          <w:sz w:val="24"/>
          <w:szCs w:val="24"/>
        </w:rPr>
        <w:lastRenderedPageBreak/>
        <w:t>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 the introduction of the risk-free asset as a possible component of the portfolio has improved the range of the risk-expected returns available, because everywhere except at the tangency portfolio the half-line gives a higher expected returns than the hyperbola does at every possible risk level.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MPT Basis For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 the relative supplies will equal relative demands. MPT derives the required expected return for a correctly priced asset in this context.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 specific risk is also called diversifiable, unique, unsystematic, or idiosyncratic risk.</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measure of the risk of a security is the risk it adds to the market portfolio, and not its risk in isolation.</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w:t>
      </w:r>
      <w:r>
        <w:rPr>
          <w:rFonts w:ascii="Times New Roman" w:hAnsi="Times New Roman" w:cs="Times New Roman"/>
          <w:sz w:val="24"/>
          <w:szCs w:val="24"/>
        </w:rPr>
        <w:lastRenderedPageBreak/>
        <w:t>stochastic properties of the moments of the assets’ returns – these are broadly referred to as conditional asset pricing models.</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  - the covariance between the asset return and the market return divided by the variance of the market return – i.e., the sensitivity of the asset price to movement in the market’s portfolio value.</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(Damghani (2013)).</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More fundamentally investors are stuck with estimating key parameters from past market data because MPT attempts to model risk in terms of likelihood of losses, but says nothing about why those losses might occur. The risk measurements used are probabilistic in nature, not structural. This is a major difference compared to many engineering approaches to risk management (Hubbard (2009)).</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w:t>
      </w:r>
      <w:r>
        <w:rPr>
          <w:rFonts w:ascii="Times New Roman" w:eastAsiaTheme="minorEastAsia" w:hAnsi="Times New Roman" w:cs="Times New Roman"/>
          <w:sz w:val="24"/>
          <w:szCs w:val="24"/>
        </w:rPr>
        <w:lastRenderedPageBreak/>
        <w:t>many investors are only concerned about losses, and do not care about the dispersion or tightness of above-average returns. According to this view, the intuitive concept of risk is fundamentally asymmetric in nature.</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 attributes comprising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rsidR="00CE3A32" w:rsidRPr="00A5311A"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The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rsidR="00CE3A32" w:rsidRDefault="00AA2B4E" w:rsidP="00CE3A32">
      <w:pPr>
        <w:pStyle w:val="ListParagraph"/>
        <w:numPr>
          <w:ilvl w:val="0"/>
          <w:numId w:val="2"/>
        </w:numPr>
        <w:spacing w:line="360" w:lineRule="auto"/>
        <w:rPr>
          <w:rFonts w:ascii="Times New Roman" w:hAnsi="Times New Roman" w:cs="Times New Roman"/>
          <w:sz w:val="24"/>
          <w:szCs w:val="24"/>
        </w:rPr>
      </w:pPr>
      <w:hyperlink r:id="rId10"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1"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2" w:history="1">
        <w:r w:rsidRPr="001A6606">
          <w:rPr>
            <w:rStyle w:val="Hyperlink"/>
            <w:rFonts w:ascii="Times New Roman" w:hAnsi="Times New Roman" w:cs="Times New Roman"/>
            <w:sz w:val="24"/>
            <w:szCs w:val="24"/>
          </w:rPr>
          <w:t>Portfolio Theory of Information Retrieval</w:t>
        </w:r>
      </w:hyperlink>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estimates of excess returns and the corresponding precision.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 it can be applied alongside several modern portfolio selection approaches as can be seen in the literature.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3"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 these hybrid models were later debunked by Michaud et al (2013).</w:t>
      </w:r>
    </w:p>
    <w:p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do not use Bayesian features of the model, but rather use point estimates, and thus do not have information on the precision of their estimates.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 his variant of the model can easily be used with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t>The Black-Litterman Reference Model</w:t>
      </w:r>
      <w:r w:rsidRPr="0064476C">
        <w:rPr>
          <w:rFonts w:ascii="Times New Roman" w:hAnsi="Times New Roman" w:cs="Times New Roman"/>
          <w:sz w:val="24"/>
          <w:szCs w:val="24"/>
        </w:rPr>
        <w:t xml:space="preserve">: The reference model for the returns is the base upon which the rest of the Black-Litterman Model is built. It includes assumptions on which variables are random, and which ones are not. It also defines which parameters are modeled, </w:t>
      </w:r>
      <w:r w:rsidRPr="0064476C">
        <w:rPr>
          <w:rFonts w:ascii="Times New Roman" w:hAnsi="Times New Roman" w:cs="Times New Roman"/>
          <w:sz w:val="24"/>
          <w:szCs w:val="24"/>
        </w:rPr>
        <w:lastRenderedPageBreak/>
        <w:t>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r=μ+</m:t>
          </m:r>
          <m:r>
            <w:rPr>
              <w:rFonts w:ascii="Cambria Math" w:hAnsi="Cambria Math" w:cs="Times New Roman"/>
              <w:sz w:val="24"/>
              <w:szCs w:val="24"/>
            </w:rPr>
            <m:t>ϵ</m:t>
          </m:r>
        </m:oMath>
      </m:oMathPara>
    </w:p>
    <w:p w:rsidR="00CE3A32" w:rsidRPr="00915855"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rsidR="00CE3A32" w:rsidRPr="005C4B13" w:rsidRDefault="00CE3A32" w:rsidP="00CE3A32">
      <w:pPr>
        <w:pStyle w:val="ListParagraph"/>
        <w:spacing w:line="360" w:lineRule="auto"/>
        <w:ind w:left="360"/>
        <w:rPr>
          <w:rFonts w:ascii="Times New Roman" w:hAnsi="Times New Roman" w:cs="Times New Roman"/>
          <w:sz w:val="24"/>
          <w:szCs w:val="24"/>
        </w:rPr>
      </w:pP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common misconception about the Canonical Black-Litterman Reference Model is that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xml:space="preserve">: Under CAPM the idiosyncratic risk associated with an asset is uncorrelated with that from the other assets, and this risk can be reduced through diversification. Thus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w:t>
      </w:r>
      <w:r>
        <w:rPr>
          <w:rFonts w:ascii="Times New Roman" w:hAnsi="Times New Roman" w:cs="Times New Roman"/>
          <w:sz w:val="24"/>
          <w:szCs w:val="24"/>
        </w:rPr>
        <w:lastRenderedPageBreak/>
        <w:t>optimization from this point to identify the investors’ optimal portfolio within CAPM is problematic as we do not have information for the entire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returns estimates.</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w:t>
      </w:r>
      <w:r>
        <w:rPr>
          <w:rFonts w:ascii="Times New Roman" w:hAnsi="Times New Roman" w:cs="Times New Roman"/>
          <w:sz w:val="24"/>
          <w:szCs w:val="24"/>
        </w:rPr>
        <w:lastRenderedPageBreak/>
        <w:t>positive definite. One could, however, apply shrinkage or modern random matrix theory filters to make it more robust.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He and Litterman (1999) for all the terms in the formulas. The notation is a little different from (and conflicts with) the notation used later in the section on Bayesian Theory.</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single maxima.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857A5" w:rsidRDefault="00AA2B4E"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rsidR="00CE3A32" w:rsidRPr="00F857A5" w:rsidRDefault="00CE3A32" w:rsidP="00CE3A32">
      <w:pPr>
        <w:pStyle w:val="ListParagraph"/>
        <w:spacing w:line="360" w:lineRule="auto"/>
        <w:ind w:left="360"/>
        <w:rPr>
          <w:rFonts w:ascii="Times New Roman" w:hAnsi="Times New Roman" w:cs="Times New Roman"/>
          <w:sz w:val="24"/>
          <w:szCs w:val="24"/>
        </w:rPr>
      </w:pP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spacing w:line="360" w:lineRule="auto"/>
        <w:rPr>
          <w:rFonts w:ascii="Times New Roman" w:hAnsi="Times New Roman" w:cs="Times New Roman"/>
          <w:sz w:val="24"/>
          <w:szCs w:val="24"/>
        </w:rPr>
      </w:pPr>
    </w:p>
    <w:p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w:t>
      </w:r>
      <w:r>
        <w:rPr>
          <w:rFonts w:ascii="Times New Roman" w:hAnsi="Times New Roman" w:cs="Times New Roman"/>
          <w:sz w:val="24"/>
          <w:szCs w:val="24"/>
        </w:rPr>
        <w:lastRenderedPageBreak/>
        <w:t xml:space="preserve">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rsidR="00CE3A32" w:rsidRPr="00E2208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Pr="00514E9D" w:rsidRDefault="00CE3A32" w:rsidP="00CE3A32">
      <w:pPr>
        <w:pStyle w:val="ListParagraph"/>
        <w:spacing w:line="360" w:lineRule="auto"/>
        <w:ind w:left="360"/>
        <w:rPr>
          <w:rFonts w:ascii="Times New Roman" w:hAnsi="Times New Roman" w:cs="Times New Roman"/>
          <w:sz w:val="24"/>
          <w:szCs w:val="24"/>
        </w:rPr>
      </w:pPr>
    </w:p>
    <w:p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Thus one can calibrate the returns in terms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closed form solution to the reverse optimization problem for computing asset returns given an mean-variance portfolio in the absence of constraints. Re-arranging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actually binding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AA2B4E"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rsidR="00CE3A32" w:rsidRDefault="00CE3A32" w:rsidP="00CE3A32">
      <w:pPr>
        <w:spacing w:line="360" w:lineRule="auto"/>
        <w:rPr>
          <w:rFonts w:ascii="Times New Roman" w:hAnsi="Times New Roman" w:cs="Times New Roman"/>
          <w:sz w:val="24"/>
          <w:szCs w:val="24"/>
        </w:rPr>
      </w:pPr>
    </w:p>
    <w:p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Different authors compute the weights within the views differently – He and </w:t>
      </w:r>
      <w:r>
        <w:rPr>
          <w:rFonts w:ascii="Times New Roman" w:eastAsiaTheme="minorEastAsia" w:hAnsi="Times New Roman" w:cs="Times New Roman"/>
          <w:sz w:val="24"/>
          <w:szCs w:val="24"/>
        </w:rPr>
        <w:lastRenderedPageBreak/>
        <w:t>Litterman (1999) and Idzorek (2005) use a market capitalization weighted scheme, whereas Satchell and Scowcroft (2000) use an equi-weighted scheme in their examples. In practice, the weights will be a mixture depending upon the process used to estimate the view returns.</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xml:space="preserve">: Finally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rsidR="00CE3A32" w:rsidRPr="006738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general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lastRenderedPageBreak/>
        <w:t>Expected View Return Conditional Distribution</w:t>
      </w:r>
      <w:r w:rsidRPr="00696064">
        <w:rPr>
          <w:rFonts w:ascii="Times New Roman" w:hAnsi="Times New Roman" w:cs="Times New Roman"/>
          <w:sz w:val="24"/>
          <w:szCs w:val="24"/>
        </w:rPr>
        <w:t>: The starting point is the definition of the views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rsidR="00CE3A32" w:rsidRPr="00696064" w:rsidRDefault="00CE3A32" w:rsidP="00CE3A32">
      <w:pPr>
        <w:pStyle w:val="ListParagraph"/>
        <w:spacing w:line="360" w:lineRule="auto"/>
        <w:ind w:left="360"/>
        <w:rPr>
          <w:rFonts w:ascii="Times New Roman" w:hAnsi="Times New Roman" w:cs="Times New Roman"/>
          <w:sz w:val="24"/>
          <w:szCs w:val="24"/>
        </w:rPr>
      </w:pPr>
    </w:p>
    <w:p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 hand side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C032A"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 the covariance of the random term needs to be computed. The variance of the unknown asset means about the estimated view means projected onto the asset space is calculated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7E6E3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 one arrives at the projection of the views onto the asset space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w:lastRenderedPageBreak/>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returns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Because of the improved estimate one expects that the variance of the residual estimate has decreased, thereby the total variance has changed. This simplifies the variance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lastRenderedPageBreak/>
        <w:t>A Quick Introduction to Bayes’ Theorem</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rsidR="00CE3A32" w:rsidRPr="004D2908" w:rsidRDefault="00CE3A32" w:rsidP="00CE3A32">
      <w:pPr>
        <w:pStyle w:val="ListParagraph"/>
        <w:spacing w:line="360" w:lineRule="auto"/>
        <w:ind w:left="360"/>
        <w:rPr>
          <w:rFonts w:ascii="Times New Roman" w:hAnsi="Times New Roman" w:cs="Times New Roman"/>
          <w:sz w:val="24"/>
          <w:szCs w:val="24"/>
        </w:rPr>
      </w:pP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w:t>
      </w:r>
      <w:r>
        <w:rPr>
          <w:rFonts w:ascii="Times New Roman" w:hAnsi="Times New Roman" w:cs="Times New Roman"/>
          <w:sz w:val="24"/>
          <w:szCs w:val="24"/>
        </w:rPr>
        <w:lastRenderedPageBreak/>
        <w:t>Given interest there is nothing that prevents the construction of the Black-Litterman model using different distributions, however the normal distribution is generally the most straightforward.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rsidR="00CE3A32" w:rsidRDefault="00CE3A32" w:rsidP="00CE3A32">
      <w:pPr>
        <w:spacing w:line="360" w:lineRule="auto"/>
        <w:rPr>
          <w:rFonts w:ascii="Times New Roman" w:hAnsi="Times New Roman" w:cs="Times New Roman"/>
          <w:sz w:val="24"/>
          <w:szCs w:val="24"/>
        </w:rPr>
      </w:pPr>
    </w:p>
    <w:p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PDF for the Conditional Distribution</w:t>
      </w:r>
      <w:r>
        <w:rPr>
          <w:rFonts w:ascii="Times New Roman" w:hAnsi="Times New Roman" w:cs="Times New Roman"/>
          <w:sz w:val="24"/>
          <w:szCs w:val="24"/>
        </w:rPr>
        <w:t>: One next considers the PDF of the conditional distribution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spacing w:line="360" w:lineRule="auto"/>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lastRenderedPageBreak/>
        <w:t>Introducing the Precision Weighted Mean</w:t>
      </w:r>
      <w:r>
        <w:rPr>
          <w:rFonts w:ascii="Times New Roman" w:hAnsi="Times New Roman" w:cs="Times New Roman"/>
          <w:sz w:val="24"/>
          <w:szCs w:val="24"/>
        </w:rPr>
        <w:t>: On introducing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The conditional distribution is based on the investors’ views. The investors’ views are specified as returns to portfolio of assets, and each view has an uncertainty that will impact the overall mixing process. The conditional distribution from the investors’ views was specified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xml:space="preserve">: The posterior distribution from the Bayes’ Theorem is the precision weighted mean of the prior estimate and the conditional estimate. Therefore </w:t>
      </w:r>
      <w:r>
        <w:rPr>
          <w:rFonts w:ascii="Times New Roman" w:hAnsi="Times New Roman" w:cs="Times New Roman"/>
          <w:sz w:val="24"/>
          <w:szCs w:val="24"/>
        </w:rPr>
        <w:lastRenderedPageBreak/>
        <w:t>one can readily apply Bayes’ Theory to the problem of blending the prior and the conditional distributions to create new posterior distribution of asset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w:lastRenderedPageBreak/>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 the alternate form of the Black-Litterman expression expected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6359A0"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which has no intuitive connection to data, and in fact demonstrates that their paper uses the Alternate Reference Model.</w:t>
      </w: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74A84"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5465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w:t>
      </w:r>
      <w:r>
        <w:rPr>
          <w:rFonts w:ascii="Times New Roman" w:hAnsi="Times New Roman" w:cs="Times New Roman"/>
          <w:sz w:val="24"/>
          <w:szCs w:val="24"/>
        </w:rPr>
        <w:lastRenderedPageBreak/>
        <w:t>covariance of either the prior or the conditional estimates indicating that the addition of more estimates will reduce the uncertainty of the model. The posterior variance of the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However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Meuccis’s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α≥0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lastRenderedPageBreak/>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where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Prior Distribution Impact - Second Scenario</w:t>
      </w:r>
      <w:r>
        <w:rPr>
          <w:rFonts w:ascii="Times New Roman" w:eastAsiaTheme="minorEastAsia" w:hAnsi="Times New Roman" w:cs="Times New Roman"/>
          <w:sz w:val="24"/>
          <w:szCs w:val="24"/>
        </w:rPr>
        <w:t>: In the second scenario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701"/>
        <w:gridCol w:w="2140"/>
        <w:gridCol w:w="1172"/>
        <w:gridCol w:w="902"/>
        <w:gridCol w:w="1172"/>
        <w:gridCol w:w="2140"/>
        <w:gridCol w:w="1349"/>
      </w:tblGrid>
      <w:tr w:rsidR="00CE3A32" w:rsidTr="006031BD">
        <w:tc>
          <w:tcPr>
            <w:tcW w:w="7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τ</m:t>
                </m:r>
              </m:oMath>
            </m:oMathPara>
          </w:p>
        </w:tc>
        <w:tc>
          <w:tcPr>
            <w:tcW w:w="21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rsidR="00CE3A32" w:rsidRDefault="00AA2B4E"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rsidR="00CE3A32" w:rsidRDefault="00AA2B4E"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rsidR="00CE3A32" w:rsidRDefault="00AA2B4E"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rsidR="00CE3A32" w:rsidRDefault="00AA2B4E"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rsidR="00CE3A32" w:rsidRPr="00A4017B"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 free asset given the prior distribution. It can be seen here that he portfolio invested in risky assets given the prior weights will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 the weights are computed for the optimal portfolio on the unconstrained (or with constraints, as the case may be) efficient frontier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C06BA" w:rsidRDefault="00AA2B4E"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 larger extensions to the model such as the one by Krishnan and mains (2006) demonstrate a method to incorporate additional factors into the model. Qian and Gorman (2001) present a method to integrate views on the covariance matrix as well as on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Braga, M. D., and F. P. Natale (2007)</w:t>
      </w:r>
      <w:r>
        <w:rPr>
          <w:rFonts w:ascii="Times New Roman" w:hAnsi="Times New Roman" w:cs="Times New Roman"/>
          <w:sz w:val="24"/>
          <w:szCs w:val="24"/>
        </w:rPr>
        <w:t xml:space="preserve">: </w:t>
      </w:r>
      <w:hyperlink r:id="rId14"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15"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6"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17"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18"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19"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0"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21"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2"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lastRenderedPageBreak/>
        <w:t>for calculating the mean of the expected returns. However it is often difficult to find the original economic intuitions of the views from these numbers, particularly when the number of assets is very large.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 it is easy to conjecture that the German equity market will outperform the rest of the European markets, but it is much less to imagine what the implication of that conjecture is for the relative expected returns of the German and the other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appropriately takes volatilities and correlations into account into the expected returns in all of the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that the best opportunity is a simple overweighting of the German equity market, financed by the underweighting of the rest of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 instead of looking at the expected returns directly, He and Litterman (1999) examine Black-Litterman optimal portfolio weights.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0251B" w:rsidRDefault="00AA2B4E"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4436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Pr="00864C5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B1667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 the last term shows that the weight is penalized for the covariance of a view portfolio with other view portfolios. Again since the covariance between these view portfolios indicates in a sense that the information is being double counted, it is intuitive that there should be a penalty on the weight associated with an increased covariance with other view portfolios.</w:t>
      </w:r>
    </w:p>
    <w:p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Pr="008440A8"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Pr="00A52B4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AB6E97"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xml:space="preserve">: Similarly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rsidR="00CE3A32" w:rsidRPr="00DF4ED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rsidR="00CE3A32" w:rsidRDefault="00CE3A32" w:rsidP="00CE3A32">
      <w:pPr>
        <w:spacing w:line="360" w:lineRule="auto"/>
        <w:rPr>
          <w:rFonts w:ascii="Times New Roman" w:hAnsi="Times New Roman" w:cs="Times New Roman"/>
          <w:sz w:val="24"/>
          <w:szCs w:val="24"/>
        </w:rPr>
      </w:pPr>
    </w:p>
    <w:p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Pr="008C6FE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Sensitivity</w:t>
      </w:r>
      <w:r>
        <w:rPr>
          <w:rFonts w:ascii="Times New Roman" w:hAnsi="Times New Roman" w:cs="Times New Roman"/>
          <w:sz w:val="24"/>
          <w:szCs w:val="24"/>
        </w:rPr>
        <w:t>: It is clear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AA2B4E"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rsidR="00CE3A32" w:rsidRPr="00975E1B"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They first examine the example of a view on the German equity market seen before using the traditional mean-variance approach. Assuming that the investor uses the CAPM as a starting point and that they do not have any view they presume that the expected returns equal the equilibrium risk premia. As a result they hold the market portfolio.</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One way to proceed is as follows. To be precise in expressing the view investor sets the expected returns for Germany 5% higher than the market capitalization weighted average of the expected returns of France and the United Kingdom.</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quiet small.</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w:t>
      </w:r>
      <w:r>
        <w:rPr>
          <w:rFonts w:ascii="Times New Roman" w:hAnsi="Times New Roman" w:cs="Times New Roman"/>
          <w:sz w:val="24"/>
          <w:szCs w:val="24"/>
        </w:rPr>
        <w:lastRenderedPageBreak/>
        <w:t>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xml:space="preserve">: The optimal weight vector is very intuitive in this case. Being a Bayesian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rsidTr="006031BD">
        <w:trPr>
          <w:gridAfter w:val="3"/>
          <w:wAfter w:w="4793" w:type="dxa"/>
        </w:trPr>
        <w:tc>
          <w:tcPr>
            <w:tcW w:w="1564" w:type="dxa"/>
            <w:vAlign w:val="center"/>
          </w:tcPr>
          <w:p w:rsidR="00CE3A32" w:rsidRPr="00463320" w:rsidRDefault="00AA2B4E"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 the results clearly show that the optimal deviation is a weighted sum of the view portfolios.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 the result is very easy to understand – the investor has two weights, so they add exposures to the portfolios. The Black Litterman model gives optimal weights.</w:t>
      </w:r>
    </w:p>
    <w:p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is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AA2B4E"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rsidR="00CE3A32" w:rsidRDefault="00CE3A32" w:rsidP="00CE3A32">
      <w:pPr>
        <w:spacing w:line="360" w:lineRule="auto"/>
        <w:rPr>
          <w:rFonts w:ascii="Times New Roman" w:hAnsi="Times New Roman" w:cs="Times New Roman"/>
          <w:sz w:val="24"/>
          <w:szCs w:val="24"/>
        </w:rPr>
      </w:pPr>
    </w:p>
    <w:p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AA2B4E"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 since the third view is already implied by the equilibrium and the first two views 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rsidTr="006031BD">
        <w:tc>
          <w:tcPr>
            <w:tcW w:w="1358"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rsidR="00CE3A32" w:rsidRPr="004C03BB" w:rsidRDefault="00AA2B4E"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rsidTr="006031BD">
        <w:trPr>
          <w:gridAfter w:val="3"/>
          <w:wAfter w:w="4585" w:type="dxa"/>
        </w:trPr>
        <w:tc>
          <w:tcPr>
            <w:tcW w:w="1358" w:type="dxa"/>
            <w:vAlign w:val="center"/>
          </w:tcPr>
          <w:p w:rsidR="00CE3A32" w:rsidRPr="00463320" w:rsidRDefault="00AA2B4E"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w:lastRenderedPageBreak/>
                  <m:t>λ</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matches exactly the expected returns implied by the Black Litterman Model using only two views. According to the first property the weights on the first two views should not be changed and the weight on the third view should be zero.</w:t>
      </w:r>
    </w:p>
    <w:p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 best and Grauer (1991) show that a small change in the expected returns of one of the portfolio’s assets can force half of the assets from the portfolio.</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 adjusted capitalization weights.</w:t>
      </w:r>
    </w:p>
    <w:p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In the reverse optimization process the risk aversion coefficient acts as a scaling factor for the reverse optimization estimate of the excess returns; the weighted reverse optimization excess returns equals the specified market risk premium.</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 asset example in addition to the general model, and avoids discussing currencies. Currency returns in the model are treated in detail by Black (1989a, 1989b), Black and Litterman (1991, 1992), Grinold (1996), Meese and Crownover (1999), Grinold and Meese (2000), and Litterman (2003).</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rsidTr="006031BD">
        <w:tc>
          <w:tcPr>
            <w:tcW w:w="377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Beta Formulation and Components</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returns vectors from the first Table. The market capitalization weights are presented in the last column.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rsidTr="006031BD">
        <w:tc>
          <w:tcPr>
            <w:tcW w:w="373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rsidR="00CE3A32" w:rsidRDefault="00CE3A32" w:rsidP="00CE3A32">
      <w:pPr>
        <w:spacing w:line="360" w:lineRule="auto"/>
        <w:rPr>
          <w:rFonts w:ascii="Times New Roman" w:hAnsi="Times New Roman" w:cs="Times New Roman"/>
          <w:sz w:val="24"/>
          <w:szCs w:val="24"/>
          <w:u w:val="single"/>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rsidR="00CE3A32" w:rsidRDefault="00CE3A32" w:rsidP="00CE3A32">
      <w:pPr>
        <w:spacing w:line="360" w:lineRule="auto"/>
        <w:rPr>
          <w:rFonts w:ascii="Times New Roman" w:hAnsi="Times New Roman" w:cs="Times New Roman"/>
          <w:sz w:val="24"/>
          <w:szCs w:val="24"/>
        </w:rPr>
      </w:pPr>
    </w:p>
    <w:p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2A602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w:t>
      </w:r>
      <w:r>
        <w:rPr>
          <w:rFonts w:ascii="Times New Roman" w:hAnsi="Times New Roman" w:cs="Times New Roman"/>
          <w:sz w:val="24"/>
          <w:szCs w:val="24"/>
        </w:rPr>
        <w:lastRenderedPageBreak/>
        <w:t>absolute view. From the final column of the First Table the Implied Equilibrium Returns for International Developed Equity is 4.80%, 45 bp lower than this view of 5.25%.</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 if the view is greater than the two implied equilibrium returns, the model tilts the portfolio toward the underperforming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 the relative weighting of each nominally underperforming asset is proportional to that asset’s market capitalization divided by the market capitalizations of the other underperforming assets. The net long position less the net short positions equal 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 if the view return is greater than the weighted average Implied Equilibrium differential return the model will tend to overweight the “outperforming”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rsidR="00CE3A32" w:rsidRDefault="00CE3A32" w:rsidP="00CE3A32">
      <w:pPr>
        <w:spacing w:line="360" w:lineRule="auto"/>
        <w:rPr>
          <w:rFonts w:ascii="Times New Roman" w:hAnsi="Times New Roman" w:cs="Times New Roman"/>
          <w:sz w:val="24"/>
          <w:szCs w:val="24"/>
        </w:rPr>
      </w:pPr>
    </w:p>
    <w:p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lastRenderedPageBreak/>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w:lastRenderedPageBreak/>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rsidR="00CE3A32" w:rsidRPr="00B3388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rsidTr="006031BD">
        <w:tc>
          <w:tcPr>
            <w:tcW w:w="3116"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rsidR="00CE3A32" w:rsidRDefault="00AA2B4E"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rsidR="00CE3A32" w:rsidRDefault="00AA2B4E"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rsidR="00CE3A32" w:rsidRDefault="00AA2B4E"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rsidR="00CE3A32" w:rsidRPr="00B33882" w:rsidRDefault="00CE3A32" w:rsidP="00CE3A32">
      <w:pPr>
        <w:spacing w:line="360" w:lineRule="auto"/>
        <w:rPr>
          <w:rFonts w:ascii="Times New Roman" w:hAnsi="Times New Roman" w:cs="Times New Roman"/>
          <w:sz w:val="24"/>
          <w:szCs w:val="24"/>
        </w:rPr>
      </w:pP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 the scalar and the uncertainty in the views are the most abstract and difficult to specify parameters of the model.</w:t>
      </w: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 guidance in the literature for setting the scalar’s value is scarce.</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w:t>
      </w:r>
      <w:r>
        <w:rPr>
          <w:rFonts w:ascii="Times New Roman" w:hAnsi="Times New Roman" w:cs="Times New Roman"/>
          <w:sz w:val="24"/>
          <w:szCs w:val="24"/>
        </w:rPr>
        <w:lastRenderedPageBreak/>
        <w:t xml:space="preserve">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rsidR="00CE3A32" w:rsidRPr="00CB28DA"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rsidTr="006031BD">
        <w:tc>
          <w:tcPr>
            <w:tcW w:w="2250"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rsidTr="006031BD">
        <w:tc>
          <w:tcPr>
            <w:tcW w:w="503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Portfolio Beta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rsidR="00CE3A32" w:rsidRPr="003A3219" w:rsidRDefault="00CE3A32" w:rsidP="00CE3A32">
      <w:pPr>
        <w:pStyle w:val="ListParagraph"/>
        <w:spacing w:line="360" w:lineRule="auto"/>
        <w:ind w:left="360"/>
        <w:rPr>
          <w:rFonts w:ascii="Times New Roman" w:hAnsi="Times New Roman" w:cs="Times New Roman"/>
          <w:sz w:val="24"/>
          <w:szCs w:val="24"/>
        </w:rPr>
      </w:pPr>
    </w:p>
    <w:p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 both the Sharpe Ratio and the Information Ratio have increased slightly. The ex-ante information ratio is well below the recommended maximum of 2.0.</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 investors confined to unity may want to remove absolute views, such as View 1.</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 asset sample presented by Idzorek (2005), use a simple covariance matrix of historical returns. However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a conditional estimate of the covariance matrix of returns. They assert that the conditional covariance matrix stabilizes the results of mean-variance optimization.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an universal answer.</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w:t>
      </w:r>
      <w:r>
        <w:rPr>
          <w:rFonts w:ascii="Times New Roman" w:hAnsi="Times New Roman" w:cs="Times New Roman"/>
          <w:sz w:val="24"/>
          <w:szCs w:val="24"/>
        </w:rPr>
        <w:lastRenderedPageBreak/>
        <w:t xml:space="preserve">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However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w:t>
            </w:r>
            <w:r>
              <w:rPr>
                <w:rFonts w:ascii="Times New Roman" w:hAnsi="Times New Roman" w:cs="Times New Roman"/>
                <w:b/>
                <w:sz w:val="28"/>
                <w:szCs w:val="28"/>
              </w:rPr>
              <w:lastRenderedPageBreak/>
              <w:t xml:space="preserve">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w:t>
      </w:r>
      <w:r>
        <w:rPr>
          <w:rFonts w:ascii="Times New Roman" w:hAnsi="Times New Roman" w:cs="Times New Roman"/>
          <w:sz w:val="24"/>
          <w:szCs w:val="24"/>
        </w:rPr>
        <w:lastRenderedPageBreak/>
        <w:t xml:space="preserve">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 in the absence of the other views the approximate recommended weight vector resulting from the view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rsidR="00CE3A32" w:rsidRPr="003A3F6D"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Pr="007272C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Pr="004613A4" w:rsidRDefault="00CE3A32" w:rsidP="00CE3A32">
      <w:pPr>
        <w:pStyle w:val="ListParagraph"/>
        <w:spacing w:line="360" w:lineRule="auto"/>
        <w:ind w:left="360"/>
        <w:rPr>
          <w:rFonts w:ascii="Times New Roman" w:hAnsi="Times New Roman" w:cs="Times New Roman"/>
          <w:sz w:val="24"/>
          <w:szCs w:val="24"/>
        </w:rPr>
      </w:pPr>
    </w:p>
    <w:p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active portfolio weights;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AA2B4E"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023230"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r>
        <w:rPr>
          <w:rFonts w:ascii="Times New Roman" w:hAnsi="Times New Roman" w:cs="Times New Roman"/>
          <w:i/>
          <w:sz w:val="24"/>
          <w:szCs w:val="24"/>
        </w:rPr>
        <w:t>The Review of Financial Studies</w:t>
      </w:r>
      <w:r>
        <w:rPr>
          <w:rFonts w:ascii="Times New Roman" w:hAnsi="Times New Roman" w:cs="Times New Roman"/>
          <w:sz w:val="24"/>
          <w:szCs w:val="24"/>
        </w:rPr>
        <w:t xml:space="preserve"> 315-342.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4"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 but the definition used here is more general.</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AA2B4E"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AA2B4E"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AA2B4E"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AA2B4E"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AA2B4E"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8A5780" w:rsidRDefault="00AA2B4E"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rsidR="00E3271C" w:rsidRPr="00123BFD"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 the optimal portfolio would be the sum of a mean variance portfolio (MVP) and a liability hedging portfolio (LHP).</w:t>
      </w:r>
    </w:p>
    <w:p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rsidR="00E3271C" w:rsidRDefault="00E3271C" w:rsidP="00E3271C">
      <w:pPr>
        <w:spacing w:line="360" w:lineRule="auto"/>
        <w:rPr>
          <w:rFonts w:ascii="Times New Roman" w:hAnsi="Times New Roman" w:cs="Times New Roman"/>
          <w:sz w:val="24"/>
          <w:szCs w:val="24"/>
        </w:rPr>
      </w:pPr>
    </w:p>
    <w:p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 investor responses to the Questionnaire have to be translated into actual values for the following parameters. These parameters, however, can be treated as exogenous when developing the Optimizer.</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 one must first make a simple projection of the investor’s future cash inflows and outflows, and then take the PV’s of these cash flows.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rsidR="00E3271C" w:rsidRPr="00FC7A99" w:rsidRDefault="00E3271C" w:rsidP="00E3271C">
      <w:pPr>
        <w:pStyle w:val="ListParagraph"/>
        <w:spacing w:line="360" w:lineRule="auto"/>
        <w:ind w:left="360"/>
        <w:rPr>
          <w:rFonts w:ascii="Times New Roman" w:hAnsi="Times New Roman" w:cs="Times New Roman"/>
          <w:sz w:val="24"/>
          <w:szCs w:val="24"/>
        </w:rPr>
      </w:pPr>
    </w:p>
    <w:p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AA2B4E"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AA2B4E"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AA2B4E"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xml:space="preserve">: For the sake of simplicity a flat term structure is assumed, treating all zero 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AA2B4E"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AA2B4E"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5"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6031BD" w:rsidRDefault="006031BD">
      <w:pPr>
        <w:rPr>
          <w:rFonts w:ascii="Times New Roman" w:hAnsi="Times New Roman" w:cs="Times New Roman"/>
          <w:sz w:val="24"/>
          <w:szCs w:val="24"/>
        </w:rPr>
      </w:pPr>
      <w:r>
        <w:rPr>
          <w:rFonts w:ascii="Times New Roman" w:hAnsi="Times New Roman" w:cs="Times New Roman"/>
          <w:sz w:val="24"/>
          <w:szCs w:val="24"/>
        </w:rPr>
        <w:br w:type="page"/>
      </w:r>
    </w:p>
    <w:p w:rsidR="00B7306B" w:rsidRDefault="00B7306B" w:rsidP="00B7306B">
      <w:pPr>
        <w:spacing w:line="360" w:lineRule="auto"/>
        <w:rPr>
          <w:rFonts w:ascii="Times New Roman" w:hAnsi="Times New Roman" w:cs="Times New Roman"/>
          <w:sz w:val="24"/>
          <w:szCs w:val="24"/>
        </w:rPr>
      </w:pPr>
    </w:p>
    <w:p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rsidR="006031BD" w:rsidRDefault="006031BD" w:rsidP="00B7306B">
      <w:pPr>
        <w:spacing w:line="360" w:lineRule="auto"/>
        <w:rPr>
          <w:rFonts w:ascii="Times New Roman" w:hAnsi="Times New Roman" w:cs="Times New Roman"/>
          <w:sz w:val="24"/>
          <w:szCs w:val="24"/>
        </w:rPr>
      </w:pPr>
    </w:p>
    <w:p w:rsidR="006031BD" w:rsidRDefault="006031BD" w:rsidP="00B7306B">
      <w:pPr>
        <w:spacing w:line="360" w:lineRule="auto"/>
        <w:rPr>
          <w:rFonts w:ascii="Times New Roman" w:hAnsi="Times New Roman" w:cs="Times New Roman"/>
          <w:sz w:val="24"/>
          <w:szCs w:val="24"/>
        </w:rPr>
      </w:pPr>
    </w:p>
    <w:p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rsidR="006031BD" w:rsidRDefault="006031BD" w:rsidP="00B7306B">
      <w:pPr>
        <w:spacing w:line="360" w:lineRule="auto"/>
        <w:rPr>
          <w:rFonts w:ascii="Times New Roman" w:hAnsi="Times New Roman" w:cs="Times New Roman"/>
          <w:sz w:val="24"/>
          <w:szCs w:val="24"/>
        </w:rPr>
      </w:pPr>
    </w:p>
    <w:p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rsidR="00162501" w:rsidRDefault="00162501" w:rsidP="00162501">
      <w:pPr>
        <w:pStyle w:val="ListParagraph"/>
        <w:spacing w:line="360" w:lineRule="auto"/>
        <w:ind w:left="360"/>
        <w:rPr>
          <w:rFonts w:ascii="Times New Roman" w:hAnsi="Times New Roman" w:cs="Times New Roman"/>
          <w:sz w:val="24"/>
          <w:szCs w:val="24"/>
          <w:u w:val="single"/>
        </w:rPr>
      </w:pPr>
    </w:p>
    <w:p w:rsidR="00162501" w:rsidRDefault="00AA2B4E"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AA2B4E"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AA2B4E"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AA2B4E"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if  then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AA2B4E"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AA2B4E"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AA2B4E"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AA2B4E"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953B00" w:rsidRPr="00A8681C" w:rsidRDefault="00AA2B4E"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rsidR="00A8681C" w:rsidRPr="00C06CFF" w:rsidRDefault="00A8681C" w:rsidP="00A8681C">
      <w:pPr>
        <w:pStyle w:val="ListParagraph"/>
        <w:spacing w:line="360" w:lineRule="auto"/>
        <w:ind w:left="360"/>
        <w:rPr>
          <w:rFonts w:ascii="Times New Roman" w:hAnsi="Times New Roman" w:cs="Times New Roman"/>
          <w:sz w:val="24"/>
          <w:szCs w:val="24"/>
        </w:rPr>
      </w:pPr>
    </w:p>
    <w:p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AA2B4E"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AA2B4E"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C06CFF" w:rsidRPr="00A8681C" w:rsidRDefault="00AA2B4E"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Pr="00162501" w:rsidRDefault="00A8681C" w:rsidP="00A8681C">
      <w:pPr>
        <w:pStyle w:val="ListParagraph"/>
        <w:spacing w:line="360" w:lineRule="auto"/>
        <w:ind w:left="360"/>
        <w:rPr>
          <w:rFonts w:ascii="Times New Roman" w:hAnsi="Times New Roman" w:cs="Times New Roman"/>
          <w:sz w:val="24"/>
          <w:szCs w:val="24"/>
        </w:rPr>
      </w:pPr>
    </w:p>
    <w:p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A8681C" w:rsidRDefault="00A8681C" w:rsidP="00A8681C">
      <w:pPr>
        <w:pStyle w:val="ListParagraph"/>
        <w:spacing w:line="360" w:lineRule="auto"/>
        <w:ind w:left="360"/>
        <w:rPr>
          <w:rFonts w:ascii="Times New Roman" w:hAnsi="Times New Roman" w:cs="Times New Roman"/>
          <w:sz w:val="24"/>
          <w:szCs w:val="24"/>
        </w:rPr>
      </w:pPr>
    </w:p>
    <w:p w:rsidR="00162501" w:rsidRPr="00663904" w:rsidRDefault="00AA2B4E"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63904" w:rsidRDefault="00663904" w:rsidP="00663904">
      <w:pPr>
        <w:spacing w:line="360" w:lineRule="auto"/>
        <w:rPr>
          <w:rFonts w:ascii="Times New Roman" w:hAnsi="Times New Roman" w:cs="Times New Roman"/>
          <w:sz w:val="24"/>
          <w:szCs w:val="24"/>
        </w:rPr>
      </w:pPr>
    </w:p>
    <w:p w:rsidR="00036E61" w:rsidRDefault="00036E61" w:rsidP="00663904">
      <w:pPr>
        <w:spacing w:line="360" w:lineRule="auto"/>
        <w:rPr>
          <w:rFonts w:ascii="Times New Roman" w:hAnsi="Times New Roman" w:cs="Times New Roman"/>
          <w:sz w:val="24"/>
          <w:szCs w:val="24"/>
        </w:rPr>
      </w:pPr>
    </w:p>
    <w:p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rsidR="00036E61" w:rsidRDefault="00036E61" w:rsidP="00663904">
      <w:pPr>
        <w:spacing w:line="360" w:lineRule="auto"/>
        <w:rPr>
          <w:rFonts w:ascii="Times New Roman" w:hAnsi="Times New Roman" w:cs="Times New Roman"/>
          <w:sz w:val="24"/>
          <w:szCs w:val="24"/>
        </w:rPr>
      </w:pPr>
    </w:p>
    <w:p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AA2B4E"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AA2B4E"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rsidR="00B44BB8" w:rsidRDefault="00B44BB8" w:rsidP="00B44BB8">
      <w:pPr>
        <w:pStyle w:val="ListParagraph"/>
        <w:spacing w:line="360" w:lineRule="auto"/>
        <w:ind w:left="360"/>
        <w:rPr>
          <w:rFonts w:ascii="Times New Roman" w:hAnsi="Times New Roman" w:cs="Times New Roman"/>
          <w:sz w:val="24"/>
          <w:szCs w:val="24"/>
          <w:u w:val="single"/>
        </w:rPr>
      </w:pPr>
    </w:p>
    <w:p w:rsidR="00F63FB5" w:rsidRPr="00B44BB8" w:rsidRDefault="00AA2B4E"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AA2B4E"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B44BB8" w:rsidRDefault="00B44BB8" w:rsidP="00B44BB8">
      <w:pPr>
        <w:pStyle w:val="ListParagraph"/>
        <w:spacing w:line="360" w:lineRule="auto"/>
        <w:ind w:left="360"/>
        <w:rPr>
          <w:rFonts w:ascii="Times New Roman" w:hAnsi="Times New Roman" w:cs="Times New Roman"/>
          <w:sz w:val="24"/>
          <w:szCs w:val="24"/>
        </w:rPr>
      </w:pPr>
    </w:p>
    <w:p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rsidR="00036E61" w:rsidRDefault="00036E61" w:rsidP="00663904">
      <w:pPr>
        <w:spacing w:line="360" w:lineRule="auto"/>
        <w:rPr>
          <w:rFonts w:ascii="Times New Roman" w:hAnsi="Times New Roman" w:cs="Times New Roman"/>
          <w:sz w:val="24"/>
          <w:szCs w:val="24"/>
        </w:rPr>
      </w:pPr>
    </w:p>
    <w:p w:rsidR="009C5E7A" w:rsidRDefault="009C5E7A" w:rsidP="00663904">
      <w:pPr>
        <w:spacing w:line="360" w:lineRule="auto"/>
        <w:rPr>
          <w:rFonts w:ascii="Times New Roman" w:hAnsi="Times New Roman" w:cs="Times New Roman"/>
          <w:sz w:val="24"/>
          <w:szCs w:val="24"/>
        </w:rPr>
      </w:pPr>
    </w:p>
    <w:p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rsidR="009C5E7A" w:rsidRDefault="009C5E7A" w:rsidP="00663904">
      <w:pPr>
        <w:spacing w:line="360" w:lineRule="auto"/>
        <w:rPr>
          <w:rFonts w:ascii="Times New Roman" w:hAnsi="Times New Roman" w:cs="Times New Roman"/>
          <w:sz w:val="24"/>
          <w:szCs w:val="24"/>
        </w:rPr>
      </w:pPr>
    </w:p>
    <w:p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rsidR="003B2C2A" w:rsidRDefault="003B2C2A" w:rsidP="003B2C2A">
      <w:pPr>
        <w:pStyle w:val="ListParagraph"/>
        <w:spacing w:line="360" w:lineRule="auto"/>
        <w:ind w:left="360"/>
        <w:rPr>
          <w:rFonts w:ascii="Times New Roman" w:hAnsi="Times New Roman" w:cs="Times New Roman"/>
          <w:sz w:val="24"/>
          <w:szCs w:val="24"/>
        </w:rPr>
      </w:pPr>
    </w:p>
    <w:p w:rsidR="009C5E7A" w:rsidRP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Pr="006F3E19" w:rsidRDefault="003B2C2A" w:rsidP="003B2C2A">
      <w:pPr>
        <w:pStyle w:val="ListParagraph"/>
        <w:spacing w:line="360" w:lineRule="auto"/>
        <w:ind w:left="360"/>
        <w:rPr>
          <w:rFonts w:ascii="Times New Roman" w:hAnsi="Times New Roman" w:cs="Times New Roman"/>
          <w:sz w:val="24"/>
          <w:szCs w:val="24"/>
        </w:rPr>
      </w:pPr>
    </w:p>
    <w:p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rsidR="003B2C2A" w:rsidRDefault="003B2C2A" w:rsidP="003B2C2A">
      <w:pPr>
        <w:pStyle w:val="ListParagraph"/>
        <w:spacing w:line="360" w:lineRule="auto"/>
        <w:ind w:left="360"/>
        <w:rPr>
          <w:rFonts w:ascii="Times New Roman" w:hAnsi="Times New Roman" w:cs="Times New Roman"/>
          <w:sz w:val="24"/>
          <w:szCs w:val="24"/>
        </w:rPr>
      </w:pPr>
    </w:p>
    <w:p w:rsidR="00C86750" w:rsidRP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rsidR="003B2C2A" w:rsidRPr="00E67141" w:rsidRDefault="003B2C2A" w:rsidP="003B2C2A">
      <w:pPr>
        <w:pStyle w:val="ListParagraph"/>
        <w:spacing w:line="360" w:lineRule="auto"/>
        <w:ind w:left="360"/>
        <w:rPr>
          <w:rFonts w:ascii="Times New Roman" w:hAnsi="Times New Roman" w:cs="Times New Roman"/>
          <w:sz w:val="24"/>
          <w:szCs w:val="24"/>
        </w:rPr>
      </w:pPr>
    </w:p>
    <w:p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E67141" w:rsidRPr="003B2C2A" w:rsidRDefault="00AA2B4E"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rsidR="003B2C2A" w:rsidRPr="00956764" w:rsidRDefault="003B2C2A" w:rsidP="003B2C2A">
      <w:pPr>
        <w:pStyle w:val="ListParagraph"/>
        <w:spacing w:line="360" w:lineRule="auto"/>
        <w:ind w:left="360"/>
        <w:rPr>
          <w:rFonts w:ascii="Times New Roman" w:hAnsi="Times New Roman" w:cs="Times New Roman"/>
          <w:sz w:val="24"/>
          <w:szCs w:val="24"/>
        </w:rPr>
      </w:pPr>
    </w:p>
    <w:p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rsidR="009C5E7A" w:rsidRDefault="009C5E7A" w:rsidP="00663904">
      <w:pPr>
        <w:spacing w:line="360" w:lineRule="auto"/>
        <w:rPr>
          <w:rFonts w:ascii="Times New Roman" w:hAnsi="Times New Roman" w:cs="Times New Roman"/>
          <w:sz w:val="24"/>
          <w:szCs w:val="24"/>
        </w:rPr>
      </w:pPr>
    </w:p>
    <w:p w:rsidR="00663904" w:rsidRDefault="00663904" w:rsidP="00663904">
      <w:pPr>
        <w:spacing w:line="360" w:lineRule="auto"/>
        <w:rPr>
          <w:rFonts w:ascii="Times New Roman" w:hAnsi="Times New Roman" w:cs="Times New Roman"/>
          <w:sz w:val="24"/>
          <w:szCs w:val="24"/>
        </w:rPr>
      </w:pPr>
    </w:p>
    <w:p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rsidR="00B064A0" w:rsidRDefault="00B064A0" w:rsidP="00663904">
      <w:pPr>
        <w:spacing w:line="360" w:lineRule="auto"/>
        <w:rPr>
          <w:rFonts w:ascii="Times New Roman" w:hAnsi="Times New Roman" w:cs="Times New Roman"/>
          <w:sz w:val="24"/>
          <w:szCs w:val="24"/>
        </w:rPr>
      </w:pPr>
    </w:p>
    <w:p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rsidR="00063BC7" w:rsidRPr="00BA5A88" w:rsidRDefault="00063BC7" w:rsidP="00063BC7">
      <w:pPr>
        <w:pStyle w:val="ListParagraph"/>
        <w:spacing w:line="360" w:lineRule="auto"/>
        <w:ind w:left="360"/>
        <w:rPr>
          <w:rFonts w:ascii="Times New Roman" w:hAnsi="Times New Roman" w:cs="Times New Roman"/>
          <w:sz w:val="24"/>
          <w:szCs w:val="24"/>
        </w:rPr>
      </w:pPr>
    </w:p>
    <w:p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rsidR="00B064A0" w:rsidRDefault="00B064A0" w:rsidP="00663904">
      <w:pPr>
        <w:spacing w:line="360" w:lineRule="auto"/>
        <w:rPr>
          <w:rFonts w:ascii="Times New Roman" w:hAnsi="Times New Roman" w:cs="Times New Roman"/>
          <w:sz w:val="24"/>
          <w:szCs w:val="24"/>
        </w:rPr>
      </w:pPr>
    </w:p>
    <w:p w:rsidR="00B064A0" w:rsidRDefault="00B064A0" w:rsidP="00663904">
      <w:pPr>
        <w:spacing w:line="360" w:lineRule="auto"/>
        <w:rPr>
          <w:rFonts w:ascii="Times New Roman" w:hAnsi="Times New Roman" w:cs="Times New Roman"/>
          <w:sz w:val="24"/>
          <w:szCs w:val="24"/>
        </w:rPr>
      </w:pPr>
    </w:p>
    <w:p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rsidR="00663904" w:rsidRDefault="00663904" w:rsidP="00663904">
      <w:pPr>
        <w:spacing w:line="360" w:lineRule="auto"/>
        <w:rPr>
          <w:rFonts w:ascii="Times New Roman" w:hAnsi="Times New Roman" w:cs="Times New Roman"/>
          <w:sz w:val="24"/>
          <w:szCs w:val="24"/>
        </w:rPr>
      </w:pPr>
    </w:p>
    <w:p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Asset ID – Benchmark Weight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Wash Days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Options</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Allow Cross Over</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(Volatility in %)</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7668"/>
      </w:tblGrid>
      <w:tr w:rsidR="00B479DC" w:rsidTr="00D557F0">
        <w:tc>
          <w:tcPr>
            <w:tcW w:w="1908" w:type="dxa"/>
            <w:vAlign w:val="center"/>
          </w:tcPr>
          <w:p w:rsidR="00B479DC" w:rsidRPr="00E76597" w:rsidRDefault="00B479DC" w:rsidP="00D557F0">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rsidR="00B479DC" w:rsidRPr="00E76597" w:rsidRDefault="00B479DC" w:rsidP="00D557F0">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Alpha Value</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D557F0">
        <w:tc>
          <w:tcPr>
            <w:tcW w:w="1908" w:type="dxa"/>
            <w:vAlign w:val="center"/>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D557F0">
        <w:tc>
          <w:tcPr>
            <w:tcW w:w="1908" w:type="dxa"/>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D557F0">
        <w:tc>
          <w:tcPr>
            <w:tcW w:w="1908" w:type="dxa"/>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D557F0">
        <w:tc>
          <w:tcPr>
            <w:tcW w:w="1908" w:type="dxa"/>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D557F0">
        <w:tc>
          <w:tcPr>
            <w:tcW w:w="1908" w:type="dxa"/>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D557F0">
        <w:tc>
          <w:tcPr>
            <w:tcW w:w="1908" w:type="dxa"/>
          </w:tcPr>
          <w:p w:rsidR="00B479DC" w:rsidRDefault="00B479DC" w:rsidP="00D557F0">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m:t>
                    </m:r>
                    <m:r>
                      <w:rPr>
                        <w:rFonts w:ascii="Cambria Math" w:hAnsi="Cambria Math" w:cs="Times New Roman"/>
                        <w:sz w:val="24"/>
                        <w:szCs w:val="24"/>
                      </w:rPr>
                      <m:t>CHMARK, i</m:t>
                    </m:r>
                  </m:sub>
                </m:sSub>
              </m:oMath>
            </m:oMathPara>
          </w:p>
        </w:tc>
        <w:tc>
          <w:tcPr>
            <w:tcW w:w="766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rsidTr="00D557F0">
        <w:tc>
          <w:tcPr>
            <w:tcW w:w="1908" w:type="dxa"/>
          </w:tcPr>
          <w:p w:rsidR="00B479DC" w:rsidRDefault="00B479DC" w:rsidP="00D557F0">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m:t>
                      </m:r>
                      <m:r>
                        <w:rPr>
                          <w:rFonts w:ascii="Cambria Math" w:hAnsi="Cambria Math" w:cs="Times New Roman"/>
                          <w:sz w:val="24"/>
                          <w:szCs w:val="24"/>
                        </w:rPr>
                        <m:t>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 Term and Short Term Tax Treatments.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Alpha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46"/>
        <w:gridCol w:w="6830"/>
      </w:tblGrid>
      <w:tr w:rsidR="00B479DC" w:rsidTr="00D557F0">
        <w:tc>
          <w:tcPr>
            <w:tcW w:w="2746"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2746"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830"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Risk Model</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34C1F" w:rsidRDefault="00B479DC"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to a specific level. This is an equality constraint.</w:t>
      </w: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Model Deviation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C401C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Short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580A1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m:t>
                      </m:r>
                      <m:r>
                        <w:rPr>
                          <w:rFonts w:ascii="Cambria Math" w:hAnsi="Cambria Math" w:cs="Times New Roman"/>
                          <w:sz w:val="24"/>
                          <w:szCs w:val="24"/>
                        </w:rPr>
                        <m:t>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1257BD"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Pr="00B15360" w:rsidRDefault="00B479DC"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number of buy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B479DC"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m:t>
                      </m:r>
                      <m:r>
                        <w:rPr>
                          <w:rFonts w:ascii="Cambria Math" w:hAnsi="Cambria Math" w:cs="Times New Roman"/>
                          <w:sz w:val="24"/>
                          <w:szCs w:val="24"/>
                        </w:rPr>
                        <m:t>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m:t>
                      </m:r>
                      <m:r>
                        <w:rPr>
                          <w:rFonts w:ascii="Cambria Math" w:hAnsi="Cambria Math" w:cs="Times New Roman"/>
                          <w:sz w:val="24"/>
                          <w:szCs w:val="24"/>
                        </w:rPr>
                        <m:t>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D557F0">
        <w:tc>
          <w:tcPr>
            <w:tcW w:w="316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D557F0">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vAlign w:val="center"/>
          </w:tcPr>
          <w:p w:rsidR="00B479DC"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D557F0">
        <w:tc>
          <w:tcPr>
            <w:tcW w:w="3168" w:type="dxa"/>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D557F0">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663904" w:rsidRDefault="00663904" w:rsidP="00B7306B">
      <w:pPr>
        <w:spacing w:line="360" w:lineRule="auto"/>
        <w:rPr>
          <w:rFonts w:ascii="Times New Roman" w:hAnsi="Times New Roman" w:cs="Times New Roman"/>
          <w:sz w:val="24"/>
          <w:szCs w:val="24"/>
        </w:rPr>
      </w:pPr>
    </w:p>
    <w:sectPr w:rsidR="0066390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B4E" w:rsidRDefault="00AA2B4E" w:rsidP="00B479DC">
      <w:pPr>
        <w:spacing w:after="0" w:line="240" w:lineRule="auto"/>
      </w:pPr>
      <w:r>
        <w:separator/>
      </w:r>
    </w:p>
  </w:endnote>
  <w:endnote w:type="continuationSeparator" w:id="0">
    <w:p w:rsidR="00AA2B4E" w:rsidRDefault="00AA2B4E"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11410"/>
      <w:docPartObj>
        <w:docPartGallery w:val="Page Numbers (Bottom of Page)"/>
        <w:docPartUnique/>
      </w:docPartObj>
    </w:sdtPr>
    <w:sdtEndPr>
      <w:rPr>
        <w:noProof/>
      </w:rPr>
    </w:sdtEndPr>
    <w:sdtContent>
      <w:p w:rsidR="00B479DC" w:rsidRDefault="00B47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479DC" w:rsidRDefault="00B47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B4E" w:rsidRDefault="00AA2B4E" w:rsidP="00B479DC">
      <w:pPr>
        <w:spacing w:after="0" w:line="240" w:lineRule="auto"/>
      </w:pPr>
      <w:r>
        <w:separator/>
      </w:r>
    </w:p>
  </w:footnote>
  <w:footnote w:type="continuationSeparator" w:id="0">
    <w:p w:rsidR="00AA2B4E" w:rsidRDefault="00AA2B4E" w:rsidP="00B479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6"/>
  </w:num>
  <w:num w:numId="3">
    <w:abstractNumId w:val="51"/>
  </w:num>
  <w:num w:numId="4">
    <w:abstractNumId w:val="54"/>
  </w:num>
  <w:num w:numId="5">
    <w:abstractNumId w:val="9"/>
  </w:num>
  <w:num w:numId="6">
    <w:abstractNumId w:val="11"/>
  </w:num>
  <w:num w:numId="7">
    <w:abstractNumId w:val="29"/>
  </w:num>
  <w:num w:numId="8">
    <w:abstractNumId w:val="44"/>
  </w:num>
  <w:num w:numId="9">
    <w:abstractNumId w:val="19"/>
  </w:num>
  <w:num w:numId="10">
    <w:abstractNumId w:val="32"/>
  </w:num>
  <w:num w:numId="11">
    <w:abstractNumId w:val="20"/>
  </w:num>
  <w:num w:numId="12">
    <w:abstractNumId w:val="34"/>
  </w:num>
  <w:num w:numId="13">
    <w:abstractNumId w:val="22"/>
  </w:num>
  <w:num w:numId="14">
    <w:abstractNumId w:val="43"/>
  </w:num>
  <w:num w:numId="15">
    <w:abstractNumId w:val="28"/>
  </w:num>
  <w:num w:numId="16">
    <w:abstractNumId w:val="48"/>
  </w:num>
  <w:num w:numId="17">
    <w:abstractNumId w:val="0"/>
  </w:num>
  <w:num w:numId="18">
    <w:abstractNumId w:val="33"/>
  </w:num>
  <w:num w:numId="19">
    <w:abstractNumId w:val="7"/>
  </w:num>
  <w:num w:numId="20">
    <w:abstractNumId w:val="46"/>
  </w:num>
  <w:num w:numId="21">
    <w:abstractNumId w:val="8"/>
  </w:num>
  <w:num w:numId="22">
    <w:abstractNumId w:val="15"/>
  </w:num>
  <w:num w:numId="23">
    <w:abstractNumId w:val="41"/>
  </w:num>
  <w:num w:numId="24">
    <w:abstractNumId w:val="21"/>
  </w:num>
  <w:num w:numId="25">
    <w:abstractNumId w:val="42"/>
  </w:num>
  <w:num w:numId="26">
    <w:abstractNumId w:val="3"/>
  </w:num>
  <w:num w:numId="27">
    <w:abstractNumId w:val="17"/>
  </w:num>
  <w:num w:numId="28">
    <w:abstractNumId w:val="39"/>
  </w:num>
  <w:num w:numId="29">
    <w:abstractNumId w:val="24"/>
  </w:num>
  <w:num w:numId="30">
    <w:abstractNumId w:val="10"/>
  </w:num>
  <w:num w:numId="31">
    <w:abstractNumId w:val="31"/>
  </w:num>
  <w:num w:numId="32">
    <w:abstractNumId w:val="5"/>
  </w:num>
  <w:num w:numId="33">
    <w:abstractNumId w:val="52"/>
  </w:num>
  <w:num w:numId="34">
    <w:abstractNumId w:val="16"/>
  </w:num>
  <w:num w:numId="35">
    <w:abstractNumId w:val="12"/>
  </w:num>
  <w:num w:numId="36">
    <w:abstractNumId w:val="4"/>
  </w:num>
  <w:num w:numId="37">
    <w:abstractNumId w:val="50"/>
  </w:num>
  <w:num w:numId="38">
    <w:abstractNumId w:val="45"/>
  </w:num>
  <w:num w:numId="39">
    <w:abstractNumId w:val="26"/>
  </w:num>
  <w:num w:numId="40">
    <w:abstractNumId w:val="36"/>
  </w:num>
  <w:num w:numId="41">
    <w:abstractNumId w:val="2"/>
  </w:num>
  <w:num w:numId="42">
    <w:abstractNumId w:val="14"/>
  </w:num>
  <w:num w:numId="43">
    <w:abstractNumId w:val="49"/>
  </w:num>
  <w:num w:numId="44">
    <w:abstractNumId w:val="38"/>
  </w:num>
  <w:num w:numId="45">
    <w:abstractNumId w:val="47"/>
  </w:num>
  <w:num w:numId="46">
    <w:abstractNumId w:val="1"/>
  </w:num>
  <w:num w:numId="47">
    <w:abstractNumId w:val="25"/>
  </w:num>
  <w:num w:numId="48">
    <w:abstractNumId w:val="27"/>
  </w:num>
  <w:num w:numId="49">
    <w:abstractNumId w:val="37"/>
  </w:num>
  <w:num w:numId="50">
    <w:abstractNumId w:val="53"/>
  </w:num>
  <w:num w:numId="51">
    <w:abstractNumId w:val="13"/>
  </w:num>
  <w:num w:numId="52">
    <w:abstractNumId w:val="40"/>
  </w:num>
  <w:num w:numId="53">
    <w:abstractNumId w:val="35"/>
  </w:num>
  <w:num w:numId="54">
    <w:abstractNumId w:val="23"/>
  </w:num>
  <w:num w:numId="55">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CF"/>
    <w:rsid w:val="00000032"/>
    <w:rsid w:val="0000299C"/>
    <w:rsid w:val="00007F74"/>
    <w:rsid w:val="000113F6"/>
    <w:rsid w:val="000222C4"/>
    <w:rsid w:val="00023230"/>
    <w:rsid w:val="00032DAB"/>
    <w:rsid w:val="00036E61"/>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3E7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A39A9"/>
    <w:rsid w:val="001A6606"/>
    <w:rsid w:val="001B6DF4"/>
    <w:rsid w:val="001B7D23"/>
    <w:rsid w:val="001C38AB"/>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357C"/>
    <w:rsid w:val="0024478E"/>
    <w:rsid w:val="00253114"/>
    <w:rsid w:val="002566E6"/>
    <w:rsid w:val="0026377F"/>
    <w:rsid w:val="00266953"/>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52F3"/>
    <w:rsid w:val="002F6EDB"/>
    <w:rsid w:val="003117DE"/>
    <w:rsid w:val="00311EC2"/>
    <w:rsid w:val="00316BB9"/>
    <w:rsid w:val="00320478"/>
    <w:rsid w:val="00324CC8"/>
    <w:rsid w:val="003263F3"/>
    <w:rsid w:val="00326AB7"/>
    <w:rsid w:val="003272DA"/>
    <w:rsid w:val="00344361"/>
    <w:rsid w:val="00344FB5"/>
    <w:rsid w:val="00354395"/>
    <w:rsid w:val="00354F0C"/>
    <w:rsid w:val="0036303F"/>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582D"/>
    <w:rsid w:val="00424258"/>
    <w:rsid w:val="004269BC"/>
    <w:rsid w:val="00431F7B"/>
    <w:rsid w:val="0044187D"/>
    <w:rsid w:val="00444069"/>
    <w:rsid w:val="004444C7"/>
    <w:rsid w:val="00446C66"/>
    <w:rsid w:val="004613A4"/>
    <w:rsid w:val="00463320"/>
    <w:rsid w:val="00463F71"/>
    <w:rsid w:val="00475A5A"/>
    <w:rsid w:val="00477757"/>
    <w:rsid w:val="00484B96"/>
    <w:rsid w:val="004A2619"/>
    <w:rsid w:val="004A2831"/>
    <w:rsid w:val="004A5650"/>
    <w:rsid w:val="004B2E91"/>
    <w:rsid w:val="004B2F38"/>
    <w:rsid w:val="004C03BB"/>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93E8F"/>
    <w:rsid w:val="00597E1C"/>
    <w:rsid w:val="005A3BE6"/>
    <w:rsid w:val="005B3BFF"/>
    <w:rsid w:val="005C0071"/>
    <w:rsid w:val="005C35CF"/>
    <w:rsid w:val="005C4B13"/>
    <w:rsid w:val="005C7E45"/>
    <w:rsid w:val="005E3933"/>
    <w:rsid w:val="005E3AFB"/>
    <w:rsid w:val="005E505C"/>
    <w:rsid w:val="005E5578"/>
    <w:rsid w:val="006031BD"/>
    <w:rsid w:val="006144DE"/>
    <w:rsid w:val="00616F43"/>
    <w:rsid w:val="006233BA"/>
    <w:rsid w:val="0062507B"/>
    <w:rsid w:val="00627BF1"/>
    <w:rsid w:val="006359A0"/>
    <w:rsid w:val="00635C43"/>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D03BB"/>
    <w:rsid w:val="006D2D0A"/>
    <w:rsid w:val="006D6533"/>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532A"/>
    <w:rsid w:val="0072718C"/>
    <w:rsid w:val="007272C6"/>
    <w:rsid w:val="007351CF"/>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4052"/>
    <w:rsid w:val="008E5933"/>
    <w:rsid w:val="008E6A95"/>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68E0"/>
    <w:rsid w:val="009F343B"/>
    <w:rsid w:val="009F4291"/>
    <w:rsid w:val="00A01099"/>
    <w:rsid w:val="00A15138"/>
    <w:rsid w:val="00A202B0"/>
    <w:rsid w:val="00A30F47"/>
    <w:rsid w:val="00A371DA"/>
    <w:rsid w:val="00A4017B"/>
    <w:rsid w:val="00A42B09"/>
    <w:rsid w:val="00A45981"/>
    <w:rsid w:val="00A52B42"/>
    <w:rsid w:val="00A5311A"/>
    <w:rsid w:val="00A570FE"/>
    <w:rsid w:val="00A6434A"/>
    <w:rsid w:val="00A66024"/>
    <w:rsid w:val="00A677D1"/>
    <w:rsid w:val="00A746B8"/>
    <w:rsid w:val="00A82FCB"/>
    <w:rsid w:val="00A8681C"/>
    <w:rsid w:val="00A90664"/>
    <w:rsid w:val="00A9200D"/>
    <w:rsid w:val="00AA2B4E"/>
    <w:rsid w:val="00AB2CAB"/>
    <w:rsid w:val="00AB52B6"/>
    <w:rsid w:val="00AB5452"/>
    <w:rsid w:val="00AB6E97"/>
    <w:rsid w:val="00AC47BD"/>
    <w:rsid w:val="00AD25B8"/>
    <w:rsid w:val="00AD4274"/>
    <w:rsid w:val="00AD54B7"/>
    <w:rsid w:val="00AE404B"/>
    <w:rsid w:val="00AE4AC5"/>
    <w:rsid w:val="00AE663D"/>
    <w:rsid w:val="00AF11E6"/>
    <w:rsid w:val="00AF491F"/>
    <w:rsid w:val="00AF69F0"/>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364E"/>
    <w:rsid w:val="00C83FAE"/>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271C"/>
    <w:rsid w:val="00E3345C"/>
    <w:rsid w:val="00E346CE"/>
    <w:rsid w:val="00E35669"/>
    <w:rsid w:val="00E42C0A"/>
    <w:rsid w:val="00E459E8"/>
    <w:rsid w:val="00E56856"/>
    <w:rsid w:val="00E61B7B"/>
    <w:rsid w:val="00E67141"/>
    <w:rsid w:val="00E71E1C"/>
    <w:rsid w:val="00E7283C"/>
    <w:rsid w:val="00E73C57"/>
    <w:rsid w:val="00E751E3"/>
    <w:rsid w:val="00E80511"/>
    <w:rsid w:val="00E808D2"/>
    <w:rsid w:val="00E81522"/>
    <w:rsid w:val="00E85217"/>
    <w:rsid w:val="00E9792F"/>
    <w:rsid w:val="00EA14B4"/>
    <w:rsid w:val="00EA6318"/>
    <w:rsid w:val="00EB040C"/>
    <w:rsid w:val="00EB1B8C"/>
    <w:rsid w:val="00EB4894"/>
    <w:rsid w:val="00EB775D"/>
    <w:rsid w:val="00EC2005"/>
    <w:rsid w:val="00ED0C77"/>
    <w:rsid w:val="00ED3288"/>
    <w:rsid w:val="00ED5222"/>
    <w:rsid w:val="00EE629E"/>
    <w:rsid w:val="00EE709B"/>
    <w:rsid w:val="00EF1DB7"/>
    <w:rsid w:val="00F01B11"/>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acklitterman.org/methods.html" TargetMode="External"/><Relationship Id="rId18" Type="http://schemas.openxmlformats.org/officeDocument/2006/relationships/hyperlink" Target="http://www.globalriskguard.com/resources/assetman/BL_HfB_Oct08.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apers.ssrn.com/sol3/papers.cfm?abstract_id=2641893" TargetMode="External"/><Relationship Id="rId7" Type="http://schemas.openxmlformats.org/officeDocument/2006/relationships/footnotes" Target="footnotes.xml"/><Relationship Id="rId12" Type="http://schemas.openxmlformats.org/officeDocument/2006/relationships/hyperlink" Target="file:///C:\Lakshmi\DRIP_General\SKU\Riocee\Web4.cs.usl.ac.uk" TargetMode="External"/><Relationship Id="rId17" Type="http://schemas.openxmlformats.org/officeDocument/2006/relationships/hyperlink" Target="https://corporate.morningstar.com/ib/documents/MethodologyDocuments/IBBAssociates/BlackLitterman.pdf" TargetMode="External"/><Relationship Id="rId25" Type="http://schemas.openxmlformats.org/officeDocument/2006/relationships/hyperlink" Target="http://papers.ssrn.com/sol3/papers.cfm?abstract_id=1314585" TargetMode="External"/><Relationship Id="rId2" Type="http://schemas.openxmlformats.org/officeDocument/2006/relationships/numbering" Target="numbering.xml"/><Relationship Id="rId16" Type="http://schemas.openxmlformats.org/officeDocument/2006/relationships/hyperlink" Target="http://www.globalriskguard.com/resources/assetman/bayes_0008.pdf" TargetMode="External"/><Relationship Id="rId20"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tistik.econ.kit.edu/download/doc_secure1/RM-Interview-Rachev-Mittnik-EnglishTranslation.pdf" TargetMode="External"/><Relationship Id="rId24" Type="http://schemas.openxmlformats.org/officeDocument/2006/relationships/hyperlink" Target="https://corporate.morningstar.com/ib/documents/MethodologyDocuments/IBBAssociates/BlackLitterman.pdf" TargetMode="External"/><Relationship Id="rId5" Type="http://schemas.openxmlformats.org/officeDocument/2006/relationships/settings" Target="settings.xml"/><Relationship Id="rId15" Type="http://schemas.openxmlformats.org/officeDocument/2006/relationships/hyperlink" Target="http://papers.ssrn.com/sol3/papers.cfm?abstract_id=1347663" TargetMode="External"/><Relationship Id="rId23" Type="http://schemas.openxmlformats.org/officeDocument/2006/relationships/hyperlink" Target="http://www.globalriskguard.com/resources/assetman/bayes_0008.pdf" TargetMode="External"/><Relationship Id="rId28" Type="http://schemas.openxmlformats.org/officeDocument/2006/relationships/theme" Target="theme/theme1.xml"/><Relationship Id="rId10" Type="http://schemas.openxmlformats.org/officeDocument/2006/relationships/hyperlink" Target="https://en.wikipedia.org/wiki/Modern_portfolio_theory" TargetMode="External"/><Relationship Id="rId19" Type="http://schemas.openxmlformats.org/officeDocument/2006/relationships/hyperlink" Target="http://papers.ssrn.com/sol3/papers.cfm?abstract_id=87257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apers.ssrn.com/sol3/papers.cfm?abstract_id=1009635" TargetMode="External"/><Relationship Id="rId22" Type="http://schemas.openxmlformats.org/officeDocument/2006/relationships/hyperlink" Target="http://papers.ssrn.com/sol3/papers.cfm?abstract_id=131458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9EC1E-186B-431F-8EBC-5351391D0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221</Pages>
  <Words>37977</Words>
  <Characters>216475</Characters>
  <Application>Microsoft Office Word</Application>
  <DocSecurity>0</DocSecurity>
  <Lines>1803</Lines>
  <Paragraphs>507</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253945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Yapptop</cp:lastModifiedBy>
  <cp:revision>2</cp:revision>
  <cp:lastPrinted>2017-02-18T20:53:00Z</cp:lastPrinted>
  <dcterms:created xsi:type="dcterms:W3CDTF">2017-08-28T20:18:00Z</dcterms:created>
  <dcterms:modified xsi:type="dcterms:W3CDTF">2017-08-28T20:18:00Z</dcterms:modified>
</cp:coreProperties>
</file>