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4D7F7DEF" w:rsidR="00816933" w:rsidRPr="0029152C" w:rsidRDefault="00AD30D1" w:rsidP="00816933">
      <w:pPr>
        <w:pStyle w:val="Heading1"/>
        <w:jc w:val="center"/>
        <w:rPr>
          <w:sz w:val="36"/>
          <w:szCs w:val="36"/>
          <w:u w:val="none"/>
        </w:rPr>
      </w:pPr>
      <w:r>
        <w:rPr>
          <w:sz w:val="36"/>
          <w:szCs w:val="36"/>
          <w:u w:val="none"/>
        </w:rPr>
        <w:t>Capital</w:t>
      </w:r>
      <w:r w:rsidR="00033436">
        <w:rPr>
          <w:sz w:val="36"/>
          <w:szCs w:val="36"/>
          <w:u w:val="none"/>
        </w:rPr>
        <w:t xml:space="preserve"> </w:t>
      </w:r>
      <w:r>
        <w:rPr>
          <w:sz w:val="36"/>
          <w:szCs w:val="36"/>
          <w:u w:val="none"/>
        </w:rPr>
        <w:t>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7A7AC78D" w:rsidR="00816933" w:rsidRDefault="00A65E15" w:rsidP="00816933">
      <w:pPr>
        <w:spacing w:line="360" w:lineRule="auto"/>
        <w:ind w:left="360"/>
        <w:jc w:val="center"/>
      </w:pPr>
      <w:r>
        <w:rPr>
          <w:b/>
          <w:bCs/>
        </w:rPr>
        <w:t>v4.</w:t>
      </w:r>
      <w:r w:rsidR="00D8645B">
        <w:rPr>
          <w:b/>
          <w:bCs/>
        </w:rPr>
        <w:t>63</w:t>
      </w:r>
      <w:r w:rsidR="00451A26">
        <w:rPr>
          <w:b/>
          <w:bCs/>
        </w:rPr>
        <w:t xml:space="preserve"> </w:t>
      </w:r>
      <w:r w:rsidR="00D8645B">
        <w:t>29</w:t>
      </w:r>
      <w:r w:rsidR="00816933">
        <w:t xml:space="preserve"> </w:t>
      </w:r>
      <w:r w:rsidR="00D8645B">
        <w:t>Dec</w:t>
      </w:r>
      <w:r w:rsidR="00033436">
        <w:t>ember</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6CE1C443" w14:textId="77777777" w:rsidR="00A65E15" w:rsidRDefault="00A65E15" w:rsidP="00D97FEB">
      <w:pPr>
        <w:spacing w:after="200" w:line="360" w:lineRule="auto"/>
        <w:rPr>
          <w:rStyle w:val="Hyperlink"/>
          <w:color w:val="auto"/>
          <w:u w:val="none"/>
        </w:rPr>
      </w:pPr>
    </w:p>
    <w:p w14:paraId="369A8245" w14:textId="77777777" w:rsidR="00A65E15" w:rsidRPr="00D97FEB" w:rsidRDefault="00A65E15" w:rsidP="00D97FEB">
      <w:pPr>
        <w:spacing w:after="200" w:line="360" w:lineRule="auto"/>
        <w:jc w:val="center"/>
        <w:rPr>
          <w:rStyle w:val="Hyperlink"/>
          <w:b/>
          <w:color w:val="auto"/>
          <w:sz w:val="32"/>
          <w:szCs w:val="32"/>
          <w:u w:val="none"/>
        </w:rPr>
      </w:pPr>
      <w:r w:rsidRPr="00D97FEB">
        <w:rPr>
          <w:rStyle w:val="Hyperlink"/>
          <w:b/>
          <w:color w:val="auto"/>
          <w:sz w:val="32"/>
          <w:szCs w:val="32"/>
          <w:u w:val="none"/>
        </w:rPr>
        <w:t>Basel II</w:t>
      </w:r>
    </w:p>
    <w:p w14:paraId="5026390F" w14:textId="77777777" w:rsidR="00A65E15" w:rsidRDefault="00A65E15" w:rsidP="00D97FEB">
      <w:pPr>
        <w:spacing w:after="200" w:line="360" w:lineRule="auto"/>
        <w:rPr>
          <w:rStyle w:val="Hyperlink"/>
          <w:color w:val="auto"/>
          <w:u w:val="none"/>
        </w:rPr>
      </w:pPr>
    </w:p>
    <w:p w14:paraId="5D305E39" w14:textId="77777777" w:rsidR="00A65E15" w:rsidRDefault="00A65E15" w:rsidP="00D97FEB">
      <w:pPr>
        <w:spacing w:after="200" w:line="360" w:lineRule="auto"/>
        <w:rPr>
          <w:rStyle w:val="Hyperlink"/>
          <w:color w:val="auto"/>
          <w:u w:val="none"/>
        </w:rPr>
      </w:pPr>
    </w:p>
    <w:p w14:paraId="3C1BD7C8" w14:textId="77777777" w:rsidR="00652E1D" w:rsidRPr="00D97FEB" w:rsidRDefault="00652E1D" w:rsidP="00D97FEB">
      <w:pPr>
        <w:spacing w:after="200" w:line="360" w:lineRule="auto"/>
        <w:rPr>
          <w:rStyle w:val="Hyperlink"/>
          <w:b/>
          <w:color w:val="auto"/>
          <w:sz w:val="28"/>
          <w:szCs w:val="28"/>
          <w:u w:val="none"/>
        </w:rPr>
      </w:pPr>
      <w:r w:rsidRPr="00D97FEB">
        <w:rPr>
          <w:rStyle w:val="Hyperlink"/>
          <w:b/>
          <w:color w:val="auto"/>
          <w:sz w:val="28"/>
          <w:szCs w:val="28"/>
          <w:u w:val="none"/>
        </w:rPr>
        <w:t>Overview</w:t>
      </w:r>
    </w:p>
    <w:p w14:paraId="7B0F8E39" w14:textId="77777777" w:rsidR="00652E1D" w:rsidRDefault="00652E1D" w:rsidP="00D97FEB">
      <w:pPr>
        <w:spacing w:after="200" w:line="360" w:lineRule="auto"/>
        <w:rPr>
          <w:rStyle w:val="Hyperlink"/>
          <w:color w:val="auto"/>
          <w:u w:val="none"/>
        </w:rPr>
      </w:pPr>
    </w:p>
    <w:p w14:paraId="3C0FB9B0" w14:textId="52FB1B46" w:rsidR="00571D0B" w:rsidRDefault="00652E1D" w:rsidP="0060309E">
      <w:pPr>
        <w:pStyle w:val="ListParagraph"/>
        <w:numPr>
          <w:ilvl w:val="0"/>
          <w:numId w:val="11"/>
        </w:numPr>
        <w:spacing w:after="200" w:line="360" w:lineRule="auto"/>
        <w:rPr>
          <w:rStyle w:val="Hyperlink"/>
          <w:color w:val="auto"/>
          <w:u w:val="none"/>
        </w:rPr>
      </w:pPr>
      <w:r w:rsidRPr="00D97FEB">
        <w:rPr>
          <w:rStyle w:val="Hyperlink"/>
          <w:color w:val="auto"/>
        </w:rPr>
        <w:t>Purpose of the Basel Accords</w:t>
      </w:r>
      <w:r w:rsidRPr="00D97FEB">
        <w:rPr>
          <w:rStyle w:val="Hyperlink"/>
          <w:color w:val="auto"/>
          <w:u w:val="none"/>
        </w:rPr>
        <w:t xml:space="preserve">: </w:t>
      </w:r>
      <w:r w:rsidR="00D97FEB" w:rsidRPr="00182EC2">
        <w:rPr>
          <w:rStyle w:val="Hyperlink"/>
          <w:b/>
          <w:color w:val="auto"/>
          <w:u w:val="none"/>
        </w:rPr>
        <w:t>Basel II</w:t>
      </w:r>
      <w:r w:rsidR="00D97FEB" w:rsidRPr="00D97FEB">
        <w:rPr>
          <w:rStyle w:val="Hyperlink"/>
          <w:color w:val="auto"/>
          <w:u w:val="none"/>
        </w:rPr>
        <w:t xml:space="preserve"> is the second of the Basel accords – now extended and superseded by Basel III – which are recommendations on banking laws and regulations issued by the Basel Committee on Banking Supervision (Wikipedia (2018)).</w:t>
      </w:r>
    </w:p>
    <w:p w14:paraId="065239AE" w14:textId="3AE2E24D" w:rsidR="00D97FEB" w:rsidRDefault="00D97FEB" w:rsidP="0060309E">
      <w:pPr>
        <w:pStyle w:val="ListParagraph"/>
        <w:numPr>
          <w:ilvl w:val="0"/>
          <w:numId w:val="11"/>
        </w:numPr>
        <w:spacing w:after="200" w:line="360" w:lineRule="auto"/>
        <w:rPr>
          <w:rStyle w:val="Hyperlink"/>
          <w:color w:val="auto"/>
          <w:u w:val="none"/>
        </w:rPr>
      </w:pPr>
      <w:r>
        <w:rPr>
          <w:rStyle w:val="Hyperlink"/>
          <w:color w:val="auto"/>
        </w:rPr>
        <w:t>International Banks’ Capital Requirement Standards</w:t>
      </w:r>
      <w:r w:rsidRPr="00D97FEB">
        <w:rPr>
          <w:rStyle w:val="Hyperlink"/>
          <w:color w:val="auto"/>
          <w:u w:val="none"/>
        </w:rPr>
        <w:t>:</w:t>
      </w:r>
      <w:r>
        <w:rPr>
          <w:rStyle w:val="Hyperlink"/>
          <w:color w:val="auto"/>
          <w:u w:val="none"/>
        </w:rPr>
        <w:t xml:space="preserve"> The Basel II Accord was published initially in June 2004 and was intended to amend international banking standards that controlled how much capital banks were required to hold</w:t>
      </w:r>
      <w:r w:rsidR="005C6A0F">
        <w:rPr>
          <w:rStyle w:val="Hyperlink"/>
          <w:color w:val="auto"/>
          <w:u w:val="none"/>
        </w:rPr>
        <w:t xml:space="preserve"> to guard against financial and operational risks banks face.</w:t>
      </w:r>
    </w:p>
    <w:p w14:paraId="2D1075B9" w14:textId="0CD3C735" w:rsidR="005C6A0F" w:rsidRDefault="005C6A0F" w:rsidP="0060309E">
      <w:pPr>
        <w:pStyle w:val="ListParagraph"/>
        <w:numPr>
          <w:ilvl w:val="0"/>
          <w:numId w:val="11"/>
        </w:numPr>
        <w:spacing w:after="200" w:line="360" w:lineRule="auto"/>
        <w:rPr>
          <w:rStyle w:val="Hyperlink"/>
          <w:color w:val="auto"/>
          <w:u w:val="none"/>
        </w:rPr>
      </w:pPr>
      <w:r>
        <w:rPr>
          <w:rStyle w:val="Hyperlink"/>
          <w:color w:val="auto"/>
        </w:rPr>
        <w:t>Safeguarding Bank Solvency and Stability</w:t>
      </w:r>
      <w:r w:rsidRPr="005C6A0F">
        <w:rPr>
          <w:rStyle w:val="Hyperlink"/>
          <w:color w:val="auto"/>
          <w:u w:val="none"/>
        </w:rPr>
        <w:t>:</w:t>
      </w:r>
      <w:r>
        <w:rPr>
          <w:rStyle w:val="Hyperlink"/>
          <w:color w:val="auto"/>
          <w:u w:val="none"/>
        </w:rPr>
        <w:t xml:space="preserve"> These regulations aimed to ensure that the more significant the risk that the bank is exposed to, the greater the amount of capital a bank needs to hold to safeguard its solvency and its overall economic stability.</w:t>
      </w:r>
    </w:p>
    <w:p w14:paraId="338DE325" w14:textId="613F5903" w:rsidR="005C6A0F" w:rsidRDefault="005C6A0F" w:rsidP="0060309E">
      <w:pPr>
        <w:pStyle w:val="ListParagraph"/>
        <w:numPr>
          <w:ilvl w:val="0"/>
          <w:numId w:val="11"/>
        </w:numPr>
        <w:spacing w:after="200" w:line="360" w:lineRule="auto"/>
        <w:rPr>
          <w:rStyle w:val="Hyperlink"/>
          <w:color w:val="auto"/>
          <w:u w:val="none"/>
        </w:rPr>
      </w:pPr>
      <w:r>
        <w:rPr>
          <w:rStyle w:val="Hyperlink"/>
          <w:color w:val="auto"/>
        </w:rPr>
        <w:t>Adequacy Requirements for Bank Capital</w:t>
      </w:r>
      <w:r w:rsidRPr="005C6A0F">
        <w:rPr>
          <w:rStyle w:val="Hyperlink"/>
          <w:color w:val="auto"/>
          <w:u w:val="none"/>
        </w:rPr>
        <w:t>:</w:t>
      </w:r>
      <w:r>
        <w:rPr>
          <w:rStyle w:val="Hyperlink"/>
          <w:color w:val="auto"/>
          <w:u w:val="none"/>
        </w:rPr>
        <w:t xml:space="preserve"> Basel II attempted to achieve this establishing risk and capital management requirements to ensure that the bank has adequate capital for the risk that the bank exposes itself through its lending, investment, and trading activities.</w:t>
      </w:r>
    </w:p>
    <w:p w14:paraId="5646BAA7" w14:textId="06DD1608" w:rsidR="005C6A0F" w:rsidRDefault="005C6A0F" w:rsidP="0060309E">
      <w:pPr>
        <w:pStyle w:val="ListParagraph"/>
        <w:numPr>
          <w:ilvl w:val="0"/>
          <w:numId w:val="11"/>
        </w:numPr>
        <w:spacing w:after="200" w:line="360" w:lineRule="auto"/>
        <w:rPr>
          <w:rStyle w:val="Hyperlink"/>
          <w:color w:val="auto"/>
          <w:u w:val="none"/>
        </w:rPr>
      </w:pPr>
      <w:r>
        <w:rPr>
          <w:rStyle w:val="Hyperlink"/>
          <w:color w:val="auto"/>
        </w:rPr>
        <w:t>Preventing the Race to Bottom</w:t>
      </w:r>
      <w:r w:rsidRPr="005C6A0F">
        <w:rPr>
          <w:rStyle w:val="Hyperlink"/>
          <w:color w:val="auto"/>
          <w:u w:val="none"/>
        </w:rPr>
        <w:t>:</w:t>
      </w:r>
      <w:r>
        <w:rPr>
          <w:rStyle w:val="Hyperlink"/>
          <w:color w:val="auto"/>
          <w:u w:val="none"/>
        </w:rPr>
        <w:t xml:space="preserve"> One focus was to maintain sufficient consistency of regulations so as to limit competitive inequality among internationally active banks.</w:t>
      </w:r>
    </w:p>
    <w:p w14:paraId="6AA2DC5D" w14:textId="5CC2AC78" w:rsidR="00182EC2" w:rsidRDefault="00182EC2" w:rsidP="0060309E">
      <w:pPr>
        <w:pStyle w:val="ListParagraph"/>
        <w:numPr>
          <w:ilvl w:val="0"/>
          <w:numId w:val="11"/>
        </w:numPr>
        <w:spacing w:after="200" w:line="360" w:lineRule="auto"/>
        <w:rPr>
          <w:rStyle w:val="Hyperlink"/>
          <w:color w:val="auto"/>
          <w:u w:val="none"/>
        </w:rPr>
      </w:pPr>
      <w:r>
        <w:rPr>
          <w:rStyle w:val="Hyperlink"/>
          <w:color w:val="auto"/>
        </w:rPr>
        <w:t>Impact due to Financial Crisis</w:t>
      </w:r>
      <w:r w:rsidRPr="00182EC2">
        <w:rPr>
          <w:rStyle w:val="Hyperlink"/>
          <w:color w:val="auto"/>
          <w:u w:val="none"/>
        </w:rPr>
        <w:t>:</w:t>
      </w:r>
      <w:r>
        <w:rPr>
          <w:rStyle w:val="Hyperlink"/>
          <w:color w:val="auto"/>
          <w:u w:val="none"/>
        </w:rPr>
        <w:t xml:space="preserve"> Basel II was implemented in the years prior to 2008, and was only to be implemented in early 2008 in most countries (</w:t>
      </w:r>
      <w:r w:rsidR="00855559">
        <w:rPr>
          <w:rStyle w:val="Hyperlink"/>
          <w:color w:val="auto"/>
          <w:u w:val="none"/>
        </w:rPr>
        <w:t xml:space="preserve">Office of the Comptroller of the Currency </w:t>
      </w:r>
      <w:r>
        <w:rPr>
          <w:rStyle w:val="Hyperlink"/>
          <w:color w:val="auto"/>
          <w:u w:val="none"/>
        </w:rPr>
        <w:t>(200</w:t>
      </w:r>
      <w:r w:rsidR="00855559">
        <w:rPr>
          <w:rStyle w:val="Hyperlink"/>
          <w:color w:val="auto"/>
          <w:u w:val="none"/>
        </w:rPr>
        <w:t>7</w:t>
      </w:r>
      <w:r>
        <w:rPr>
          <w:rStyle w:val="Hyperlink"/>
          <w:color w:val="auto"/>
          <w:u w:val="none"/>
        </w:rPr>
        <w:t xml:space="preserve">), </w:t>
      </w:r>
      <w:r w:rsidR="00855559">
        <w:rPr>
          <w:rStyle w:val="Hyperlink"/>
          <w:color w:val="auto"/>
          <w:u w:val="none"/>
        </w:rPr>
        <w:t xml:space="preserve">Council of Mortgage Lenders </w:t>
      </w:r>
      <w:r>
        <w:rPr>
          <w:rStyle w:val="Hyperlink"/>
          <w:color w:val="auto"/>
          <w:u w:val="none"/>
        </w:rPr>
        <w:t>(2011)); that years’ financial crisis intervened before Basel II could become fully effective.</w:t>
      </w:r>
    </w:p>
    <w:p w14:paraId="335F6896" w14:textId="26ADCE5A" w:rsidR="00855559" w:rsidRDefault="00855559" w:rsidP="0060309E">
      <w:pPr>
        <w:pStyle w:val="ListParagraph"/>
        <w:numPr>
          <w:ilvl w:val="0"/>
          <w:numId w:val="11"/>
        </w:numPr>
        <w:spacing w:after="200" w:line="360" w:lineRule="auto"/>
        <w:rPr>
          <w:rStyle w:val="Hyperlink"/>
          <w:color w:val="auto"/>
          <w:u w:val="none"/>
        </w:rPr>
      </w:pPr>
      <w:r>
        <w:rPr>
          <w:rStyle w:val="Hyperlink"/>
          <w:color w:val="auto"/>
        </w:rPr>
        <w:lastRenderedPageBreak/>
        <w:t>Enhancement from Basel II to III</w:t>
      </w:r>
      <w:r w:rsidRPr="00855559">
        <w:rPr>
          <w:rStyle w:val="Hyperlink"/>
          <w:color w:val="auto"/>
          <w:u w:val="none"/>
        </w:rPr>
        <w:t>:</w:t>
      </w:r>
      <w:r>
        <w:rPr>
          <w:rStyle w:val="Hyperlink"/>
          <w:color w:val="auto"/>
          <w:u w:val="none"/>
        </w:rPr>
        <w:t xml:space="preserve"> As Basel III was negotiated, the crisis was on the top of mind and accordingly more stringent standards were contemplated and adopted in key countries including in the US and Europe.</w:t>
      </w:r>
    </w:p>
    <w:p w14:paraId="74D228EF" w14:textId="7DA02CBA" w:rsidR="00855559" w:rsidRDefault="00855559" w:rsidP="00855559">
      <w:pPr>
        <w:spacing w:after="200" w:line="360" w:lineRule="auto"/>
        <w:rPr>
          <w:rStyle w:val="Hyperlink"/>
          <w:color w:val="auto"/>
          <w:u w:val="none"/>
        </w:rPr>
      </w:pPr>
    </w:p>
    <w:p w14:paraId="04E0D58F" w14:textId="406D7756" w:rsidR="00855559" w:rsidRDefault="00855559" w:rsidP="00855559">
      <w:pPr>
        <w:spacing w:after="200" w:line="360" w:lineRule="auto"/>
        <w:rPr>
          <w:rStyle w:val="Hyperlink"/>
          <w:color w:val="auto"/>
          <w:u w:val="none"/>
        </w:rPr>
      </w:pPr>
    </w:p>
    <w:p w14:paraId="4287F469" w14:textId="0587F127" w:rsidR="00855559" w:rsidRPr="00855559" w:rsidRDefault="00855559" w:rsidP="00855559">
      <w:pPr>
        <w:spacing w:after="200" w:line="360" w:lineRule="auto"/>
        <w:rPr>
          <w:rStyle w:val="Hyperlink"/>
          <w:b/>
          <w:color w:val="auto"/>
          <w:sz w:val="28"/>
          <w:szCs w:val="28"/>
          <w:u w:val="none"/>
        </w:rPr>
      </w:pPr>
      <w:r w:rsidRPr="00855559">
        <w:rPr>
          <w:rStyle w:val="Hyperlink"/>
          <w:b/>
          <w:color w:val="auto"/>
          <w:sz w:val="28"/>
          <w:szCs w:val="28"/>
          <w:u w:val="none"/>
        </w:rPr>
        <w:t>Objective</w:t>
      </w:r>
    </w:p>
    <w:p w14:paraId="4B3B1CD7" w14:textId="35CE3C5F" w:rsidR="00855559" w:rsidRDefault="00855559" w:rsidP="00855559">
      <w:pPr>
        <w:spacing w:after="200" w:line="360" w:lineRule="auto"/>
        <w:rPr>
          <w:rStyle w:val="Hyperlink"/>
          <w:color w:val="auto"/>
          <w:u w:val="none"/>
        </w:rPr>
      </w:pPr>
    </w:p>
    <w:p w14:paraId="43EEE14D" w14:textId="6A7D70DF" w:rsidR="00855559" w:rsidRDefault="00855559" w:rsidP="0060309E">
      <w:pPr>
        <w:pStyle w:val="ListParagraph"/>
        <w:numPr>
          <w:ilvl w:val="0"/>
          <w:numId w:val="12"/>
        </w:numPr>
        <w:spacing w:after="200" w:line="360" w:lineRule="auto"/>
        <w:rPr>
          <w:rStyle w:val="Hyperlink"/>
          <w:color w:val="auto"/>
          <w:u w:val="none"/>
        </w:rPr>
      </w:pPr>
      <w:r w:rsidRPr="00855559">
        <w:rPr>
          <w:rStyle w:val="Hyperlink"/>
          <w:color w:val="auto"/>
        </w:rPr>
        <w:t>Aims of the Accord</w:t>
      </w:r>
      <w:r w:rsidRPr="00855559">
        <w:rPr>
          <w:rStyle w:val="Hyperlink"/>
          <w:color w:val="auto"/>
          <w:u w:val="none"/>
        </w:rPr>
        <w:t>: The final version aims at:</w:t>
      </w:r>
    </w:p>
    <w:p w14:paraId="695FFB98" w14:textId="5FAEEBF3" w:rsidR="00855559" w:rsidRDefault="00855559" w:rsidP="0060309E">
      <w:pPr>
        <w:pStyle w:val="ListParagraph"/>
        <w:numPr>
          <w:ilvl w:val="1"/>
          <w:numId w:val="12"/>
        </w:numPr>
        <w:spacing w:after="200" w:line="360" w:lineRule="auto"/>
        <w:rPr>
          <w:rStyle w:val="Hyperlink"/>
          <w:color w:val="auto"/>
          <w:u w:val="none"/>
        </w:rPr>
      </w:pPr>
      <w:r>
        <w:rPr>
          <w:rStyle w:val="Hyperlink"/>
          <w:color w:val="auto"/>
          <w:u w:val="none"/>
        </w:rPr>
        <w:t>Ensuring that the capital allocation is more risk sensitive</w:t>
      </w:r>
    </w:p>
    <w:p w14:paraId="549EBFD0" w14:textId="7254501E" w:rsidR="00855559" w:rsidRDefault="00855559" w:rsidP="0060309E">
      <w:pPr>
        <w:pStyle w:val="ListParagraph"/>
        <w:numPr>
          <w:ilvl w:val="1"/>
          <w:numId w:val="12"/>
        </w:numPr>
        <w:spacing w:after="200" w:line="360" w:lineRule="auto"/>
        <w:rPr>
          <w:rStyle w:val="Hyperlink"/>
          <w:color w:val="auto"/>
          <w:u w:val="none"/>
        </w:rPr>
      </w:pPr>
      <w:r>
        <w:rPr>
          <w:rStyle w:val="Hyperlink"/>
          <w:color w:val="auto"/>
          <w:u w:val="none"/>
        </w:rPr>
        <w:t>Enhance the disclosure requirements which would allow the market participants to assess the capital adequacy of an institution</w:t>
      </w:r>
    </w:p>
    <w:p w14:paraId="27928344" w14:textId="3BC3BB8F" w:rsidR="00855559" w:rsidRDefault="00855559" w:rsidP="0060309E">
      <w:pPr>
        <w:pStyle w:val="ListParagraph"/>
        <w:numPr>
          <w:ilvl w:val="1"/>
          <w:numId w:val="12"/>
        </w:numPr>
        <w:spacing w:after="200" w:line="360" w:lineRule="auto"/>
        <w:rPr>
          <w:rStyle w:val="Hyperlink"/>
          <w:color w:val="auto"/>
          <w:u w:val="none"/>
        </w:rPr>
      </w:pPr>
      <w:r>
        <w:rPr>
          <w:rStyle w:val="Hyperlink"/>
          <w:color w:val="auto"/>
          <w:u w:val="none"/>
        </w:rPr>
        <w:t>Ensuring that credit risk, market risk, and operational risk are quantified based on data and formal techniques</w:t>
      </w:r>
    </w:p>
    <w:p w14:paraId="5EFF3237" w14:textId="13DA714E" w:rsidR="00855559" w:rsidRDefault="00855559" w:rsidP="0060309E">
      <w:pPr>
        <w:pStyle w:val="ListParagraph"/>
        <w:numPr>
          <w:ilvl w:val="1"/>
          <w:numId w:val="12"/>
        </w:numPr>
        <w:spacing w:after="200" w:line="360" w:lineRule="auto"/>
        <w:rPr>
          <w:rStyle w:val="Hyperlink"/>
          <w:color w:val="auto"/>
          <w:u w:val="none"/>
        </w:rPr>
      </w:pPr>
      <w:r>
        <w:rPr>
          <w:rStyle w:val="Hyperlink"/>
          <w:color w:val="auto"/>
          <w:u w:val="none"/>
        </w:rPr>
        <w:t>Attempt to align economic and regulatory capital more closely to reduce in scope for regulatory arbitrage</w:t>
      </w:r>
    </w:p>
    <w:p w14:paraId="3E3978E8" w14:textId="33843C8A" w:rsidR="00855559" w:rsidRDefault="00855559" w:rsidP="0060309E">
      <w:pPr>
        <w:pStyle w:val="ListParagraph"/>
        <w:numPr>
          <w:ilvl w:val="0"/>
          <w:numId w:val="12"/>
        </w:numPr>
        <w:spacing w:after="200" w:line="360" w:lineRule="auto"/>
        <w:rPr>
          <w:rStyle w:val="Hyperlink"/>
          <w:color w:val="auto"/>
          <w:u w:val="none"/>
        </w:rPr>
      </w:pPr>
      <w:r w:rsidRPr="00855559">
        <w:rPr>
          <w:rStyle w:val="Hyperlink"/>
          <w:color w:val="auto"/>
        </w:rPr>
        <w:t>Divergence between Regulatory and Economic Capital</w:t>
      </w:r>
      <w:r>
        <w:rPr>
          <w:rStyle w:val="Hyperlink"/>
          <w:color w:val="auto"/>
          <w:u w:val="none"/>
        </w:rPr>
        <w:t>: While the final accord has addressed the regulatory arbitrage issue at large, there are still where the regulatory capital requirements will diverge from economic capital.</w:t>
      </w:r>
    </w:p>
    <w:p w14:paraId="73134F53" w14:textId="5A4701FC" w:rsidR="00855559" w:rsidRDefault="00855559" w:rsidP="00855559">
      <w:pPr>
        <w:spacing w:after="200" w:line="360" w:lineRule="auto"/>
        <w:rPr>
          <w:rStyle w:val="Hyperlink"/>
          <w:color w:val="auto"/>
          <w:u w:val="none"/>
        </w:rPr>
      </w:pPr>
    </w:p>
    <w:p w14:paraId="71240699" w14:textId="0E1E048F" w:rsidR="00855559" w:rsidRDefault="00855559" w:rsidP="00855559">
      <w:pPr>
        <w:spacing w:after="200" w:line="360" w:lineRule="auto"/>
        <w:rPr>
          <w:rStyle w:val="Hyperlink"/>
          <w:color w:val="auto"/>
          <w:u w:val="none"/>
        </w:rPr>
      </w:pPr>
    </w:p>
    <w:p w14:paraId="30A1A7DC" w14:textId="3EBE6396" w:rsidR="00855559" w:rsidRPr="00E92F77" w:rsidRDefault="00855559" w:rsidP="00855559">
      <w:pPr>
        <w:spacing w:after="200" w:line="360" w:lineRule="auto"/>
        <w:rPr>
          <w:rStyle w:val="Hyperlink"/>
          <w:b/>
          <w:color w:val="auto"/>
          <w:sz w:val="28"/>
          <w:szCs w:val="28"/>
          <w:u w:val="none"/>
        </w:rPr>
      </w:pPr>
      <w:r w:rsidRPr="00E92F77">
        <w:rPr>
          <w:rStyle w:val="Hyperlink"/>
          <w:b/>
          <w:color w:val="auto"/>
          <w:sz w:val="28"/>
          <w:szCs w:val="28"/>
          <w:u w:val="none"/>
        </w:rPr>
        <w:t>The Accord in Operation: Three Pillars</w:t>
      </w:r>
    </w:p>
    <w:p w14:paraId="28FF3BAC" w14:textId="62A10894" w:rsidR="00855559" w:rsidRDefault="00855559" w:rsidP="00855559">
      <w:pPr>
        <w:spacing w:after="200" w:line="360" w:lineRule="auto"/>
        <w:rPr>
          <w:rStyle w:val="Hyperlink"/>
          <w:color w:val="auto"/>
          <w:u w:val="none"/>
        </w:rPr>
      </w:pPr>
    </w:p>
    <w:p w14:paraId="56D30076" w14:textId="2FADF60C" w:rsidR="00855559" w:rsidRPr="00E92F77" w:rsidRDefault="00E92F77" w:rsidP="0060309E">
      <w:pPr>
        <w:pStyle w:val="ListParagraph"/>
        <w:numPr>
          <w:ilvl w:val="0"/>
          <w:numId w:val="14"/>
        </w:numPr>
        <w:spacing w:after="200" w:line="360" w:lineRule="auto"/>
        <w:rPr>
          <w:rStyle w:val="Hyperlink"/>
          <w:color w:val="auto"/>
          <w:u w:val="none"/>
        </w:rPr>
      </w:pPr>
      <w:r w:rsidRPr="00E92F77">
        <w:rPr>
          <w:rStyle w:val="Hyperlink"/>
          <w:color w:val="auto"/>
        </w:rPr>
        <w:t>Pillars of Basel II</w:t>
      </w:r>
      <w:r w:rsidRPr="00E92F77">
        <w:rPr>
          <w:rStyle w:val="Hyperlink"/>
          <w:color w:val="auto"/>
          <w:u w:val="none"/>
        </w:rPr>
        <w:t xml:space="preserve">: Basel II uses a </w:t>
      </w:r>
      <w:r w:rsidRPr="00E92F77">
        <w:rPr>
          <w:rStyle w:val="Hyperlink"/>
          <w:i/>
          <w:color w:val="auto"/>
          <w:u w:val="none"/>
        </w:rPr>
        <w:t>three-pillar</w:t>
      </w:r>
      <w:r w:rsidRPr="00E92F77">
        <w:rPr>
          <w:rStyle w:val="Hyperlink"/>
          <w:color w:val="auto"/>
          <w:u w:val="none"/>
        </w:rPr>
        <w:t xml:space="preserve"> concept:</w:t>
      </w:r>
    </w:p>
    <w:p w14:paraId="06DBC644" w14:textId="4A27A170" w:rsidR="00E92F77" w:rsidRDefault="00E92F77" w:rsidP="0060309E">
      <w:pPr>
        <w:pStyle w:val="ListParagraph"/>
        <w:numPr>
          <w:ilvl w:val="0"/>
          <w:numId w:val="13"/>
        </w:numPr>
        <w:spacing w:after="200" w:line="360" w:lineRule="auto"/>
        <w:rPr>
          <w:rStyle w:val="Hyperlink"/>
          <w:color w:val="auto"/>
          <w:u w:val="none"/>
        </w:rPr>
      </w:pPr>
      <w:r>
        <w:rPr>
          <w:rStyle w:val="Hyperlink"/>
          <w:color w:val="auto"/>
          <w:u w:val="none"/>
        </w:rPr>
        <w:t>Minimum Capital Requirements (addressing risk)</w:t>
      </w:r>
    </w:p>
    <w:p w14:paraId="6D69219F" w14:textId="0B636363" w:rsidR="00E92F77" w:rsidRDefault="00E92F77" w:rsidP="0060309E">
      <w:pPr>
        <w:pStyle w:val="ListParagraph"/>
        <w:numPr>
          <w:ilvl w:val="0"/>
          <w:numId w:val="13"/>
        </w:numPr>
        <w:spacing w:after="200" w:line="360" w:lineRule="auto"/>
        <w:rPr>
          <w:rStyle w:val="Hyperlink"/>
          <w:color w:val="auto"/>
          <w:u w:val="none"/>
        </w:rPr>
      </w:pPr>
      <w:r>
        <w:rPr>
          <w:rStyle w:val="Hyperlink"/>
          <w:color w:val="auto"/>
          <w:u w:val="none"/>
        </w:rPr>
        <w:t>Supervisory Review</w:t>
      </w:r>
    </w:p>
    <w:p w14:paraId="7EE879EB" w14:textId="513AB236" w:rsidR="00E92F77" w:rsidRDefault="00E92F77" w:rsidP="0060309E">
      <w:pPr>
        <w:pStyle w:val="ListParagraph"/>
        <w:numPr>
          <w:ilvl w:val="0"/>
          <w:numId w:val="13"/>
        </w:numPr>
        <w:spacing w:after="200" w:line="360" w:lineRule="auto"/>
        <w:rPr>
          <w:rStyle w:val="Hyperlink"/>
          <w:color w:val="auto"/>
          <w:u w:val="none"/>
        </w:rPr>
      </w:pPr>
      <w:r>
        <w:rPr>
          <w:rStyle w:val="Hyperlink"/>
          <w:color w:val="auto"/>
          <w:u w:val="none"/>
        </w:rPr>
        <w:lastRenderedPageBreak/>
        <w:t>Market Discipline</w:t>
      </w:r>
    </w:p>
    <w:p w14:paraId="5DF51318" w14:textId="09F07F62" w:rsidR="009C5296" w:rsidRDefault="009C5296" w:rsidP="0060309E">
      <w:pPr>
        <w:pStyle w:val="ListParagraph"/>
        <w:numPr>
          <w:ilvl w:val="0"/>
          <w:numId w:val="14"/>
        </w:numPr>
        <w:spacing w:after="200" w:line="360" w:lineRule="auto"/>
        <w:rPr>
          <w:rStyle w:val="Hyperlink"/>
          <w:color w:val="auto"/>
          <w:u w:val="none"/>
        </w:rPr>
      </w:pPr>
      <w:r w:rsidRPr="00E92F77">
        <w:rPr>
          <w:rStyle w:val="Hyperlink"/>
          <w:color w:val="auto"/>
        </w:rPr>
        <w:t>Shortcoming of Basel I</w:t>
      </w:r>
      <w:r>
        <w:rPr>
          <w:rStyle w:val="Hyperlink"/>
          <w:color w:val="auto"/>
          <w:u w:val="none"/>
        </w:rPr>
        <w:t>: The Basel I accord dealt with only parts of each of these pillars. For example, with respect to the first Basel II pillar, only one risk, credit risk, was dealt with in a simple manner while the market risk was an after-thought; operational risk was not dealt with at all.</w:t>
      </w:r>
    </w:p>
    <w:p w14:paraId="38F22433" w14:textId="02AD7CDC" w:rsidR="009C5296" w:rsidRDefault="009C5296" w:rsidP="009C5296">
      <w:pPr>
        <w:spacing w:after="200" w:line="360" w:lineRule="auto"/>
        <w:rPr>
          <w:rStyle w:val="Hyperlink"/>
          <w:color w:val="auto"/>
          <w:u w:val="none"/>
        </w:rPr>
      </w:pPr>
    </w:p>
    <w:p w14:paraId="549BAF4E" w14:textId="73A123B1" w:rsidR="009C5296" w:rsidRDefault="009C5296" w:rsidP="009C5296">
      <w:pPr>
        <w:spacing w:after="200" w:line="360" w:lineRule="auto"/>
        <w:rPr>
          <w:rStyle w:val="Hyperlink"/>
          <w:color w:val="auto"/>
          <w:u w:val="none"/>
        </w:rPr>
      </w:pPr>
    </w:p>
    <w:p w14:paraId="07E344C6" w14:textId="683B2A01" w:rsidR="009C5296" w:rsidRPr="009C5296" w:rsidRDefault="009C5296" w:rsidP="009C5296">
      <w:pPr>
        <w:spacing w:after="200" w:line="360" w:lineRule="auto"/>
        <w:rPr>
          <w:rStyle w:val="Hyperlink"/>
          <w:b/>
          <w:color w:val="auto"/>
          <w:sz w:val="28"/>
          <w:szCs w:val="28"/>
          <w:u w:val="none"/>
        </w:rPr>
      </w:pPr>
      <w:r w:rsidRPr="009C5296">
        <w:rPr>
          <w:rStyle w:val="Hyperlink"/>
          <w:b/>
          <w:color w:val="auto"/>
          <w:sz w:val="28"/>
          <w:szCs w:val="28"/>
          <w:u w:val="none"/>
        </w:rPr>
        <w:t>The First Pillar: Minimum Capital Requirements</w:t>
      </w:r>
    </w:p>
    <w:p w14:paraId="59691FAB" w14:textId="1420A808" w:rsidR="009C5296" w:rsidRDefault="009C5296" w:rsidP="009C5296">
      <w:pPr>
        <w:spacing w:after="200" w:line="360" w:lineRule="auto"/>
        <w:rPr>
          <w:rStyle w:val="Hyperlink"/>
          <w:color w:val="auto"/>
          <w:u w:val="none"/>
        </w:rPr>
      </w:pPr>
    </w:p>
    <w:p w14:paraId="43DAE457" w14:textId="2E59642C" w:rsidR="009C5296" w:rsidRDefault="009C5296" w:rsidP="0060309E">
      <w:pPr>
        <w:pStyle w:val="ListParagraph"/>
        <w:numPr>
          <w:ilvl w:val="0"/>
          <w:numId w:val="15"/>
        </w:numPr>
        <w:spacing w:after="200" w:line="360" w:lineRule="auto"/>
        <w:rPr>
          <w:rStyle w:val="Hyperlink"/>
          <w:color w:val="auto"/>
          <w:u w:val="none"/>
        </w:rPr>
      </w:pPr>
      <w:r>
        <w:rPr>
          <w:rStyle w:val="Hyperlink"/>
          <w:color w:val="auto"/>
        </w:rPr>
        <w:t>Components of the First Pillar</w:t>
      </w:r>
      <w:r w:rsidRPr="009C5296">
        <w:rPr>
          <w:rStyle w:val="Hyperlink"/>
          <w:color w:val="auto"/>
          <w:u w:val="none"/>
        </w:rPr>
        <w:t>: The first pillar deals with the maintenance of the regulatory capital calculated for three major components of risk that a bank faces; credit risk, regulatory risk, and market risk. Other risks are not considered quantifiable at this stage.</w:t>
      </w:r>
    </w:p>
    <w:p w14:paraId="0D41F708" w14:textId="42C6D3C0" w:rsidR="009C5296" w:rsidRDefault="009C5296" w:rsidP="0060309E">
      <w:pPr>
        <w:pStyle w:val="ListParagraph"/>
        <w:numPr>
          <w:ilvl w:val="0"/>
          <w:numId w:val="15"/>
        </w:numPr>
        <w:spacing w:after="200" w:line="360" w:lineRule="auto"/>
        <w:rPr>
          <w:rStyle w:val="Hyperlink"/>
          <w:color w:val="auto"/>
          <w:u w:val="none"/>
        </w:rPr>
      </w:pPr>
      <w:r>
        <w:rPr>
          <w:rStyle w:val="Hyperlink"/>
          <w:color w:val="auto"/>
        </w:rPr>
        <w:t>Credit Risk Component Capital Pillar</w:t>
      </w:r>
      <w:r w:rsidRPr="009C5296">
        <w:rPr>
          <w:rStyle w:val="Hyperlink"/>
          <w:color w:val="auto"/>
          <w:u w:val="none"/>
        </w:rPr>
        <w:t>:</w:t>
      </w:r>
      <w:r>
        <w:rPr>
          <w:rStyle w:val="Hyperlink"/>
          <w:color w:val="auto"/>
          <w:u w:val="none"/>
        </w:rPr>
        <w:t xml:space="preserve"> The credit risk component can be calculated in three different ways of varying degrees of sophistication, namely Standardized Risk Approach, Foundation IRB, Advanced IRB, and General IB2 Restriction. IRB stands for “Internal Ratings Based” Approach.</w:t>
      </w:r>
    </w:p>
    <w:p w14:paraId="60B646D0" w14:textId="3B301C18" w:rsidR="000A24DC" w:rsidRDefault="000A24DC" w:rsidP="0060309E">
      <w:pPr>
        <w:pStyle w:val="ListParagraph"/>
        <w:numPr>
          <w:ilvl w:val="0"/>
          <w:numId w:val="15"/>
        </w:numPr>
        <w:spacing w:after="200" w:line="360" w:lineRule="auto"/>
        <w:rPr>
          <w:rStyle w:val="Hyperlink"/>
          <w:color w:val="auto"/>
          <w:u w:val="none"/>
        </w:rPr>
      </w:pPr>
      <w:r>
        <w:rPr>
          <w:rStyle w:val="Hyperlink"/>
          <w:color w:val="auto"/>
        </w:rPr>
        <w:t>Operational Risk Component Capital Requirements</w:t>
      </w:r>
      <w:r w:rsidRPr="000A24DC">
        <w:rPr>
          <w:rStyle w:val="Hyperlink"/>
          <w:color w:val="auto"/>
          <w:u w:val="none"/>
        </w:rPr>
        <w:t>:</w:t>
      </w:r>
      <w:r>
        <w:rPr>
          <w:rStyle w:val="Hyperlink"/>
          <w:color w:val="auto"/>
          <w:u w:val="none"/>
        </w:rPr>
        <w:t xml:space="preserve"> For operational risk, there are three different approaches – Basic Indicator Approach or BIA, Standardized Approach or TSA, and the Internal Measurement Approach (an advanced form of which is the Advanced Measurement Approach or AMA).</w:t>
      </w:r>
    </w:p>
    <w:p w14:paraId="3FB2933E" w14:textId="72B47D55" w:rsidR="000A24DC" w:rsidRDefault="000A24DC" w:rsidP="0060309E">
      <w:pPr>
        <w:pStyle w:val="ListParagraph"/>
        <w:numPr>
          <w:ilvl w:val="0"/>
          <w:numId w:val="15"/>
        </w:numPr>
        <w:spacing w:after="200" w:line="360" w:lineRule="auto"/>
        <w:rPr>
          <w:rStyle w:val="Hyperlink"/>
          <w:color w:val="auto"/>
          <w:u w:val="none"/>
        </w:rPr>
      </w:pPr>
      <w:r>
        <w:rPr>
          <w:rStyle w:val="Hyperlink"/>
          <w:color w:val="auto"/>
        </w:rPr>
        <w:t>Market Risk Component Capital Requirements</w:t>
      </w:r>
      <w:r w:rsidRPr="000A24DC">
        <w:rPr>
          <w:rStyle w:val="Hyperlink"/>
          <w:color w:val="auto"/>
          <w:u w:val="none"/>
        </w:rPr>
        <w:t>:</w:t>
      </w:r>
      <w:r>
        <w:rPr>
          <w:rStyle w:val="Hyperlink"/>
          <w:color w:val="auto"/>
          <w:u w:val="none"/>
        </w:rPr>
        <w:t xml:space="preserve"> For the market risk component, the preferred approach is VaR.</w:t>
      </w:r>
    </w:p>
    <w:p w14:paraId="11391AC5" w14:textId="03716B50" w:rsidR="00E43651" w:rsidRDefault="00E43651" w:rsidP="0060309E">
      <w:pPr>
        <w:pStyle w:val="ListParagraph"/>
        <w:numPr>
          <w:ilvl w:val="0"/>
          <w:numId w:val="15"/>
        </w:numPr>
        <w:spacing w:after="200" w:line="360" w:lineRule="auto"/>
        <w:rPr>
          <w:rStyle w:val="Hyperlink"/>
          <w:color w:val="auto"/>
          <w:u w:val="none"/>
        </w:rPr>
      </w:pPr>
      <w:r>
        <w:rPr>
          <w:rStyle w:val="Hyperlink"/>
          <w:color w:val="auto"/>
        </w:rPr>
        <w:t>Migration from Standardized to Customized</w:t>
      </w:r>
      <w:r w:rsidRPr="00E43651">
        <w:rPr>
          <w:rStyle w:val="Hyperlink"/>
          <w:color w:val="auto"/>
          <w:u w:val="none"/>
        </w:rPr>
        <w:t>:</w:t>
      </w:r>
      <w:r>
        <w:rPr>
          <w:rStyle w:val="Hyperlink"/>
          <w:color w:val="auto"/>
          <w:u w:val="none"/>
        </w:rPr>
        <w:t xml:space="preserve"> As the Basel II recommendations are phased in by the banking industry, it will move from standardized requirements to more refined and specific requirements that have been developed for each risk category by each individual bank.</w:t>
      </w:r>
    </w:p>
    <w:p w14:paraId="312E9CCD" w14:textId="341AB8CF" w:rsidR="00E43651" w:rsidRDefault="00E43651" w:rsidP="0060309E">
      <w:pPr>
        <w:pStyle w:val="ListParagraph"/>
        <w:numPr>
          <w:ilvl w:val="0"/>
          <w:numId w:val="15"/>
        </w:numPr>
        <w:spacing w:after="200" w:line="360" w:lineRule="auto"/>
        <w:rPr>
          <w:rStyle w:val="Hyperlink"/>
          <w:color w:val="auto"/>
          <w:u w:val="none"/>
        </w:rPr>
      </w:pPr>
      <w:r>
        <w:rPr>
          <w:rStyle w:val="Hyperlink"/>
          <w:color w:val="auto"/>
        </w:rPr>
        <w:lastRenderedPageBreak/>
        <w:t>Advantages of such Migration</w:t>
      </w:r>
      <w:r w:rsidRPr="00E43651">
        <w:rPr>
          <w:rStyle w:val="Hyperlink"/>
          <w:color w:val="auto"/>
          <w:u w:val="none"/>
        </w:rPr>
        <w:t>:</w:t>
      </w:r>
      <w:r>
        <w:rPr>
          <w:rStyle w:val="Hyperlink"/>
          <w:color w:val="auto"/>
          <w:u w:val="none"/>
        </w:rPr>
        <w:t xml:space="preserve"> The upside for banks that do develop their own risk migration systems is that they will be rewarded with potentially lower risk capital requirements. In the future there will closer links between the concepts of economic and regulatory capital.</w:t>
      </w:r>
    </w:p>
    <w:p w14:paraId="0030BA0A" w14:textId="09F93556" w:rsidR="00E43651" w:rsidRDefault="00E43651" w:rsidP="00E43651">
      <w:pPr>
        <w:spacing w:after="200" w:line="360" w:lineRule="auto"/>
        <w:rPr>
          <w:rStyle w:val="Hyperlink"/>
          <w:color w:val="auto"/>
          <w:u w:val="none"/>
        </w:rPr>
      </w:pPr>
    </w:p>
    <w:p w14:paraId="387FD300" w14:textId="1ACE67AA" w:rsidR="00E43651" w:rsidRDefault="00E43651" w:rsidP="00E43651">
      <w:pPr>
        <w:spacing w:after="200" w:line="360" w:lineRule="auto"/>
        <w:rPr>
          <w:rStyle w:val="Hyperlink"/>
          <w:color w:val="auto"/>
          <w:u w:val="none"/>
        </w:rPr>
      </w:pPr>
    </w:p>
    <w:p w14:paraId="7B6BB53A" w14:textId="21A4CA19" w:rsidR="00E43651" w:rsidRPr="00E43651" w:rsidRDefault="00E43651" w:rsidP="00E43651">
      <w:pPr>
        <w:spacing w:after="200" w:line="360" w:lineRule="auto"/>
        <w:rPr>
          <w:rStyle w:val="Hyperlink"/>
          <w:b/>
          <w:color w:val="auto"/>
          <w:sz w:val="28"/>
          <w:szCs w:val="28"/>
          <w:u w:val="none"/>
        </w:rPr>
      </w:pPr>
      <w:r w:rsidRPr="00E43651">
        <w:rPr>
          <w:rStyle w:val="Hyperlink"/>
          <w:b/>
          <w:color w:val="auto"/>
          <w:sz w:val="28"/>
          <w:szCs w:val="28"/>
          <w:u w:val="none"/>
        </w:rPr>
        <w:t>The Second Pillar: The Supervisory Review</w:t>
      </w:r>
    </w:p>
    <w:p w14:paraId="78C38E32" w14:textId="49E9E57E" w:rsidR="00D16561" w:rsidRDefault="00D16561" w:rsidP="00D16561">
      <w:pPr>
        <w:spacing w:after="200" w:line="360" w:lineRule="auto"/>
        <w:rPr>
          <w:rStyle w:val="Hyperlink"/>
          <w:color w:val="auto"/>
          <w:u w:val="none"/>
        </w:rPr>
      </w:pPr>
    </w:p>
    <w:p w14:paraId="2D15E665" w14:textId="1D7F8F95" w:rsidR="00E43651" w:rsidRDefault="00E43651" w:rsidP="0060309E">
      <w:pPr>
        <w:pStyle w:val="ListParagraph"/>
        <w:numPr>
          <w:ilvl w:val="0"/>
          <w:numId w:val="16"/>
        </w:numPr>
        <w:spacing w:after="200" w:line="360" w:lineRule="auto"/>
        <w:rPr>
          <w:rStyle w:val="Hyperlink"/>
          <w:color w:val="auto"/>
          <w:u w:val="none"/>
        </w:rPr>
      </w:pPr>
      <w:r w:rsidRPr="00E43651">
        <w:rPr>
          <w:rStyle w:val="Hyperlink"/>
          <w:color w:val="auto"/>
        </w:rPr>
        <w:t>Assessment of Diverse Risk Capital</w:t>
      </w:r>
      <w:r w:rsidRPr="00E43651">
        <w:rPr>
          <w:rStyle w:val="Hyperlink"/>
          <w:color w:val="auto"/>
          <w:u w:val="none"/>
        </w:rPr>
        <w:t>: This is a regulatory response to the first pillar, giving the regulators better tools over those previously available. It also provides a framework for dealing with systemic risk, pension risk, concentration risk, strategic risk, reputational risk, liquidity risk, and legal risk, which the accord combines under the title of residual risk.</w:t>
      </w:r>
    </w:p>
    <w:p w14:paraId="41B3FD01" w14:textId="687F1055" w:rsidR="00E43651" w:rsidRDefault="00E43651" w:rsidP="0060309E">
      <w:pPr>
        <w:pStyle w:val="ListParagraph"/>
        <w:numPr>
          <w:ilvl w:val="0"/>
          <w:numId w:val="16"/>
        </w:numPr>
        <w:spacing w:after="200" w:line="360" w:lineRule="auto"/>
        <w:rPr>
          <w:rStyle w:val="Hyperlink"/>
          <w:color w:val="auto"/>
          <w:u w:val="none"/>
        </w:rPr>
      </w:pPr>
      <w:r>
        <w:rPr>
          <w:rStyle w:val="Hyperlink"/>
          <w:color w:val="auto"/>
        </w:rPr>
        <w:t>Internal Capital Adequacy Assessment Process</w:t>
      </w:r>
      <w:r w:rsidRPr="00E43651">
        <w:rPr>
          <w:rStyle w:val="Hyperlink"/>
          <w:color w:val="auto"/>
          <w:u w:val="none"/>
        </w:rPr>
        <w:t>:</w:t>
      </w:r>
      <w:r>
        <w:rPr>
          <w:rStyle w:val="Hyperlink"/>
          <w:color w:val="auto"/>
          <w:u w:val="none"/>
        </w:rPr>
        <w:t xml:space="preserve"> The Internal Capital Adequacy Assessment Process (ICAAP) is a result of Pillar 2 of the Basel accords.</w:t>
      </w:r>
    </w:p>
    <w:p w14:paraId="6DA27C4B" w14:textId="56566B6F" w:rsidR="00E43651" w:rsidRDefault="00E43651" w:rsidP="00E43651">
      <w:pPr>
        <w:spacing w:after="200" w:line="360" w:lineRule="auto"/>
        <w:rPr>
          <w:rStyle w:val="Hyperlink"/>
          <w:color w:val="auto"/>
          <w:u w:val="none"/>
        </w:rPr>
      </w:pPr>
    </w:p>
    <w:p w14:paraId="4C64722A" w14:textId="447CA43A" w:rsidR="00E43651" w:rsidRDefault="00E43651" w:rsidP="00E43651">
      <w:pPr>
        <w:spacing w:after="200" w:line="360" w:lineRule="auto"/>
        <w:rPr>
          <w:rStyle w:val="Hyperlink"/>
          <w:color w:val="auto"/>
          <w:u w:val="none"/>
        </w:rPr>
      </w:pPr>
    </w:p>
    <w:p w14:paraId="7CB51F48" w14:textId="2CD9AA2A" w:rsidR="00E43651" w:rsidRPr="00E43651" w:rsidRDefault="00E43651" w:rsidP="00E43651">
      <w:pPr>
        <w:spacing w:after="200" w:line="360" w:lineRule="auto"/>
        <w:rPr>
          <w:rStyle w:val="Hyperlink"/>
          <w:b/>
          <w:color w:val="auto"/>
          <w:sz w:val="28"/>
          <w:szCs w:val="28"/>
          <w:u w:val="none"/>
        </w:rPr>
      </w:pPr>
      <w:r w:rsidRPr="00E43651">
        <w:rPr>
          <w:rStyle w:val="Hyperlink"/>
          <w:b/>
          <w:color w:val="auto"/>
          <w:sz w:val="28"/>
          <w:szCs w:val="28"/>
          <w:u w:val="none"/>
        </w:rPr>
        <w:t>The Third Pillar: Market Discipline</w:t>
      </w:r>
    </w:p>
    <w:p w14:paraId="7F9ABCCF" w14:textId="6E4A47BC" w:rsidR="00E43651" w:rsidRDefault="00E43651" w:rsidP="00E43651">
      <w:pPr>
        <w:spacing w:after="200" w:line="360" w:lineRule="auto"/>
        <w:rPr>
          <w:rStyle w:val="Hyperlink"/>
          <w:color w:val="auto"/>
          <w:u w:val="none"/>
        </w:rPr>
      </w:pPr>
    </w:p>
    <w:p w14:paraId="32AEDEED" w14:textId="03BA1B1F" w:rsidR="00E43651" w:rsidRDefault="00E43651" w:rsidP="0060309E">
      <w:pPr>
        <w:pStyle w:val="ListParagraph"/>
        <w:numPr>
          <w:ilvl w:val="0"/>
          <w:numId w:val="17"/>
        </w:numPr>
        <w:spacing w:after="200" w:line="360" w:lineRule="auto"/>
        <w:rPr>
          <w:rStyle w:val="Hyperlink"/>
          <w:color w:val="auto"/>
          <w:u w:val="none"/>
        </w:rPr>
      </w:pPr>
      <w:r w:rsidRPr="00F73905">
        <w:rPr>
          <w:rStyle w:val="Hyperlink"/>
          <w:color w:val="auto"/>
        </w:rPr>
        <w:t xml:space="preserve">The Disclosure Requirements </w:t>
      </w:r>
      <w:r w:rsidR="00F73905" w:rsidRPr="00F73905">
        <w:rPr>
          <w:rStyle w:val="Hyperlink"/>
          <w:color w:val="auto"/>
        </w:rPr>
        <w:t xml:space="preserve">Component </w:t>
      </w:r>
      <w:r w:rsidRPr="00F73905">
        <w:rPr>
          <w:rStyle w:val="Hyperlink"/>
          <w:color w:val="auto"/>
        </w:rPr>
        <w:t>Complement</w:t>
      </w:r>
      <w:r w:rsidRPr="00F73905">
        <w:rPr>
          <w:rStyle w:val="Hyperlink"/>
          <w:color w:val="auto"/>
          <w:u w:val="none"/>
        </w:rPr>
        <w:t xml:space="preserve">: This pillar aims to complement the minimum capital requirements and the supervisory review process by developing a set of disclosure requirements </w:t>
      </w:r>
      <w:r w:rsidR="00F73905" w:rsidRPr="00F73905">
        <w:rPr>
          <w:rStyle w:val="Hyperlink"/>
          <w:color w:val="auto"/>
          <w:u w:val="none"/>
        </w:rPr>
        <w:t>which will allow market participants to gauge the capital adequacy of an institution.</w:t>
      </w:r>
    </w:p>
    <w:p w14:paraId="15AF18E8" w14:textId="6BD82DBD" w:rsidR="003369FB" w:rsidRDefault="003369FB" w:rsidP="0060309E">
      <w:pPr>
        <w:pStyle w:val="ListParagraph"/>
        <w:numPr>
          <w:ilvl w:val="0"/>
          <w:numId w:val="17"/>
        </w:numPr>
        <w:spacing w:after="200" w:line="360" w:lineRule="auto"/>
        <w:rPr>
          <w:rStyle w:val="Hyperlink"/>
          <w:color w:val="auto"/>
          <w:u w:val="none"/>
        </w:rPr>
      </w:pPr>
      <w:r>
        <w:rPr>
          <w:rStyle w:val="Hyperlink"/>
          <w:color w:val="auto"/>
        </w:rPr>
        <w:t>Advantages of the Disclosure</w:t>
      </w:r>
      <w:r w:rsidRPr="003369FB">
        <w:rPr>
          <w:rStyle w:val="Hyperlink"/>
          <w:color w:val="auto"/>
          <w:u w:val="none"/>
        </w:rPr>
        <w:t>:</w:t>
      </w:r>
      <w:r>
        <w:rPr>
          <w:rStyle w:val="Hyperlink"/>
          <w:color w:val="auto"/>
          <w:u w:val="none"/>
        </w:rPr>
        <w:t xml:space="preserve"> Market discipline supplements regulation as sharing of information facilitates assessment of the bank by others, including investors, analysts, customers, other banks, and ratings agencies, which leads to good governance.</w:t>
      </w:r>
    </w:p>
    <w:p w14:paraId="5F5FA318" w14:textId="2A1B2CE8" w:rsidR="003369FB" w:rsidRDefault="001727C1" w:rsidP="0060309E">
      <w:pPr>
        <w:pStyle w:val="ListParagraph"/>
        <w:numPr>
          <w:ilvl w:val="0"/>
          <w:numId w:val="17"/>
        </w:numPr>
        <w:spacing w:after="200" w:line="360" w:lineRule="auto"/>
        <w:rPr>
          <w:rStyle w:val="Hyperlink"/>
          <w:color w:val="auto"/>
          <w:u w:val="none"/>
        </w:rPr>
      </w:pPr>
      <w:r>
        <w:rPr>
          <w:rStyle w:val="Hyperlink"/>
          <w:color w:val="auto"/>
        </w:rPr>
        <w:lastRenderedPageBreak/>
        <w:t>Items of Disclosure/Reporting</w:t>
      </w:r>
      <w:r w:rsidRPr="001727C1">
        <w:rPr>
          <w:rStyle w:val="Hyperlink"/>
          <w:color w:val="auto"/>
          <w:u w:val="none"/>
        </w:rPr>
        <w:t>:</w:t>
      </w:r>
      <w:r>
        <w:rPr>
          <w:rStyle w:val="Hyperlink"/>
          <w:color w:val="auto"/>
          <w:u w:val="none"/>
        </w:rPr>
        <w:t xml:space="preserve"> The aim of Pillar 3 is to allow market discipline to operate by requiring institutions to disclose details on the scope of application, capital, risk exposures, risk assessment processes, and the capital adequacy of the institution.</w:t>
      </w:r>
    </w:p>
    <w:p w14:paraId="6F968D7E" w14:textId="4CA002E5" w:rsidR="001727C1" w:rsidRDefault="001727C1" w:rsidP="0060309E">
      <w:pPr>
        <w:pStyle w:val="ListParagraph"/>
        <w:numPr>
          <w:ilvl w:val="0"/>
          <w:numId w:val="17"/>
        </w:numPr>
        <w:spacing w:after="200" w:line="360" w:lineRule="auto"/>
        <w:rPr>
          <w:rStyle w:val="Hyperlink"/>
          <w:color w:val="auto"/>
          <w:u w:val="none"/>
        </w:rPr>
      </w:pPr>
      <w:r>
        <w:rPr>
          <w:rStyle w:val="Hyperlink"/>
          <w:color w:val="auto"/>
        </w:rPr>
        <w:t>Consistency with the Operating Objective</w:t>
      </w:r>
      <w:r w:rsidRPr="001727C1">
        <w:rPr>
          <w:rStyle w:val="Hyperlink"/>
          <w:color w:val="auto"/>
          <w:u w:val="none"/>
        </w:rPr>
        <w:t>:</w:t>
      </w:r>
      <w:r>
        <w:rPr>
          <w:rStyle w:val="Hyperlink"/>
          <w:color w:val="auto"/>
          <w:u w:val="none"/>
        </w:rPr>
        <w:t xml:space="preserve"> It should be consistent with how the senior management, including the board, assess and manage the risks of the institution.</w:t>
      </w:r>
    </w:p>
    <w:p w14:paraId="319BE40F" w14:textId="6D6D72F1" w:rsidR="001727C1" w:rsidRDefault="001727C1" w:rsidP="0060309E">
      <w:pPr>
        <w:pStyle w:val="ListParagraph"/>
        <w:numPr>
          <w:ilvl w:val="0"/>
          <w:numId w:val="17"/>
        </w:numPr>
        <w:spacing w:after="200" w:line="360" w:lineRule="auto"/>
        <w:rPr>
          <w:rStyle w:val="Hyperlink"/>
          <w:color w:val="auto"/>
          <w:u w:val="none"/>
        </w:rPr>
      </w:pPr>
      <w:r>
        <w:rPr>
          <w:rStyle w:val="Hyperlink"/>
          <w:color w:val="auto"/>
        </w:rPr>
        <w:t>Facilitating the Prudent Risk Assessment</w:t>
      </w:r>
      <w:r w:rsidRPr="001727C1">
        <w:rPr>
          <w:rStyle w:val="Hyperlink"/>
          <w:color w:val="auto"/>
          <w:u w:val="none"/>
        </w:rPr>
        <w:t>:</w:t>
      </w:r>
      <w:r>
        <w:rPr>
          <w:rStyle w:val="Hyperlink"/>
          <w:color w:val="auto"/>
          <w:u w:val="none"/>
        </w:rPr>
        <w:t xml:space="preserve"> When market participants have a sufficient understanding of the banks’ activities and the controls it has in place to manage its exposures, they are better able to distinguish between the banking organizations so that they can reward those that can manage their risks prudently and penalize those that do not.</w:t>
      </w:r>
    </w:p>
    <w:p w14:paraId="1ADF7B05" w14:textId="1E46C3EC" w:rsidR="001727C1" w:rsidRDefault="001727C1" w:rsidP="0060309E">
      <w:pPr>
        <w:pStyle w:val="ListParagraph"/>
        <w:numPr>
          <w:ilvl w:val="0"/>
          <w:numId w:val="17"/>
        </w:numPr>
        <w:spacing w:after="200" w:line="360" w:lineRule="auto"/>
        <w:rPr>
          <w:rStyle w:val="Hyperlink"/>
          <w:color w:val="auto"/>
          <w:u w:val="none"/>
        </w:rPr>
      </w:pPr>
      <w:r>
        <w:rPr>
          <w:rStyle w:val="Hyperlink"/>
          <w:color w:val="auto"/>
        </w:rPr>
        <w:t>Frequency of the Disclosures</w:t>
      </w:r>
      <w:r w:rsidRPr="001727C1">
        <w:rPr>
          <w:rStyle w:val="Hyperlink"/>
          <w:color w:val="auto"/>
          <w:u w:val="none"/>
        </w:rPr>
        <w:t>:</w:t>
      </w:r>
      <w:r>
        <w:rPr>
          <w:rStyle w:val="Hyperlink"/>
          <w:color w:val="auto"/>
          <w:u w:val="none"/>
        </w:rPr>
        <w:t xml:space="preserve"> These disclosures are required to be made at least twice a year, except for the qualitative disclosures providing a summary of the general risk management objectives and policies which can be made annually.</w:t>
      </w:r>
    </w:p>
    <w:p w14:paraId="1BD7085B" w14:textId="2818F77A" w:rsidR="00F23338" w:rsidRDefault="00F23338" w:rsidP="0060309E">
      <w:pPr>
        <w:pStyle w:val="ListParagraph"/>
        <w:numPr>
          <w:ilvl w:val="0"/>
          <w:numId w:val="17"/>
        </w:numPr>
        <w:spacing w:after="200" w:line="360" w:lineRule="auto"/>
        <w:rPr>
          <w:rStyle w:val="Hyperlink"/>
          <w:color w:val="auto"/>
          <w:u w:val="none"/>
        </w:rPr>
      </w:pPr>
      <w:r>
        <w:rPr>
          <w:rStyle w:val="Hyperlink"/>
          <w:color w:val="auto"/>
        </w:rPr>
        <w:t>Instituting the Disclosure Policy</w:t>
      </w:r>
      <w:r w:rsidRPr="00F23338">
        <w:rPr>
          <w:rStyle w:val="Hyperlink"/>
          <w:color w:val="auto"/>
          <w:u w:val="none"/>
        </w:rPr>
        <w:t>:</w:t>
      </w:r>
      <w:r>
        <w:rPr>
          <w:rStyle w:val="Hyperlink"/>
          <w:color w:val="auto"/>
          <w:u w:val="none"/>
        </w:rPr>
        <w:t xml:space="preserve"> </w:t>
      </w:r>
      <w:r w:rsidR="006E7709">
        <w:rPr>
          <w:rStyle w:val="Hyperlink"/>
          <w:color w:val="auto"/>
          <w:u w:val="none"/>
        </w:rPr>
        <w:t>Institutions are also required to create a formal policy on what will be disclosed and the controls around them along with the validation and the frequency of these disclosures.</w:t>
      </w:r>
    </w:p>
    <w:p w14:paraId="60DAC9FA" w14:textId="5EA53689" w:rsidR="006E7709" w:rsidRDefault="006E7709" w:rsidP="0060309E">
      <w:pPr>
        <w:pStyle w:val="ListParagraph"/>
        <w:numPr>
          <w:ilvl w:val="0"/>
          <w:numId w:val="17"/>
        </w:numPr>
        <w:spacing w:after="200" w:line="360" w:lineRule="auto"/>
        <w:rPr>
          <w:rStyle w:val="Hyperlink"/>
          <w:color w:val="auto"/>
          <w:u w:val="none"/>
        </w:rPr>
      </w:pPr>
      <w:r>
        <w:rPr>
          <w:rStyle w:val="Hyperlink"/>
          <w:color w:val="auto"/>
        </w:rPr>
        <w:t>Applicability at the BHC Level</w:t>
      </w:r>
      <w:r w:rsidRPr="006E7709">
        <w:rPr>
          <w:rStyle w:val="Hyperlink"/>
          <w:color w:val="auto"/>
          <w:u w:val="none"/>
        </w:rPr>
        <w:t>:</w:t>
      </w:r>
      <w:r>
        <w:rPr>
          <w:rStyle w:val="Hyperlink"/>
          <w:color w:val="auto"/>
          <w:u w:val="none"/>
        </w:rPr>
        <w:t xml:space="preserve"> In general, the disclosures under Pillar 3 apply to the top consolidated level of the banking group to which the Basel II framework applies.</w:t>
      </w:r>
    </w:p>
    <w:p w14:paraId="53F860B7" w14:textId="723D8502" w:rsidR="006E7709" w:rsidRDefault="006E7709" w:rsidP="006E7709">
      <w:pPr>
        <w:spacing w:after="200" w:line="360" w:lineRule="auto"/>
        <w:rPr>
          <w:rStyle w:val="Hyperlink"/>
          <w:color w:val="auto"/>
          <w:u w:val="none"/>
        </w:rPr>
      </w:pPr>
    </w:p>
    <w:p w14:paraId="3D24A3C6" w14:textId="41ABBB1F" w:rsidR="006E7709" w:rsidRDefault="006E7709" w:rsidP="006E7709">
      <w:pPr>
        <w:spacing w:after="200" w:line="360" w:lineRule="auto"/>
        <w:rPr>
          <w:rStyle w:val="Hyperlink"/>
          <w:color w:val="auto"/>
          <w:u w:val="none"/>
        </w:rPr>
      </w:pPr>
    </w:p>
    <w:p w14:paraId="74366615" w14:textId="2FF0F4AB" w:rsidR="006E7709" w:rsidRPr="006E7709" w:rsidRDefault="006E7709" w:rsidP="006E7709">
      <w:pPr>
        <w:spacing w:after="200" w:line="360" w:lineRule="auto"/>
        <w:rPr>
          <w:rStyle w:val="Hyperlink"/>
          <w:b/>
          <w:color w:val="auto"/>
          <w:sz w:val="28"/>
          <w:szCs w:val="28"/>
          <w:u w:val="none"/>
        </w:rPr>
      </w:pPr>
      <w:r w:rsidRPr="006E7709">
        <w:rPr>
          <w:rStyle w:val="Hyperlink"/>
          <w:b/>
          <w:color w:val="auto"/>
          <w:sz w:val="28"/>
          <w:szCs w:val="28"/>
          <w:u w:val="none"/>
        </w:rPr>
        <w:t>Chronological Updates</w:t>
      </w:r>
    </w:p>
    <w:p w14:paraId="0210FDDE" w14:textId="60E7DD74" w:rsidR="006E7709" w:rsidRDefault="006E7709" w:rsidP="006E7709">
      <w:pPr>
        <w:spacing w:after="200" w:line="360" w:lineRule="auto"/>
        <w:rPr>
          <w:rStyle w:val="Hyperlink"/>
          <w:color w:val="auto"/>
          <w:u w:val="none"/>
        </w:rPr>
      </w:pPr>
    </w:p>
    <w:p w14:paraId="3A2797A2" w14:textId="6D6E3D51" w:rsidR="006E7709" w:rsidRDefault="006E7709" w:rsidP="0060309E">
      <w:pPr>
        <w:pStyle w:val="ListParagraph"/>
        <w:numPr>
          <w:ilvl w:val="0"/>
          <w:numId w:val="18"/>
        </w:numPr>
        <w:spacing w:after="200" w:line="360" w:lineRule="auto"/>
        <w:rPr>
          <w:rStyle w:val="Hyperlink"/>
          <w:color w:val="auto"/>
          <w:u w:val="none"/>
        </w:rPr>
      </w:pPr>
      <w:r w:rsidRPr="006E7709">
        <w:rPr>
          <w:rStyle w:val="Hyperlink"/>
          <w:color w:val="auto"/>
        </w:rPr>
        <w:t>September 2005 Update</w:t>
      </w:r>
      <w:r w:rsidRPr="006E7709">
        <w:rPr>
          <w:rStyle w:val="Hyperlink"/>
          <w:color w:val="auto"/>
          <w:u w:val="none"/>
        </w:rPr>
        <w:t xml:space="preserve">: On </w:t>
      </w:r>
      <w:r>
        <w:rPr>
          <w:rStyle w:val="Hyperlink"/>
          <w:color w:val="auto"/>
          <w:u w:val="none"/>
        </w:rPr>
        <w:t xml:space="preserve">30 </w:t>
      </w:r>
      <w:r w:rsidRPr="006E7709">
        <w:rPr>
          <w:rStyle w:val="Hyperlink"/>
          <w:color w:val="auto"/>
          <w:u w:val="none"/>
        </w:rPr>
        <w:t>September 2005, the four US federal banking agencies (Office of the Comptroller of the Currency, Board of Governors of the Federal Reserve System, Federal Deposit Insurance Corporation, and Office of Thrift Supervision) announced their revised plans for the US implementation of the Basel II accord. This delayed the implementation of the accord for the US banks by 12 months (Federal Reserve (2005)).</w:t>
      </w:r>
    </w:p>
    <w:p w14:paraId="21B69DA6" w14:textId="0E417CF5" w:rsidR="006E7709" w:rsidRDefault="006E7709" w:rsidP="0060309E">
      <w:pPr>
        <w:pStyle w:val="ListParagraph"/>
        <w:numPr>
          <w:ilvl w:val="0"/>
          <w:numId w:val="18"/>
        </w:numPr>
        <w:spacing w:after="200" w:line="360" w:lineRule="auto"/>
        <w:rPr>
          <w:rStyle w:val="Hyperlink"/>
          <w:color w:val="auto"/>
          <w:u w:val="none"/>
        </w:rPr>
      </w:pPr>
      <w:r>
        <w:rPr>
          <w:rStyle w:val="Hyperlink"/>
          <w:color w:val="auto"/>
        </w:rPr>
        <w:t>November 2005 Update</w:t>
      </w:r>
      <w:r w:rsidRPr="006E7709">
        <w:rPr>
          <w:rStyle w:val="Hyperlink"/>
          <w:color w:val="auto"/>
          <w:u w:val="none"/>
        </w:rPr>
        <w:t>:</w:t>
      </w:r>
      <w:r>
        <w:rPr>
          <w:rStyle w:val="Hyperlink"/>
          <w:color w:val="auto"/>
          <w:u w:val="none"/>
        </w:rPr>
        <w:t xml:space="preserve"> On 15 November 2005, the committee released a revised version of the accord, incorporating changes to the calculations for market risk, and </w:t>
      </w:r>
      <w:r w:rsidR="00F720A2">
        <w:rPr>
          <w:rStyle w:val="Hyperlink"/>
          <w:color w:val="auto"/>
          <w:u w:val="none"/>
        </w:rPr>
        <w:t xml:space="preserve">the treatment of the </w:t>
      </w:r>
      <w:r w:rsidR="00F720A2">
        <w:rPr>
          <w:rStyle w:val="Hyperlink"/>
          <w:color w:val="auto"/>
          <w:u w:val="none"/>
        </w:rPr>
        <w:lastRenderedPageBreak/>
        <w:t>double default effects. These changes have been flagged well in advance, as part of a paper released in 2005 (Basel Committee on Banking Supervision (2005)).</w:t>
      </w:r>
    </w:p>
    <w:p w14:paraId="01638159" w14:textId="4E2A1B8B" w:rsidR="00F720A2" w:rsidRDefault="00F720A2" w:rsidP="0060309E">
      <w:pPr>
        <w:pStyle w:val="ListParagraph"/>
        <w:numPr>
          <w:ilvl w:val="0"/>
          <w:numId w:val="18"/>
        </w:numPr>
        <w:spacing w:after="200" w:line="360" w:lineRule="auto"/>
        <w:rPr>
          <w:rStyle w:val="Hyperlink"/>
          <w:color w:val="auto"/>
          <w:u w:val="none"/>
        </w:rPr>
      </w:pPr>
      <w:r>
        <w:rPr>
          <w:rStyle w:val="Hyperlink"/>
          <w:color w:val="auto"/>
        </w:rPr>
        <w:t>July 2006 Update</w:t>
      </w:r>
      <w:r w:rsidRPr="00F720A2">
        <w:rPr>
          <w:rStyle w:val="Hyperlink"/>
          <w:color w:val="auto"/>
          <w:u w:val="none"/>
        </w:rPr>
        <w:t>:</w:t>
      </w:r>
      <w:r>
        <w:rPr>
          <w:rStyle w:val="Hyperlink"/>
          <w:color w:val="auto"/>
          <w:u w:val="none"/>
        </w:rPr>
        <w:t xml:space="preserve"> O</w:t>
      </w:r>
      <w:r w:rsidR="00BB622A">
        <w:rPr>
          <w:rStyle w:val="Hyperlink"/>
          <w:color w:val="auto"/>
          <w:u w:val="none"/>
        </w:rPr>
        <w:t>n</w:t>
      </w:r>
      <w:r>
        <w:rPr>
          <w:rStyle w:val="Hyperlink"/>
          <w:color w:val="auto"/>
          <w:u w:val="none"/>
        </w:rPr>
        <w:t xml:space="preserve"> 4 July 2006, the committee released a comprehensive version of the accord, incorporating the June 2004 Basel II Framework, the elements of the 1988 accord that were not revised during the Basel II process, the 1996 Amendment to the capital accord to incorporate market risks, and the November 2005 paper (Basel Committee on Banking Supervision (2006)). No new elements were released in this compilation.</w:t>
      </w:r>
    </w:p>
    <w:p w14:paraId="0A6201D6" w14:textId="5414D22A" w:rsidR="00A80BCF" w:rsidRDefault="004447A1" w:rsidP="0060309E">
      <w:pPr>
        <w:pStyle w:val="ListParagraph"/>
        <w:numPr>
          <w:ilvl w:val="0"/>
          <w:numId w:val="18"/>
        </w:numPr>
        <w:spacing w:after="200" w:line="360" w:lineRule="auto"/>
        <w:rPr>
          <w:rStyle w:val="Hyperlink"/>
          <w:color w:val="auto"/>
          <w:u w:val="none"/>
        </w:rPr>
      </w:pPr>
      <w:r>
        <w:rPr>
          <w:rStyle w:val="Hyperlink"/>
          <w:color w:val="auto"/>
        </w:rPr>
        <w:t>November 2007 Update</w:t>
      </w:r>
      <w:r w:rsidRPr="004447A1">
        <w:rPr>
          <w:rStyle w:val="Hyperlink"/>
          <w:color w:val="auto"/>
          <w:u w:val="none"/>
        </w:rPr>
        <w:t>:</w:t>
      </w:r>
      <w:r>
        <w:rPr>
          <w:rStyle w:val="Hyperlink"/>
          <w:color w:val="auto"/>
          <w:u w:val="none"/>
        </w:rPr>
        <w:t xml:space="preserve"> </w:t>
      </w:r>
      <w:r w:rsidR="00BB622A">
        <w:rPr>
          <w:rStyle w:val="Hyperlink"/>
          <w:color w:val="auto"/>
          <w:u w:val="none"/>
        </w:rPr>
        <w:t>On 1 November 2007, the Office of the Comptroller of the Currency (US Department of Treasury) approved the final rule implementing the advanced approaches of the Basel II Capital Accord. This rule establishes regulatory and supervisory expectations for credit risk through the Internal Ratings Based (IRB) Approach, the operational risk through the Advanced Measurements Approach (AMA), and articulates enhanced standards for supervisory review of capital adequacy and public disclosures for the largest US banks (Office of the Comptroller of the Currency (2007)).</w:t>
      </w:r>
    </w:p>
    <w:p w14:paraId="3DCF7C96" w14:textId="4EFE5918" w:rsidR="00BB622A" w:rsidRDefault="00BB622A" w:rsidP="0060309E">
      <w:pPr>
        <w:pStyle w:val="ListParagraph"/>
        <w:numPr>
          <w:ilvl w:val="0"/>
          <w:numId w:val="18"/>
        </w:numPr>
        <w:spacing w:after="200" w:line="360" w:lineRule="auto"/>
        <w:rPr>
          <w:rStyle w:val="Hyperlink"/>
          <w:color w:val="auto"/>
          <w:u w:val="none"/>
        </w:rPr>
      </w:pPr>
      <w:r>
        <w:rPr>
          <w:rStyle w:val="Hyperlink"/>
          <w:color w:val="auto"/>
        </w:rPr>
        <w:t>July 2008 Update</w:t>
      </w:r>
      <w:r w:rsidRPr="00BB622A">
        <w:rPr>
          <w:rStyle w:val="Hyperlink"/>
          <w:color w:val="auto"/>
          <w:u w:val="none"/>
        </w:rPr>
        <w:t>:</w:t>
      </w:r>
      <w:r>
        <w:rPr>
          <w:rStyle w:val="Hyperlink"/>
          <w:color w:val="auto"/>
          <w:u w:val="none"/>
        </w:rPr>
        <w:t xml:space="preserve"> On 16 July 2008, the federal banking and the thrift agencies </w:t>
      </w:r>
      <w:r w:rsidRPr="006E7709">
        <w:rPr>
          <w:rStyle w:val="Hyperlink"/>
          <w:color w:val="auto"/>
          <w:u w:val="none"/>
        </w:rPr>
        <w:t>(Office of the Comptroller of the Currency, Board of Governors of the Federal Reserve System, Federal Deposit Insurance Corporation, and Office of Thrift Supervision)</w:t>
      </w:r>
      <w:r>
        <w:rPr>
          <w:rStyle w:val="Hyperlink"/>
          <w:color w:val="auto"/>
          <w:u w:val="none"/>
        </w:rPr>
        <w:t xml:space="preserve"> issued a final guidance outlining the supervisory review process for the banking institutions that are implementing the new advanced capital adequacy framework (Basel II). The final guidance, relating to the supervisory review, is aimed at helping banking institutions meet certain qualification requirements in the advanced approaches rule, which took effect on 1 April 2008.</w:t>
      </w:r>
    </w:p>
    <w:p w14:paraId="0EACC011" w14:textId="4B429A87" w:rsidR="00175893" w:rsidRDefault="00175893" w:rsidP="0060309E">
      <w:pPr>
        <w:pStyle w:val="ListParagraph"/>
        <w:numPr>
          <w:ilvl w:val="0"/>
          <w:numId w:val="18"/>
        </w:numPr>
        <w:spacing w:after="200" w:line="360" w:lineRule="auto"/>
        <w:rPr>
          <w:rStyle w:val="Hyperlink"/>
          <w:color w:val="auto"/>
          <w:u w:val="none"/>
        </w:rPr>
      </w:pPr>
      <w:r>
        <w:rPr>
          <w:rStyle w:val="Hyperlink"/>
          <w:color w:val="auto"/>
        </w:rPr>
        <w:t>16 January 2009 Update</w:t>
      </w:r>
      <w:r w:rsidRPr="00175893">
        <w:rPr>
          <w:rStyle w:val="Hyperlink"/>
          <w:color w:val="auto"/>
          <w:u w:val="none"/>
        </w:rPr>
        <w:t>:</w:t>
      </w:r>
      <w:r>
        <w:rPr>
          <w:rStyle w:val="Hyperlink"/>
          <w:color w:val="auto"/>
          <w:u w:val="none"/>
        </w:rPr>
        <w:t xml:space="preserve"> For public consultations, a series of proposals to enhance the Basel II framework was announced by the Basel committee. It released a consultative package that includes: the revision to the Basel II market risk framework, the guidelines for computing capital for incremental risk in the trading book, and proposed enhancements to the Basel II framework (Basel Committee on Banking Supervision (2009a)).</w:t>
      </w:r>
    </w:p>
    <w:p w14:paraId="450306D3" w14:textId="1DDF81F8" w:rsidR="00175893" w:rsidRPr="006E7709" w:rsidRDefault="00175893" w:rsidP="0060309E">
      <w:pPr>
        <w:pStyle w:val="ListParagraph"/>
        <w:numPr>
          <w:ilvl w:val="0"/>
          <w:numId w:val="18"/>
        </w:numPr>
        <w:spacing w:after="200" w:line="360" w:lineRule="auto"/>
        <w:rPr>
          <w:rStyle w:val="Hyperlink"/>
          <w:color w:val="auto"/>
          <w:u w:val="none"/>
        </w:rPr>
      </w:pPr>
      <w:r>
        <w:rPr>
          <w:rStyle w:val="Hyperlink"/>
          <w:color w:val="auto"/>
        </w:rPr>
        <w:t>8-9 July 2009 Update</w:t>
      </w:r>
      <w:r w:rsidRPr="00175893">
        <w:rPr>
          <w:rStyle w:val="Hyperlink"/>
          <w:color w:val="auto"/>
          <w:u w:val="none"/>
        </w:rPr>
        <w:t>:</w:t>
      </w:r>
      <w:r>
        <w:rPr>
          <w:rStyle w:val="Hyperlink"/>
          <w:color w:val="auto"/>
          <w:u w:val="none"/>
        </w:rPr>
        <w:t xml:space="preserve"> The final package of measures to enhance the three pillars of the Basel II framework and the strengthening of the 1996 rules governing the trading book capital was issued by the newly expanded Basel Committee. These measures include the enhancement to the Basel II framework, the revisions to the Basel II market risk framework, and the </w:t>
      </w:r>
      <w:r>
        <w:rPr>
          <w:rStyle w:val="Hyperlink"/>
          <w:color w:val="auto"/>
          <w:u w:val="none"/>
        </w:rPr>
        <w:lastRenderedPageBreak/>
        <w:t>guidelines for computing capital for the incremental risk in the trading book (Basel Committee on Banking Supervision (2009b)).</w:t>
      </w:r>
    </w:p>
    <w:p w14:paraId="4509E838" w14:textId="77777777" w:rsidR="00E43651" w:rsidRDefault="00E43651" w:rsidP="00D16561">
      <w:pPr>
        <w:spacing w:after="200" w:line="360" w:lineRule="auto"/>
        <w:rPr>
          <w:rStyle w:val="Hyperlink"/>
          <w:color w:val="auto"/>
          <w:u w:val="none"/>
        </w:rPr>
      </w:pPr>
    </w:p>
    <w:p w14:paraId="3FF59C76" w14:textId="77777777" w:rsidR="00D16561" w:rsidRDefault="00D16561" w:rsidP="00D16561">
      <w:pPr>
        <w:spacing w:after="200" w:line="360" w:lineRule="auto"/>
        <w:rPr>
          <w:rStyle w:val="Hyperlink"/>
          <w:color w:val="auto"/>
          <w:u w:val="none"/>
        </w:rPr>
      </w:pPr>
    </w:p>
    <w:p w14:paraId="01331AAA" w14:textId="77777777" w:rsidR="00D16561" w:rsidRPr="007C5085" w:rsidRDefault="00D16561" w:rsidP="00D16561">
      <w:pPr>
        <w:spacing w:after="200" w:line="360" w:lineRule="auto"/>
        <w:rPr>
          <w:rStyle w:val="Hyperlink"/>
          <w:b/>
          <w:color w:val="auto"/>
          <w:sz w:val="28"/>
          <w:szCs w:val="28"/>
          <w:u w:val="none"/>
        </w:rPr>
      </w:pPr>
      <w:r w:rsidRPr="007C5085">
        <w:rPr>
          <w:rStyle w:val="Hyperlink"/>
          <w:b/>
          <w:color w:val="auto"/>
          <w:sz w:val="28"/>
          <w:szCs w:val="28"/>
          <w:u w:val="none"/>
        </w:rPr>
        <w:t>References</w:t>
      </w:r>
    </w:p>
    <w:p w14:paraId="2092A109" w14:textId="77777777" w:rsidR="00D16561" w:rsidRDefault="00D16561" w:rsidP="00D16561">
      <w:pPr>
        <w:spacing w:after="200" w:line="360" w:lineRule="auto"/>
        <w:rPr>
          <w:rStyle w:val="Hyperlink"/>
          <w:color w:val="auto"/>
          <w:u w:val="none"/>
        </w:rPr>
      </w:pPr>
    </w:p>
    <w:p w14:paraId="7415798B" w14:textId="0C1BFC2E" w:rsidR="00F720A2" w:rsidRDefault="00F720A2" w:rsidP="0060309E">
      <w:pPr>
        <w:pStyle w:val="ListParagraph"/>
        <w:numPr>
          <w:ilvl w:val="0"/>
          <w:numId w:val="2"/>
        </w:numPr>
        <w:spacing w:after="200" w:line="360" w:lineRule="auto"/>
        <w:rPr>
          <w:rStyle w:val="Hyperlink"/>
          <w:color w:val="auto"/>
          <w:u w:val="none"/>
        </w:rPr>
      </w:pPr>
      <w:r>
        <w:rPr>
          <w:rStyle w:val="Hyperlink"/>
          <w:color w:val="auto"/>
          <w:u w:val="none"/>
        </w:rPr>
        <w:t xml:space="preserve">Basel Committee on Banking Supervision (2005): </w:t>
      </w:r>
      <w:hyperlink r:id="rId9" w:history="1">
        <w:r w:rsidRPr="00F720A2">
          <w:rPr>
            <w:rStyle w:val="Hyperlink"/>
          </w:rPr>
          <w:t>International Convergence of Capital Measurement and Capital Standards</w:t>
        </w:r>
      </w:hyperlink>
    </w:p>
    <w:p w14:paraId="28A62BFB" w14:textId="6DC019E8" w:rsidR="00F720A2" w:rsidRDefault="00F720A2" w:rsidP="0060309E">
      <w:pPr>
        <w:pStyle w:val="ListParagraph"/>
        <w:numPr>
          <w:ilvl w:val="0"/>
          <w:numId w:val="2"/>
        </w:numPr>
        <w:spacing w:after="200" w:line="360" w:lineRule="auto"/>
        <w:rPr>
          <w:rStyle w:val="Hyperlink"/>
          <w:color w:val="auto"/>
          <w:u w:val="none"/>
        </w:rPr>
      </w:pPr>
      <w:r>
        <w:rPr>
          <w:rStyle w:val="Hyperlink"/>
          <w:color w:val="auto"/>
          <w:u w:val="none"/>
        </w:rPr>
        <w:t xml:space="preserve">Basel Committee on Banking Supervision (2006): </w:t>
      </w:r>
      <w:hyperlink r:id="rId10" w:history="1">
        <w:r w:rsidRPr="00F720A2">
          <w:rPr>
            <w:rStyle w:val="Hyperlink"/>
          </w:rPr>
          <w:t>International Convergence of Capital Measurement and Capital Standards</w:t>
        </w:r>
      </w:hyperlink>
    </w:p>
    <w:p w14:paraId="7DAECBD8" w14:textId="19AA5A7F" w:rsidR="00175893" w:rsidRDefault="00175893" w:rsidP="0060309E">
      <w:pPr>
        <w:pStyle w:val="ListParagraph"/>
        <w:numPr>
          <w:ilvl w:val="0"/>
          <w:numId w:val="2"/>
        </w:numPr>
        <w:spacing w:after="200" w:line="360" w:lineRule="auto"/>
        <w:rPr>
          <w:rStyle w:val="Hyperlink"/>
          <w:color w:val="auto"/>
          <w:u w:val="none"/>
        </w:rPr>
      </w:pPr>
      <w:r>
        <w:rPr>
          <w:rStyle w:val="Hyperlink"/>
          <w:color w:val="auto"/>
          <w:u w:val="none"/>
        </w:rPr>
        <w:t xml:space="preserve">Basel Committee on Banking Supervision (2009a): </w:t>
      </w:r>
      <w:hyperlink r:id="rId11" w:history="1">
        <w:r w:rsidRPr="00175893">
          <w:rPr>
            <w:rStyle w:val="Hyperlink"/>
          </w:rPr>
          <w:t>Revisions to the Basel II Market Risk Framework</w:t>
        </w:r>
      </w:hyperlink>
    </w:p>
    <w:p w14:paraId="375E80DF" w14:textId="1246985F" w:rsidR="00175893" w:rsidRDefault="00175893" w:rsidP="0060309E">
      <w:pPr>
        <w:pStyle w:val="ListParagraph"/>
        <w:numPr>
          <w:ilvl w:val="0"/>
          <w:numId w:val="2"/>
        </w:numPr>
        <w:spacing w:after="200" w:line="360" w:lineRule="auto"/>
        <w:rPr>
          <w:rStyle w:val="Hyperlink"/>
          <w:color w:val="auto"/>
          <w:u w:val="none"/>
        </w:rPr>
      </w:pPr>
      <w:r>
        <w:rPr>
          <w:rStyle w:val="Hyperlink"/>
          <w:color w:val="auto"/>
          <w:u w:val="none"/>
        </w:rPr>
        <w:t xml:space="preserve">Basel Committee on Banking Supervision (2009b): </w:t>
      </w:r>
      <w:hyperlink r:id="rId12" w:history="1">
        <w:r w:rsidRPr="00175893">
          <w:rPr>
            <w:rStyle w:val="Hyperlink"/>
          </w:rPr>
          <w:t>Basel II: Revised International Capital Framework</w:t>
        </w:r>
      </w:hyperlink>
    </w:p>
    <w:p w14:paraId="43A42C74" w14:textId="5080B10F" w:rsidR="00855559" w:rsidRDefault="00855559" w:rsidP="0060309E">
      <w:pPr>
        <w:pStyle w:val="ListParagraph"/>
        <w:numPr>
          <w:ilvl w:val="0"/>
          <w:numId w:val="2"/>
        </w:numPr>
        <w:spacing w:after="200" w:line="360" w:lineRule="auto"/>
        <w:rPr>
          <w:rStyle w:val="Hyperlink"/>
          <w:color w:val="auto"/>
          <w:u w:val="none"/>
        </w:rPr>
      </w:pPr>
      <w:r>
        <w:rPr>
          <w:rStyle w:val="Hyperlink"/>
          <w:color w:val="auto"/>
          <w:u w:val="none"/>
        </w:rPr>
        <w:t xml:space="preserve">Council of Mortgage Lenders (2011): </w:t>
      </w:r>
      <w:hyperlink r:id="rId13" w:history="1">
        <w:r w:rsidRPr="00855559">
          <w:rPr>
            <w:rStyle w:val="Hyperlink"/>
          </w:rPr>
          <w:t>Basel II – Questions and Answers</w:t>
        </w:r>
      </w:hyperlink>
    </w:p>
    <w:p w14:paraId="05784A07" w14:textId="29983D64" w:rsidR="006E7709" w:rsidRDefault="006E7709" w:rsidP="0060309E">
      <w:pPr>
        <w:pStyle w:val="ListParagraph"/>
        <w:numPr>
          <w:ilvl w:val="0"/>
          <w:numId w:val="2"/>
        </w:numPr>
        <w:spacing w:after="200" w:line="360" w:lineRule="auto"/>
        <w:rPr>
          <w:rStyle w:val="Hyperlink"/>
          <w:color w:val="auto"/>
          <w:u w:val="none"/>
        </w:rPr>
      </w:pPr>
      <w:r>
        <w:rPr>
          <w:rStyle w:val="Hyperlink"/>
          <w:color w:val="auto"/>
          <w:u w:val="none"/>
        </w:rPr>
        <w:t xml:space="preserve">Federal Reserve (2005): </w:t>
      </w:r>
      <w:hyperlink r:id="rId14" w:history="1">
        <w:r w:rsidRPr="006E7709">
          <w:rPr>
            <w:rStyle w:val="Hyperlink"/>
          </w:rPr>
          <w:t>Banking Agencies Announce Revised Plans for the Implementation of the Basel II Framework</w:t>
        </w:r>
      </w:hyperlink>
    </w:p>
    <w:p w14:paraId="07B90E5E" w14:textId="0984B86F" w:rsidR="00855559" w:rsidRDefault="00855559" w:rsidP="0060309E">
      <w:pPr>
        <w:pStyle w:val="ListParagraph"/>
        <w:numPr>
          <w:ilvl w:val="0"/>
          <w:numId w:val="2"/>
        </w:numPr>
        <w:spacing w:after="200" w:line="360" w:lineRule="auto"/>
        <w:rPr>
          <w:rStyle w:val="Hyperlink"/>
          <w:color w:val="auto"/>
          <w:u w:val="none"/>
        </w:rPr>
      </w:pPr>
      <w:r>
        <w:rPr>
          <w:rStyle w:val="Hyperlink"/>
          <w:color w:val="auto"/>
          <w:u w:val="none"/>
        </w:rPr>
        <w:t xml:space="preserve">Office of the Comptroller of the Currency (2007): </w:t>
      </w:r>
      <w:hyperlink r:id="rId15" w:history="1">
        <w:r w:rsidRPr="00855559">
          <w:rPr>
            <w:rStyle w:val="Hyperlink"/>
          </w:rPr>
          <w:t>OCC Approves Basel Capital Rule</w:t>
        </w:r>
      </w:hyperlink>
    </w:p>
    <w:p w14:paraId="5873DD17" w14:textId="785C4B13" w:rsidR="00D16561" w:rsidRPr="007C5085" w:rsidRDefault="00D16561" w:rsidP="0060309E">
      <w:pPr>
        <w:pStyle w:val="ListParagraph"/>
        <w:numPr>
          <w:ilvl w:val="0"/>
          <w:numId w:val="2"/>
        </w:numPr>
        <w:spacing w:after="200" w:line="360" w:lineRule="auto"/>
        <w:rPr>
          <w:rStyle w:val="Hyperlink"/>
          <w:color w:val="auto"/>
          <w:u w:val="none"/>
        </w:rPr>
      </w:pPr>
      <w:r w:rsidRPr="007C5085">
        <w:rPr>
          <w:rStyle w:val="Hyperlink"/>
          <w:color w:val="auto"/>
          <w:u w:val="none"/>
        </w:rPr>
        <w:t xml:space="preserve">Wikipedia (2018): </w:t>
      </w:r>
      <w:hyperlink r:id="rId16" w:history="1">
        <w:r>
          <w:rPr>
            <w:rStyle w:val="Hyperlink"/>
          </w:rPr>
          <w:t>Basel II</w:t>
        </w:r>
      </w:hyperlink>
    </w:p>
    <w:p w14:paraId="2E6F47F5" w14:textId="5C486A01" w:rsidR="007C5085" w:rsidRDefault="007C5085">
      <w:pPr>
        <w:spacing w:after="200" w:line="276" w:lineRule="auto"/>
        <w:rPr>
          <w:rStyle w:val="Hyperlink"/>
          <w:color w:val="auto"/>
          <w:u w:val="none"/>
        </w:rPr>
      </w:pPr>
      <w:r>
        <w:rPr>
          <w:rStyle w:val="Hyperlink"/>
          <w:color w:val="auto"/>
          <w:u w:val="none"/>
        </w:rPr>
        <w:br w:type="page"/>
      </w:r>
    </w:p>
    <w:p w14:paraId="7E283BC5" w14:textId="77777777" w:rsidR="00EB31F3" w:rsidRDefault="00EB31F3" w:rsidP="007C5085">
      <w:pPr>
        <w:spacing w:after="200" w:line="360" w:lineRule="auto"/>
        <w:rPr>
          <w:rStyle w:val="Hyperlink"/>
          <w:color w:val="auto"/>
          <w:u w:val="none"/>
        </w:rPr>
      </w:pPr>
    </w:p>
    <w:p w14:paraId="6889F67D" w14:textId="77777777" w:rsidR="007C5085" w:rsidRPr="007C5085" w:rsidRDefault="007C5085" w:rsidP="007C5085">
      <w:pPr>
        <w:spacing w:after="200" w:line="360" w:lineRule="auto"/>
        <w:jc w:val="center"/>
        <w:rPr>
          <w:rStyle w:val="Hyperlink"/>
          <w:b/>
          <w:color w:val="auto"/>
          <w:sz w:val="32"/>
          <w:szCs w:val="32"/>
          <w:u w:val="none"/>
        </w:rPr>
      </w:pPr>
      <w:r w:rsidRPr="007C5085">
        <w:rPr>
          <w:rStyle w:val="Hyperlink"/>
          <w:b/>
          <w:color w:val="auto"/>
          <w:sz w:val="32"/>
          <w:szCs w:val="32"/>
          <w:u w:val="none"/>
        </w:rPr>
        <w:t>Basel III</w:t>
      </w:r>
    </w:p>
    <w:p w14:paraId="0FC2186B" w14:textId="77777777" w:rsidR="007C5085" w:rsidRDefault="007C5085" w:rsidP="007C5085">
      <w:pPr>
        <w:spacing w:after="200" w:line="360" w:lineRule="auto"/>
        <w:rPr>
          <w:rStyle w:val="Hyperlink"/>
          <w:color w:val="auto"/>
          <w:u w:val="none"/>
        </w:rPr>
      </w:pPr>
    </w:p>
    <w:p w14:paraId="242F6FC7" w14:textId="77777777" w:rsidR="007C5085" w:rsidRDefault="007C5085" w:rsidP="007C5085">
      <w:pPr>
        <w:spacing w:after="200" w:line="360" w:lineRule="auto"/>
        <w:rPr>
          <w:rStyle w:val="Hyperlink"/>
          <w:color w:val="auto"/>
          <w:u w:val="none"/>
        </w:rPr>
      </w:pPr>
    </w:p>
    <w:p w14:paraId="4ADFF3E4" w14:textId="77777777" w:rsidR="007C5085" w:rsidRPr="007C5085" w:rsidRDefault="007C5085" w:rsidP="007C5085">
      <w:pPr>
        <w:spacing w:after="200" w:line="360" w:lineRule="auto"/>
        <w:rPr>
          <w:rStyle w:val="Hyperlink"/>
          <w:b/>
          <w:color w:val="auto"/>
          <w:sz w:val="28"/>
          <w:szCs w:val="28"/>
          <w:u w:val="none"/>
        </w:rPr>
      </w:pPr>
      <w:r w:rsidRPr="007C5085">
        <w:rPr>
          <w:rStyle w:val="Hyperlink"/>
          <w:b/>
          <w:color w:val="auto"/>
          <w:sz w:val="28"/>
          <w:szCs w:val="28"/>
          <w:u w:val="none"/>
        </w:rPr>
        <w:t>Overview</w:t>
      </w:r>
    </w:p>
    <w:p w14:paraId="0C9C606D" w14:textId="77777777" w:rsidR="007C5085" w:rsidRDefault="007C5085" w:rsidP="007C5085">
      <w:pPr>
        <w:spacing w:after="200" w:line="360" w:lineRule="auto"/>
        <w:rPr>
          <w:rStyle w:val="Hyperlink"/>
          <w:color w:val="auto"/>
          <w:u w:val="none"/>
        </w:rPr>
      </w:pPr>
    </w:p>
    <w:p w14:paraId="662BECF8" w14:textId="77777777" w:rsidR="007C5085" w:rsidRDefault="007C5085" w:rsidP="0060309E">
      <w:pPr>
        <w:pStyle w:val="ListParagraph"/>
        <w:numPr>
          <w:ilvl w:val="0"/>
          <w:numId w:val="1"/>
        </w:numPr>
        <w:spacing w:after="200" w:line="360" w:lineRule="auto"/>
        <w:rPr>
          <w:rStyle w:val="Hyperlink"/>
          <w:color w:val="auto"/>
          <w:u w:val="none"/>
        </w:rPr>
      </w:pPr>
      <w:r w:rsidRPr="007C5085">
        <w:rPr>
          <w:rStyle w:val="Hyperlink"/>
          <w:color w:val="auto"/>
        </w:rPr>
        <w:t>Definition of Basel III Standard</w:t>
      </w:r>
      <w:r w:rsidRPr="007C5085">
        <w:rPr>
          <w:rStyle w:val="Hyperlink"/>
          <w:color w:val="auto"/>
          <w:u w:val="none"/>
        </w:rPr>
        <w:t xml:space="preserve">: </w:t>
      </w:r>
      <w:r w:rsidRPr="007C5085">
        <w:rPr>
          <w:rStyle w:val="Hyperlink"/>
          <w:b/>
          <w:color w:val="auto"/>
          <w:u w:val="none"/>
        </w:rPr>
        <w:t>Basel III</w:t>
      </w:r>
      <w:r w:rsidRPr="007C5085">
        <w:rPr>
          <w:rStyle w:val="Hyperlink"/>
          <w:color w:val="auto"/>
          <w:u w:val="none"/>
        </w:rPr>
        <w:t xml:space="preserve"> – or the </w:t>
      </w:r>
      <w:r w:rsidRPr="007C5085">
        <w:rPr>
          <w:rStyle w:val="Hyperlink"/>
          <w:b/>
          <w:color w:val="auto"/>
          <w:u w:val="none"/>
        </w:rPr>
        <w:t>Third Basel Accord</w:t>
      </w:r>
      <w:r w:rsidRPr="007C5085">
        <w:rPr>
          <w:rStyle w:val="Hyperlink"/>
          <w:color w:val="auto"/>
          <w:u w:val="none"/>
        </w:rPr>
        <w:t xml:space="preserve"> or </w:t>
      </w:r>
      <w:r w:rsidRPr="007C5085">
        <w:rPr>
          <w:rStyle w:val="Hyperlink"/>
          <w:b/>
          <w:color w:val="auto"/>
          <w:u w:val="none"/>
        </w:rPr>
        <w:t>Basel Standards</w:t>
      </w:r>
      <w:r w:rsidRPr="007C5085">
        <w:rPr>
          <w:rStyle w:val="Hyperlink"/>
          <w:color w:val="auto"/>
          <w:u w:val="none"/>
        </w:rPr>
        <w:t xml:space="preserve"> – is a global, voluntary regulatory framework on bank capital adequacy, stress testing, and market liquidity risk (Wikipedia (2018)).</w:t>
      </w:r>
    </w:p>
    <w:p w14:paraId="3E2EC8DA" w14:textId="77777777" w:rsidR="007C5085" w:rsidRDefault="007C5085" w:rsidP="0060309E">
      <w:pPr>
        <w:pStyle w:val="ListParagraph"/>
        <w:numPr>
          <w:ilvl w:val="0"/>
          <w:numId w:val="1"/>
        </w:numPr>
        <w:spacing w:after="200" w:line="360" w:lineRule="auto"/>
        <w:rPr>
          <w:rStyle w:val="Hyperlink"/>
          <w:color w:val="auto"/>
          <w:u w:val="none"/>
        </w:rPr>
      </w:pPr>
      <w:r>
        <w:rPr>
          <w:rStyle w:val="Hyperlink"/>
          <w:color w:val="auto"/>
        </w:rPr>
        <w:t>Successor to Basel I and II</w:t>
      </w:r>
      <w:r w:rsidRPr="007C5085">
        <w:rPr>
          <w:rStyle w:val="Hyperlink"/>
          <w:color w:val="auto"/>
          <w:u w:val="none"/>
        </w:rPr>
        <w:t>:</w:t>
      </w:r>
      <w:r>
        <w:rPr>
          <w:rStyle w:val="Hyperlink"/>
          <w:color w:val="auto"/>
          <w:u w:val="none"/>
        </w:rPr>
        <w:t xml:space="preserve"> This third installment of Basel Accords was developed in response to the inadequacies in financial regulation revealed by the financial crisis of 2007-8.</w:t>
      </w:r>
    </w:p>
    <w:p w14:paraId="23DC161C" w14:textId="77777777" w:rsidR="007C5085" w:rsidRDefault="000C1B68" w:rsidP="0060309E">
      <w:pPr>
        <w:pStyle w:val="ListParagraph"/>
        <w:numPr>
          <w:ilvl w:val="0"/>
          <w:numId w:val="1"/>
        </w:numPr>
        <w:spacing w:after="200" w:line="360" w:lineRule="auto"/>
        <w:rPr>
          <w:rStyle w:val="Hyperlink"/>
          <w:color w:val="auto"/>
          <w:u w:val="none"/>
        </w:rPr>
      </w:pPr>
      <w:r>
        <w:rPr>
          <w:rStyle w:val="Hyperlink"/>
          <w:color w:val="auto"/>
        </w:rPr>
        <w:t>Strengthening the Bank Capital Requirements</w:t>
      </w:r>
      <w:r w:rsidRPr="000C1B68">
        <w:rPr>
          <w:rStyle w:val="Hyperlink"/>
          <w:color w:val="auto"/>
          <w:u w:val="none"/>
        </w:rPr>
        <w:t>:</w:t>
      </w:r>
      <w:r>
        <w:rPr>
          <w:rStyle w:val="Hyperlink"/>
          <w:color w:val="auto"/>
          <w:u w:val="none"/>
        </w:rPr>
        <w:t xml:space="preserve"> It is intended to improve bank capital requirements by increasing the liquidity and decreasing leverage.</w:t>
      </w:r>
    </w:p>
    <w:p w14:paraId="4D48EB84" w14:textId="77777777" w:rsidR="000C1B68" w:rsidRDefault="000C1B68" w:rsidP="0060309E">
      <w:pPr>
        <w:pStyle w:val="ListParagraph"/>
        <w:numPr>
          <w:ilvl w:val="0"/>
          <w:numId w:val="1"/>
        </w:numPr>
        <w:spacing w:after="200" w:line="360" w:lineRule="auto"/>
        <w:rPr>
          <w:rStyle w:val="Hyperlink"/>
          <w:color w:val="auto"/>
          <w:u w:val="none"/>
        </w:rPr>
      </w:pPr>
      <w:r>
        <w:rPr>
          <w:rStyle w:val="Hyperlink"/>
          <w:color w:val="auto"/>
        </w:rPr>
        <w:t>Timeline - From Introduction to Complete Implementation</w:t>
      </w:r>
      <w:r w:rsidRPr="000C1B68">
        <w:rPr>
          <w:rStyle w:val="Hyperlink"/>
          <w:color w:val="auto"/>
          <w:u w:val="none"/>
        </w:rPr>
        <w:t>:</w:t>
      </w:r>
      <w:r>
        <w:rPr>
          <w:rStyle w:val="Hyperlink"/>
          <w:color w:val="auto"/>
          <w:u w:val="none"/>
        </w:rPr>
        <w:t xml:space="preserve"> Basel III was agreed upon by the members of the Basel Committee for Banking Standards in November 2010, and was scheduled to be introduced from 2013 until 2015, however, implementation was repeatedly push</w:t>
      </w:r>
      <w:r w:rsidR="00A860EC">
        <w:rPr>
          <w:rStyle w:val="Hyperlink"/>
          <w:color w:val="auto"/>
          <w:u w:val="none"/>
        </w:rPr>
        <w:t>ed</w:t>
      </w:r>
      <w:r>
        <w:rPr>
          <w:rStyle w:val="Hyperlink"/>
          <w:color w:val="auto"/>
          <w:u w:val="none"/>
        </w:rPr>
        <w:t xml:space="preserve"> to 31 March 2019 (Basel Committee </w:t>
      </w:r>
      <w:r w:rsidR="004D5415">
        <w:rPr>
          <w:rStyle w:val="Hyperlink"/>
          <w:color w:val="auto"/>
          <w:u w:val="none"/>
        </w:rPr>
        <w:t>on</w:t>
      </w:r>
      <w:r>
        <w:rPr>
          <w:rStyle w:val="Hyperlink"/>
          <w:color w:val="auto"/>
          <w:u w:val="none"/>
        </w:rPr>
        <w:t xml:space="preserve"> Banking </w:t>
      </w:r>
      <w:r w:rsidR="004D5415">
        <w:rPr>
          <w:rStyle w:val="Hyperlink"/>
          <w:color w:val="auto"/>
          <w:u w:val="none"/>
        </w:rPr>
        <w:t>Supervision</w:t>
      </w:r>
      <w:r>
        <w:rPr>
          <w:rStyle w:val="Hyperlink"/>
          <w:color w:val="auto"/>
          <w:u w:val="none"/>
        </w:rPr>
        <w:t xml:space="preserve"> (2010)).</w:t>
      </w:r>
    </w:p>
    <w:p w14:paraId="017FFB67" w14:textId="77777777" w:rsidR="000C1B68" w:rsidRDefault="000C1B68" w:rsidP="0060309E">
      <w:pPr>
        <w:pStyle w:val="ListParagraph"/>
        <w:numPr>
          <w:ilvl w:val="0"/>
          <w:numId w:val="1"/>
        </w:numPr>
        <w:spacing w:after="200" w:line="360" w:lineRule="auto"/>
        <w:rPr>
          <w:rStyle w:val="Hyperlink"/>
          <w:color w:val="auto"/>
          <w:u w:val="none"/>
        </w:rPr>
      </w:pPr>
      <w:r>
        <w:rPr>
          <w:rStyle w:val="Hyperlink"/>
          <w:color w:val="auto"/>
        </w:rPr>
        <w:t>Enhancement to the Basel II Standard</w:t>
      </w:r>
      <w:r w:rsidRPr="000C1B68">
        <w:rPr>
          <w:rStyle w:val="Hyperlink"/>
          <w:color w:val="auto"/>
          <w:u w:val="none"/>
        </w:rPr>
        <w:t>:</w:t>
      </w:r>
      <w:r>
        <w:rPr>
          <w:rStyle w:val="Hyperlink"/>
          <w:color w:val="auto"/>
          <w:u w:val="none"/>
        </w:rPr>
        <w:t xml:space="preserve"> The Basel III standard aims to strengthen the requirements from the Basel II standards on a bank’s minimum capital ratios.</w:t>
      </w:r>
    </w:p>
    <w:p w14:paraId="25DC46BB" w14:textId="77777777" w:rsidR="000C1B68" w:rsidRPr="007C5085" w:rsidRDefault="000C1B68" w:rsidP="0060309E">
      <w:pPr>
        <w:pStyle w:val="ListParagraph"/>
        <w:numPr>
          <w:ilvl w:val="0"/>
          <w:numId w:val="1"/>
        </w:numPr>
        <w:spacing w:after="200" w:line="360" w:lineRule="auto"/>
        <w:rPr>
          <w:rStyle w:val="Hyperlink"/>
          <w:color w:val="auto"/>
          <w:u w:val="none"/>
        </w:rPr>
      </w:pPr>
      <w:r>
        <w:rPr>
          <w:rStyle w:val="Hyperlink"/>
          <w:color w:val="auto"/>
        </w:rPr>
        <w:t>Requirements on Liquidity and Funding Stability</w:t>
      </w:r>
      <w:r w:rsidRPr="000C1B68">
        <w:rPr>
          <w:rStyle w:val="Hyperlink"/>
          <w:color w:val="auto"/>
          <w:u w:val="none"/>
        </w:rPr>
        <w:t>:</w:t>
      </w:r>
      <w:r>
        <w:rPr>
          <w:rStyle w:val="Hyperlink"/>
          <w:color w:val="auto"/>
          <w:u w:val="none"/>
        </w:rPr>
        <w:t xml:space="preserve"> In addition, it introduces requirements on liquid assets and funding stability, thereby seeking to mitigate the risk of a run on the bank.</w:t>
      </w:r>
    </w:p>
    <w:p w14:paraId="0E924323" w14:textId="77777777" w:rsidR="007C5085" w:rsidRDefault="007C5085" w:rsidP="007C5085">
      <w:pPr>
        <w:spacing w:after="200" w:line="360" w:lineRule="auto"/>
        <w:rPr>
          <w:rStyle w:val="Hyperlink"/>
          <w:color w:val="auto"/>
          <w:u w:val="none"/>
        </w:rPr>
      </w:pPr>
    </w:p>
    <w:p w14:paraId="1C265478" w14:textId="77777777" w:rsidR="00F302A3" w:rsidRDefault="00F302A3" w:rsidP="007C5085">
      <w:pPr>
        <w:spacing w:after="200" w:line="360" w:lineRule="auto"/>
        <w:rPr>
          <w:rStyle w:val="Hyperlink"/>
          <w:color w:val="auto"/>
          <w:u w:val="none"/>
        </w:rPr>
      </w:pPr>
    </w:p>
    <w:p w14:paraId="05834B03" w14:textId="77777777" w:rsidR="00F302A3" w:rsidRPr="00EA3D54" w:rsidRDefault="00F302A3" w:rsidP="007C5085">
      <w:pPr>
        <w:spacing w:after="200" w:line="360" w:lineRule="auto"/>
        <w:rPr>
          <w:rStyle w:val="Hyperlink"/>
          <w:b/>
          <w:color w:val="auto"/>
          <w:sz w:val="28"/>
          <w:szCs w:val="28"/>
          <w:u w:val="none"/>
        </w:rPr>
      </w:pPr>
      <w:r w:rsidRPr="00EA3D54">
        <w:rPr>
          <w:rStyle w:val="Hyperlink"/>
          <w:b/>
          <w:color w:val="auto"/>
          <w:sz w:val="28"/>
          <w:szCs w:val="28"/>
          <w:u w:val="none"/>
        </w:rPr>
        <w:t xml:space="preserve">Key </w:t>
      </w:r>
      <w:r w:rsidR="00EA3D54" w:rsidRPr="00EA3D54">
        <w:rPr>
          <w:rStyle w:val="Hyperlink"/>
          <w:b/>
          <w:color w:val="auto"/>
          <w:sz w:val="28"/>
          <w:szCs w:val="28"/>
          <w:u w:val="none"/>
        </w:rPr>
        <w:t>Principle</w:t>
      </w:r>
      <w:r w:rsidRPr="00EA3D54">
        <w:rPr>
          <w:rStyle w:val="Hyperlink"/>
          <w:b/>
          <w:color w:val="auto"/>
          <w:sz w:val="28"/>
          <w:szCs w:val="28"/>
          <w:u w:val="none"/>
        </w:rPr>
        <w:t>s – Capital Requirements</w:t>
      </w:r>
    </w:p>
    <w:p w14:paraId="18E171E5" w14:textId="77777777" w:rsidR="007C5085" w:rsidRDefault="007C5085" w:rsidP="007C5085">
      <w:pPr>
        <w:spacing w:after="200" w:line="360" w:lineRule="auto"/>
        <w:rPr>
          <w:rStyle w:val="Hyperlink"/>
          <w:color w:val="auto"/>
          <w:u w:val="none"/>
        </w:rPr>
      </w:pPr>
    </w:p>
    <w:p w14:paraId="1BDB1813" w14:textId="77777777" w:rsidR="00EA3D54" w:rsidRDefault="00EA3D54" w:rsidP="0060309E">
      <w:pPr>
        <w:pStyle w:val="ListParagraph"/>
        <w:numPr>
          <w:ilvl w:val="0"/>
          <w:numId w:val="3"/>
        </w:numPr>
        <w:spacing w:after="200" w:line="360" w:lineRule="auto"/>
        <w:rPr>
          <w:rStyle w:val="Hyperlink"/>
          <w:color w:val="auto"/>
          <w:u w:val="none"/>
        </w:rPr>
      </w:pPr>
      <w:r w:rsidRPr="00EA3D54">
        <w:rPr>
          <w:rStyle w:val="Hyperlink"/>
          <w:color w:val="auto"/>
        </w:rPr>
        <w:lastRenderedPageBreak/>
        <w:t>Basel III Common Equity Rule</w:t>
      </w:r>
      <w:r w:rsidRPr="00EA3D54">
        <w:rPr>
          <w:rStyle w:val="Hyperlink"/>
          <w:color w:val="auto"/>
          <w:u w:val="none"/>
        </w:rPr>
        <w:t>: The original Basel III rule from 2010 required banks to find themselves with 4.5% of common equity – up from 2% in Basel II – of risk-weighted assets (RWA’s).</w:t>
      </w:r>
    </w:p>
    <w:p w14:paraId="3F3763BC" w14:textId="77777777" w:rsidR="00A860EC" w:rsidRDefault="00EA3D54" w:rsidP="0060309E">
      <w:pPr>
        <w:pStyle w:val="ListParagraph"/>
        <w:numPr>
          <w:ilvl w:val="0"/>
          <w:numId w:val="3"/>
        </w:numPr>
        <w:spacing w:after="200" w:line="360" w:lineRule="auto"/>
        <w:rPr>
          <w:rStyle w:val="Hyperlink"/>
          <w:color w:val="auto"/>
          <w:u w:val="none"/>
        </w:rPr>
      </w:pPr>
      <w:r>
        <w:rPr>
          <w:rStyle w:val="Hyperlink"/>
          <w:color w:val="auto"/>
        </w:rPr>
        <w:t>Definition of the CET1 Ratio</w:t>
      </w:r>
      <w:r w:rsidRPr="00EA3D54">
        <w:rPr>
          <w:rStyle w:val="Hyperlink"/>
          <w:color w:val="auto"/>
          <w:u w:val="none"/>
        </w:rPr>
        <w:t>:</w:t>
      </w:r>
      <w:r>
        <w:rPr>
          <w:rStyle w:val="Hyperlink"/>
          <w:color w:val="auto"/>
          <w:u w:val="none"/>
        </w:rPr>
        <w:t xml:space="preserve"> Since 2015, a minimum Common Equity Tier 1 (CET1) ratio of 4.5% must be maintained at all times by the bank (Basel Committee on Banking Supervision (201</w:t>
      </w:r>
      <w:r w:rsidR="00A860EC">
        <w:rPr>
          <w:rStyle w:val="Hyperlink"/>
          <w:color w:val="auto"/>
          <w:u w:val="none"/>
        </w:rPr>
        <w:t>3</w:t>
      </w:r>
      <w:r>
        <w:rPr>
          <w:rStyle w:val="Hyperlink"/>
          <w:color w:val="auto"/>
          <w:u w:val="none"/>
        </w:rPr>
        <w:t>)). The ratio is calculated as follows:</w:t>
      </w:r>
    </w:p>
    <w:p w14:paraId="4AFA08C9" w14:textId="77777777" w:rsidR="00A860EC" w:rsidRDefault="00A860EC" w:rsidP="00A860EC">
      <w:pPr>
        <w:pStyle w:val="ListParagraph"/>
        <w:spacing w:after="200" w:line="360" w:lineRule="auto"/>
        <w:ind w:left="360"/>
        <w:rPr>
          <w:rStyle w:val="Hyperlink"/>
          <w:color w:val="auto"/>
        </w:rPr>
      </w:pPr>
    </w:p>
    <w:p w14:paraId="752FF550" w14:textId="77777777" w:rsidR="00EA3D54" w:rsidRPr="00A860EC" w:rsidRDefault="0060309E" w:rsidP="00A860EC">
      <w:pPr>
        <w:pStyle w:val="ListParagraph"/>
        <w:spacing w:after="200" w:line="360" w:lineRule="auto"/>
        <w:ind w:left="360"/>
        <w:rPr>
          <w:rStyle w:val="Hyperlink"/>
          <w:color w:val="auto"/>
          <w:u w:val="none"/>
        </w:rPr>
      </w:pPr>
      <m:oMathPara>
        <m:oMath>
          <m:f>
            <m:fPr>
              <m:ctrlPr>
                <w:rPr>
                  <w:rStyle w:val="Hyperlink"/>
                  <w:rFonts w:ascii="Cambria Math" w:hAnsi="Cambria Math"/>
                  <w:i/>
                  <w:color w:val="auto"/>
                  <w:u w:val="none"/>
                </w:rPr>
              </m:ctrlPr>
            </m:fPr>
            <m:num>
              <m:r>
                <w:rPr>
                  <w:rStyle w:val="Hyperlink"/>
                  <w:rFonts w:ascii="Cambria Math" w:hAnsi="Cambria Math"/>
                  <w:color w:val="auto"/>
                  <w:u w:val="none"/>
                </w:rPr>
                <m:t>CET1</m:t>
              </m:r>
            </m:num>
            <m:den>
              <m:r>
                <w:rPr>
                  <w:rStyle w:val="Hyperlink"/>
                  <w:rFonts w:ascii="Cambria Math" w:hAnsi="Cambria Math"/>
                  <w:color w:val="auto"/>
                  <w:u w:val="none"/>
                </w:rPr>
                <m:t>RWAs</m:t>
              </m:r>
            </m:den>
          </m:f>
          <m:r>
            <w:rPr>
              <w:rStyle w:val="Hyperlink"/>
              <w:rFonts w:ascii="Cambria Math" w:hAnsi="Cambria Math"/>
              <w:color w:val="auto"/>
              <w:u w:val="none"/>
            </w:rPr>
            <m:t>≥4.5%</m:t>
          </m:r>
        </m:oMath>
      </m:oMathPara>
    </w:p>
    <w:p w14:paraId="4BE2E64A" w14:textId="77777777" w:rsidR="00A860EC" w:rsidRDefault="00A860EC" w:rsidP="00A860EC">
      <w:pPr>
        <w:pStyle w:val="ListParagraph"/>
        <w:spacing w:after="200" w:line="360" w:lineRule="auto"/>
        <w:ind w:left="360"/>
        <w:rPr>
          <w:rStyle w:val="Hyperlink"/>
          <w:color w:val="auto"/>
          <w:u w:val="none"/>
        </w:rPr>
      </w:pPr>
    </w:p>
    <w:p w14:paraId="5AA971D5" w14:textId="77777777" w:rsidR="00EA3D54" w:rsidRDefault="00EA3D54" w:rsidP="0060309E">
      <w:pPr>
        <w:pStyle w:val="ListParagraph"/>
        <w:numPr>
          <w:ilvl w:val="0"/>
          <w:numId w:val="3"/>
        </w:numPr>
        <w:spacing w:after="200" w:line="360" w:lineRule="auto"/>
        <w:rPr>
          <w:rStyle w:val="Hyperlink"/>
          <w:color w:val="auto"/>
          <w:u w:val="none"/>
        </w:rPr>
      </w:pPr>
      <w:r>
        <w:rPr>
          <w:rStyle w:val="Hyperlink"/>
          <w:color w:val="auto"/>
        </w:rPr>
        <w:t>Components of the Tier 1 Capital</w:t>
      </w:r>
      <w:r>
        <w:rPr>
          <w:rStyle w:val="Hyperlink"/>
          <w:color w:val="auto"/>
          <w:u w:val="none"/>
        </w:rPr>
        <w:t>: The minimum Tier 1 Capital increases from 4% in Basel II to 6% (Basel Committee on Banking Supervision (201</w:t>
      </w:r>
      <w:r w:rsidR="0018084C">
        <w:rPr>
          <w:rStyle w:val="Hyperlink"/>
          <w:color w:val="auto"/>
          <w:u w:val="none"/>
        </w:rPr>
        <w:t>3</w:t>
      </w:r>
      <w:r>
        <w:rPr>
          <w:rStyle w:val="Hyperlink"/>
          <w:color w:val="auto"/>
          <w:u w:val="none"/>
        </w:rPr>
        <w:t>)), applicable in 2015, over RWA’s. This 6% is composed of 4.5% of CET1, plus an extra 1.5% of Additional Tier 1 (AT1).</w:t>
      </w:r>
    </w:p>
    <w:p w14:paraId="3180E720" w14:textId="77777777" w:rsidR="00EA3D54" w:rsidRDefault="00EA3D54" w:rsidP="0060309E">
      <w:pPr>
        <w:pStyle w:val="ListParagraph"/>
        <w:numPr>
          <w:ilvl w:val="0"/>
          <w:numId w:val="3"/>
        </w:numPr>
        <w:spacing w:after="200" w:line="360" w:lineRule="auto"/>
        <w:rPr>
          <w:rStyle w:val="Hyperlink"/>
          <w:color w:val="auto"/>
          <w:u w:val="none"/>
        </w:rPr>
      </w:pPr>
      <w:r>
        <w:rPr>
          <w:rStyle w:val="Hyperlink"/>
          <w:color w:val="auto"/>
        </w:rPr>
        <w:t>Basel III Mandatory Capital Conservation Buffer</w:t>
      </w:r>
      <w:r w:rsidRPr="00EA3D54">
        <w:rPr>
          <w:rStyle w:val="Hyperlink"/>
          <w:color w:val="auto"/>
          <w:u w:val="none"/>
        </w:rPr>
        <w:t>:</w:t>
      </w:r>
      <w:r>
        <w:rPr>
          <w:rStyle w:val="Hyperlink"/>
          <w:color w:val="auto"/>
          <w:u w:val="none"/>
        </w:rPr>
        <w:t xml:space="preserve"> Furthermore, Basel III introduced two additional capital buffers; a mandatory “Capital Conservation Buffer”, </w:t>
      </w:r>
      <w:r w:rsidR="00A35421">
        <w:rPr>
          <w:rStyle w:val="Hyperlink"/>
          <w:color w:val="auto"/>
          <w:u w:val="none"/>
        </w:rPr>
        <w:t>equivalent to 2.5% of risk-weighted assets. Considering the 4.5% CET1 capital ratio required, banks have to hold a total of 7% CET1 Capital ratio, from 2019 onwards.</w:t>
      </w:r>
    </w:p>
    <w:p w14:paraId="392F7BEF" w14:textId="77777777" w:rsidR="00A35421" w:rsidRDefault="00A35421" w:rsidP="0060309E">
      <w:pPr>
        <w:pStyle w:val="ListParagraph"/>
        <w:numPr>
          <w:ilvl w:val="0"/>
          <w:numId w:val="3"/>
        </w:numPr>
        <w:spacing w:after="200" w:line="360" w:lineRule="auto"/>
        <w:rPr>
          <w:rStyle w:val="Hyperlink"/>
          <w:color w:val="auto"/>
          <w:u w:val="none"/>
        </w:rPr>
      </w:pPr>
      <w:r>
        <w:rPr>
          <w:rStyle w:val="Hyperlink"/>
          <w:color w:val="auto"/>
        </w:rPr>
        <w:t>Basel III Discretionary Counter-Cyclical Buffer</w:t>
      </w:r>
      <w:r w:rsidRPr="00A35421">
        <w:rPr>
          <w:rStyle w:val="Hyperlink"/>
          <w:color w:val="auto"/>
          <w:u w:val="none"/>
        </w:rPr>
        <w:t>:</w:t>
      </w:r>
      <w:r>
        <w:rPr>
          <w:rStyle w:val="Hyperlink"/>
          <w:color w:val="auto"/>
          <w:u w:val="none"/>
        </w:rPr>
        <w:t xml:space="preserve"> A </w:t>
      </w:r>
      <w:r>
        <w:rPr>
          <w:rStyle w:val="Hyperlink"/>
          <w:i/>
          <w:color w:val="auto"/>
          <w:u w:val="none"/>
        </w:rPr>
        <w:t>discretionary counter-cyclical buffer</w:t>
      </w:r>
      <w:r>
        <w:rPr>
          <w:rStyle w:val="Hyperlink"/>
          <w:color w:val="auto"/>
          <w:u w:val="none"/>
        </w:rPr>
        <w:t>, allowing national regulators to require upto an additional 2.5% of capital during periods of high credit growth is also required. The level of this buffer ranges from 0% to 2.5% of RWA and must be met by the CET1 Capital.</w:t>
      </w:r>
    </w:p>
    <w:p w14:paraId="6DB25A56" w14:textId="77777777" w:rsidR="00A35421" w:rsidRDefault="00A35421" w:rsidP="00A35421">
      <w:pPr>
        <w:spacing w:after="200" w:line="360" w:lineRule="auto"/>
        <w:rPr>
          <w:rStyle w:val="Hyperlink"/>
          <w:color w:val="auto"/>
          <w:u w:val="none"/>
        </w:rPr>
      </w:pPr>
    </w:p>
    <w:p w14:paraId="6E407F43" w14:textId="77777777" w:rsidR="00A35421" w:rsidRDefault="00A35421" w:rsidP="00A35421">
      <w:pPr>
        <w:spacing w:after="200" w:line="360" w:lineRule="auto"/>
        <w:rPr>
          <w:rStyle w:val="Hyperlink"/>
          <w:color w:val="auto"/>
          <w:u w:val="none"/>
        </w:rPr>
      </w:pPr>
    </w:p>
    <w:p w14:paraId="3B5F2E71" w14:textId="77777777" w:rsidR="00A35421" w:rsidRPr="00A35421" w:rsidRDefault="00A35421" w:rsidP="00A35421">
      <w:pPr>
        <w:spacing w:after="200" w:line="360" w:lineRule="auto"/>
        <w:rPr>
          <w:rStyle w:val="Hyperlink"/>
          <w:b/>
          <w:color w:val="auto"/>
          <w:sz w:val="28"/>
          <w:szCs w:val="28"/>
          <w:u w:val="none"/>
        </w:rPr>
      </w:pPr>
      <w:r w:rsidRPr="00A35421">
        <w:rPr>
          <w:rStyle w:val="Hyperlink"/>
          <w:b/>
          <w:color w:val="auto"/>
          <w:sz w:val="28"/>
          <w:szCs w:val="28"/>
          <w:u w:val="none"/>
        </w:rPr>
        <w:t>Key Principles – Leverage Ratio</w:t>
      </w:r>
    </w:p>
    <w:p w14:paraId="4D857DB1" w14:textId="77777777" w:rsidR="00EA3D54" w:rsidRDefault="00EA3D54" w:rsidP="007C5085">
      <w:pPr>
        <w:spacing w:after="200" w:line="360" w:lineRule="auto"/>
        <w:rPr>
          <w:rStyle w:val="Hyperlink"/>
          <w:color w:val="auto"/>
          <w:u w:val="none"/>
        </w:rPr>
      </w:pPr>
    </w:p>
    <w:p w14:paraId="1533C492" w14:textId="77777777" w:rsidR="0018084C" w:rsidRDefault="00A35421" w:rsidP="0060309E">
      <w:pPr>
        <w:pStyle w:val="ListParagraph"/>
        <w:numPr>
          <w:ilvl w:val="0"/>
          <w:numId w:val="4"/>
        </w:numPr>
        <w:spacing w:after="200" w:line="360" w:lineRule="auto"/>
        <w:rPr>
          <w:rStyle w:val="Hyperlink"/>
          <w:color w:val="auto"/>
          <w:u w:val="none"/>
        </w:rPr>
      </w:pPr>
      <w:r w:rsidRPr="0018084C">
        <w:rPr>
          <w:rStyle w:val="Hyperlink"/>
          <w:color w:val="auto"/>
        </w:rPr>
        <w:t>Basel III Leverage Ratio</w:t>
      </w:r>
      <w:r w:rsidR="00787E37" w:rsidRPr="0018084C">
        <w:rPr>
          <w:rStyle w:val="Hyperlink"/>
          <w:color w:val="auto"/>
        </w:rPr>
        <w:t xml:space="preserve"> - Motivation</w:t>
      </w:r>
      <w:r w:rsidRPr="0018084C">
        <w:rPr>
          <w:rStyle w:val="Hyperlink"/>
          <w:color w:val="auto"/>
          <w:u w:val="none"/>
        </w:rPr>
        <w:t xml:space="preserve">: </w:t>
      </w:r>
      <w:r w:rsidR="00787E37" w:rsidRPr="0018084C">
        <w:rPr>
          <w:rStyle w:val="Hyperlink"/>
          <w:color w:val="auto"/>
          <w:u w:val="none"/>
        </w:rPr>
        <w:t xml:space="preserve">Basel III introduced a new </w:t>
      </w:r>
      <w:r w:rsidR="00787E37" w:rsidRPr="0018084C">
        <w:rPr>
          <w:rStyle w:val="Hyperlink"/>
          <w:i/>
          <w:color w:val="auto"/>
          <w:u w:val="none"/>
        </w:rPr>
        <w:t>leverage ratio</w:t>
      </w:r>
      <w:r w:rsidR="00787E37" w:rsidRPr="0018084C">
        <w:rPr>
          <w:rStyle w:val="Hyperlink"/>
          <w:color w:val="auto"/>
          <w:u w:val="none"/>
        </w:rPr>
        <w:t xml:space="preserve">. This is a non-risk-based leverage ratio and is calculated by dividing the Tier 1 capital by the bank’s </w:t>
      </w:r>
      <w:r w:rsidR="00787E37" w:rsidRPr="0018084C">
        <w:rPr>
          <w:rStyle w:val="Hyperlink"/>
          <w:color w:val="auto"/>
          <w:u w:val="none"/>
        </w:rPr>
        <w:lastRenderedPageBreak/>
        <w:t>average total consolidated assets – sum of the exposures of all the assets and the non-balance sheet items (Basel Committee on Banking Supervision (2017)</w:t>
      </w:r>
      <w:r w:rsidR="0018084C" w:rsidRPr="0018084C">
        <w:rPr>
          <w:rStyle w:val="Hyperlink"/>
          <w:color w:val="auto"/>
          <w:u w:val="none"/>
        </w:rPr>
        <w:t>)</w:t>
      </w:r>
      <w:r w:rsidR="004D5415">
        <w:rPr>
          <w:rStyle w:val="Hyperlink"/>
          <w:color w:val="auto"/>
          <w:u w:val="none"/>
        </w:rPr>
        <w:t>.</w:t>
      </w:r>
    </w:p>
    <w:p w14:paraId="7E08E3A3" w14:textId="77777777" w:rsidR="004D5415" w:rsidRDefault="0018084C" w:rsidP="0060309E">
      <w:pPr>
        <w:pStyle w:val="ListParagraph"/>
        <w:numPr>
          <w:ilvl w:val="0"/>
          <w:numId w:val="4"/>
        </w:numPr>
        <w:spacing w:after="200" w:line="360" w:lineRule="auto"/>
        <w:rPr>
          <w:rStyle w:val="Hyperlink"/>
          <w:color w:val="auto"/>
          <w:u w:val="none"/>
        </w:rPr>
      </w:pPr>
      <w:r w:rsidRPr="0018084C">
        <w:rPr>
          <w:rStyle w:val="Hyperlink"/>
          <w:color w:val="auto"/>
        </w:rPr>
        <w:t>Basel III Leverage Ratio – Definition</w:t>
      </w:r>
      <w:r w:rsidRPr="0018084C">
        <w:rPr>
          <w:rStyle w:val="Hyperlink"/>
          <w:color w:val="auto"/>
          <w:u w:val="none"/>
        </w:rPr>
        <w:t xml:space="preserve">: </w:t>
      </w:r>
      <w:r>
        <w:rPr>
          <w:rStyle w:val="Hyperlink"/>
          <w:color w:val="auto"/>
          <w:u w:val="none"/>
        </w:rPr>
        <w:t xml:space="preserve">The banks are expected to maintain a leverage ratio in excess of 3% </w:t>
      </w:r>
      <w:r w:rsidR="00A860EC">
        <w:rPr>
          <w:rStyle w:val="Hyperlink"/>
          <w:color w:val="auto"/>
          <w:u w:val="none"/>
        </w:rPr>
        <w:t>under Basel III.</w:t>
      </w:r>
    </w:p>
    <w:p w14:paraId="3611D2CF" w14:textId="77777777" w:rsidR="004D5415" w:rsidRDefault="004D5415" w:rsidP="004D5415">
      <w:pPr>
        <w:pStyle w:val="ListParagraph"/>
        <w:spacing w:after="200" w:line="360" w:lineRule="auto"/>
        <w:ind w:left="360"/>
        <w:rPr>
          <w:rStyle w:val="Hyperlink"/>
          <w:color w:val="auto"/>
        </w:rPr>
      </w:pPr>
    </w:p>
    <w:p w14:paraId="64D12CEF" w14:textId="77777777" w:rsidR="0018084C" w:rsidRPr="004D5415" w:rsidRDefault="0060309E" w:rsidP="004D5415">
      <w:pPr>
        <w:pStyle w:val="ListParagraph"/>
        <w:spacing w:after="200" w:line="360" w:lineRule="auto"/>
        <w:ind w:left="360"/>
        <w:rPr>
          <w:rStyle w:val="Hyperlink"/>
          <w:color w:val="auto"/>
          <w:u w:val="none"/>
        </w:rPr>
      </w:pPr>
      <m:oMathPara>
        <m:oMath>
          <m:f>
            <m:fPr>
              <m:ctrlPr>
                <w:rPr>
                  <w:rStyle w:val="Hyperlink"/>
                  <w:rFonts w:ascii="Cambria Math" w:hAnsi="Cambria Math"/>
                  <w:i/>
                  <w:color w:val="auto"/>
                  <w:u w:val="none"/>
                </w:rPr>
              </m:ctrlPr>
            </m:fPr>
            <m:num>
              <m:r>
                <w:rPr>
                  <w:rStyle w:val="Hyperlink"/>
                  <w:rFonts w:ascii="Cambria Math" w:hAnsi="Cambria Math"/>
                  <w:color w:val="auto"/>
                  <w:u w:val="none"/>
                </w:rPr>
                <m:t>Tier1 Capital</m:t>
              </m:r>
            </m:num>
            <m:den>
              <m:r>
                <w:rPr>
                  <w:rStyle w:val="Hyperlink"/>
                  <w:rFonts w:ascii="Cambria Math" w:hAnsi="Cambria Math"/>
                  <w:color w:val="auto"/>
                  <w:u w:val="none"/>
                </w:rPr>
                <m:t>Total Exposure</m:t>
              </m:r>
            </m:den>
          </m:f>
          <m:r>
            <w:rPr>
              <w:rStyle w:val="Hyperlink"/>
              <w:rFonts w:ascii="Cambria Math" w:hAnsi="Cambria Math"/>
              <w:color w:val="auto"/>
              <w:u w:val="none"/>
            </w:rPr>
            <m:t>≥3%</m:t>
          </m:r>
        </m:oMath>
      </m:oMathPara>
    </w:p>
    <w:p w14:paraId="47B5AF94" w14:textId="77777777" w:rsidR="004D5415" w:rsidRDefault="004D5415" w:rsidP="004D5415">
      <w:pPr>
        <w:pStyle w:val="ListParagraph"/>
        <w:spacing w:after="200" w:line="360" w:lineRule="auto"/>
        <w:ind w:left="360"/>
        <w:rPr>
          <w:rStyle w:val="Hyperlink"/>
          <w:color w:val="auto"/>
          <w:u w:val="none"/>
        </w:rPr>
      </w:pPr>
    </w:p>
    <w:p w14:paraId="201DAA0B" w14:textId="77777777" w:rsidR="00A860EC" w:rsidRDefault="00A860EC" w:rsidP="0060309E">
      <w:pPr>
        <w:pStyle w:val="ListParagraph"/>
        <w:numPr>
          <w:ilvl w:val="0"/>
          <w:numId w:val="4"/>
        </w:numPr>
        <w:spacing w:after="200" w:line="360" w:lineRule="auto"/>
        <w:rPr>
          <w:rStyle w:val="Hyperlink"/>
          <w:color w:val="auto"/>
          <w:u w:val="none"/>
        </w:rPr>
      </w:pPr>
      <w:r>
        <w:rPr>
          <w:rStyle w:val="Hyperlink"/>
          <w:color w:val="auto"/>
        </w:rPr>
        <w:t>Fed Mandated Minimum Leverage Ratio</w:t>
      </w:r>
      <w:r>
        <w:rPr>
          <w:rStyle w:val="Hyperlink"/>
          <w:color w:val="auto"/>
          <w:u w:val="none"/>
        </w:rPr>
        <w:t>: In 2013, the US Federal Reserve announced that the minimum Basel III leverage ratio would be 6% to 8% for 8 Systematically Important Financial Institution (SIFI) banks, and 5% for their insured bank holding companies (Central Banking (2013))</w:t>
      </w:r>
      <w:r w:rsidR="004D5415">
        <w:rPr>
          <w:rStyle w:val="Hyperlink"/>
          <w:color w:val="auto"/>
          <w:u w:val="none"/>
        </w:rPr>
        <w:t xml:space="preserve">. </w:t>
      </w:r>
    </w:p>
    <w:p w14:paraId="2D112357" w14:textId="77777777" w:rsidR="004D5415" w:rsidRDefault="004D5415" w:rsidP="004D5415">
      <w:pPr>
        <w:spacing w:after="200" w:line="360" w:lineRule="auto"/>
        <w:rPr>
          <w:rStyle w:val="Hyperlink"/>
          <w:color w:val="auto"/>
          <w:u w:val="none"/>
        </w:rPr>
      </w:pPr>
    </w:p>
    <w:p w14:paraId="0585950E" w14:textId="77777777" w:rsidR="004D5415" w:rsidRDefault="004D5415" w:rsidP="004D5415">
      <w:pPr>
        <w:spacing w:after="200" w:line="360" w:lineRule="auto"/>
        <w:rPr>
          <w:rStyle w:val="Hyperlink"/>
          <w:color w:val="auto"/>
          <w:u w:val="none"/>
        </w:rPr>
      </w:pPr>
    </w:p>
    <w:p w14:paraId="70B3E265" w14:textId="77777777" w:rsidR="004D5415" w:rsidRPr="004D5415" w:rsidRDefault="004D5415" w:rsidP="004D5415">
      <w:pPr>
        <w:spacing w:after="200" w:line="360" w:lineRule="auto"/>
        <w:rPr>
          <w:rStyle w:val="Hyperlink"/>
          <w:b/>
          <w:color w:val="auto"/>
          <w:sz w:val="28"/>
          <w:szCs w:val="28"/>
          <w:u w:val="none"/>
        </w:rPr>
      </w:pPr>
      <w:r w:rsidRPr="004D5415">
        <w:rPr>
          <w:rStyle w:val="Hyperlink"/>
          <w:b/>
          <w:color w:val="auto"/>
          <w:sz w:val="28"/>
          <w:szCs w:val="28"/>
          <w:u w:val="none"/>
        </w:rPr>
        <w:t>Liquidity Requirements</w:t>
      </w:r>
    </w:p>
    <w:p w14:paraId="40013241" w14:textId="77777777" w:rsidR="004D5415" w:rsidRDefault="004D5415" w:rsidP="004D5415">
      <w:pPr>
        <w:spacing w:after="200" w:line="360" w:lineRule="auto"/>
        <w:rPr>
          <w:rStyle w:val="Hyperlink"/>
          <w:color w:val="auto"/>
          <w:u w:val="none"/>
        </w:rPr>
      </w:pPr>
    </w:p>
    <w:p w14:paraId="08F1C14E" w14:textId="77777777" w:rsidR="004D5415" w:rsidRDefault="004D5415" w:rsidP="0060309E">
      <w:pPr>
        <w:pStyle w:val="ListParagraph"/>
        <w:numPr>
          <w:ilvl w:val="0"/>
          <w:numId w:val="5"/>
        </w:numPr>
        <w:spacing w:after="200" w:line="360" w:lineRule="auto"/>
        <w:rPr>
          <w:rStyle w:val="Hyperlink"/>
          <w:color w:val="auto"/>
          <w:u w:val="none"/>
        </w:rPr>
      </w:pPr>
      <w:r w:rsidRPr="004D5415">
        <w:rPr>
          <w:rStyle w:val="Hyperlink"/>
          <w:color w:val="auto"/>
        </w:rPr>
        <w:t>Basel III Liquidity Coverage Ratio – Definition</w:t>
      </w:r>
      <w:r w:rsidRPr="004D5415">
        <w:rPr>
          <w:rStyle w:val="Hyperlink"/>
          <w:color w:val="auto"/>
          <w:u w:val="none"/>
        </w:rPr>
        <w:t xml:space="preserve">: Basel III introduced two required liquidity ratios. First, the </w:t>
      </w:r>
      <w:r w:rsidRPr="004D5415">
        <w:rPr>
          <w:rStyle w:val="Hyperlink"/>
          <w:i/>
          <w:color w:val="auto"/>
          <w:u w:val="none"/>
        </w:rPr>
        <w:t>Liquidity Coverage Ratio</w:t>
      </w:r>
      <w:r w:rsidRPr="004D5415">
        <w:rPr>
          <w:rStyle w:val="Hyperlink"/>
          <w:color w:val="auto"/>
          <w:u w:val="none"/>
        </w:rPr>
        <w:t xml:space="preserve"> was supposed to require a bank to hold sufficiently high-quality liquid assets to cover its total net cash outflows over 30 days.</w:t>
      </w:r>
    </w:p>
    <w:p w14:paraId="3D919112" w14:textId="77777777" w:rsidR="005620FA" w:rsidRDefault="00A33229" w:rsidP="0060309E">
      <w:pPr>
        <w:pStyle w:val="ListParagraph"/>
        <w:numPr>
          <w:ilvl w:val="0"/>
          <w:numId w:val="5"/>
        </w:numPr>
        <w:spacing w:after="200" w:line="360" w:lineRule="auto"/>
        <w:rPr>
          <w:rStyle w:val="Hyperlink"/>
          <w:color w:val="auto"/>
          <w:u w:val="none"/>
        </w:rPr>
      </w:pPr>
      <w:r>
        <w:rPr>
          <w:rStyle w:val="Hyperlink"/>
          <w:color w:val="auto"/>
        </w:rPr>
        <w:t>Basel III LCR - Expression</w:t>
      </w:r>
      <w:r w:rsidRPr="00A33229">
        <w:rPr>
          <w:rStyle w:val="Hyperlink"/>
          <w:color w:val="auto"/>
          <w:u w:val="none"/>
        </w:rPr>
        <w:t>:</w:t>
      </w:r>
      <w:r>
        <w:rPr>
          <w:rStyle w:val="Hyperlink"/>
          <w:color w:val="auto"/>
          <w:u w:val="none"/>
        </w:rPr>
        <w:t xml:space="preserve"> Mathematically it is expressed as follows:</w:t>
      </w:r>
    </w:p>
    <w:p w14:paraId="1477412C" w14:textId="77777777" w:rsidR="005620FA" w:rsidRDefault="005620FA" w:rsidP="005620FA">
      <w:pPr>
        <w:pStyle w:val="ListParagraph"/>
        <w:spacing w:after="200" w:line="360" w:lineRule="auto"/>
        <w:ind w:left="360"/>
        <w:rPr>
          <w:rStyle w:val="Hyperlink"/>
          <w:color w:val="auto"/>
        </w:rPr>
      </w:pPr>
    </w:p>
    <w:p w14:paraId="3E0C0276" w14:textId="77777777" w:rsidR="00A33229" w:rsidRPr="005620FA" w:rsidRDefault="00A33229" w:rsidP="005620F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LCR=</m:t>
          </m:r>
          <m:f>
            <m:fPr>
              <m:ctrlPr>
                <w:rPr>
                  <w:rStyle w:val="Hyperlink"/>
                  <w:rFonts w:ascii="Cambria Math" w:hAnsi="Cambria Math"/>
                  <w:i/>
                  <w:color w:val="auto"/>
                  <w:u w:val="none"/>
                </w:rPr>
              </m:ctrlPr>
            </m:fPr>
            <m:num>
              <m:r>
                <w:rPr>
                  <w:rStyle w:val="Hyperlink"/>
                  <w:rFonts w:ascii="Cambria Math" w:hAnsi="Cambria Math"/>
                  <w:color w:val="auto"/>
                  <w:u w:val="none"/>
                </w:rPr>
                <m:t>High Quality Liquid Assets</m:t>
              </m:r>
            </m:num>
            <m:den>
              <m:r>
                <w:rPr>
                  <w:rStyle w:val="Hyperlink"/>
                  <w:rFonts w:ascii="Cambria Math" w:hAnsi="Cambria Math"/>
                  <w:color w:val="auto"/>
                  <w:u w:val="none"/>
                </w:rPr>
                <m:t>Total Net Liquidity Outflows over 30 Days</m:t>
              </m:r>
            </m:den>
          </m:f>
          <m:r>
            <w:rPr>
              <w:rStyle w:val="Hyperlink"/>
              <w:rFonts w:ascii="Cambria Math" w:hAnsi="Cambria Math"/>
              <w:color w:val="auto"/>
              <w:u w:val="none"/>
            </w:rPr>
            <m:t>≥100%</m:t>
          </m:r>
        </m:oMath>
      </m:oMathPara>
    </w:p>
    <w:p w14:paraId="6DC73BA9" w14:textId="77777777" w:rsidR="005620FA" w:rsidRDefault="005620FA" w:rsidP="005620FA">
      <w:pPr>
        <w:pStyle w:val="ListParagraph"/>
        <w:spacing w:after="200" w:line="360" w:lineRule="auto"/>
        <w:ind w:left="360"/>
        <w:rPr>
          <w:rStyle w:val="Hyperlink"/>
          <w:color w:val="auto"/>
          <w:u w:val="none"/>
        </w:rPr>
      </w:pPr>
    </w:p>
    <w:p w14:paraId="0F48B796" w14:textId="77777777" w:rsidR="00A33229" w:rsidRDefault="00A33229" w:rsidP="0060309E">
      <w:pPr>
        <w:pStyle w:val="ListParagraph"/>
        <w:numPr>
          <w:ilvl w:val="0"/>
          <w:numId w:val="5"/>
        </w:numPr>
        <w:spacing w:after="200" w:line="360" w:lineRule="auto"/>
        <w:rPr>
          <w:rStyle w:val="Hyperlink"/>
          <w:color w:val="auto"/>
          <w:u w:val="none"/>
        </w:rPr>
      </w:pPr>
      <w:r>
        <w:rPr>
          <w:rStyle w:val="Hyperlink"/>
          <w:color w:val="auto"/>
        </w:rPr>
        <w:t>Basel III Net Stable Funding Ratio</w:t>
      </w:r>
      <w:r>
        <w:rPr>
          <w:rStyle w:val="Hyperlink"/>
          <w:color w:val="auto"/>
          <w:u w:val="none"/>
        </w:rPr>
        <w:t>: The Net Stable Funding Ratio was to require that the available amount of stable funding exceed the required amount of stable funding over a one-year period of extended stress (Committe</w:t>
      </w:r>
      <w:r w:rsidR="005620FA">
        <w:rPr>
          <w:rStyle w:val="Hyperlink"/>
          <w:color w:val="auto"/>
          <w:u w:val="none"/>
        </w:rPr>
        <w:t>e on Financial Services, United States House of Representatives (2011)).</w:t>
      </w:r>
    </w:p>
    <w:p w14:paraId="73B7AC43" w14:textId="77777777" w:rsidR="005620FA" w:rsidRDefault="005620FA" w:rsidP="005620FA">
      <w:pPr>
        <w:spacing w:after="200" w:line="360" w:lineRule="auto"/>
        <w:rPr>
          <w:rStyle w:val="Hyperlink"/>
          <w:color w:val="auto"/>
          <w:u w:val="none"/>
        </w:rPr>
      </w:pPr>
    </w:p>
    <w:p w14:paraId="68587E13" w14:textId="77777777" w:rsidR="005620FA" w:rsidRDefault="005620FA" w:rsidP="005620FA">
      <w:pPr>
        <w:spacing w:after="200" w:line="360" w:lineRule="auto"/>
        <w:rPr>
          <w:rStyle w:val="Hyperlink"/>
          <w:color w:val="auto"/>
          <w:u w:val="none"/>
        </w:rPr>
      </w:pPr>
    </w:p>
    <w:p w14:paraId="25E982EF" w14:textId="77777777" w:rsidR="005620FA" w:rsidRPr="005620FA" w:rsidRDefault="005620FA" w:rsidP="005620FA">
      <w:pPr>
        <w:spacing w:after="200" w:line="360" w:lineRule="auto"/>
        <w:rPr>
          <w:rStyle w:val="Hyperlink"/>
          <w:b/>
          <w:color w:val="auto"/>
          <w:sz w:val="28"/>
          <w:szCs w:val="28"/>
          <w:u w:val="none"/>
        </w:rPr>
      </w:pPr>
      <w:r w:rsidRPr="005620FA">
        <w:rPr>
          <w:rStyle w:val="Hyperlink"/>
          <w:b/>
          <w:color w:val="auto"/>
          <w:sz w:val="28"/>
          <w:szCs w:val="28"/>
          <w:u w:val="none"/>
        </w:rPr>
        <w:t>US Version of the Basel Liquidity Coverage Ratio Requirements</w:t>
      </w:r>
    </w:p>
    <w:p w14:paraId="0A50D11C" w14:textId="77777777" w:rsidR="005620FA" w:rsidRDefault="005620FA" w:rsidP="005620FA">
      <w:pPr>
        <w:spacing w:after="200" w:line="360" w:lineRule="auto"/>
        <w:rPr>
          <w:rStyle w:val="Hyperlink"/>
          <w:color w:val="auto"/>
          <w:u w:val="none"/>
        </w:rPr>
      </w:pPr>
    </w:p>
    <w:p w14:paraId="5972E12F" w14:textId="77777777" w:rsidR="005620FA" w:rsidRDefault="005620FA" w:rsidP="0060309E">
      <w:pPr>
        <w:pStyle w:val="ListParagraph"/>
        <w:numPr>
          <w:ilvl w:val="0"/>
          <w:numId w:val="6"/>
        </w:numPr>
        <w:spacing w:after="200" w:line="360" w:lineRule="auto"/>
        <w:rPr>
          <w:rStyle w:val="Hyperlink"/>
          <w:color w:val="auto"/>
          <w:u w:val="none"/>
        </w:rPr>
      </w:pPr>
      <w:r w:rsidRPr="005620FA">
        <w:rPr>
          <w:rStyle w:val="Hyperlink"/>
          <w:color w:val="auto"/>
        </w:rPr>
        <w:t>Federal Reserve’s Interagency LCR</w:t>
      </w:r>
      <w:r w:rsidRPr="005620FA">
        <w:rPr>
          <w:rStyle w:val="Hyperlink"/>
          <w:color w:val="auto"/>
          <w:u w:val="none"/>
        </w:rPr>
        <w:t>: In October 2013, the Federal Reserve Board of Governors approved an inter-agency proposal for the US version of the BCBS Liquidity Coverage Ratio (LCR).</w:t>
      </w:r>
    </w:p>
    <w:p w14:paraId="2735A2E4" w14:textId="77777777" w:rsidR="005620FA" w:rsidRDefault="005620FA" w:rsidP="0060309E">
      <w:pPr>
        <w:pStyle w:val="ListParagraph"/>
        <w:numPr>
          <w:ilvl w:val="0"/>
          <w:numId w:val="6"/>
        </w:numPr>
        <w:spacing w:after="200" w:line="360" w:lineRule="auto"/>
        <w:rPr>
          <w:rStyle w:val="Hyperlink"/>
          <w:color w:val="auto"/>
          <w:u w:val="none"/>
        </w:rPr>
      </w:pPr>
      <w:r>
        <w:rPr>
          <w:rStyle w:val="Hyperlink"/>
          <w:color w:val="auto"/>
        </w:rPr>
        <w:t>Application of the Federal Reserve’s LCR</w:t>
      </w:r>
      <w:r w:rsidRPr="005620FA">
        <w:rPr>
          <w:rStyle w:val="Hyperlink"/>
          <w:color w:val="auto"/>
          <w:u w:val="none"/>
        </w:rPr>
        <w:t>:</w:t>
      </w:r>
      <w:r>
        <w:rPr>
          <w:rStyle w:val="Hyperlink"/>
          <w:color w:val="auto"/>
          <w:u w:val="none"/>
        </w:rPr>
        <w:t xml:space="preserve"> The ratio would apply to certain US banking organizations and other SIFI’s (Federal Reserve (2013)). The comment period for the proposal closed on 31 January 2014.</w:t>
      </w:r>
    </w:p>
    <w:p w14:paraId="4FB6BDFF" w14:textId="77777777" w:rsidR="005620FA" w:rsidRDefault="005620FA" w:rsidP="0060309E">
      <w:pPr>
        <w:pStyle w:val="ListParagraph"/>
        <w:numPr>
          <w:ilvl w:val="0"/>
          <w:numId w:val="6"/>
        </w:numPr>
        <w:spacing w:after="200" w:line="360" w:lineRule="auto"/>
        <w:rPr>
          <w:rStyle w:val="Hyperlink"/>
          <w:color w:val="auto"/>
          <w:u w:val="none"/>
        </w:rPr>
      </w:pPr>
      <w:r>
        <w:rPr>
          <w:rStyle w:val="Hyperlink"/>
          <w:color w:val="auto"/>
        </w:rPr>
        <w:t>Comparison with the BCBS LCR Requirement</w:t>
      </w:r>
      <w:r w:rsidRPr="005620FA">
        <w:rPr>
          <w:rStyle w:val="Hyperlink"/>
          <w:color w:val="auto"/>
          <w:u w:val="none"/>
        </w:rPr>
        <w:t>:</w:t>
      </w:r>
      <w:r>
        <w:rPr>
          <w:rStyle w:val="Hyperlink"/>
          <w:color w:val="auto"/>
          <w:u w:val="none"/>
        </w:rPr>
        <w:t xml:space="preserve"> The US LCR proposal came out significantly tougher than the BCBS version, especially for the larger bank holding companies.</w:t>
      </w:r>
    </w:p>
    <w:p w14:paraId="30A3D02E" w14:textId="77777777" w:rsidR="00225414" w:rsidRDefault="00225414" w:rsidP="0060309E">
      <w:pPr>
        <w:pStyle w:val="ListParagraph"/>
        <w:numPr>
          <w:ilvl w:val="0"/>
          <w:numId w:val="6"/>
        </w:numPr>
        <w:spacing w:after="200" w:line="360" w:lineRule="auto"/>
        <w:rPr>
          <w:rStyle w:val="Hyperlink"/>
          <w:color w:val="auto"/>
          <w:u w:val="none"/>
        </w:rPr>
      </w:pPr>
      <w:r>
        <w:rPr>
          <w:rStyle w:val="Hyperlink"/>
          <w:color w:val="auto"/>
        </w:rPr>
        <w:t>Purpose of the HQLA Requirement</w:t>
      </w:r>
      <w:r w:rsidRPr="00225414">
        <w:rPr>
          <w:rStyle w:val="Hyperlink"/>
          <w:color w:val="auto"/>
          <w:u w:val="none"/>
        </w:rPr>
        <w:t>:</w:t>
      </w:r>
      <w:r>
        <w:rPr>
          <w:rStyle w:val="Hyperlink"/>
          <w:color w:val="auto"/>
          <w:u w:val="none"/>
        </w:rPr>
        <w:t xml:space="preserve"> </w:t>
      </w:r>
      <w:r w:rsidR="00320807">
        <w:rPr>
          <w:rStyle w:val="Hyperlink"/>
          <w:color w:val="auto"/>
          <w:u w:val="none"/>
        </w:rPr>
        <w:t>The proposal requires financial institutions and FSOC designated non-bank financial companies to have a stock of high-quality liquid assets (HQLA) that can be quickly liquidated to meet the liquidity needs over a short period of time.</w:t>
      </w:r>
    </w:p>
    <w:p w14:paraId="177647CF" w14:textId="77777777" w:rsidR="00320807" w:rsidRDefault="00320807" w:rsidP="0060309E">
      <w:pPr>
        <w:pStyle w:val="ListParagraph"/>
        <w:numPr>
          <w:ilvl w:val="0"/>
          <w:numId w:val="6"/>
        </w:numPr>
        <w:spacing w:after="200" w:line="360" w:lineRule="auto"/>
        <w:rPr>
          <w:rStyle w:val="Hyperlink"/>
          <w:color w:val="auto"/>
          <w:u w:val="none"/>
        </w:rPr>
      </w:pPr>
      <w:r>
        <w:rPr>
          <w:rStyle w:val="Hyperlink"/>
          <w:color w:val="auto"/>
        </w:rPr>
        <w:t>Component of the Fed’s LCR</w:t>
      </w:r>
      <w:r w:rsidRPr="00320807">
        <w:rPr>
          <w:rStyle w:val="Hyperlink"/>
          <w:color w:val="auto"/>
          <w:u w:val="none"/>
        </w:rPr>
        <w:t>:</w:t>
      </w:r>
      <w:r>
        <w:rPr>
          <w:rStyle w:val="Hyperlink"/>
          <w:color w:val="auto"/>
          <w:u w:val="none"/>
        </w:rPr>
        <w:t xml:space="preserve"> The LCR consists of two parts: the numerator is the value of the HQLA, and the denominator consists of the total net cash outflow over a specified stress period – total net cash outflows minus the total net cash inflows.</w:t>
      </w:r>
    </w:p>
    <w:p w14:paraId="2FAD9489" w14:textId="77777777" w:rsidR="00320807" w:rsidRDefault="00320807" w:rsidP="0060309E">
      <w:pPr>
        <w:pStyle w:val="ListParagraph"/>
        <w:numPr>
          <w:ilvl w:val="0"/>
          <w:numId w:val="6"/>
        </w:numPr>
        <w:spacing w:after="200" w:line="360" w:lineRule="auto"/>
        <w:rPr>
          <w:rStyle w:val="Hyperlink"/>
          <w:color w:val="auto"/>
          <w:u w:val="none"/>
        </w:rPr>
      </w:pPr>
      <w:r>
        <w:rPr>
          <w:rStyle w:val="Hyperlink"/>
          <w:color w:val="auto"/>
        </w:rPr>
        <w:t>Asset Levels fort LCR Applicability</w:t>
      </w:r>
      <w:r w:rsidRPr="00320807">
        <w:rPr>
          <w:rStyle w:val="Hyperlink"/>
          <w:color w:val="auto"/>
          <w:u w:val="none"/>
        </w:rPr>
        <w:t>:</w:t>
      </w:r>
      <w:r>
        <w:rPr>
          <w:rStyle w:val="Hyperlink"/>
          <w:color w:val="auto"/>
          <w:u w:val="none"/>
        </w:rPr>
        <w:t xml:space="preserve"> The LCR applies to US banking operations with assets of more than $10 billion. The proposal would require the following.</w:t>
      </w:r>
    </w:p>
    <w:p w14:paraId="3128186C" w14:textId="77777777" w:rsidR="00320807" w:rsidRDefault="00320807" w:rsidP="0060309E">
      <w:pPr>
        <w:pStyle w:val="ListParagraph"/>
        <w:numPr>
          <w:ilvl w:val="0"/>
          <w:numId w:val="6"/>
        </w:numPr>
        <w:spacing w:after="200" w:line="360" w:lineRule="auto"/>
        <w:rPr>
          <w:rStyle w:val="Hyperlink"/>
          <w:color w:val="auto"/>
          <w:u w:val="none"/>
        </w:rPr>
      </w:pPr>
      <w:r>
        <w:rPr>
          <w:rStyle w:val="Hyperlink"/>
          <w:color w:val="auto"/>
        </w:rPr>
        <w:t>Large Bank Holding Companies (BHC)</w:t>
      </w:r>
      <w:r w:rsidRPr="00320807">
        <w:rPr>
          <w:rStyle w:val="Hyperlink"/>
          <w:color w:val="auto"/>
          <w:u w:val="none"/>
        </w:rPr>
        <w:t>:</w:t>
      </w:r>
      <w:r>
        <w:rPr>
          <w:rStyle w:val="Hyperlink"/>
          <w:color w:val="auto"/>
          <w:u w:val="none"/>
        </w:rPr>
        <w:t xml:space="preserve"> Large BHC’s refer to those with $250 billion in consolidated assets, or more in on-balance sheet foreign exposure, and to systemically important non-bank financial institutions. They have to hold enough HQLA to cover 30 days </w:t>
      </w:r>
      <w:r w:rsidR="00CE0D96">
        <w:rPr>
          <w:rStyle w:val="Hyperlink"/>
          <w:color w:val="auto"/>
          <w:u w:val="none"/>
        </w:rPr>
        <w:t>of net cash outflow. That amount would be based on the based on the peak cumulative amount within the 30</w:t>
      </w:r>
      <w:r w:rsidR="004245C0">
        <w:rPr>
          <w:rStyle w:val="Hyperlink"/>
          <w:color w:val="auto"/>
          <w:u w:val="none"/>
        </w:rPr>
        <w:t>-</w:t>
      </w:r>
      <w:r w:rsidR="00CE0D96">
        <w:rPr>
          <w:rStyle w:val="Hyperlink"/>
          <w:color w:val="auto"/>
          <w:u w:val="none"/>
        </w:rPr>
        <w:t>day period (Federal Reserve (2013)).</w:t>
      </w:r>
    </w:p>
    <w:p w14:paraId="6A3DBA1A" w14:textId="77777777" w:rsidR="004245C0" w:rsidRDefault="004245C0" w:rsidP="0060309E">
      <w:pPr>
        <w:pStyle w:val="ListParagraph"/>
        <w:numPr>
          <w:ilvl w:val="0"/>
          <w:numId w:val="6"/>
        </w:numPr>
        <w:spacing w:after="200" w:line="360" w:lineRule="auto"/>
        <w:rPr>
          <w:rStyle w:val="Hyperlink"/>
          <w:color w:val="auto"/>
          <w:u w:val="none"/>
        </w:rPr>
      </w:pPr>
      <w:r>
        <w:rPr>
          <w:rStyle w:val="Hyperlink"/>
          <w:color w:val="auto"/>
        </w:rPr>
        <w:lastRenderedPageBreak/>
        <w:t>LCR for Regional Firms</w:t>
      </w:r>
      <w:r w:rsidRPr="004245C0">
        <w:rPr>
          <w:rStyle w:val="Hyperlink"/>
          <w:color w:val="auto"/>
          <w:u w:val="none"/>
        </w:rPr>
        <w:t>:</w:t>
      </w:r>
      <w:r>
        <w:rPr>
          <w:rStyle w:val="Hyperlink"/>
          <w:color w:val="auto"/>
          <w:u w:val="none"/>
        </w:rPr>
        <w:t xml:space="preserve"> </w:t>
      </w:r>
      <w:r w:rsidR="00D54B12">
        <w:rPr>
          <w:rStyle w:val="Hyperlink"/>
          <w:color w:val="auto"/>
          <w:u w:val="none"/>
        </w:rPr>
        <w:t xml:space="preserve">Regional firms – those with between $50 and $250 billion in assets – would be subject to a </w:t>
      </w:r>
      <w:r w:rsidR="00D54B12" w:rsidRPr="00D54B12">
        <w:rPr>
          <w:rStyle w:val="Hyperlink"/>
          <w:i/>
          <w:color w:val="auto"/>
          <w:u w:val="none"/>
        </w:rPr>
        <w:t>modified</w:t>
      </w:r>
      <w:r w:rsidR="00D54B12">
        <w:rPr>
          <w:rStyle w:val="Hyperlink"/>
          <w:color w:val="auto"/>
          <w:u w:val="none"/>
        </w:rPr>
        <w:t xml:space="preserve"> LCR at the BHC level only. The modified LCR requires the regional firms to require holding enough HQLA to cover 21 days of net cash outflows.</w:t>
      </w:r>
    </w:p>
    <w:p w14:paraId="5D19739A" w14:textId="77777777" w:rsidR="00D54B12" w:rsidRDefault="00D54B12" w:rsidP="0060309E">
      <w:pPr>
        <w:pStyle w:val="ListParagraph"/>
        <w:numPr>
          <w:ilvl w:val="0"/>
          <w:numId w:val="6"/>
        </w:numPr>
        <w:spacing w:after="200" w:line="360" w:lineRule="auto"/>
        <w:rPr>
          <w:rStyle w:val="Hyperlink"/>
          <w:color w:val="auto"/>
          <w:u w:val="none"/>
        </w:rPr>
      </w:pPr>
      <w:r>
        <w:rPr>
          <w:rStyle w:val="Hyperlink"/>
          <w:color w:val="auto"/>
        </w:rPr>
        <w:t>Comparison against large BHC LCR’s</w:t>
      </w:r>
      <w:r w:rsidRPr="00D54B12">
        <w:rPr>
          <w:rStyle w:val="Hyperlink"/>
          <w:color w:val="auto"/>
          <w:u w:val="none"/>
        </w:rPr>
        <w:t>:</w:t>
      </w:r>
      <w:r>
        <w:rPr>
          <w:rStyle w:val="Hyperlink"/>
          <w:color w:val="auto"/>
          <w:u w:val="none"/>
        </w:rPr>
        <w:t xml:space="preserve"> These net cashflow parameters are 70% of those applicable to the large institutions and do not include the requirement to calculate the peak cumulative outflows.</w:t>
      </w:r>
    </w:p>
    <w:p w14:paraId="3474B3F6" w14:textId="77777777" w:rsidR="00D54B12" w:rsidRDefault="00D54B12" w:rsidP="0060309E">
      <w:pPr>
        <w:pStyle w:val="ListParagraph"/>
        <w:numPr>
          <w:ilvl w:val="0"/>
          <w:numId w:val="6"/>
        </w:numPr>
        <w:spacing w:after="200" w:line="360" w:lineRule="auto"/>
        <w:rPr>
          <w:rStyle w:val="Hyperlink"/>
          <w:color w:val="auto"/>
          <w:u w:val="none"/>
        </w:rPr>
      </w:pPr>
      <w:r>
        <w:rPr>
          <w:rStyle w:val="Hyperlink"/>
          <w:color w:val="auto"/>
        </w:rPr>
        <w:t>LCR Rules for Small BHC’s</w:t>
      </w:r>
      <w:r w:rsidRPr="00D54B12">
        <w:rPr>
          <w:rStyle w:val="Hyperlink"/>
          <w:color w:val="auto"/>
          <w:u w:val="none"/>
        </w:rPr>
        <w:t>:</w:t>
      </w:r>
      <w:r>
        <w:rPr>
          <w:rStyle w:val="Hyperlink"/>
          <w:color w:val="auto"/>
          <w:u w:val="none"/>
        </w:rPr>
        <w:t xml:space="preserve"> Smaller BHC’s – those under $50 billion – would remain subject to the prevailing qualitative supervisory framework.</w:t>
      </w:r>
    </w:p>
    <w:p w14:paraId="7C28B61C" w14:textId="77777777" w:rsidR="00D54B12" w:rsidRDefault="00D54B12" w:rsidP="0060309E">
      <w:pPr>
        <w:pStyle w:val="ListParagraph"/>
        <w:numPr>
          <w:ilvl w:val="0"/>
          <w:numId w:val="6"/>
        </w:numPr>
        <w:spacing w:after="200" w:line="360" w:lineRule="auto"/>
        <w:rPr>
          <w:rStyle w:val="Hyperlink"/>
          <w:color w:val="auto"/>
          <w:u w:val="none"/>
        </w:rPr>
      </w:pPr>
      <w:r>
        <w:rPr>
          <w:rStyle w:val="Hyperlink"/>
          <w:color w:val="auto"/>
        </w:rPr>
        <w:t>Quality Classification of Qualifying HQLA’s</w:t>
      </w:r>
      <w:r w:rsidRPr="00D54B12">
        <w:rPr>
          <w:rStyle w:val="Hyperlink"/>
          <w:color w:val="auto"/>
          <w:u w:val="none"/>
        </w:rPr>
        <w:t>:</w:t>
      </w:r>
      <w:r>
        <w:rPr>
          <w:rStyle w:val="Hyperlink"/>
          <w:color w:val="auto"/>
          <w:u w:val="none"/>
        </w:rPr>
        <w:t xml:space="preserve"> The US proposal divides qualifying HQLA’s into three specific categories – Level 1, Level 2A, and Level 2B. Across the categories, the combination of Level 2A and Level 2B assets cannot exceed 40% HQLA and 2B assets are limited to a maximum of 15% HQLA.</w:t>
      </w:r>
    </w:p>
    <w:p w14:paraId="40DF56E5" w14:textId="77777777" w:rsidR="00CD5345" w:rsidRDefault="00CD5345" w:rsidP="0060309E">
      <w:pPr>
        <w:pStyle w:val="ListParagraph"/>
        <w:numPr>
          <w:ilvl w:val="0"/>
          <w:numId w:val="6"/>
        </w:numPr>
        <w:spacing w:after="200" w:line="360" w:lineRule="auto"/>
        <w:rPr>
          <w:rStyle w:val="Hyperlink"/>
          <w:color w:val="auto"/>
          <w:u w:val="none"/>
        </w:rPr>
      </w:pPr>
      <w:r>
        <w:rPr>
          <w:rStyle w:val="Hyperlink"/>
          <w:color w:val="auto"/>
        </w:rPr>
        <w:t>Level 1 HQLA - Asset Characteristics</w:t>
      </w:r>
      <w:r w:rsidRPr="00CD5345">
        <w:rPr>
          <w:rStyle w:val="Hyperlink"/>
          <w:color w:val="auto"/>
          <w:u w:val="none"/>
        </w:rPr>
        <w:t>:</w:t>
      </w:r>
      <w:r>
        <w:rPr>
          <w:rStyle w:val="Hyperlink"/>
          <w:color w:val="auto"/>
          <w:u w:val="none"/>
        </w:rPr>
        <w:t xml:space="preserve"> Level 1 represents assets that </w:t>
      </w:r>
      <w:proofErr w:type="spellStart"/>
      <w:r>
        <w:rPr>
          <w:rStyle w:val="Hyperlink"/>
          <w:color w:val="auto"/>
          <w:u w:val="none"/>
        </w:rPr>
        <w:t>ar</w:t>
      </w:r>
      <w:proofErr w:type="spellEnd"/>
      <w:r>
        <w:rPr>
          <w:rStyle w:val="Hyperlink"/>
          <w:color w:val="auto"/>
          <w:u w:val="none"/>
        </w:rPr>
        <w:t xml:space="preserve"> highly liquid – generally those risk-weighted at 0% under the Basel III standardized approach to capital – and receive no haircut.</w:t>
      </w:r>
    </w:p>
    <w:p w14:paraId="53155972" w14:textId="77777777" w:rsidR="00CD5345" w:rsidRDefault="00CD5345" w:rsidP="0060309E">
      <w:pPr>
        <w:pStyle w:val="ListParagraph"/>
        <w:numPr>
          <w:ilvl w:val="0"/>
          <w:numId w:val="6"/>
        </w:numPr>
        <w:spacing w:after="200" w:line="360" w:lineRule="auto"/>
        <w:rPr>
          <w:rStyle w:val="Hyperlink"/>
          <w:color w:val="auto"/>
          <w:u w:val="none"/>
        </w:rPr>
      </w:pPr>
      <w:r>
        <w:rPr>
          <w:rStyle w:val="Hyperlink"/>
          <w:color w:val="auto"/>
        </w:rPr>
        <w:t>Entities excluded from Level 1 HQLA</w:t>
      </w:r>
      <w:r w:rsidRPr="00CD5345">
        <w:rPr>
          <w:rStyle w:val="Hyperlink"/>
          <w:color w:val="auto"/>
          <w:u w:val="none"/>
        </w:rPr>
        <w:t>:</w:t>
      </w:r>
      <w:r>
        <w:rPr>
          <w:rStyle w:val="Hyperlink"/>
          <w:color w:val="auto"/>
          <w:u w:val="none"/>
        </w:rPr>
        <w:t xml:space="preserve"> Notably, the Fed chose not to include GSE issued securities in Level 1</w:t>
      </w:r>
      <w:r w:rsidR="00E42A0A">
        <w:rPr>
          <w:rStyle w:val="Hyperlink"/>
          <w:color w:val="auto"/>
          <w:u w:val="none"/>
        </w:rPr>
        <w:t xml:space="preserve">, despite industry lobbying, on the basis that they are not guaranteed by the </w:t>
      </w:r>
      <w:r w:rsidR="00E42A0A">
        <w:rPr>
          <w:rStyle w:val="Hyperlink"/>
          <w:i/>
          <w:color w:val="auto"/>
          <w:u w:val="none"/>
        </w:rPr>
        <w:t>full faith and credit</w:t>
      </w:r>
      <w:r w:rsidR="00E42A0A">
        <w:rPr>
          <w:rStyle w:val="Hyperlink"/>
          <w:color w:val="auto"/>
          <w:u w:val="none"/>
        </w:rPr>
        <w:t xml:space="preserve"> of the US government.</w:t>
      </w:r>
    </w:p>
    <w:p w14:paraId="7515447A" w14:textId="77777777" w:rsidR="00E42A0A" w:rsidRDefault="00E42A0A" w:rsidP="0060309E">
      <w:pPr>
        <w:pStyle w:val="ListParagraph"/>
        <w:numPr>
          <w:ilvl w:val="0"/>
          <w:numId w:val="6"/>
        </w:numPr>
        <w:spacing w:after="200" w:line="360" w:lineRule="auto"/>
        <w:rPr>
          <w:rStyle w:val="Hyperlink"/>
          <w:color w:val="auto"/>
          <w:u w:val="none"/>
        </w:rPr>
      </w:pPr>
      <w:r>
        <w:rPr>
          <w:rStyle w:val="Hyperlink"/>
          <w:color w:val="auto"/>
        </w:rPr>
        <w:t>Level 2A HQLA Risk Weights</w:t>
      </w:r>
      <w:r w:rsidRPr="00E42A0A">
        <w:rPr>
          <w:rStyle w:val="Hyperlink"/>
          <w:color w:val="auto"/>
          <w:u w:val="none"/>
        </w:rPr>
        <w:t>:</w:t>
      </w:r>
      <w:r>
        <w:rPr>
          <w:rStyle w:val="Hyperlink"/>
          <w:color w:val="auto"/>
          <w:u w:val="none"/>
        </w:rPr>
        <w:t xml:space="preserve"> Level 2A assets generally include assets that would be subject to a 20% risk weighting under Basel III, and includes assets such as GSE issued and guaranteed securities.</w:t>
      </w:r>
    </w:p>
    <w:p w14:paraId="4BF0E2E6" w14:textId="77777777" w:rsidR="00E42A0A" w:rsidRDefault="00E42A0A" w:rsidP="0060309E">
      <w:pPr>
        <w:pStyle w:val="ListParagraph"/>
        <w:numPr>
          <w:ilvl w:val="0"/>
          <w:numId w:val="6"/>
        </w:numPr>
        <w:spacing w:after="200" w:line="360" w:lineRule="auto"/>
        <w:rPr>
          <w:rStyle w:val="Hyperlink"/>
          <w:color w:val="auto"/>
          <w:u w:val="none"/>
        </w:rPr>
      </w:pPr>
      <w:r>
        <w:rPr>
          <w:rStyle w:val="Hyperlink"/>
          <w:color w:val="auto"/>
        </w:rPr>
        <w:t>Level 2A HQLA Haircut</w:t>
      </w:r>
      <w:r w:rsidRPr="00E42A0A">
        <w:rPr>
          <w:rStyle w:val="Hyperlink"/>
          <w:color w:val="auto"/>
          <w:u w:val="none"/>
        </w:rPr>
        <w:t>:</w:t>
      </w:r>
      <w:r>
        <w:rPr>
          <w:rStyle w:val="Hyperlink"/>
          <w:color w:val="auto"/>
          <w:u w:val="none"/>
        </w:rPr>
        <w:t xml:space="preserve"> These assets would be subject to a 15% haircut, which is similar to the treatment of such securities under the BCBS version.</w:t>
      </w:r>
    </w:p>
    <w:p w14:paraId="733D5EA7" w14:textId="77777777" w:rsidR="00E45A48" w:rsidRDefault="00E45A48" w:rsidP="0060309E">
      <w:pPr>
        <w:pStyle w:val="ListParagraph"/>
        <w:numPr>
          <w:ilvl w:val="0"/>
          <w:numId w:val="6"/>
        </w:numPr>
        <w:spacing w:after="200" w:line="360" w:lineRule="auto"/>
        <w:rPr>
          <w:rStyle w:val="Hyperlink"/>
          <w:color w:val="auto"/>
          <w:u w:val="none"/>
        </w:rPr>
      </w:pPr>
      <w:r>
        <w:rPr>
          <w:rStyle w:val="Hyperlink"/>
          <w:color w:val="auto"/>
        </w:rPr>
        <w:t>Composition of the Level 2B HQLA Assets</w:t>
      </w:r>
      <w:r w:rsidRPr="00E45A48">
        <w:rPr>
          <w:rStyle w:val="Hyperlink"/>
          <w:color w:val="auto"/>
          <w:u w:val="none"/>
        </w:rPr>
        <w:t>:</w:t>
      </w:r>
      <w:r>
        <w:rPr>
          <w:rStyle w:val="Hyperlink"/>
          <w:color w:val="auto"/>
          <w:u w:val="none"/>
        </w:rPr>
        <w:t xml:space="preserve"> </w:t>
      </w:r>
      <w:r w:rsidR="0090014A">
        <w:rPr>
          <w:rStyle w:val="Hyperlink"/>
          <w:color w:val="auto"/>
          <w:u w:val="none"/>
        </w:rPr>
        <w:t>Level 2B assets include corporate debt and equity securities, and are subject to a 50% haircut.</w:t>
      </w:r>
    </w:p>
    <w:p w14:paraId="1465295A" w14:textId="77777777" w:rsidR="0090014A" w:rsidRDefault="0090014A" w:rsidP="0060309E">
      <w:pPr>
        <w:pStyle w:val="ListParagraph"/>
        <w:numPr>
          <w:ilvl w:val="0"/>
          <w:numId w:val="6"/>
        </w:numPr>
        <w:spacing w:after="200" w:line="360" w:lineRule="auto"/>
        <w:rPr>
          <w:rStyle w:val="Hyperlink"/>
          <w:color w:val="auto"/>
          <w:u w:val="none"/>
        </w:rPr>
      </w:pPr>
      <w:r>
        <w:rPr>
          <w:rStyle w:val="Hyperlink"/>
          <w:color w:val="auto"/>
        </w:rPr>
        <w:t>Variation with the BCBS Treatment</w:t>
      </w:r>
      <w:r w:rsidRPr="0090014A">
        <w:rPr>
          <w:rStyle w:val="Hyperlink"/>
          <w:color w:val="auto"/>
          <w:u w:val="none"/>
        </w:rPr>
        <w:t>:</w:t>
      </w:r>
      <w:r>
        <w:rPr>
          <w:rStyle w:val="Hyperlink"/>
          <w:color w:val="auto"/>
          <w:u w:val="none"/>
        </w:rPr>
        <w:t xml:space="preserve"> The BCBS and the US versions treat equities in a similar manner, but corporate debt under BCBS version is split between 2A and 2B based on public credit ratings, unlike the US proposal.</w:t>
      </w:r>
    </w:p>
    <w:p w14:paraId="07F01EC4" w14:textId="77777777" w:rsidR="0090014A" w:rsidRDefault="0090014A" w:rsidP="0060309E">
      <w:pPr>
        <w:pStyle w:val="ListParagraph"/>
        <w:numPr>
          <w:ilvl w:val="0"/>
          <w:numId w:val="6"/>
        </w:numPr>
        <w:spacing w:after="200" w:line="360" w:lineRule="auto"/>
        <w:rPr>
          <w:rStyle w:val="Hyperlink"/>
          <w:color w:val="auto"/>
          <w:u w:val="none"/>
        </w:rPr>
      </w:pPr>
      <w:r>
        <w:rPr>
          <w:rStyle w:val="Hyperlink"/>
          <w:color w:val="auto"/>
        </w:rPr>
        <w:t>Elimination of the References to Credit Rating</w:t>
      </w:r>
      <w:r w:rsidRPr="0090014A">
        <w:rPr>
          <w:rStyle w:val="Hyperlink"/>
          <w:color w:val="auto"/>
          <w:u w:val="none"/>
        </w:rPr>
        <w:t>:</w:t>
      </w:r>
      <w:r>
        <w:rPr>
          <w:rStyle w:val="Hyperlink"/>
          <w:color w:val="auto"/>
          <w:u w:val="none"/>
        </w:rPr>
        <w:t xml:space="preserve"> This treatment of the corporate debt securities is the direct impact of the Dodd-Frank Act’s Section 939, which removed </w:t>
      </w:r>
      <w:r>
        <w:rPr>
          <w:rStyle w:val="Hyperlink"/>
          <w:color w:val="auto"/>
          <w:u w:val="none"/>
        </w:rPr>
        <w:lastRenderedPageBreak/>
        <w:t>references to credit ratings, and further evidences the conservative bias of the US regulators’ approach to the LCR.</w:t>
      </w:r>
    </w:p>
    <w:p w14:paraId="21D8FA1B" w14:textId="77777777" w:rsidR="0090014A" w:rsidRDefault="0090014A" w:rsidP="0060309E">
      <w:pPr>
        <w:pStyle w:val="ListParagraph"/>
        <w:numPr>
          <w:ilvl w:val="0"/>
          <w:numId w:val="6"/>
        </w:numPr>
        <w:spacing w:after="200" w:line="360" w:lineRule="auto"/>
        <w:rPr>
          <w:rStyle w:val="Hyperlink"/>
          <w:color w:val="auto"/>
          <w:u w:val="none"/>
        </w:rPr>
      </w:pPr>
      <w:r>
        <w:rPr>
          <w:rStyle w:val="Hyperlink"/>
          <w:color w:val="auto"/>
        </w:rPr>
        <w:t>LCR Operational Implementation Plan Timeline</w:t>
      </w:r>
      <w:r w:rsidRPr="0090014A">
        <w:rPr>
          <w:rStyle w:val="Hyperlink"/>
          <w:color w:val="auto"/>
          <w:u w:val="none"/>
        </w:rPr>
        <w:t>:</w:t>
      </w:r>
      <w:r>
        <w:rPr>
          <w:rStyle w:val="Hyperlink"/>
          <w:color w:val="auto"/>
          <w:u w:val="none"/>
        </w:rPr>
        <w:t xml:space="preserve"> The proposal requires that the LCR be at least equal to or greater than 1.0, and includes a multi-year transition period that would require: 80% compliance starting 1 January 2015, 90% compliance starting 1 January 2016, and 100% compliance starting 1 January 2017.</w:t>
      </w:r>
    </w:p>
    <w:p w14:paraId="1BFF9A6E" w14:textId="77777777" w:rsidR="00490175" w:rsidRDefault="00490175" w:rsidP="0060309E">
      <w:pPr>
        <w:pStyle w:val="ListParagraph"/>
        <w:numPr>
          <w:ilvl w:val="0"/>
          <w:numId w:val="6"/>
        </w:numPr>
        <w:spacing w:after="200" w:line="360" w:lineRule="auto"/>
        <w:rPr>
          <w:rStyle w:val="Hyperlink"/>
          <w:color w:val="auto"/>
          <w:u w:val="none"/>
        </w:rPr>
      </w:pPr>
      <w:r>
        <w:rPr>
          <w:rStyle w:val="Hyperlink"/>
          <w:color w:val="auto"/>
        </w:rPr>
        <w:t>LCR Operational Slippage Remediation Plan</w:t>
      </w:r>
      <w:r w:rsidRPr="00490175">
        <w:rPr>
          <w:rStyle w:val="Hyperlink"/>
          <w:color w:val="auto"/>
          <w:u w:val="none"/>
        </w:rPr>
        <w:t>:</w:t>
      </w:r>
      <w:r>
        <w:rPr>
          <w:rStyle w:val="Hyperlink"/>
          <w:color w:val="auto"/>
          <w:u w:val="none"/>
        </w:rPr>
        <w:t xml:space="preserve"> Lastly, the proposal requires both sets of firms – large bank holding companies and regional firms – subject to the LCR requirements to submit remediation plans to the US regulators to address what actions would be taken of the LCR falls below 100% for three or more consecutive days.</w:t>
      </w:r>
    </w:p>
    <w:p w14:paraId="37D41F6A" w14:textId="77777777" w:rsidR="00490175" w:rsidRDefault="00490175" w:rsidP="00490175">
      <w:pPr>
        <w:spacing w:after="200" w:line="360" w:lineRule="auto"/>
        <w:rPr>
          <w:rStyle w:val="Hyperlink"/>
          <w:color w:val="auto"/>
          <w:u w:val="none"/>
        </w:rPr>
      </w:pPr>
    </w:p>
    <w:p w14:paraId="5FC5FAD9" w14:textId="77777777" w:rsidR="00490175" w:rsidRDefault="00490175" w:rsidP="00490175">
      <w:pPr>
        <w:spacing w:after="200" w:line="360" w:lineRule="auto"/>
        <w:rPr>
          <w:rStyle w:val="Hyperlink"/>
          <w:color w:val="auto"/>
          <w:u w:val="none"/>
        </w:rPr>
      </w:pPr>
    </w:p>
    <w:p w14:paraId="493552C3" w14:textId="77777777" w:rsidR="00490175" w:rsidRPr="005B6063" w:rsidRDefault="00490175" w:rsidP="00490175">
      <w:pPr>
        <w:spacing w:after="200" w:line="360" w:lineRule="auto"/>
        <w:rPr>
          <w:rStyle w:val="Hyperlink"/>
          <w:b/>
          <w:color w:val="auto"/>
          <w:sz w:val="28"/>
          <w:szCs w:val="28"/>
          <w:u w:val="none"/>
        </w:rPr>
      </w:pPr>
      <w:r w:rsidRPr="005B6063">
        <w:rPr>
          <w:rStyle w:val="Hyperlink"/>
          <w:b/>
          <w:color w:val="auto"/>
          <w:sz w:val="28"/>
          <w:szCs w:val="28"/>
          <w:u w:val="none"/>
        </w:rPr>
        <w:t>Summary of Originally Proposed Changes (2010) in the Basel Committee Language</w:t>
      </w:r>
    </w:p>
    <w:p w14:paraId="1DB4ED51" w14:textId="77777777" w:rsidR="00490175" w:rsidRDefault="00490175" w:rsidP="00490175">
      <w:pPr>
        <w:spacing w:after="200" w:line="360" w:lineRule="auto"/>
        <w:rPr>
          <w:rStyle w:val="Hyperlink"/>
          <w:color w:val="auto"/>
          <w:u w:val="none"/>
        </w:rPr>
      </w:pPr>
    </w:p>
    <w:p w14:paraId="4100F42C" w14:textId="77777777" w:rsidR="00490175" w:rsidRDefault="005B6063" w:rsidP="0060309E">
      <w:pPr>
        <w:pStyle w:val="ListParagraph"/>
        <w:numPr>
          <w:ilvl w:val="0"/>
          <w:numId w:val="7"/>
        </w:numPr>
        <w:spacing w:after="200" w:line="360" w:lineRule="auto"/>
        <w:rPr>
          <w:rStyle w:val="Hyperlink"/>
          <w:color w:val="auto"/>
          <w:u w:val="none"/>
        </w:rPr>
      </w:pPr>
      <w:r w:rsidRPr="005B6063">
        <w:rPr>
          <w:rStyle w:val="Hyperlink"/>
          <w:color w:val="auto"/>
        </w:rPr>
        <w:t>Quality, Consistency, and transparency of Capital</w:t>
      </w:r>
      <w:r w:rsidRPr="005B6063">
        <w:rPr>
          <w:rStyle w:val="Hyperlink"/>
          <w:color w:val="auto"/>
          <w:u w:val="none"/>
        </w:rPr>
        <w:t>: First, the quality, the consistency, and the transparency of the capital base will be raised.</w:t>
      </w:r>
    </w:p>
    <w:p w14:paraId="5CA41B38" w14:textId="431CFBCC" w:rsidR="005B6063" w:rsidRDefault="005B6063" w:rsidP="0060309E">
      <w:pPr>
        <w:pStyle w:val="ListParagraph"/>
        <w:numPr>
          <w:ilvl w:val="1"/>
          <w:numId w:val="7"/>
        </w:numPr>
        <w:spacing w:after="200" w:line="360" w:lineRule="auto"/>
        <w:rPr>
          <w:rStyle w:val="Hyperlink"/>
          <w:color w:val="auto"/>
          <w:u w:val="none"/>
        </w:rPr>
      </w:pPr>
      <w:r>
        <w:rPr>
          <w:rStyle w:val="Hyperlink"/>
          <w:color w:val="auto"/>
          <w:u w:val="none"/>
        </w:rPr>
        <w:t>Tier 1 Capital =&gt; The predominant form of Tier 1 Capital must be common shares and retained earnings.</w:t>
      </w:r>
    </w:p>
    <w:p w14:paraId="49F49C39" w14:textId="674C0AB0" w:rsidR="005B6063" w:rsidRDefault="005B6063" w:rsidP="0060309E">
      <w:pPr>
        <w:pStyle w:val="ListParagraph"/>
        <w:numPr>
          <w:ilvl w:val="1"/>
          <w:numId w:val="7"/>
        </w:numPr>
        <w:spacing w:after="200" w:line="360" w:lineRule="auto"/>
        <w:rPr>
          <w:rStyle w:val="Hyperlink"/>
          <w:color w:val="auto"/>
          <w:u w:val="none"/>
        </w:rPr>
      </w:pPr>
      <w:r>
        <w:rPr>
          <w:rStyle w:val="Hyperlink"/>
          <w:color w:val="auto"/>
          <w:u w:val="none"/>
        </w:rPr>
        <w:t>Tier 2 Capital =&gt; Tier 2 is the supplementary capital; however, the instruments will be harmonized.</w:t>
      </w:r>
    </w:p>
    <w:p w14:paraId="6B42EA89" w14:textId="10ABD966" w:rsidR="005B6063" w:rsidRDefault="005B6063" w:rsidP="0060309E">
      <w:pPr>
        <w:pStyle w:val="ListParagraph"/>
        <w:numPr>
          <w:ilvl w:val="1"/>
          <w:numId w:val="7"/>
        </w:numPr>
        <w:spacing w:after="200" w:line="360" w:lineRule="auto"/>
        <w:rPr>
          <w:rStyle w:val="Hyperlink"/>
          <w:color w:val="auto"/>
          <w:u w:val="none"/>
        </w:rPr>
      </w:pPr>
      <w:r>
        <w:rPr>
          <w:rStyle w:val="Hyperlink"/>
          <w:color w:val="auto"/>
          <w:u w:val="none"/>
        </w:rPr>
        <w:t>Tier 3 Capital will be eliminated (Basel Committee on Banking Supervision (2009)).</w:t>
      </w:r>
    </w:p>
    <w:p w14:paraId="2BBFE41E" w14:textId="3587D190" w:rsidR="005B6063" w:rsidRDefault="005B6063" w:rsidP="0060309E">
      <w:pPr>
        <w:pStyle w:val="ListParagraph"/>
        <w:numPr>
          <w:ilvl w:val="0"/>
          <w:numId w:val="7"/>
        </w:numPr>
        <w:spacing w:after="200" w:line="360" w:lineRule="auto"/>
        <w:rPr>
          <w:rStyle w:val="Hyperlink"/>
          <w:color w:val="auto"/>
          <w:u w:val="none"/>
        </w:rPr>
      </w:pPr>
      <w:r w:rsidRPr="005B6063">
        <w:rPr>
          <w:rStyle w:val="Hyperlink"/>
          <w:color w:val="auto"/>
        </w:rPr>
        <w:t>Strengthening of the Capital Framework</w:t>
      </w:r>
      <w:r>
        <w:rPr>
          <w:rStyle w:val="Hyperlink"/>
          <w:color w:val="auto"/>
          <w:u w:val="none"/>
        </w:rPr>
        <w:t>: Second, the risk coverage of the capital framework will be strengthened.</w:t>
      </w:r>
    </w:p>
    <w:p w14:paraId="367F5F33" w14:textId="441CDB13" w:rsidR="005B6063" w:rsidRDefault="00296CEC" w:rsidP="0060309E">
      <w:pPr>
        <w:pStyle w:val="ListParagraph"/>
        <w:numPr>
          <w:ilvl w:val="1"/>
          <w:numId w:val="7"/>
        </w:numPr>
        <w:spacing w:after="200" w:line="360" w:lineRule="auto"/>
        <w:rPr>
          <w:rStyle w:val="Hyperlink"/>
          <w:color w:val="auto"/>
          <w:u w:val="none"/>
        </w:rPr>
      </w:pPr>
      <w:r>
        <w:rPr>
          <w:rStyle w:val="Hyperlink"/>
          <w:color w:val="auto"/>
          <w:u w:val="none"/>
        </w:rPr>
        <w:t>Promote more integrated management of market and counterparty credit risk.</w:t>
      </w:r>
    </w:p>
    <w:p w14:paraId="220D3741" w14:textId="7EEA4F6F" w:rsidR="00296CEC" w:rsidRDefault="00296CEC" w:rsidP="0060309E">
      <w:pPr>
        <w:pStyle w:val="ListParagraph"/>
        <w:numPr>
          <w:ilvl w:val="1"/>
          <w:numId w:val="7"/>
        </w:numPr>
        <w:spacing w:after="200" w:line="360" w:lineRule="auto"/>
        <w:rPr>
          <w:rStyle w:val="Hyperlink"/>
          <w:color w:val="auto"/>
          <w:u w:val="none"/>
        </w:rPr>
      </w:pPr>
      <w:r>
        <w:rPr>
          <w:rStyle w:val="Hyperlink"/>
          <w:color w:val="auto"/>
          <w:u w:val="none"/>
        </w:rPr>
        <w:t>Add credit valuation adjustment – risk due to deterioration in the counterparty’s credit rating.</w:t>
      </w:r>
    </w:p>
    <w:p w14:paraId="7DF650BA" w14:textId="1DCC1CD7" w:rsidR="00296CEC" w:rsidRDefault="00296CEC" w:rsidP="0060309E">
      <w:pPr>
        <w:pStyle w:val="ListParagraph"/>
        <w:numPr>
          <w:ilvl w:val="1"/>
          <w:numId w:val="7"/>
        </w:numPr>
        <w:spacing w:after="200" w:line="360" w:lineRule="auto"/>
        <w:rPr>
          <w:rStyle w:val="Hyperlink"/>
          <w:color w:val="auto"/>
          <w:u w:val="none"/>
        </w:rPr>
      </w:pPr>
      <w:r>
        <w:rPr>
          <w:rStyle w:val="Hyperlink"/>
          <w:color w:val="auto"/>
          <w:u w:val="none"/>
        </w:rPr>
        <w:lastRenderedPageBreak/>
        <w:t>Strengthen the capital requirements for counterparty credit exposures arising from bank’s derivatives, repos, and securities financing transactions.</w:t>
      </w:r>
    </w:p>
    <w:p w14:paraId="3A7B18A2" w14:textId="2530CD07" w:rsidR="00296CEC" w:rsidRDefault="00296CEC" w:rsidP="0060309E">
      <w:pPr>
        <w:pStyle w:val="ListParagraph"/>
        <w:numPr>
          <w:ilvl w:val="1"/>
          <w:numId w:val="7"/>
        </w:numPr>
        <w:spacing w:after="200" w:line="360" w:lineRule="auto"/>
        <w:rPr>
          <w:rStyle w:val="Hyperlink"/>
          <w:color w:val="auto"/>
          <w:u w:val="none"/>
        </w:rPr>
      </w:pPr>
      <w:r>
        <w:rPr>
          <w:rStyle w:val="Hyperlink"/>
          <w:color w:val="auto"/>
          <w:u w:val="none"/>
        </w:rPr>
        <w:t>Raise the capital buffers backing these exposures.</w:t>
      </w:r>
    </w:p>
    <w:p w14:paraId="5C3647C7" w14:textId="20A02194" w:rsidR="00296CEC" w:rsidRDefault="00296CEC" w:rsidP="0060309E">
      <w:pPr>
        <w:pStyle w:val="ListParagraph"/>
        <w:numPr>
          <w:ilvl w:val="1"/>
          <w:numId w:val="7"/>
        </w:numPr>
        <w:spacing w:after="200" w:line="360" w:lineRule="auto"/>
        <w:rPr>
          <w:rStyle w:val="Hyperlink"/>
          <w:color w:val="auto"/>
          <w:u w:val="none"/>
        </w:rPr>
      </w:pPr>
      <w:r>
        <w:rPr>
          <w:rStyle w:val="Hyperlink"/>
          <w:color w:val="auto"/>
          <w:u w:val="none"/>
        </w:rPr>
        <w:t>Reduce procyclicality.</w:t>
      </w:r>
    </w:p>
    <w:p w14:paraId="3A34FB77" w14:textId="1DEF1AEB" w:rsidR="00296CEC" w:rsidRDefault="00296CEC" w:rsidP="0060309E">
      <w:pPr>
        <w:pStyle w:val="ListParagraph"/>
        <w:numPr>
          <w:ilvl w:val="1"/>
          <w:numId w:val="7"/>
        </w:numPr>
        <w:spacing w:after="200" w:line="360" w:lineRule="auto"/>
        <w:rPr>
          <w:rStyle w:val="Hyperlink"/>
          <w:color w:val="auto"/>
          <w:u w:val="none"/>
        </w:rPr>
      </w:pPr>
      <w:r>
        <w:rPr>
          <w:rStyle w:val="Hyperlink"/>
          <w:color w:val="auto"/>
          <w:u w:val="none"/>
        </w:rPr>
        <w:t>Provide additional incentives to move OTC derivatives contracts to qualifying central counterparties – probably clearing houses. Currently, BCBS has stated that derivatives cleared with a QCCP will be risk-weighted at 2%. This rule is still to be finalized in the US.</w:t>
      </w:r>
    </w:p>
    <w:p w14:paraId="78E8708D" w14:textId="48C3E152" w:rsidR="00296CEC" w:rsidRDefault="00296CEC" w:rsidP="0060309E">
      <w:pPr>
        <w:pStyle w:val="ListParagraph"/>
        <w:numPr>
          <w:ilvl w:val="1"/>
          <w:numId w:val="7"/>
        </w:numPr>
        <w:spacing w:after="200" w:line="360" w:lineRule="auto"/>
        <w:rPr>
          <w:rStyle w:val="Hyperlink"/>
          <w:color w:val="auto"/>
          <w:u w:val="none"/>
        </w:rPr>
      </w:pPr>
      <w:r>
        <w:rPr>
          <w:rStyle w:val="Hyperlink"/>
          <w:color w:val="auto"/>
          <w:u w:val="none"/>
        </w:rPr>
        <w:t>Provide incentives to strengthen risk management of counterparty credit exposures.</w:t>
      </w:r>
    </w:p>
    <w:p w14:paraId="1DA7E593" w14:textId="42787EFD" w:rsidR="00296CEC" w:rsidRDefault="00296CEC" w:rsidP="0060309E">
      <w:pPr>
        <w:pStyle w:val="ListParagraph"/>
        <w:numPr>
          <w:ilvl w:val="1"/>
          <w:numId w:val="7"/>
        </w:numPr>
        <w:spacing w:after="200" w:line="360" w:lineRule="auto"/>
        <w:rPr>
          <w:rStyle w:val="Hyperlink"/>
          <w:color w:val="auto"/>
          <w:u w:val="none"/>
        </w:rPr>
      </w:pPr>
      <w:r>
        <w:rPr>
          <w:rStyle w:val="Hyperlink"/>
          <w:color w:val="auto"/>
          <w:u w:val="none"/>
        </w:rPr>
        <w:t>Raise counterparty credit risk management standards by including wrong-way risk.</w:t>
      </w:r>
    </w:p>
    <w:p w14:paraId="23AC88C7" w14:textId="1D7431AB" w:rsidR="00296CEC" w:rsidRDefault="00296CEC" w:rsidP="0060309E">
      <w:pPr>
        <w:pStyle w:val="ListParagraph"/>
        <w:numPr>
          <w:ilvl w:val="0"/>
          <w:numId w:val="7"/>
        </w:numPr>
        <w:spacing w:after="200" w:line="360" w:lineRule="auto"/>
        <w:rPr>
          <w:rStyle w:val="Hyperlink"/>
          <w:color w:val="auto"/>
          <w:u w:val="none"/>
        </w:rPr>
      </w:pPr>
      <w:r w:rsidRPr="00296CEC">
        <w:rPr>
          <w:rStyle w:val="Hyperlink"/>
          <w:color w:val="auto"/>
        </w:rPr>
        <w:t>Leverage Ratio Monitoring and Maintenance</w:t>
      </w:r>
      <w:r>
        <w:rPr>
          <w:rStyle w:val="Hyperlink"/>
          <w:color w:val="auto"/>
          <w:u w:val="none"/>
        </w:rPr>
        <w:t>: Third, a leverage ratio will be maintained as a supplementary measure to the Basel II risk-based framework. It is intended to achieve the following objectives:</w:t>
      </w:r>
    </w:p>
    <w:p w14:paraId="0DA22D30" w14:textId="7A400628" w:rsidR="00296CEC" w:rsidRDefault="00296CEC" w:rsidP="0060309E">
      <w:pPr>
        <w:pStyle w:val="ListParagraph"/>
        <w:numPr>
          <w:ilvl w:val="1"/>
          <w:numId w:val="7"/>
        </w:numPr>
        <w:spacing w:after="200" w:line="360" w:lineRule="auto"/>
        <w:rPr>
          <w:rStyle w:val="Hyperlink"/>
          <w:color w:val="auto"/>
          <w:u w:val="none"/>
        </w:rPr>
      </w:pPr>
      <w:r>
        <w:rPr>
          <w:rStyle w:val="Hyperlink"/>
          <w:color w:val="auto"/>
          <w:u w:val="none"/>
        </w:rPr>
        <w:t>Put a floor under the buildup of the leverage in the banking sector.</w:t>
      </w:r>
    </w:p>
    <w:p w14:paraId="05391549" w14:textId="462D6A65" w:rsidR="00296CEC" w:rsidRDefault="00296CEC" w:rsidP="0060309E">
      <w:pPr>
        <w:pStyle w:val="ListParagraph"/>
        <w:numPr>
          <w:ilvl w:val="1"/>
          <w:numId w:val="7"/>
        </w:numPr>
        <w:spacing w:after="200" w:line="360" w:lineRule="auto"/>
        <w:rPr>
          <w:rStyle w:val="Hyperlink"/>
          <w:color w:val="auto"/>
          <w:u w:val="none"/>
        </w:rPr>
      </w:pPr>
      <w:r>
        <w:rPr>
          <w:rStyle w:val="Hyperlink"/>
          <w:color w:val="auto"/>
          <w:u w:val="none"/>
        </w:rPr>
        <w:t>Introduce additional safeguards against model risk and measurement error by supplementing the risk-based measure with a simpler measure that is based on gross exposures.</w:t>
      </w:r>
    </w:p>
    <w:p w14:paraId="57578054" w14:textId="1C175A61" w:rsidR="008D7838" w:rsidRDefault="008D7838" w:rsidP="0060309E">
      <w:pPr>
        <w:pStyle w:val="ListParagraph"/>
        <w:numPr>
          <w:ilvl w:val="0"/>
          <w:numId w:val="7"/>
        </w:numPr>
        <w:spacing w:after="200" w:line="360" w:lineRule="auto"/>
        <w:rPr>
          <w:rStyle w:val="Hyperlink"/>
          <w:color w:val="auto"/>
          <w:u w:val="none"/>
        </w:rPr>
      </w:pPr>
      <w:r w:rsidRPr="00813174">
        <w:rPr>
          <w:rStyle w:val="Hyperlink"/>
          <w:color w:val="auto"/>
        </w:rPr>
        <w:t>Reducing Procyclicality and Promoting</w:t>
      </w:r>
      <w:r w:rsidR="00813174" w:rsidRPr="00813174">
        <w:rPr>
          <w:rStyle w:val="Hyperlink"/>
          <w:color w:val="auto"/>
        </w:rPr>
        <w:t xml:space="preserve"> Counter-cyclical Buffers</w:t>
      </w:r>
      <w:r w:rsidR="00813174">
        <w:rPr>
          <w:rStyle w:val="Hyperlink"/>
          <w:color w:val="auto"/>
          <w:u w:val="none"/>
        </w:rPr>
        <w:t>: Fourth, a series of measures have been introduced to promote the buildup of capital buffers during good times that can be drawn upon in periods of stress.</w:t>
      </w:r>
    </w:p>
    <w:p w14:paraId="46F30E42" w14:textId="544FB262" w:rsidR="00813174" w:rsidRDefault="00813174" w:rsidP="0060309E">
      <w:pPr>
        <w:pStyle w:val="ListParagraph"/>
        <w:numPr>
          <w:ilvl w:val="1"/>
          <w:numId w:val="7"/>
        </w:numPr>
        <w:spacing w:after="200" w:line="360" w:lineRule="auto"/>
        <w:rPr>
          <w:rStyle w:val="Hyperlink"/>
          <w:color w:val="auto"/>
          <w:u w:val="none"/>
        </w:rPr>
      </w:pPr>
      <w:r>
        <w:rPr>
          <w:rStyle w:val="Hyperlink"/>
          <w:color w:val="auto"/>
          <w:u w:val="none"/>
        </w:rPr>
        <w:t>The measures to address pro-cyclicality are:</w:t>
      </w:r>
    </w:p>
    <w:p w14:paraId="107B3BFC" w14:textId="7436A970" w:rsidR="00813174" w:rsidRDefault="00813174" w:rsidP="0060309E">
      <w:pPr>
        <w:pStyle w:val="ListParagraph"/>
        <w:numPr>
          <w:ilvl w:val="2"/>
          <w:numId w:val="7"/>
        </w:numPr>
        <w:spacing w:after="200" w:line="360" w:lineRule="auto"/>
        <w:rPr>
          <w:rStyle w:val="Hyperlink"/>
          <w:color w:val="auto"/>
          <w:u w:val="none"/>
        </w:rPr>
      </w:pPr>
      <w:r>
        <w:rPr>
          <w:rStyle w:val="Hyperlink"/>
          <w:color w:val="auto"/>
          <w:u w:val="none"/>
        </w:rPr>
        <w:t>Dampen excess cyclicality of the minimum capital requirement.</w:t>
      </w:r>
    </w:p>
    <w:p w14:paraId="700F1D41" w14:textId="48434E63" w:rsidR="00813174" w:rsidRDefault="00813174" w:rsidP="0060309E">
      <w:pPr>
        <w:pStyle w:val="ListParagraph"/>
        <w:numPr>
          <w:ilvl w:val="2"/>
          <w:numId w:val="7"/>
        </w:numPr>
        <w:spacing w:after="200" w:line="360" w:lineRule="auto"/>
        <w:rPr>
          <w:rStyle w:val="Hyperlink"/>
          <w:color w:val="auto"/>
          <w:u w:val="none"/>
        </w:rPr>
      </w:pPr>
      <w:r>
        <w:rPr>
          <w:rStyle w:val="Hyperlink"/>
          <w:color w:val="auto"/>
          <w:u w:val="none"/>
        </w:rPr>
        <w:t>Promote more forward-looking provisions.</w:t>
      </w:r>
    </w:p>
    <w:p w14:paraId="03E87850" w14:textId="7939AAEB" w:rsidR="00813174" w:rsidRDefault="00813174" w:rsidP="0060309E">
      <w:pPr>
        <w:pStyle w:val="ListParagraph"/>
        <w:numPr>
          <w:ilvl w:val="2"/>
          <w:numId w:val="7"/>
        </w:numPr>
        <w:spacing w:after="200" w:line="360" w:lineRule="auto"/>
        <w:rPr>
          <w:rStyle w:val="Hyperlink"/>
          <w:color w:val="auto"/>
          <w:u w:val="none"/>
        </w:rPr>
      </w:pPr>
      <w:r>
        <w:rPr>
          <w:rStyle w:val="Hyperlink"/>
          <w:color w:val="auto"/>
          <w:u w:val="none"/>
        </w:rPr>
        <w:t>Conserve capital to build buffers at individual banks level and at the banking sector level that can be used in periods of stress.</w:t>
      </w:r>
    </w:p>
    <w:p w14:paraId="345F027E" w14:textId="3C005561" w:rsidR="00813174" w:rsidRDefault="00813174" w:rsidP="0060309E">
      <w:pPr>
        <w:pStyle w:val="ListParagraph"/>
        <w:numPr>
          <w:ilvl w:val="1"/>
          <w:numId w:val="7"/>
        </w:numPr>
        <w:spacing w:after="200" w:line="360" w:lineRule="auto"/>
        <w:rPr>
          <w:rStyle w:val="Hyperlink"/>
          <w:color w:val="auto"/>
          <w:u w:val="none"/>
        </w:rPr>
      </w:pPr>
      <w:r>
        <w:rPr>
          <w:rStyle w:val="Hyperlink"/>
          <w:color w:val="auto"/>
          <w:u w:val="none"/>
        </w:rPr>
        <w:t>The measures to achieve broader macro-prudential goal of protecting the banking sector from periods of excess credit growth are:</w:t>
      </w:r>
    </w:p>
    <w:p w14:paraId="73D83217" w14:textId="03D8A005" w:rsidR="00813174" w:rsidRDefault="00813174" w:rsidP="0060309E">
      <w:pPr>
        <w:pStyle w:val="ListParagraph"/>
        <w:numPr>
          <w:ilvl w:val="2"/>
          <w:numId w:val="7"/>
        </w:numPr>
        <w:spacing w:after="200" w:line="360" w:lineRule="auto"/>
        <w:rPr>
          <w:rStyle w:val="Hyperlink"/>
          <w:color w:val="auto"/>
          <w:u w:val="none"/>
        </w:rPr>
      </w:pPr>
      <w:r>
        <w:rPr>
          <w:rStyle w:val="Hyperlink"/>
          <w:color w:val="auto"/>
          <w:u w:val="none"/>
        </w:rPr>
        <w:t>Requirements to use long-term data horizons for estimation.</w:t>
      </w:r>
    </w:p>
    <w:p w14:paraId="287FA414" w14:textId="1B7176CE" w:rsidR="00813174" w:rsidRDefault="00813174" w:rsidP="0060309E">
      <w:pPr>
        <w:pStyle w:val="ListParagraph"/>
        <w:numPr>
          <w:ilvl w:val="2"/>
          <w:numId w:val="7"/>
        </w:numPr>
        <w:spacing w:after="200" w:line="360" w:lineRule="auto"/>
        <w:rPr>
          <w:rStyle w:val="Hyperlink"/>
          <w:color w:val="auto"/>
          <w:u w:val="none"/>
        </w:rPr>
      </w:pPr>
      <w:r>
        <w:rPr>
          <w:rStyle w:val="Hyperlink"/>
          <w:color w:val="auto"/>
          <w:u w:val="none"/>
        </w:rPr>
        <w:t>Downturn loss-given-default estimates, recommended in Basel II&lt; to become mandatory.</w:t>
      </w:r>
    </w:p>
    <w:p w14:paraId="6AE78E81" w14:textId="09AE9284" w:rsidR="00813174" w:rsidRDefault="00813174" w:rsidP="0060309E">
      <w:pPr>
        <w:pStyle w:val="ListParagraph"/>
        <w:numPr>
          <w:ilvl w:val="2"/>
          <w:numId w:val="7"/>
        </w:numPr>
        <w:spacing w:after="200" w:line="360" w:lineRule="auto"/>
        <w:rPr>
          <w:rStyle w:val="Hyperlink"/>
          <w:color w:val="auto"/>
          <w:u w:val="none"/>
        </w:rPr>
      </w:pPr>
      <w:r>
        <w:rPr>
          <w:rStyle w:val="Hyperlink"/>
          <w:color w:val="auto"/>
          <w:u w:val="none"/>
        </w:rPr>
        <w:lastRenderedPageBreak/>
        <w:t>Improved calibration of the risk functions, which convert loss estimates into regulatory capital requirements.</w:t>
      </w:r>
    </w:p>
    <w:p w14:paraId="09379A1D" w14:textId="30FB67F8" w:rsidR="00813174" w:rsidRDefault="00813174" w:rsidP="0060309E">
      <w:pPr>
        <w:pStyle w:val="ListParagraph"/>
        <w:numPr>
          <w:ilvl w:val="2"/>
          <w:numId w:val="7"/>
        </w:numPr>
        <w:spacing w:after="200" w:line="360" w:lineRule="auto"/>
        <w:rPr>
          <w:rStyle w:val="Hyperlink"/>
          <w:color w:val="auto"/>
          <w:u w:val="none"/>
        </w:rPr>
      </w:pPr>
      <w:r>
        <w:rPr>
          <w:rStyle w:val="Hyperlink"/>
          <w:color w:val="auto"/>
          <w:u w:val="none"/>
        </w:rPr>
        <w:t>Banks must conduct stress tests that include widening credit spreads in recessionary scenarios.</w:t>
      </w:r>
    </w:p>
    <w:p w14:paraId="37D05708" w14:textId="3202CA27" w:rsidR="00813174" w:rsidRDefault="00813174" w:rsidP="0060309E">
      <w:pPr>
        <w:pStyle w:val="ListParagraph"/>
        <w:numPr>
          <w:ilvl w:val="1"/>
          <w:numId w:val="7"/>
        </w:numPr>
        <w:spacing w:after="200" w:line="360" w:lineRule="auto"/>
        <w:rPr>
          <w:rStyle w:val="Hyperlink"/>
          <w:color w:val="auto"/>
          <w:u w:val="none"/>
        </w:rPr>
      </w:pPr>
      <w:r>
        <w:rPr>
          <w:rStyle w:val="Hyperlink"/>
          <w:color w:val="auto"/>
          <w:u w:val="none"/>
        </w:rPr>
        <w:t>The measures for promoting stronger provisioning practices (forward-looking provisioning) are:</w:t>
      </w:r>
    </w:p>
    <w:p w14:paraId="5A77C9DF" w14:textId="555A421C" w:rsidR="004A4B3D" w:rsidRDefault="00813174" w:rsidP="0060309E">
      <w:pPr>
        <w:pStyle w:val="ListParagraph"/>
        <w:numPr>
          <w:ilvl w:val="2"/>
          <w:numId w:val="7"/>
        </w:numPr>
        <w:spacing w:after="200" w:line="360" w:lineRule="auto"/>
        <w:rPr>
          <w:rStyle w:val="Hyperlink"/>
          <w:color w:val="auto"/>
          <w:u w:val="none"/>
        </w:rPr>
      </w:pPr>
      <w:r>
        <w:rPr>
          <w:rStyle w:val="Hyperlink"/>
          <w:color w:val="auto"/>
          <w:u w:val="none"/>
        </w:rPr>
        <w:t>Advocating a change in the accounting standards towards an expected loss (EL) approach – usually</w:t>
      </w:r>
    </w:p>
    <w:p w14:paraId="02A72256" w14:textId="77777777" w:rsidR="004A4B3D" w:rsidRDefault="004A4B3D" w:rsidP="004A4B3D">
      <w:pPr>
        <w:pStyle w:val="ListParagraph"/>
        <w:spacing w:after="200" w:line="360" w:lineRule="auto"/>
        <w:ind w:left="1800"/>
        <w:rPr>
          <w:rStyle w:val="Hyperlink"/>
          <w:color w:val="auto"/>
          <w:u w:val="none"/>
        </w:rPr>
      </w:pPr>
    </w:p>
    <w:p w14:paraId="519C686A" w14:textId="77777777" w:rsidR="004A4B3D" w:rsidRDefault="00813174" w:rsidP="004A4B3D">
      <w:pPr>
        <w:pStyle w:val="ListParagraph"/>
        <w:spacing w:after="200" w:line="360" w:lineRule="auto"/>
        <w:ind w:left="1800"/>
        <w:rPr>
          <w:rStyle w:val="Hyperlink"/>
          <w:color w:val="auto"/>
          <w:u w:val="none"/>
        </w:rPr>
      </w:pPr>
      <m:oMathPara>
        <m:oMath>
          <m:r>
            <w:rPr>
              <w:rStyle w:val="Hyperlink"/>
              <w:rFonts w:ascii="Cambria Math" w:hAnsi="Cambria Math"/>
              <w:color w:val="auto"/>
              <w:u w:val="none"/>
            </w:rPr>
            <m:t>EL Amount=LGD×PD×EAD</m:t>
          </m:r>
        </m:oMath>
      </m:oMathPara>
    </w:p>
    <w:p w14:paraId="5CA38087" w14:textId="77777777" w:rsidR="004A4B3D" w:rsidRDefault="004A4B3D" w:rsidP="004A4B3D">
      <w:pPr>
        <w:pStyle w:val="ListParagraph"/>
        <w:spacing w:after="200" w:line="360" w:lineRule="auto"/>
        <w:ind w:left="1800"/>
        <w:rPr>
          <w:rStyle w:val="Hyperlink"/>
          <w:color w:val="auto"/>
          <w:u w:val="none"/>
        </w:rPr>
      </w:pPr>
    </w:p>
    <w:p w14:paraId="3012016D" w14:textId="0786B1A9" w:rsidR="00813174" w:rsidRDefault="00813174" w:rsidP="004A4B3D">
      <w:pPr>
        <w:pStyle w:val="ListParagraph"/>
        <w:spacing w:after="200" w:line="360" w:lineRule="auto"/>
        <w:ind w:left="1800"/>
        <w:rPr>
          <w:rStyle w:val="Hyperlink"/>
          <w:color w:val="auto"/>
          <w:u w:val="none"/>
        </w:rPr>
      </w:pPr>
      <w:r>
        <w:rPr>
          <w:rStyle w:val="Hyperlink"/>
          <w:color w:val="auto"/>
          <w:u w:val="none"/>
        </w:rPr>
        <w:t xml:space="preserve">as outlined in </w:t>
      </w:r>
      <w:r w:rsidR="0014272E">
        <w:rPr>
          <w:rStyle w:val="Hyperlink"/>
          <w:color w:val="auto"/>
          <w:u w:val="none"/>
        </w:rPr>
        <w:t>Basel Committee on Banking Supervision (2005).</w:t>
      </w:r>
    </w:p>
    <w:p w14:paraId="5601E88E" w14:textId="1C217D01" w:rsidR="0014272E" w:rsidRDefault="0014272E" w:rsidP="0060309E">
      <w:pPr>
        <w:pStyle w:val="ListParagraph"/>
        <w:numPr>
          <w:ilvl w:val="0"/>
          <w:numId w:val="7"/>
        </w:numPr>
        <w:spacing w:after="200" w:line="360" w:lineRule="auto"/>
        <w:rPr>
          <w:rStyle w:val="Hyperlink"/>
          <w:color w:val="auto"/>
          <w:u w:val="none"/>
        </w:rPr>
      </w:pPr>
      <w:r w:rsidRPr="0014272E">
        <w:rPr>
          <w:rStyle w:val="Hyperlink"/>
          <w:color w:val="auto"/>
        </w:rPr>
        <w:t>Required Levels of LCR and NSFR</w:t>
      </w:r>
      <w:r>
        <w:rPr>
          <w:rStyle w:val="Hyperlink"/>
          <w:color w:val="auto"/>
          <w:u w:val="none"/>
        </w:rPr>
        <w:t>: Fifth, a global minimum liquidity standard for internationally active banks is introduced that includes a 30-day liquidity coverage ratio requirement underpinned by a longer-term structural liquidity ratio called the Net Stable Funding Ratio. In January 2012, the oversight panel of the Basel Committee on Banking Supervision issued a statement saying that regulators will allow banks to dip below their required liquidity levels, the liquidity coverage ratio, during periods of stress.</w:t>
      </w:r>
    </w:p>
    <w:p w14:paraId="4BC5441D" w14:textId="08DD4A04" w:rsidR="0014272E" w:rsidRDefault="0014272E" w:rsidP="0060309E">
      <w:pPr>
        <w:pStyle w:val="ListParagraph"/>
        <w:numPr>
          <w:ilvl w:val="0"/>
          <w:numId w:val="7"/>
        </w:numPr>
        <w:spacing w:after="200" w:line="360" w:lineRule="auto"/>
        <w:rPr>
          <w:rStyle w:val="Hyperlink"/>
          <w:color w:val="auto"/>
          <w:u w:val="none"/>
        </w:rPr>
      </w:pPr>
      <w:r>
        <w:rPr>
          <w:rStyle w:val="Hyperlink"/>
          <w:color w:val="auto"/>
        </w:rPr>
        <w:t>Extra Capital, Liquidity, and Supervisory Measures</w:t>
      </w:r>
      <w:r w:rsidRPr="0014272E">
        <w:rPr>
          <w:rStyle w:val="Hyperlink"/>
          <w:color w:val="auto"/>
          <w:u w:val="none"/>
        </w:rPr>
        <w:t>:</w:t>
      </w:r>
      <w:r>
        <w:rPr>
          <w:rStyle w:val="Hyperlink"/>
          <w:color w:val="auto"/>
          <w:u w:val="none"/>
        </w:rPr>
        <w:t xml:space="preserve"> The Committee is also reviewing the need for additional capital, liquidity, or other supervisory measures to reduce the externalities created by systemically important institutions.</w:t>
      </w:r>
    </w:p>
    <w:p w14:paraId="2C6D2770" w14:textId="315F6530" w:rsidR="0014272E" w:rsidRDefault="0014272E" w:rsidP="0060309E">
      <w:pPr>
        <w:pStyle w:val="ListParagraph"/>
        <w:numPr>
          <w:ilvl w:val="0"/>
          <w:numId w:val="7"/>
        </w:numPr>
        <w:spacing w:after="200" w:line="360" w:lineRule="auto"/>
        <w:rPr>
          <w:rStyle w:val="Hyperlink"/>
          <w:color w:val="auto"/>
          <w:u w:val="none"/>
        </w:rPr>
      </w:pPr>
      <w:r>
        <w:rPr>
          <w:rStyle w:val="Hyperlink"/>
          <w:color w:val="auto"/>
        </w:rPr>
        <w:t>Basel III Tiered Capital Ratio</w:t>
      </w:r>
      <w:r w:rsidRPr="0014272E">
        <w:rPr>
          <w:rStyle w:val="Hyperlink"/>
          <w:color w:val="auto"/>
          <w:u w:val="none"/>
        </w:rPr>
        <w:t>:</w:t>
      </w:r>
      <w:r>
        <w:rPr>
          <w:rStyle w:val="Hyperlink"/>
          <w:color w:val="auto"/>
          <w:u w:val="none"/>
        </w:rPr>
        <w:t xml:space="preserve"> As of September 2010, the proposed Basel III norms asked for ratios as: </w:t>
      </w:r>
      <m:oMath>
        <m:r>
          <w:rPr>
            <w:rStyle w:val="Hyperlink"/>
            <w:rFonts w:ascii="Cambria Math" w:hAnsi="Cambria Math"/>
            <w:color w:val="auto"/>
            <w:u w:val="none"/>
          </w:rPr>
          <m:t xml:space="preserve">7-9.5% (4.5%+2.5% </m:t>
        </m:r>
        <m:d>
          <m:dPr>
            <m:ctrlPr>
              <w:rPr>
                <w:rStyle w:val="Hyperlink"/>
                <w:rFonts w:ascii="Cambria Math" w:hAnsi="Cambria Math"/>
                <w:i/>
                <w:color w:val="auto"/>
                <w:u w:val="none"/>
              </w:rPr>
            </m:ctrlPr>
          </m:dPr>
          <m:e>
            <m:r>
              <w:rPr>
                <w:rStyle w:val="Hyperlink"/>
                <w:rFonts w:ascii="Cambria Math" w:hAnsi="Cambria Math"/>
                <w:color w:val="auto"/>
                <w:u w:val="none"/>
              </w:rPr>
              <m:t>Conservation Buffer</m:t>
            </m:r>
          </m:e>
        </m:d>
        <m:r>
          <w:rPr>
            <w:rStyle w:val="Hyperlink"/>
            <w:rFonts w:ascii="Cambria Math" w:hAnsi="Cambria Math"/>
            <w:color w:val="auto"/>
            <w:u w:val="none"/>
          </w:rPr>
          <m:t xml:space="preserve">+0-2.5% </m:t>
        </m:r>
        <m:d>
          <m:dPr>
            <m:ctrlPr>
              <w:rPr>
                <w:rStyle w:val="Hyperlink"/>
                <w:rFonts w:ascii="Cambria Math" w:hAnsi="Cambria Math"/>
                <w:i/>
                <w:color w:val="auto"/>
                <w:u w:val="none"/>
              </w:rPr>
            </m:ctrlPr>
          </m:dPr>
          <m:e>
            <m:r>
              <w:rPr>
                <w:rStyle w:val="Hyperlink"/>
                <w:rFonts w:ascii="Cambria Math" w:hAnsi="Cambria Math"/>
                <w:color w:val="auto"/>
                <w:u w:val="none"/>
              </w:rPr>
              <m:t>Seasonal Buffer</m:t>
            </m:r>
          </m:e>
        </m:d>
        <m:r>
          <w:rPr>
            <w:rStyle w:val="Hyperlink"/>
            <w:rFonts w:ascii="Cambria Math" w:hAnsi="Cambria Math"/>
            <w:color w:val="auto"/>
            <w:u w:val="none"/>
          </w:rPr>
          <m:t xml:space="preserve"> for common equity, and 8.5-11% for Tier 1 Capital, and 10.5-13% for total capital</m:t>
        </m:r>
      </m:oMath>
      <w:r>
        <w:rPr>
          <w:rStyle w:val="Hyperlink"/>
          <w:color w:val="auto"/>
          <w:u w:val="none"/>
        </w:rPr>
        <w:t>.</w:t>
      </w:r>
    </w:p>
    <w:p w14:paraId="33B9AE6B" w14:textId="5B6524AE" w:rsidR="00540310" w:rsidRDefault="00540310" w:rsidP="0060309E">
      <w:pPr>
        <w:pStyle w:val="ListParagraph"/>
        <w:numPr>
          <w:ilvl w:val="0"/>
          <w:numId w:val="7"/>
        </w:numPr>
        <w:spacing w:after="200" w:line="360" w:lineRule="auto"/>
        <w:rPr>
          <w:rStyle w:val="Hyperlink"/>
          <w:color w:val="auto"/>
          <w:u w:val="none"/>
        </w:rPr>
      </w:pPr>
      <w:r>
        <w:rPr>
          <w:rStyle w:val="Hyperlink"/>
          <w:color w:val="auto"/>
        </w:rPr>
        <w:t>Measuring and Controlling Large Exposures</w:t>
      </w:r>
      <w:r>
        <w:rPr>
          <w:rStyle w:val="Hyperlink"/>
          <w:color w:val="auto"/>
          <w:u w:val="none"/>
        </w:rPr>
        <w:t xml:space="preserve">: In April 2014, BCBS released the final version of its </w:t>
      </w:r>
      <w:r>
        <w:rPr>
          <w:rStyle w:val="Hyperlink"/>
          <w:i/>
          <w:color w:val="auto"/>
          <w:u w:val="none"/>
        </w:rPr>
        <w:t>Supervisory Framework for Measuring and Controlling Large Exposures</w:t>
      </w:r>
      <w:r>
        <w:rPr>
          <w:rStyle w:val="Hyperlink"/>
          <w:color w:val="auto"/>
          <w:u w:val="none"/>
        </w:rPr>
        <w:t xml:space="preserve"> (SFLE) that builds on longstanding BCBS guidance on credit measure concentrations.</w:t>
      </w:r>
    </w:p>
    <w:p w14:paraId="523D0BFD" w14:textId="4F989498" w:rsidR="00540310" w:rsidRDefault="00540310" w:rsidP="0060309E">
      <w:pPr>
        <w:pStyle w:val="ListParagraph"/>
        <w:numPr>
          <w:ilvl w:val="0"/>
          <w:numId w:val="7"/>
        </w:numPr>
        <w:spacing w:after="200" w:line="360" w:lineRule="auto"/>
        <w:rPr>
          <w:rStyle w:val="Hyperlink"/>
          <w:color w:val="auto"/>
          <w:u w:val="none"/>
        </w:rPr>
      </w:pPr>
      <w:r>
        <w:rPr>
          <w:rStyle w:val="Hyperlink"/>
          <w:color w:val="auto"/>
        </w:rPr>
        <w:t>US Banking Agency LCR Implementation</w:t>
      </w:r>
      <w:r w:rsidRPr="00540310">
        <w:rPr>
          <w:rStyle w:val="Hyperlink"/>
          <w:color w:val="auto"/>
          <w:u w:val="none"/>
        </w:rPr>
        <w:t>:</w:t>
      </w:r>
      <w:r>
        <w:rPr>
          <w:rStyle w:val="Hyperlink"/>
          <w:color w:val="auto"/>
          <w:u w:val="none"/>
        </w:rPr>
        <w:t xml:space="preserve"> On 3 September 2014, the US Banking Agencies – Federal Reserve, Office of the Comptroller of the Currency, and Federal Deposit Insurance </w:t>
      </w:r>
      <w:r>
        <w:rPr>
          <w:rStyle w:val="Hyperlink"/>
          <w:color w:val="auto"/>
          <w:u w:val="none"/>
        </w:rPr>
        <w:lastRenderedPageBreak/>
        <w:t>Corporation – issued the final rule covering the implementation of the Liquidity Coverage Ratio (LCR).</w:t>
      </w:r>
    </w:p>
    <w:p w14:paraId="2B895BEB" w14:textId="33F6F179" w:rsidR="00540310" w:rsidRDefault="00540310" w:rsidP="0060309E">
      <w:pPr>
        <w:pStyle w:val="ListParagraph"/>
        <w:numPr>
          <w:ilvl w:val="0"/>
          <w:numId w:val="7"/>
        </w:numPr>
        <w:spacing w:after="200" w:line="360" w:lineRule="auto"/>
        <w:rPr>
          <w:rStyle w:val="Hyperlink"/>
          <w:color w:val="auto"/>
          <w:u w:val="none"/>
        </w:rPr>
      </w:pPr>
      <w:r>
        <w:rPr>
          <w:rStyle w:val="Hyperlink"/>
          <w:color w:val="auto"/>
        </w:rPr>
        <w:t>Purpose of the LCR</w:t>
      </w:r>
      <w:r w:rsidRPr="00540310">
        <w:rPr>
          <w:rStyle w:val="Hyperlink"/>
          <w:color w:val="auto"/>
          <w:u w:val="none"/>
        </w:rPr>
        <w:t>:</w:t>
      </w:r>
      <w:r>
        <w:rPr>
          <w:rStyle w:val="Hyperlink"/>
          <w:color w:val="auto"/>
          <w:u w:val="none"/>
        </w:rPr>
        <w:t xml:space="preserve"> The LCR is a short-term liquidity measure intended to ensure that banking organizations maintain a sufficient pool of liquid assets to cover net cash outflows over a 30-day stress period.</w:t>
      </w:r>
    </w:p>
    <w:p w14:paraId="239A8D72" w14:textId="4E5D58A8" w:rsidR="00540310" w:rsidRDefault="00540310" w:rsidP="0060309E">
      <w:pPr>
        <w:pStyle w:val="ListParagraph"/>
        <w:numPr>
          <w:ilvl w:val="0"/>
          <w:numId w:val="7"/>
        </w:numPr>
        <w:spacing w:after="200" w:line="360" w:lineRule="auto"/>
        <w:rPr>
          <w:rStyle w:val="Hyperlink"/>
          <w:color w:val="auto"/>
          <w:u w:val="none"/>
        </w:rPr>
      </w:pPr>
      <w:r>
        <w:rPr>
          <w:rStyle w:val="Hyperlink"/>
          <w:color w:val="auto"/>
        </w:rPr>
        <w:t>Disclosure of Regulatory Metrics and Qualitative Data</w:t>
      </w:r>
      <w:r w:rsidRPr="00540310">
        <w:rPr>
          <w:rStyle w:val="Hyperlink"/>
          <w:color w:val="auto"/>
          <w:u w:val="none"/>
        </w:rPr>
        <w:t>:</w:t>
      </w:r>
      <w:r>
        <w:rPr>
          <w:rStyle w:val="Hyperlink"/>
          <w:color w:val="auto"/>
          <w:u w:val="none"/>
        </w:rPr>
        <w:t xml:space="preserve"> The 11 March 2016, the Basel Committee on Banking Supervision released the second of three proposals on public disclosure of regulatory metrics and qualitative data by banking institutions.</w:t>
      </w:r>
    </w:p>
    <w:p w14:paraId="6E1F0E01" w14:textId="4E7727BD" w:rsidR="00465EDB" w:rsidRDefault="004A4B3D" w:rsidP="0060309E">
      <w:pPr>
        <w:pStyle w:val="ListParagraph"/>
        <w:numPr>
          <w:ilvl w:val="0"/>
          <w:numId w:val="7"/>
        </w:numPr>
        <w:spacing w:after="200" w:line="360" w:lineRule="auto"/>
        <w:rPr>
          <w:rStyle w:val="Hyperlink"/>
          <w:color w:val="auto"/>
          <w:u w:val="none"/>
        </w:rPr>
      </w:pPr>
      <w:r>
        <w:rPr>
          <w:rStyle w:val="Hyperlink"/>
          <w:color w:val="auto"/>
        </w:rPr>
        <w:t>Granular Disclosure of the Market Risk Metrics</w:t>
      </w:r>
      <w:r w:rsidRPr="004A4B3D">
        <w:rPr>
          <w:rStyle w:val="Hyperlink"/>
          <w:color w:val="auto"/>
          <w:u w:val="none"/>
        </w:rPr>
        <w:t>:</w:t>
      </w:r>
      <w:r>
        <w:rPr>
          <w:rStyle w:val="Hyperlink"/>
          <w:color w:val="auto"/>
          <w:u w:val="none"/>
        </w:rPr>
        <w:t xml:space="preserve"> The proposal requires disclosures on market risk to be more granular for both the standardized approach as well as the regulatory approval of internal models.</w:t>
      </w:r>
    </w:p>
    <w:p w14:paraId="4C3C4B49" w14:textId="3C193A92" w:rsidR="004A4B3D" w:rsidRDefault="004A4B3D" w:rsidP="004A4B3D">
      <w:pPr>
        <w:spacing w:after="200" w:line="360" w:lineRule="auto"/>
        <w:rPr>
          <w:rStyle w:val="Hyperlink"/>
          <w:color w:val="auto"/>
          <w:u w:val="none"/>
        </w:rPr>
      </w:pPr>
    </w:p>
    <w:p w14:paraId="2EE8C071" w14:textId="322B7AE1" w:rsidR="004A4B3D" w:rsidRDefault="004A4B3D" w:rsidP="004A4B3D">
      <w:pPr>
        <w:spacing w:after="200" w:line="360" w:lineRule="auto"/>
        <w:rPr>
          <w:rStyle w:val="Hyperlink"/>
          <w:color w:val="auto"/>
          <w:u w:val="none"/>
        </w:rPr>
      </w:pPr>
    </w:p>
    <w:p w14:paraId="4915DCAF" w14:textId="563373E0" w:rsidR="004A4B3D" w:rsidRPr="004A4B3D" w:rsidRDefault="004A4B3D" w:rsidP="004A4B3D">
      <w:pPr>
        <w:spacing w:after="200" w:line="360" w:lineRule="auto"/>
        <w:rPr>
          <w:rStyle w:val="Hyperlink"/>
          <w:b/>
          <w:color w:val="auto"/>
          <w:sz w:val="28"/>
          <w:szCs w:val="28"/>
          <w:u w:val="none"/>
        </w:rPr>
      </w:pPr>
      <w:r w:rsidRPr="004A4B3D">
        <w:rPr>
          <w:rStyle w:val="Hyperlink"/>
          <w:b/>
          <w:color w:val="auto"/>
          <w:sz w:val="28"/>
          <w:szCs w:val="28"/>
          <w:u w:val="none"/>
        </w:rPr>
        <w:t>US Implementation</w:t>
      </w:r>
    </w:p>
    <w:p w14:paraId="0EF14D44" w14:textId="5A2DEAF7" w:rsidR="004A4B3D" w:rsidRDefault="004A4B3D" w:rsidP="004A4B3D">
      <w:pPr>
        <w:spacing w:after="200" w:line="360" w:lineRule="auto"/>
        <w:rPr>
          <w:rStyle w:val="Hyperlink"/>
          <w:color w:val="auto"/>
          <w:u w:val="none"/>
        </w:rPr>
      </w:pPr>
    </w:p>
    <w:p w14:paraId="2E9BE797" w14:textId="0D1ADEA1" w:rsidR="004A4B3D" w:rsidRDefault="004A4B3D" w:rsidP="0060309E">
      <w:pPr>
        <w:pStyle w:val="ListParagraph"/>
        <w:numPr>
          <w:ilvl w:val="0"/>
          <w:numId w:val="8"/>
        </w:numPr>
        <w:spacing w:after="200" w:line="360" w:lineRule="auto"/>
        <w:rPr>
          <w:rStyle w:val="Hyperlink"/>
          <w:color w:val="auto"/>
          <w:u w:val="none"/>
        </w:rPr>
      </w:pPr>
      <w:r w:rsidRPr="004A4B3D">
        <w:rPr>
          <w:rStyle w:val="Hyperlink"/>
          <w:color w:val="auto"/>
        </w:rPr>
        <w:t>US Implementation of Basel III Rules</w:t>
      </w:r>
      <w:r w:rsidRPr="004A4B3D">
        <w:rPr>
          <w:rStyle w:val="Hyperlink"/>
          <w:color w:val="auto"/>
          <w:u w:val="none"/>
        </w:rPr>
        <w:t>: The US Federal Reserve announced in December 2011 that it would implement substantially all of the Basel III rules.</w:t>
      </w:r>
    </w:p>
    <w:p w14:paraId="1EB50804" w14:textId="59838E3E" w:rsidR="00A35421" w:rsidRDefault="004A4B3D" w:rsidP="0060309E">
      <w:pPr>
        <w:pStyle w:val="ListParagraph"/>
        <w:numPr>
          <w:ilvl w:val="0"/>
          <w:numId w:val="8"/>
        </w:numPr>
        <w:spacing w:after="200" w:line="360" w:lineRule="auto"/>
        <w:rPr>
          <w:rStyle w:val="Hyperlink"/>
          <w:color w:val="auto"/>
          <w:u w:val="none"/>
        </w:rPr>
      </w:pPr>
      <w:r>
        <w:rPr>
          <w:rStyle w:val="Hyperlink"/>
          <w:color w:val="auto"/>
        </w:rPr>
        <w:t>Applicability across the Range of Institutions</w:t>
      </w:r>
      <w:r w:rsidRPr="004A4B3D">
        <w:rPr>
          <w:rStyle w:val="Hyperlink"/>
          <w:color w:val="auto"/>
          <w:u w:val="none"/>
        </w:rPr>
        <w:t>:</w:t>
      </w:r>
      <w:r>
        <w:rPr>
          <w:rStyle w:val="Hyperlink"/>
          <w:color w:val="auto"/>
          <w:u w:val="none"/>
        </w:rPr>
        <w:t xml:space="preserve"> It made clear that they would apply not only to banks, to also to all institutions with more than $50 in assets. The rules may be summarized as follows.</w:t>
      </w:r>
    </w:p>
    <w:p w14:paraId="26F4C441" w14:textId="7DF6A788" w:rsidR="004A4B3D" w:rsidRDefault="004A4B3D" w:rsidP="0060309E">
      <w:pPr>
        <w:pStyle w:val="ListParagraph"/>
        <w:numPr>
          <w:ilvl w:val="0"/>
          <w:numId w:val="8"/>
        </w:numPr>
        <w:spacing w:after="200" w:line="360" w:lineRule="auto"/>
        <w:rPr>
          <w:rStyle w:val="Hyperlink"/>
          <w:color w:val="auto"/>
          <w:u w:val="none"/>
        </w:rPr>
      </w:pPr>
      <w:r>
        <w:rPr>
          <w:rStyle w:val="Hyperlink"/>
          <w:color w:val="auto"/>
        </w:rPr>
        <w:t>Risk-Based Capital Surcharge</w:t>
      </w:r>
      <w:r w:rsidRPr="004A4B3D">
        <w:rPr>
          <w:rStyle w:val="Hyperlink"/>
          <w:color w:val="auto"/>
          <w:u w:val="none"/>
        </w:rPr>
        <w:t>:</w:t>
      </w:r>
      <w:r>
        <w:rPr>
          <w:rStyle w:val="Hyperlink"/>
          <w:color w:val="auto"/>
          <w:u w:val="none"/>
        </w:rPr>
        <w:t xml:space="preserve"> The first is the </w:t>
      </w:r>
      <w:r>
        <w:rPr>
          <w:rStyle w:val="Hyperlink"/>
          <w:i/>
          <w:color w:val="auto"/>
          <w:u w:val="none"/>
        </w:rPr>
        <w:t>Risk Based Capital and Leverage Requirements</w:t>
      </w:r>
      <w:r>
        <w:rPr>
          <w:rStyle w:val="Hyperlink"/>
          <w:color w:val="auto"/>
          <w:u w:val="none"/>
        </w:rPr>
        <w:t xml:space="preserve"> which includes annual capital plans, stress tests, and capital; adequacy checks, including a Tier 1 Common Risk Based Capital Ratio greater than 5%, under both expected and stressed conditions.</w:t>
      </w:r>
    </w:p>
    <w:p w14:paraId="59A66D75" w14:textId="438FA4F2" w:rsidR="007C2A41" w:rsidRDefault="007C2A41" w:rsidP="0060309E">
      <w:pPr>
        <w:pStyle w:val="ListParagraph"/>
        <w:numPr>
          <w:ilvl w:val="0"/>
          <w:numId w:val="8"/>
        </w:numPr>
        <w:spacing w:after="200" w:line="360" w:lineRule="auto"/>
        <w:rPr>
          <w:rStyle w:val="Hyperlink"/>
          <w:color w:val="auto"/>
          <w:u w:val="none"/>
        </w:rPr>
      </w:pPr>
      <w:r>
        <w:rPr>
          <w:rStyle w:val="Hyperlink"/>
          <w:color w:val="auto"/>
        </w:rPr>
        <w:t>Liquidity Based Quantitative Limits</w:t>
      </w:r>
      <w:r w:rsidRPr="007C2A41">
        <w:rPr>
          <w:rStyle w:val="Hyperlink"/>
          <w:color w:val="auto"/>
          <w:u w:val="none"/>
        </w:rPr>
        <w:t>:</w:t>
      </w:r>
      <w:r>
        <w:rPr>
          <w:rStyle w:val="Hyperlink"/>
          <w:color w:val="auto"/>
          <w:u w:val="none"/>
        </w:rPr>
        <w:t xml:space="preserve"> The next is market liquidity te</w:t>
      </w:r>
      <w:r w:rsidR="005A12E7">
        <w:rPr>
          <w:rStyle w:val="Hyperlink"/>
          <w:color w:val="auto"/>
          <w:u w:val="none"/>
        </w:rPr>
        <w:t>s</w:t>
      </w:r>
      <w:r>
        <w:rPr>
          <w:rStyle w:val="Hyperlink"/>
          <w:color w:val="auto"/>
          <w:u w:val="none"/>
        </w:rPr>
        <w:t xml:space="preserve">ts, based </w:t>
      </w:r>
      <w:r w:rsidR="005A12E7">
        <w:rPr>
          <w:rStyle w:val="Hyperlink"/>
          <w:color w:val="auto"/>
          <w:u w:val="none"/>
        </w:rPr>
        <w:t xml:space="preserve">first </w:t>
      </w:r>
      <w:r>
        <w:rPr>
          <w:rStyle w:val="Hyperlink"/>
          <w:color w:val="auto"/>
          <w:u w:val="none"/>
        </w:rPr>
        <w:t xml:space="preserve">on </w:t>
      </w:r>
      <w:r w:rsidR="005A12E7">
        <w:rPr>
          <w:rStyle w:val="Hyperlink"/>
          <w:color w:val="auto"/>
          <w:u w:val="none"/>
        </w:rPr>
        <w:t xml:space="preserve">the US’s own </w:t>
      </w:r>
      <w:r w:rsidR="005A12E7">
        <w:rPr>
          <w:rStyle w:val="Hyperlink"/>
          <w:i/>
          <w:color w:val="auto"/>
          <w:u w:val="none"/>
        </w:rPr>
        <w:t>Inter-agency Liquidity Risk Management Guidance</w:t>
      </w:r>
      <w:r w:rsidR="005A12E7">
        <w:rPr>
          <w:rStyle w:val="Hyperlink"/>
          <w:color w:val="auto"/>
          <w:u w:val="none"/>
        </w:rPr>
        <w:t xml:space="preserve"> issued in March 2010 that require liquidity stress tests and set internal quantitative limits, later moving to a full Basel III regime.</w:t>
      </w:r>
    </w:p>
    <w:p w14:paraId="78B7B353" w14:textId="1291A09F" w:rsidR="005A12E7" w:rsidRDefault="005A12E7" w:rsidP="0060309E">
      <w:pPr>
        <w:pStyle w:val="ListParagraph"/>
        <w:numPr>
          <w:ilvl w:val="0"/>
          <w:numId w:val="8"/>
        </w:numPr>
        <w:spacing w:after="200" w:line="360" w:lineRule="auto"/>
        <w:rPr>
          <w:rStyle w:val="Hyperlink"/>
          <w:color w:val="auto"/>
          <w:u w:val="none"/>
        </w:rPr>
      </w:pPr>
      <w:r>
        <w:rPr>
          <w:rStyle w:val="Hyperlink"/>
          <w:color w:val="auto"/>
        </w:rPr>
        <w:lastRenderedPageBreak/>
        <w:t>Fed Mandated Plus Internal Stress Tests</w:t>
      </w:r>
      <w:r w:rsidRPr="005A12E7">
        <w:rPr>
          <w:rStyle w:val="Hyperlink"/>
          <w:color w:val="auto"/>
          <w:u w:val="none"/>
        </w:rPr>
        <w:t>:</w:t>
      </w:r>
      <w:r>
        <w:rPr>
          <w:rStyle w:val="Hyperlink"/>
          <w:color w:val="auto"/>
          <w:u w:val="none"/>
        </w:rPr>
        <w:t xml:space="preserve"> The Federal Reserve Board itself would conduct tests annually </w:t>
      </w:r>
      <w:r>
        <w:rPr>
          <w:rStyle w:val="Hyperlink"/>
          <w:i/>
          <w:color w:val="auto"/>
          <w:u w:val="none"/>
        </w:rPr>
        <w:t>using three economic and financial market scenarios</w:t>
      </w:r>
      <w:r>
        <w:rPr>
          <w:rStyle w:val="Hyperlink"/>
          <w:color w:val="auto"/>
          <w:u w:val="none"/>
        </w:rPr>
        <w:t xml:space="preserve">. Institutions would be encouraged to use at least five scenarios reflecting improbable events, and especially those considered impossible by the management, but no standards apply yet to extreme scenarios. Only the summary of the three official Fed scenarios </w:t>
      </w:r>
      <w:r>
        <w:rPr>
          <w:rStyle w:val="Hyperlink"/>
          <w:i/>
          <w:color w:val="auto"/>
          <w:u w:val="none"/>
        </w:rPr>
        <w:t>including company-specific information, would be made public</w:t>
      </w:r>
      <w:r>
        <w:rPr>
          <w:rStyle w:val="Hyperlink"/>
          <w:color w:val="auto"/>
          <w:u w:val="none"/>
        </w:rPr>
        <w:t>, but one or more internal company-run stress tests must be run each year with summaries provided.</w:t>
      </w:r>
    </w:p>
    <w:p w14:paraId="77CBB71F" w14:textId="0D5E9191" w:rsidR="005A12E7" w:rsidRDefault="005A12E7" w:rsidP="0060309E">
      <w:pPr>
        <w:pStyle w:val="ListParagraph"/>
        <w:numPr>
          <w:ilvl w:val="0"/>
          <w:numId w:val="8"/>
        </w:numPr>
        <w:spacing w:after="200" w:line="360" w:lineRule="auto"/>
        <w:rPr>
          <w:rStyle w:val="Hyperlink"/>
          <w:color w:val="auto"/>
          <w:u w:val="none"/>
        </w:rPr>
      </w:pPr>
      <w:r>
        <w:rPr>
          <w:rStyle w:val="Hyperlink"/>
          <w:color w:val="auto"/>
        </w:rPr>
        <w:t>Single Counterparty Credit Limit</w:t>
      </w:r>
      <w:r w:rsidRPr="005A12E7">
        <w:rPr>
          <w:rStyle w:val="Hyperlink"/>
          <w:color w:val="auto"/>
          <w:u w:val="none"/>
        </w:rPr>
        <w:t>:</w:t>
      </w:r>
      <w:r>
        <w:rPr>
          <w:rStyle w:val="Hyperlink"/>
          <w:color w:val="auto"/>
          <w:u w:val="none"/>
        </w:rPr>
        <w:t xml:space="preserve"> Single counterparty credit limits to cut </w:t>
      </w:r>
      <w:r>
        <w:rPr>
          <w:rStyle w:val="Hyperlink"/>
          <w:i/>
          <w:color w:val="auto"/>
          <w:u w:val="none"/>
        </w:rPr>
        <w:t>credit exposure of a covered financial firm to a single counterparty as a percentage of the firm’s regulatory capital. Credit exposure between the largest financial companies would be subject to a tighter limit</w:t>
      </w:r>
      <w:r>
        <w:rPr>
          <w:rStyle w:val="Hyperlink"/>
          <w:color w:val="auto"/>
          <w:u w:val="none"/>
        </w:rPr>
        <w:t>.</w:t>
      </w:r>
    </w:p>
    <w:p w14:paraId="000319F5" w14:textId="10B9BAAF" w:rsidR="005A12E7" w:rsidRDefault="005A12E7" w:rsidP="0060309E">
      <w:pPr>
        <w:pStyle w:val="ListParagraph"/>
        <w:numPr>
          <w:ilvl w:val="0"/>
          <w:numId w:val="8"/>
        </w:numPr>
        <w:spacing w:after="200" w:line="360" w:lineRule="auto"/>
        <w:rPr>
          <w:rStyle w:val="Hyperlink"/>
          <w:color w:val="auto"/>
          <w:u w:val="none"/>
        </w:rPr>
      </w:pPr>
      <w:r>
        <w:rPr>
          <w:rStyle w:val="Hyperlink"/>
          <w:color w:val="auto"/>
        </w:rPr>
        <w:t>Early Weakness Monitoring and Remediation</w:t>
      </w:r>
      <w:r w:rsidRPr="005A12E7">
        <w:rPr>
          <w:rStyle w:val="Hyperlink"/>
          <w:color w:val="auto"/>
          <w:u w:val="none"/>
        </w:rPr>
        <w:t>:</w:t>
      </w:r>
      <w:r>
        <w:rPr>
          <w:rStyle w:val="Hyperlink"/>
          <w:color w:val="auto"/>
          <w:u w:val="none"/>
        </w:rPr>
        <w:t xml:space="preserve"> </w:t>
      </w:r>
      <w:r>
        <w:rPr>
          <w:rStyle w:val="Hyperlink"/>
          <w:i/>
          <w:color w:val="auto"/>
          <w:u w:val="none"/>
        </w:rPr>
        <w:t>Early remediation requirements</w:t>
      </w:r>
      <w:r>
        <w:rPr>
          <w:rStyle w:val="Hyperlink"/>
          <w:color w:val="auto"/>
          <w:u w:val="none"/>
        </w:rPr>
        <w:t xml:space="preserve"> will be required to ensure that </w:t>
      </w:r>
      <w:r>
        <w:rPr>
          <w:rStyle w:val="Hyperlink"/>
          <w:i/>
          <w:color w:val="auto"/>
          <w:u w:val="none"/>
        </w:rPr>
        <w:t>financial weaknesses are addresses at an early stage</w:t>
      </w:r>
      <w:r>
        <w:rPr>
          <w:rStyle w:val="Hyperlink"/>
          <w:color w:val="auto"/>
          <w:u w:val="none"/>
        </w:rPr>
        <w:t xml:space="preserve">. </w:t>
      </w:r>
      <w:r w:rsidR="00576040">
        <w:rPr>
          <w:rStyle w:val="Hyperlink"/>
          <w:color w:val="auto"/>
          <w:u w:val="none"/>
        </w:rPr>
        <w:t xml:space="preserve">One or more </w:t>
      </w:r>
      <w:r w:rsidR="00576040">
        <w:rPr>
          <w:rStyle w:val="Hyperlink"/>
          <w:i/>
          <w:color w:val="auto"/>
          <w:u w:val="none"/>
        </w:rPr>
        <w:t>triggers for remediation – such as capital levels, stress test results, and risk management weaknesses – in some cases calibrated to be forward-looking</w:t>
      </w:r>
      <w:r w:rsidR="00576040">
        <w:rPr>
          <w:rStyle w:val="Hyperlink"/>
          <w:color w:val="auto"/>
          <w:u w:val="none"/>
        </w:rPr>
        <w:t xml:space="preserve"> would be proposed by the Board in 2012. </w:t>
      </w:r>
      <w:r w:rsidR="00576040">
        <w:rPr>
          <w:rStyle w:val="Hyperlink"/>
          <w:i/>
          <w:color w:val="auto"/>
          <w:u w:val="none"/>
        </w:rPr>
        <w:t>Required action would vary based on the severity of the situation, but could include restrictions on growth, capital distributions, executive compensation, as well as capital raising or asset sales</w:t>
      </w:r>
      <w:r w:rsidR="00576040">
        <w:rPr>
          <w:rStyle w:val="Hyperlink"/>
          <w:color w:val="auto"/>
          <w:u w:val="none"/>
        </w:rPr>
        <w:t xml:space="preserve"> (Federal Reserve (2011)).</w:t>
      </w:r>
    </w:p>
    <w:p w14:paraId="403B7AB4" w14:textId="5ADEDE81" w:rsidR="00302FDE" w:rsidRDefault="00302FDE" w:rsidP="0060309E">
      <w:pPr>
        <w:pStyle w:val="ListParagraph"/>
        <w:numPr>
          <w:ilvl w:val="0"/>
          <w:numId w:val="8"/>
        </w:numPr>
        <w:spacing w:after="200" w:line="360" w:lineRule="auto"/>
        <w:rPr>
          <w:rStyle w:val="Hyperlink"/>
          <w:color w:val="auto"/>
          <w:u w:val="none"/>
        </w:rPr>
      </w:pPr>
      <w:r>
        <w:rPr>
          <w:rStyle w:val="Hyperlink"/>
          <w:color w:val="auto"/>
        </w:rPr>
        <w:t>Currentness of the Fed Implementation</w:t>
      </w:r>
      <w:r w:rsidRPr="00302FDE">
        <w:rPr>
          <w:rStyle w:val="Hyperlink"/>
          <w:color w:val="auto"/>
          <w:u w:val="none"/>
        </w:rPr>
        <w:t>:</w:t>
      </w:r>
      <w:r>
        <w:rPr>
          <w:rStyle w:val="Hyperlink"/>
          <w:color w:val="auto"/>
          <w:u w:val="none"/>
        </w:rPr>
        <w:t xml:space="preserve"> As of January 2014, the United States has been on track to implement many of the Basel III rules, despite differences in ratio requirements and calculations.</w:t>
      </w:r>
    </w:p>
    <w:p w14:paraId="330AD2FB" w14:textId="575ACA45" w:rsidR="00302FDE" w:rsidRDefault="00302FDE" w:rsidP="00302FDE">
      <w:pPr>
        <w:spacing w:after="200" w:line="360" w:lineRule="auto"/>
        <w:rPr>
          <w:rStyle w:val="Hyperlink"/>
          <w:color w:val="auto"/>
          <w:u w:val="none"/>
        </w:rPr>
      </w:pPr>
    </w:p>
    <w:p w14:paraId="510EA2F0" w14:textId="398DC447" w:rsidR="00302FDE" w:rsidRDefault="00302FDE" w:rsidP="00302FDE">
      <w:pPr>
        <w:spacing w:after="200" w:line="360" w:lineRule="auto"/>
        <w:rPr>
          <w:rStyle w:val="Hyperlink"/>
          <w:color w:val="auto"/>
          <w:u w:val="none"/>
        </w:rPr>
      </w:pPr>
    </w:p>
    <w:p w14:paraId="0EAFB1A3" w14:textId="37C59EF2" w:rsidR="00302FDE" w:rsidRPr="00C53A85" w:rsidRDefault="00302FDE" w:rsidP="00302FDE">
      <w:pPr>
        <w:spacing w:after="200" w:line="360" w:lineRule="auto"/>
        <w:rPr>
          <w:rStyle w:val="Hyperlink"/>
          <w:b/>
          <w:color w:val="auto"/>
          <w:sz w:val="28"/>
          <w:szCs w:val="28"/>
          <w:u w:val="none"/>
        </w:rPr>
      </w:pPr>
      <w:r w:rsidRPr="00C53A85">
        <w:rPr>
          <w:rStyle w:val="Hyperlink"/>
          <w:b/>
          <w:color w:val="auto"/>
          <w:sz w:val="28"/>
          <w:szCs w:val="28"/>
          <w:u w:val="none"/>
        </w:rPr>
        <w:t>Europe Implementation</w:t>
      </w:r>
    </w:p>
    <w:p w14:paraId="336F7D3D" w14:textId="5724570A" w:rsidR="00302FDE" w:rsidRDefault="00302FDE" w:rsidP="00302FDE">
      <w:pPr>
        <w:spacing w:after="200" w:line="360" w:lineRule="auto"/>
        <w:rPr>
          <w:rStyle w:val="Hyperlink"/>
          <w:color w:val="auto"/>
          <w:u w:val="none"/>
        </w:rPr>
      </w:pPr>
    </w:p>
    <w:p w14:paraId="282BF838" w14:textId="48D275FA" w:rsidR="00302FDE" w:rsidRDefault="00302FDE" w:rsidP="0060309E">
      <w:pPr>
        <w:pStyle w:val="ListParagraph"/>
        <w:numPr>
          <w:ilvl w:val="0"/>
          <w:numId w:val="9"/>
        </w:numPr>
        <w:spacing w:after="200" w:line="360" w:lineRule="auto"/>
        <w:rPr>
          <w:rStyle w:val="Hyperlink"/>
          <w:color w:val="auto"/>
          <w:u w:val="none"/>
        </w:rPr>
      </w:pPr>
      <w:r w:rsidRPr="00C53A85">
        <w:rPr>
          <w:rStyle w:val="Hyperlink"/>
          <w:color w:val="auto"/>
        </w:rPr>
        <w:t>EU Implementation of the Accord</w:t>
      </w:r>
      <w:r w:rsidRPr="00C53A85">
        <w:rPr>
          <w:rStyle w:val="Hyperlink"/>
          <w:color w:val="auto"/>
          <w:u w:val="none"/>
        </w:rPr>
        <w:t xml:space="preserve">: The implementation of the Basel III agreements in the European Union has been the new legislative package comprising Directive 2013/36/EU </w:t>
      </w:r>
      <w:r w:rsidRPr="00C53A85">
        <w:rPr>
          <w:rStyle w:val="Hyperlink"/>
          <w:color w:val="auto"/>
          <w:u w:val="none"/>
        </w:rPr>
        <w:lastRenderedPageBreak/>
        <w:t xml:space="preserve">(CRD IV) </w:t>
      </w:r>
      <w:r w:rsidR="00C53A85" w:rsidRPr="00C53A85">
        <w:rPr>
          <w:rStyle w:val="Hyperlink"/>
          <w:color w:val="auto"/>
          <w:u w:val="none"/>
        </w:rPr>
        <w:t xml:space="preserve">and Regulation (EU) No, 575/2013 on prudential requirements for credit institutions and investment firms (CRR) (European </w:t>
      </w:r>
      <w:r w:rsidR="00C53A85">
        <w:rPr>
          <w:rStyle w:val="Hyperlink"/>
          <w:color w:val="auto"/>
          <w:u w:val="none"/>
        </w:rPr>
        <w:t>Banking Agency</w:t>
      </w:r>
      <w:r w:rsidR="00C53A85" w:rsidRPr="00C53A85">
        <w:rPr>
          <w:rStyle w:val="Hyperlink"/>
          <w:color w:val="auto"/>
          <w:u w:val="none"/>
        </w:rPr>
        <w:t xml:space="preserve"> (2013)).</w:t>
      </w:r>
    </w:p>
    <w:p w14:paraId="4D04DF39" w14:textId="4241E171" w:rsidR="00C53A85" w:rsidRDefault="00C53A85" w:rsidP="0060309E">
      <w:pPr>
        <w:pStyle w:val="ListParagraph"/>
        <w:numPr>
          <w:ilvl w:val="0"/>
          <w:numId w:val="9"/>
        </w:numPr>
        <w:spacing w:after="200" w:line="360" w:lineRule="auto"/>
        <w:rPr>
          <w:rStyle w:val="Hyperlink"/>
          <w:color w:val="auto"/>
          <w:u w:val="none"/>
        </w:rPr>
      </w:pPr>
      <w:r>
        <w:rPr>
          <w:rStyle w:val="Hyperlink"/>
          <w:color w:val="auto"/>
        </w:rPr>
        <w:t>Replacement of the Existing Directives</w:t>
      </w:r>
      <w:r w:rsidRPr="00C53A85">
        <w:rPr>
          <w:rStyle w:val="Hyperlink"/>
          <w:color w:val="auto"/>
          <w:u w:val="none"/>
        </w:rPr>
        <w:t>:</w:t>
      </w:r>
      <w:r>
        <w:rPr>
          <w:rStyle w:val="Hyperlink"/>
          <w:color w:val="auto"/>
          <w:u w:val="none"/>
        </w:rPr>
        <w:t xml:space="preserve"> The new package, approved in 2013, replace the Capital Requirements Directives (2006/48 and 2006/49) (European Commission (2014)).</w:t>
      </w:r>
    </w:p>
    <w:p w14:paraId="74728FED" w14:textId="441BF035" w:rsidR="00C53A85" w:rsidRDefault="00C53A85" w:rsidP="00C53A85">
      <w:pPr>
        <w:spacing w:after="200" w:line="360" w:lineRule="auto"/>
        <w:rPr>
          <w:rStyle w:val="Hyperlink"/>
          <w:color w:val="auto"/>
          <w:u w:val="none"/>
        </w:rPr>
      </w:pPr>
    </w:p>
    <w:p w14:paraId="7EDB08CD" w14:textId="33EDA1BA" w:rsidR="00C53A85" w:rsidRDefault="00C53A85" w:rsidP="00C53A85">
      <w:pPr>
        <w:spacing w:after="200" w:line="360" w:lineRule="auto"/>
        <w:rPr>
          <w:rStyle w:val="Hyperlink"/>
          <w:color w:val="auto"/>
          <w:u w:val="none"/>
        </w:rPr>
      </w:pPr>
    </w:p>
    <w:p w14:paraId="3E621CC9" w14:textId="3C74491D" w:rsidR="00C53A85" w:rsidRPr="00A52790" w:rsidRDefault="00C53A85" w:rsidP="00C53A85">
      <w:pPr>
        <w:spacing w:after="200" w:line="360" w:lineRule="auto"/>
        <w:rPr>
          <w:rStyle w:val="Hyperlink"/>
          <w:b/>
          <w:color w:val="auto"/>
          <w:sz w:val="28"/>
          <w:szCs w:val="28"/>
          <w:u w:val="none"/>
        </w:rPr>
      </w:pPr>
      <w:r w:rsidRPr="00A52790">
        <w:rPr>
          <w:rStyle w:val="Hyperlink"/>
          <w:b/>
          <w:color w:val="auto"/>
          <w:sz w:val="28"/>
          <w:szCs w:val="28"/>
          <w:u w:val="none"/>
        </w:rPr>
        <w:t>Key Milestones</w:t>
      </w:r>
    </w:p>
    <w:p w14:paraId="5425B31A" w14:textId="4554D6EB" w:rsidR="00C53A85" w:rsidRDefault="00C53A85" w:rsidP="00C53A85">
      <w:pPr>
        <w:spacing w:after="200" w:line="360" w:lineRule="auto"/>
        <w:rPr>
          <w:rStyle w:val="Hyperlink"/>
          <w:color w:val="auto"/>
          <w:u w:val="none"/>
        </w:rPr>
      </w:pPr>
    </w:p>
    <w:p w14:paraId="62C5D37B" w14:textId="20F17351" w:rsidR="00C53A85" w:rsidRPr="00A52790" w:rsidRDefault="00C53A85" w:rsidP="0060309E">
      <w:pPr>
        <w:pStyle w:val="ListParagraph"/>
        <w:numPr>
          <w:ilvl w:val="0"/>
          <w:numId w:val="10"/>
        </w:numPr>
        <w:spacing w:after="200" w:line="360" w:lineRule="auto"/>
        <w:rPr>
          <w:rStyle w:val="Hyperlink"/>
          <w:color w:val="auto"/>
          <w:u w:val="none"/>
        </w:rPr>
      </w:pPr>
      <w:r w:rsidRPr="00A52790">
        <w:rPr>
          <w:rStyle w:val="Hyperlink"/>
          <w:color w:val="auto"/>
        </w:rPr>
        <w:t>Capital Requirements</w:t>
      </w:r>
      <w:r w:rsidRPr="00A52790">
        <w:rPr>
          <w:rStyle w:val="Hyperlink"/>
          <w:color w:val="auto"/>
          <w:u w:val="none"/>
        </w:rPr>
        <w:t>:</w:t>
      </w:r>
    </w:p>
    <w:tbl>
      <w:tblPr>
        <w:tblStyle w:val="TableGrid"/>
        <w:tblW w:w="0" w:type="auto"/>
        <w:tblLook w:val="04A0" w:firstRow="1" w:lastRow="0" w:firstColumn="1" w:lastColumn="0" w:noHBand="0" w:noVBand="1"/>
      </w:tblPr>
      <w:tblGrid>
        <w:gridCol w:w="1255"/>
        <w:gridCol w:w="8095"/>
      </w:tblGrid>
      <w:tr w:rsidR="00C53A85" w14:paraId="2CCEA772" w14:textId="77777777" w:rsidTr="00C53A85">
        <w:tc>
          <w:tcPr>
            <w:tcW w:w="1255" w:type="dxa"/>
            <w:vAlign w:val="center"/>
          </w:tcPr>
          <w:p w14:paraId="3789AFDF" w14:textId="7730AF4E" w:rsidR="00C53A85" w:rsidRPr="00C53A85" w:rsidRDefault="00C53A85" w:rsidP="00C53A85">
            <w:pPr>
              <w:spacing w:after="200" w:line="360" w:lineRule="auto"/>
              <w:jc w:val="center"/>
              <w:rPr>
                <w:rStyle w:val="Hyperlink"/>
                <w:b/>
                <w:color w:val="auto"/>
                <w:u w:val="none"/>
              </w:rPr>
            </w:pPr>
            <w:r>
              <w:rPr>
                <w:rStyle w:val="Hyperlink"/>
                <w:b/>
                <w:color w:val="auto"/>
                <w:u w:val="none"/>
              </w:rPr>
              <w:t>Date</w:t>
            </w:r>
          </w:p>
        </w:tc>
        <w:tc>
          <w:tcPr>
            <w:tcW w:w="8095" w:type="dxa"/>
            <w:vAlign w:val="center"/>
          </w:tcPr>
          <w:p w14:paraId="382CE15E" w14:textId="506DF6C2" w:rsidR="00C53A85" w:rsidRPr="00C53A85" w:rsidRDefault="00C53A85" w:rsidP="00C53A85">
            <w:pPr>
              <w:spacing w:after="200" w:line="360" w:lineRule="auto"/>
              <w:jc w:val="center"/>
              <w:rPr>
                <w:rStyle w:val="Hyperlink"/>
                <w:b/>
                <w:color w:val="auto"/>
                <w:u w:val="none"/>
              </w:rPr>
            </w:pPr>
            <w:r>
              <w:rPr>
                <w:rStyle w:val="Hyperlink"/>
                <w:b/>
                <w:color w:val="auto"/>
                <w:u w:val="none"/>
              </w:rPr>
              <w:t>Milestone: Capital Requirement</w:t>
            </w:r>
          </w:p>
        </w:tc>
      </w:tr>
      <w:tr w:rsidR="00C53A85" w14:paraId="29D4158A" w14:textId="77777777" w:rsidTr="00A52790">
        <w:tc>
          <w:tcPr>
            <w:tcW w:w="1255" w:type="dxa"/>
            <w:vAlign w:val="center"/>
          </w:tcPr>
          <w:p w14:paraId="0EFA8128" w14:textId="2C350429" w:rsidR="00C53A85" w:rsidRDefault="00C53A85" w:rsidP="00C53A85">
            <w:pPr>
              <w:spacing w:after="200" w:line="360" w:lineRule="auto"/>
              <w:jc w:val="center"/>
              <w:rPr>
                <w:rStyle w:val="Hyperlink"/>
                <w:color w:val="auto"/>
                <w:u w:val="none"/>
              </w:rPr>
            </w:pPr>
            <w:r>
              <w:rPr>
                <w:rStyle w:val="Hyperlink"/>
                <w:color w:val="auto"/>
                <w:u w:val="none"/>
              </w:rPr>
              <w:t>2014</w:t>
            </w:r>
          </w:p>
        </w:tc>
        <w:tc>
          <w:tcPr>
            <w:tcW w:w="8095" w:type="dxa"/>
            <w:vAlign w:val="center"/>
          </w:tcPr>
          <w:p w14:paraId="3B398C9C" w14:textId="6E12A908" w:rsidR="00C53A85" w:rsidRDefault="00C53A85" w:rsidP="00A52790">
            <w:pPr>
              <w:spacing w:after="200" w:line="360" w:lineRule="auto"/>
              <w:rPr>
                <w:rStyle w:val="Hyperlink"/>
                <w:color w:val="auto"/>
                <w:u w:val="none"/>
              </w:rPr>
            </w:pPr>
            <w:r w:rsidRPr="00C53A85">
              <w:rPr>
                <w:rStyle w:val="Hyperlink"/>
                <w:color w:val="auto"/>
              </w:rPr>
              <w:t>Minimum Capital Requirements</w:t>
            </w:r>
            <w:r>
              <w:rPr>
                <w:rStyle w:val="Hyperlink"/>
                <w:color w:val="auto"/>
                <w:u w:val="none"/>
              </w:rPr>
              <w:t>: Start of the gradual phasing-in of the higher minimum capital requirements</w:t>
            </w:r>
            <w:r w:rsidR="00A52790">
              <w:rPr>
                <w:rStyle w:val="Hyperlink"/>
                <w:color w:val="auto"/>
                <w:u w:val="none"/>
              </w:rPr>
              <w:t>.</w:t>
            </w:r>
          </w:p>
        </w:tc>
      </w:tr>
      <w:tr w:rsidR="00C53A85" w14:paraId="6000F185" w14:textId="77777777" w:rsidTr="00A52790">
        <w:tc>
          <w:tcPr>
            <w:tcW w:w="1255" w:type="dxa"/>
            <w:vAlign w:val="center"/>
          </w:tcPr>
          <w:p w14:paraId="484B12F1" w14:textId="4C708021" w:rsidR="00C53A85" w:rsidRDefault="00C53A85" w:rsidP="00C53A85">
            <w:pPr>
              <w:spacing w:after="200" w:line="360" w:lineRule="auto"/>
              <w:jc w:val="center"/>
              <w:rPr>
                <w:rStyle w:val="Hyperlink"/>
                <w:color w:val="auto"/>
                <w:u w:val="none"/>
              </w:rPr>
            </w:pPr>
            <w:r>
              <w:rPr>
                <w:rStyle w:val="Hyperlink"/>
                <w:color w:val="auto"/>
                <w:u w:val="none"/>
              </w:rPr>
              <w:t>2015</w:t>
            </w:r>
          </w:p>
        </w:tc>
        <w:tc>
          <w:tcPr>
            <w:tcW w:w="8095" w:type="dxa"/>
            <w:vAlign w:val="center"/>
          </w:tcPr>
          <w:p w14:paraId="03229028" w14:textId="12FE2586" w:rsidR="00C53A85" w:rsidRDefault="00C53A85" w:rsidP="00A52790">
            <w:pPr>
              <w:spacing w:after="200" w:line="360" w:lineRule="auto"/>
              <w:rPr>
                <w:rStyle w:val="Hyperlink"/>
                <w:color w:val="auto"/>
                <w:u w:val="none"/>
              </w:rPr>
            </w:pPr>
            <w:r w:rsidRPr="00C53A85">
              <w:rPr>
                <w:rStyle w:val="Hyperlink"/>
                <w:color w:val="auto"/>
              </w:rPr>
              <w:t>Minimum Capital Requirements</w:t>
            </w:r>
            <w:r>
              <w:rPr>
                <w:rStyle w:val="Hyperlink"/>
                <w:color w:val="auto"/>
                <w:u w:val="none"/>
              </w:rPr>
              <w:t>: Higher minimum capital requirements are fully implemented.</w:t>
            </w:r>
          </w:p>
        </w:tc>
      </w:tr>
      <w:tr w:rsidR="00C53A85" w14:paraId="6D476153" w14:textId="77777777" w:rsidTr="00A52790">
        <w:tc>
          <w:tcPr>
            <w:tcW w:w="1255" w:type="dxa"/>
            <w:vAlign w:val="center"/>
          </w:tcPr>
          <w:p w14:paraId="1F3E74DB" w14:textId="38ABD4CC" w:rsidR="00C53A85" w:rsidRDefault="00C53A85" w:rsidP="00C53A85">
            <w:pPr>
              <w:spacing w:after="200" w:line="360" w:lineRule="auto"/>
              <w:jc w:val="center"/>
              <w:rPr>
                <w:rStyle w:val="Hyperlink"/>
                <w:color w:val="auto"/>
                <w:u w:val="none"/>
              </w:rPr>
            </w:pPr>
            <w:r>
              <w:rPr>
                <w:rStyle w:val="Hyperlink"/>
                <w:color w:val="auto"/>
                <w:u w:val="none"/>
              </w:rPr>
              <w:t>2016</w:t>
            </w:r>
          </w:p>
        </w:tc>
        <w:tc>
          <w:tcPr>
            <w:tcW w:w="8095" w:type="dxa"/>
            <w:vAlign w:val="center"/>
          </w:tcPr>
          <w:p w14:paraId="3A15B180" w14:textId="4530564E" w:rsidR="00C53A85" w:rsidRDefault="00A52790" w:rsidP="00A52790">
            <w:pPr>
              <w:spacing w:after="200" w:line="360" w:lineRule="auto"/>
              <w:rPr>
                <w:rStyle w:val="Hyperlink"/>
                <w:color w:val="auto"/>
                <w:u w:val="none"/>
              </w:rPr>
            </w:pPr>
            <w:r w:rsidRPr="00A52790">
              <w:rPr>
                <w:rStyle w:val="Hyperlink"/>
                <w:color w:val="auto"/>
              </w:rPr>
              <w:t>Conservation Buffer</w:t>
            </w:r>
            <w:r>
              <w:rPr>
                <w:rStyle w:val="Hyperlink"/>
                <w:color w:val="auto"/>
                <w:u w:val="none"/>
              </w:rPr>
              <w:t>: Start of the gradual phasing-in of the Conservation Buffer.</w:t>
            </w:r>
          </w:p>
        </w:tc>
      </w:tr>
      <w:tr w:rsidR="00C53A85" w14:paraId="2DAABE7C" w14:textId="77777777" w:rsidTr="00A52790">
        <w:tc>
          <w:tcPr>
            <w:tcW w:w="1255" w:type="dxa"/>
            <w:vAlign w:val="center"/>
          </w:tcPr>
          <w:p w14:paraId="666DA795" w14:textId="5F6CA899" w:rsidR="00C53A85" w:rsidRDefault="00C53A85" w:rsidP="00C53A85">
            <w:pPr>
              <w:spacing w:after="200" w:line="360" w:lineRule="auto"/>
              <w:jc w:val="center"/>
              <w:rPr>
                <w:rStyle w:val="Hyperlink"/>
                <w:color w:val="auto"/>
                <w:u w:val="none"/>
              </w:rPr>
            </w:pPr>
            <w:r>
              <w:rPr>
                <w:rStyle w:val="Hyperlink"/>
                <w:color w:val="auto"/>
                <w:u w:val="none"/>
              </w:rPr>
              <w:t>2017</w:t>
            </w:r>
          </w:p>
        </w:tc>
        <w:tc>
          <w:tcPr>
            <w:tcW w:w="8095" w:type="dxa"/>
            <w:vAlign w:val="center"/>
          </w:tcPr>
          <w:p w14:paraId="17C2F7D7" w14:textId="4F5E5945" w:rsidR="00C53A85" w:rsidRDefault="00A52790" w:rsidP="00A52790">
            <w:pPr>
              <w:spacing w:after="200" w:line="360" w:lineRule="auto"/>
              <w:rPr>
                <w:rStyle w:val="Hyperlink"/>
                <w:color w:val="auto"/>
                <w:u w:val="none"/>
              </w:rPr>
            </w:pPr>
            <w:r w:rsidRPr="00A52790">
              <w:rPr>
                <w:rStyle w:val="Hyperlink"/>
                <w:color w:val="auto"/>
              </w:rPr>
              <w:t>Conservation Buffer</w:t>
            </w:r>
            <w:r>
              <w:rPr>
                <w:rStyle w:val="Hyperlink"/>
                <w:color w:val="auto"/>
                <w:u w:val="none"/>
              </w:rPr>
              <w:t>: The conservation buffer is fully implemented.</w:t>
            </w:r>
          </w:p>
        </w:tc>
      </w:tr>
    </w:tbl>
    <w:p w14:paraId="02E268F3" w14:textId="77777777" w:rsidR="00E669EE" w:rsidRDefault="00E669EE" w:rsidP="00E669EE">
      <w:pPr>
        <w:spacing w:after="200" w:line="360" w:lineRule="auto"/>
        <w:rPr>
          <w:rStyle w:val="Hyperlink"/>
          <w:color w:val="auto"/>
          <w:u w:val="none"/>
        </w:rPr>
      </w:pPr>
    </w:p>
    <w:p w14:paraId="42E0D1D3" w14:textId="5785AC83" w:rsidR="00E669EE" w:rsidRPr="00A52790" w:rsidRDefault="00E669EE" w:rsidP="0060309E">
      <w:pPr>
        <w:pStyle w:val="ListParagraph"/>
        <w:numPr>
          <w:ilvl w:val="0"/>
          <w:numId w:val="10"/>
        </w:numPr>
        <w:spacing w:after="200" w:line="360" w:lineRule="auto"/>
        <w:rPr>
          <w:rStyle w:val="Hyperlink"/>
          <w:color w:val="auto"/>
          <w:u w:val="none"/>
        </w:rPr>
      </w:pPr>
      <w:r>
        <w:rPr>
          <w:rStyle w:val="Hyperlink"/>
          <w:color w:val="auto"/>
        </w:rPr>
        <w:t>Leverage Ratio</w:t>
      </w:r>
      <w:r w:rsidRPr="00A52790">
        <w:rPr>
          <w:rStyle w:val="Hyperlink"/>
          <w:color w:val="auto"/>
          <w:u w:val="none"/>
        </w:rPr>
        <w:t>:</w:t>
      </w:r>
    </w:p>
    <w:tbl>
      <w:tblPr>
        <w:tblStyle w:val="TableGrid"/>
        <w:tblW w:w="0" w:type="auto"/>
        <w:tblLook w:val="04A0" w:firstRow="1" w:lastRow="0" w:firstColumn="1" w:lastColumn="0" w:noHBand="0" w:noVBand="1"/>
      </w:tblPr>
      <w:tblGrid>
        <w:gridCol w:w="1255"/>
        <w:gridCol w:w="8095"/>
      </w:tblGrid>
      <w:tr w:rsidR="00E669EE" w14:paraId="584AA2BB" w14:textId="77777777" w:rsidTr="00A65E15">
        <w:tc>
          <w:tcPr>
            <w:tcW w:w="1255" w:type="dxa"/>
            <w:vAlign w:val="center"/>
          </w:tcPr>
          <w:p w14:paraId="45DE5130" w14:textId="77777777" w:rsidR="00E669EE" w:rsidRPr="00C53A85" w:rsidRDefault="00E669EE" w:rsidP="00A65E15">
            <w:pPr>
              <w:spacing w:after="200" w:line="360" w:lineRule="auto"/>
              <w:jc w:val="center"/>
              <w:rPr>
                <w:rStyle w:val="Hyperlink"/>
                <w:b/>
                <w:color w:val="auto"/>
                <w:u w:val="none"/>
              </w:rPr>
            </w:pPr>
            <w:r>
              <w:rPr>
                <w:rStyle w:val="Hyperlink"/>
                <w:b/>
                <w:color w:val="auto"/>
                <w:u w:val="none"/>
              </w:rPr>
              <w:t>Date</w:t>
            </w:r>
          </w:p>
        </w:tc>
        <w:tc>
          <w:tcPr>
            <w:tcW w:w="8095" w:type="dxa"/>
            <w:vAlign w:val="center"/>
          </w:tcPr>
          <w:p w14:paraId="7CDD7E7E" w14:textId="0D24299A" w:rsidR="00E669EE" w:rsidRPr="00C53A85" w:rsidRDefault="00E669EE" w:rsidP="00A65E15">
            <w:pPr>
              <w:spacing w:after="200" w:line="360" w:lineRule="auto"/>
              <w:jc w:val="center"/>
              <w:rPr>
                <w:rStyle w:val="Hyperlink"/>
                <w:b/>
                <w:color w:val="auto"/>
                <w:u w:val="none"/>
              </w:rPr>
            </w:pPr>
            <w:r>
              <w:rPr>
                <w:rStyle w:val="Hyperlink"/>
                <w:b/>
                <w:color w:val="auto"/>
                <w:u w:val="none"/>
              </w:rPr>
              <w:t>Milestone: Leverage Ratio</w:t>
            </w:r>
          </w:p>
        </w:tc>
      </w:tr>
      <w:tr w:rsidR="00E669EE" w14:paraId="15544F2F" w14:textId="77777777" w:rsidTr="00A65E15">
        <w:tc>
          <w:tcPr>
            <w:tcW w:w="1255" w:type="dxa"/>
            <w:vAlign w:val="center"/>
          </w:tcPr>
          <w:p w14:paraId="4251BC9F" w14:textId="649C96E2" w:rsidR="00E669EE" w:rsidRDefault="00E669EE" w:rsidP="00A65E15">
            <w:pPr>
              <w:spacing w:after="200" w:line="360" w:lineRule="auto"/>
              <w:jc w:val="center"/>
              <w:rPr>
                <w:rStyle w:val="Hyperlink"/>
                <w:color w:val="auto"/>
                <w:u w:val="none"/>
              </w:rPr>
            </w:pPr>
            <w:r>
              <w:rPr>
                <w:rStyle w:val="Hyperlink"/>
                <w:color w:val="auto"/>
                <w:u w:val="none"/>
              </w:rPr>
              <w:t>2011</w:t>
            </w:r>
          </w:p>
        </w:tc>
        <w:tc>
          <w:tcPr>
            <w:tcW w:w="8095" w:type="dxa"/>
            <w:vAlign w:val="center"/>
          </w:tcPr>
          <w:p w14:paraId="54BDEDB0" w14:textId="721CF1A3" w:rsidR="00E669EE" w:rsidRDefault="00E669EE" w:rsidP="00A65E15">
            <w:pPr>
              <w:spacing w:after="200" w:line="360" w:lineRule="auto"/>
              <w:rPr>
                <w:rStyle w:val="Hyperlink"/>
                <w:color w:val="auto"/>
                <w:u w:val="none"/>
              </w:rPr>
            </w:pPr>
            <w:r>
              <w:rPr>
                <w:rStyle w:val="Hyperlink"/>
                <w:color w:val="auto"/>
              </w:rPr>
              <w:t>Supervisory Monitoring</w:t>
            </w:r>
            <w:r>
              <w:rPr>
                <w:rStyle w:val="Hyperlink"/>
                <w:color w:val="auto"/>
                <w:u w:val="none"/>
              </w:rPr>
              <w:t>: Developing templates to track the leverage ratio and the underlying components.</w:t>
            </w:r>
          </w:p>
        </w:tc>
      </w:tr>
      <w:tr w:rsidR="00E669EE" w14:paraId="45CFC644" w14:textId="77777777" w:rsidTr="00A65E15">
        <w:tc>
          <w:tcPr>
            <w:tcW w:w="1255" w:type="dxa"/>
            <w:vAlign w:val="center"/>
          </w:tcPr>
          <w:p w14:paraId="1DB19274" w14:textId="74EA7192" w:rsidR="00E669EE" w:rsidRDefault="00E669EE" w:rsidP="00A65E15">
            <w:pPr>
              <w:spacing w:after="200" w:line="360" w:lineRule="auto"/>
              <w:jc w:val="center"/>
              <w:rPr>
                <w:rStyle w:val="Hyperlink"/>
                <w:color w:val="auto"/>
                <w:u w:val="none"/>
              </w:rPr>
            </w:pPr>
            <w:r>
              <w:rPr>
                <w:rStyle w:val="Hyperlink"/>
                <w:color w:val="auto"/>
                <w:u w:val="none"/>
              </w:rPr>
              <w:lastRenderedPageBreak/>
              <w:t>2013</w:t>
            </w:r>
          </w:p>
        </w:tc>
        <w:tc>
          <w:tcPr>
            <w:tcW w:w="8095" w:type="dxa"/>
            <w:vAlign w:val="center"/>
          </w:tcPr>
          <w:p w14:paraId="404C2FBA" w14:textId="054ECC3D" w:rsidR="00E669EE" w:rsidRDefault="00E669EE" w:rsidP="00A65E15">
            <w:pPr>
              <w:spacing w:after="200" w:line="360" w:lineRule="auto"/>
              <w:rPr>
                <w:rStyle w:val="Hyperlink"/>
                <w:color w:val="auto"/>
                <w:u w:val="none"/>
              </w:rPr>
            </w:pPr>
            <w:r>
              <w:rPr>
                <w:rStyle w:val="Hyperlink"/>
                <w:color w:val="auto"/>
              </w:rPr>
              <w:t>Parallel I</w:t>
            </w:r>
            <w:r>
              <w:rPr>
                <w:rStyle w:val="Hyperlink"/>
                <w:color w:val="auto"/>
                <w:u w:val="none"/>
              </w:rPr>
              <w:t>: The leverage ratio and its components will be tracked by the supervisors but not disclosed and not mandatory.</w:t>
            </w:r>
          </w:p>
        </w:tc>
      </w:tr>
      <w:tr w:rsidR="00E669EE" w14:paraId="63079106" w14:textId="77777777" w:rsidTr="00A65E15">
        <w:tc>
          <w:tcPr>
            <w:tcW w:w="1255" w:type="dxa"/>
            <w:vAlign w:val="center"/>
          </w:tcPr>
          <w:p w14:paraId="4EF5F46C" w14:textId="51A814B9" w:rsidR="00E669EE" w:rsidRDefault="00E669EE" w:rsidP="00E669EE">
            <w:pPr>
              <w:spacing w:after="200" w:line="360" w:lineRule="auto"/>
              <w:jc w:val="center"/>
              <w:rPr>
                <w:rStyle w:val="Hyperlink"/>
                <w:color w:val="auto"/>
                <w:u w:val="none"/>
              </w:rPr>
            </w:pPr>
            <w:r>
              <w:rPr>
                <w:rStyle w:val="Hyperlink"/>
                <w:color w:val="auto"/>
                <w:u w:val="none"/>
              </w:rPr>
              <w:t>2015</w:t>
            </w:r>
          </w:p>
        </w:tc>
        <w:tc>
          <w:tcPr>
            <w:tcW w:w="8095" w:type="dxa"/>
            <w:vAlign w:val="center"/>
          </w:tcPr>
          <w:p w14:paraId="4CAEA548" w14:textId="13CE38E1" w:rsidR="00E669EE" w:rsidRDefault="00E669EE" w:rsidP="00E669EE">
            <w:pPr>
              <w:spacing w:after="200" w:line="360" w:lineRule="auto"/>
              <w:rPr>
                <w:rStyle w:val="Hyperlink"/>
                <w:color w:val="auto"/>
                <w:u w:val="none"/>
              </w:rPr>
            </w:pPr>
            <w:r>
              <w:rPr>
                <w:rStyle w:val="Hyperlink"/>
                <w:color w:val="auto"/>
              </w:rPr>
              <w:t>Parallel II</w:t>
            </w:r>
            <w:r>
              <w:rPr>
                <w:rStyle w:val="Hyperlink"/>
                <w:color w:val="auto"/>
                <w:u w:val="none"/>
              </w:rPr>
              <w:t>: The leverage ratio and its components will be tracked and disclosed but not mandatory.</w:t>
            </w:r>
          </w:p>
        </w:tc>
      </w:tr>
      <w:tr w:rsidR="00E669EE" w14:paraId="074D103C" w14:textId="77777777" w:rsidTr="00E669EE">
        <w:tc>
          <w:tcPr>
            <w:tcW w:w="1255" w:type="dxa"/>
          </w:tcPr>
          <w:p w14:paraId="60AEBA2C" w14:textId="2233ACAD" w:rsidR="00E669EE" w:rsidRDefault="00E669EE" w:rsidP="00A65E15">
            <w:pPr>
              <w:spacing w:after="200" w:line="360" w:lineRule="auto"/>
              <w:jc w:val="center"/>
              <w:rPr>
                <w:rStyle w:val="Hyperlink"/>
                <w:color w:val="auto"/>
                <w:u w:val="none"/>
              </w:rPr>
            </w:pPr>
            <w:r>
              <w:rPr>
                <w:rStyle w:val="Hyperlink"/>
                <w:color w:val="auto"/>
                <w:u w:val="none"/>
              </w:rPr>
              <w:t>2017</w:t>
            </w:r>
          </w:p>
        </w:tc>
        <w:tc>
          <w:tcPr>
            <w:tcW w:w="8095" w:type="dxa"/>
          </w:tcPr>
          <w:p w14:paraId="2A2923BF" w14:textId="726A652D" w:rsidR="00E669EE" w:rsidRDefault="00E669EE" w:rsidP="00A65E15">
            <w:pPr>
              <w:spacing w:after="200" w:line="360" w:lineRule="auto"/>
              <w:rPr>
                <w:rStyle w:val="Hyperlink"/>
                <w:color w:val="auto"/>
                <w:u w:val="none"/>
              </w:rPr>
            </w:pPr>
            <w:r>
              <w:rPr>
                <w:rStyle w:val="Hyperlink"/>
                <w:color w:val="auto"/>
              </w:rPr>
              <w:t>Final Adjustments</w:t>
            </w:r>
            <w:r>
              <w:rPr>
                <w:rStyle w:val="Hyperlink"/>
                <w:color w:val="auto"/>
                <w:u w:val="none"/>
              </w:rPr>
              <w:t>: Based on the results of the parallel run period, any final adjustments are to be made to the leverage ratio.</w:t>
            </w:r>
          </w:p>
        </w:tc>
      </w:tr>
      <w:tr w:rsidR="00E669EE" w14:paraId="758F8345" w14:textId="77777777" w:rsidTr="00E669EE">
        <w:tc>
          <w:tcPr>
            <w:tcW w:w="1255" w:type="dxa"/>
          </w:tcPr>
          <w:p w14:paraId="3EB53F46" w14:textId="685399A3" w:rsidR="00E669EE" w:rsidRDefault="00E669EE" w:rsidP="00A65E15">
            <w:pPr>
              <w:spacing w:after="200" w:line="360" w:lineRule="auto"/>
              <w:jc w:val="center"/>
              <w:rPr>
                <w:rStyle w:val="Hyperlink"/>
                <w:color w:val="auto"/>
                <w:u w:val="none"/>
              </w:rPr>
            </w:pPr>
            <w:r>
              <w:rPr>
                <w:rStyle w:val="Hyperlink"/>
                <w:color w:val="auto"/>
                <w:u w:val="none"/>
              </w:rPr>
              <w:t>2018</w:t>
            </w:r>
          </w:p>
        </w:tc>
        <w:tc>
          <w:tcPr>
            <w:tcW w:w="8095" w:type="dxa"/>
          </w:tcPr>
          <w:p w14:paraId="4A493553" w14:textId="7C269915" w:rsidR="00E669EE" w:rsidRDefault="00E669EE" w:rsidP="00A65E15">
            <w:pPr>
              <w:spacing w:after="200" w:line="360" w:lineRule="auto"/>
              <w:rPr>
                <w:rStyle w:val="Hyperlink"/>
                <w:color w:val="auto"/>
                <w:u w:val="none"/>
              </w:rPr>
            </w:pPr>
            <w:r>
              <w:rPr>
                <w:rStyle w:val="Hyperlink"/>
                <w:color w:val="auto"/>
              </w:rPr>
              <w:t>Mandatory Requirement</w:t>
            </w:r>
            <w:r>
              <w:rPr>
                <w:rStyle w:val="Hyperlink"/>
                <w:color w:val="auto"/>
                <w:u w:val="none"/>
              </w:rPr>
              <w:t>: The leverage ratio will become a mandatory part of the Basel III requirements.</w:t>
            </w:r>
          </w:p>
        </w:tc>
      </w:tr>
    </w:tbl>
    <w:p w14:paraId="2DC86660" w14:textId="77777777" w:rsidR="00E669EE" w:rsidRDefault="00E669EE" w:rsidP="00E669EE">
      <w:pPr>
        <w:spacing w:after="200" w:line="360" w:lineRule="auto"/>
        <w:rPr>
          <w:rStyle w:val="Hyperlink"/>
          <w:color w:val="auto"/>
          <w:u w:val="none"/>
        </w:rPr>
      </w:pPr>
    </w:p>
    <w:p w14:paraId="7C0C2B51" w14:textId="3C75F691" w:rsidR="00E669EE" w:rsidRPr="00A52790" w:rsidRDefault="00E669EE" w:rsidP="0060309E">
      <w:pPr>
        <w:pStyle w:val="ListParagraph"/>
        <w:numPr>
          <w:ilvl w:val="0"/>
          <w:numId w:val="10"/>
        </w:numPr>
        <w:spacing w:after="200" w:line="360" w:lineRule="auto"/>
        <w:rPr>
          <w:rStyle w:val="Hyperlink"/>
          <w:color w:val="auto"/>
          <w:u w:val="none"/>
        </w:rPr>
      </w:pPr>
      <w:r>
        <w:rPr>
          <w:rStyle w:val="Hyperlink"/>
          <w:color w:val="auto"/>
        </w:rPr>
        <w:t>Liquidity</w:t>
      </w:r>
      <w:r w:rsidRPr="00A52790">
        <w:rPr>
          <w:rStyle w:val="Hyperlink"/>
          <w:color w:val="auto"/>
        </w:rPr>
        <w:t xml:space="preserve"> Requirements</w:t>
      </w:r>
      <w:r w:rsidRPr="00A52790">
        <w:rPr>
          <w:rStyle w:val="Hyperlink"/>
          <w:color w:val="auto"/>
          <w:u w:val="none"/>
        </w:rPr>
        <w:t>:</w:t>
      </w:r>
    </w:p>
    <w:tbl>
      <w:tblPr>
        <w:tblStyle w:val="TableGrid"/>
        <w:tblW w:w="0" w:type="auto"/>
        <w:tblLook w:val="04A0" w:firstRow="1" w:lastRow="0" w:firstColumn="1" w:lastColumn="0" w:noHBand="0" w:noVBand="1"/>
      </w:tblPr>
      <w:tblGrid>
        <w:gridCol w:w="1255"/>
        <w:gridCol w:w="8095"/>
      </w:tblGrid>
      <w:tr w:rsidR="00E669EE" w14:paraId="1FBA442A" w14:textId="77777777" w:rsidTr="00A65E15">
        <w:tc>
          <w:tcPr>
            <w:tcW w:w="1255" w:type="dxa"/>
            <w:vAlign w:val="center"/>
          </w:tcPr>
          <w:p w14:paraId="79E6B656" w14:textId="77777777" w:rsidR="00E669EE" w:rsidRPr="00C53A85" w:rsidRDefault="00E669EE" w:rsidP="00A65E15">
            <w:pPr>
              <w:spacing w:after="200" w:line="360" w:lineRule="auto"/>
              <w:jc w:val="center"/>
              <w:rPr>
                <w:rStyle w:val="Hyperlink"/>
                <w:b/>
                <w:color w:val="auto"/>
                <w:u w:val="none"/>
              </w:rPr>
            </w:pPr>
            <w:r>
              <w:rPr>
                <w:rStyle w:val="Hyperlink"/>
                <w:b/>
                <w:color w:val="auto"/>
                <w:u w:val="none"/>
              </w:rPr>
              <w:t>Date</w:t>
            </w:r>
          </w:p>
        </w:tc>
        <w:tc>
          <w:tcPr>
            <w:tcW w:w="8095" w:type="dxa"/>
            <w:vAlign w:val="center"/>
          </w:tcPr>
          <w:p w14:paraId="22EE0172" w14:textId="06456ABF" w:rsidR="00E669EE" w:rsidRPr="00C53A85" w:rsidRDefault="00E669EE" w:rsidP="00A65E15">
            <w:pPr>
              <w:spacing w:after="200" w:line="360" w:lineRule="auto"/>
              <w:jc w:val="center"/>
              <w:rPr>
                <w:rStyle w:val="Hyperlink"/>
                <w:b/>
                <w:color w:val="auto"/>
                <w:u w:val="none"/>
              </w:rPr>
            </w:pPr>
            <w:r>
              <w:rPr>
                <w:rStyle w:val="Hyperlink"/>
                <w:b/>
                <w:color w:val="auto"/>
                <w:u w:val="none"/>
              </w:rPr>
              <w:t>Milestone: Liquidity Requirements</w:t>
            </w:r>
          </w:p>
        </w:tc>
      </w:tr>
      <w:tr w:rsidR="00E669EE" w14:paraId="01C4AAFA" w14:textId="77777777" w:rsidTr="00A65E15">
        <w:tc>
          <w:tcPr>
            <w:tcW w:w="1255" w:type="dxa"/>
            <w:vAlign w:val="center"/>
          </w:tcPr>
          <w:p w14:paraId="47D5B941" w14:textId="32463F3B" w:rsidR="00E669EE" w:rsidRDefault="00E669EE" w:rsidP="00A65E15">
            <w:pPr>
              <w:spacing w:after="200" w:line="360" w:lineRule="auto"/>
              <w:jc w:val="center"/>
              <w:rPr>
                <w:rStyle w:val="Hyperlink"/>
                <w:color w:val="auto"/>
                <w:u w:val="none"/>
              </w:rPr>
            </w:pPr>
            <w:r>
              <w:rPr>
                <w:rStyle w:val="Hyperlink"/>
                <w:color w:val="auto"/>
                <w:u w:val="none"/>
              </w:rPr>
              <w:t>2011</w:t>
            </w:r>
          </w:p>
        </w:tc>
        <w:tc>
          <w:tcPr>
            <w:tcW w:w="8095" w:type="dxa"/>
            <w:vAlign w:val="center"/>
          </w:tcPr>
          <w:p w14:paraId="6D30BCB7" w14:textId="6E7DD309" w:rsidR="00E669EE" w:rsidRDefault="00E669EE" w:rsidP="00A65E15">
            <w:pPr>
              <w:spacing w:after="200" w:line="360" w:lineRule="auto"/>
              <w:rPr>
                <w:rStyle w:val="Hyperlink"/>
                <w:color w:val="auto"/>
                <w:u w:val="none"/>
              </w:rPr>
            </w:pPr>
            <w:r>
              <w:rPr>
                <w:rStyle w:val="Hyperlink"/>
                <w:color w:val="auto"/>
              </w:rPr>
              <w:t>Observation Period</w:t>
            </w:r>
            <w:r>
              <w:rPr>
                <w:rStyle w:val="Hyperlink"/>
                <w:color w:val="auto"/>
                <w:u w:val="none"/>
              </w:rPr>
              <w:t xml:space="preserve">: </w:t>
            </w:r>
            <w:r w:rsidR="00945D96">
              <w:rPr>
                <w:rStyle w:val="Hyperlink"/>
                <w:color w:val="auto"/>
                <w:u w:val="none"/>
              </w:rPr>
              <w:t>Developing templates and supervisory monitoring of the liquidity ratios</w:t>
            </w:r>
            <w:r>
              <w:rPr>
                <w:rStyle w:val="Hyperlink"/>
                <w:color w:val="auto"/>
                <w:u w:val="none"/>
              </w:rPr>
              <w:t>.</w:t>
            </w:r>
          </w:p>
        </w:tc>
      </w:tr>
      <w:tr w:rsidR="00945D96" w14:paraId="1FFD50FE" w14:textId="77777777" w:rsidTr="00A65E15">
        <w:tc>
          <w:tcPr>
            <w:tcW w:w="1255" w:type="dxa"/>
            <w:vAlign w:val="center"/>
          </w:tcPr>
          <w:p w14:paraId="70DFDAE9" w14:textId="77777777" w:rsidR="00945D96" w:rsidRDefault="00945D96" w:rsidP="00945D96">
            <w:pPr>
              <w:spacing w:after="200" w:line="360" w:lineRule="auto"/>
              <w:jc w:val="center"/>
              <w:rPr>
                <w:rStyle w:val="Hyperlink"/>
                <w:color w:val="auto"/>
                <w:u w:val="none"/>
              </w:rPr>
            </w:pPr>
            <w:r>
              <w:rPr>
                <w:rStyle w:val="Hyperlink"/>
                <w:color w:val="auto"/>
                <w:u w:val="none"/>
              </w:rPr>
              <w:t>2015</w:t>
            </w:r>
          </w:p>
        </w:tc>
        <w:tc>
          <w:tcPr>
            <w:tcW w:w="8095" w:type="dxa"/>
            <w:vAlign w:val="center"/>
          </w:tcPr>
          <w:p w14:paraId="56DE0F49" w14:textId="08EC3E79" w:rsidR="00945D96" w:rsidRDefault="00945D96" w:rsidP="00945D96">
            <w:pPr>
              <w:spacing w:after="200" w:line="360" w:lineRule="auto"/>
              <w:rPr>
                <w:rStyle w:val="Hyperlink"/>
                <w:color w:val="auto"/>
                <w:u w:val="none"/>
              </w:rPr>
            </w:pPr>
            <w:r>
              <w:rPr>
                <w:rStyle w:val="Hyperlink"/>
                <w:color w:val="auto"/>
              </w:rPr>
              <w:t>Introduction of the LCR</w:t>
            </w:r>
            <w:r>
              <w:rPr>
                <w:rStyle w:val="Hyperlink"/>
                <w:color w:val="auto"/>
                <w:u w:val="none"/>
              </w:rPr>
              <w:t>: Initial introduction of the Liquidity Coverage Ratio (LCR), with a 60% requirement. This will increase by ten percentage points each year until 2019. In the EU 100% will be reached by 2018 (European Commission (2014)).</w:t>
            </w:r>
          </w:p>
        </w:tc>
      </w:tr>
      <w:tr w:rsidR="00945D96" w14:paraId="10FD6386" w14:textId="77777777" w:rsidTr="00A65E15">
        <w:tc>
          <w:tcPr>
            <w:tcW w:w="1255" w:type="dxa"/>
            <w:vAlign w:val="center"/>
          </w:tcPr>
          <w:p w14:paraId="5418E236" w14:textId="7D17BF12" w:rsidR="00945D96" w:rsidRDefault="00945D96" w:rsidP="00945D96">
            <w:pPr>
              <w:spacing w:after="200" w:line="360" w:lineRule="auto"/>
              <w:jc w:val="center"/>
              <w:rPr>
                <w:rStyle w:val="Hyperlink"/>
                <w:color w:val="auto"/>
                <w:u w:val="none"/>
              </w:rPr>
            </w:pPr>
            <w:r>
              <w:rPr>
                <w:rStyle w:val="Hyperlink"/>
                <w:color w:val="auto"/>
                <w:u w:val="none"/>
              </w:rPr>
              <w:t>2018</w:t>
            </w:r>
          </w:p>
        </w:tc>
        <w:tc>
          <w:tcPr>
            <w:tcW w:w="8095" w:type="dxa"/>
            <w:vAlign w:val="center"/>
          </w:tcPr>
          <w:p w14:paraId="59AB0576" w14:textId="41986164" w:rsidR="00945D96" w:rsidRDefault="00945D96" w:rsidP="00945D96">
            <w:pPr>
              <w:spacing w:after="200" w:line="360" w:lineRule="auto"/>
              <w:rPr>
                <w:rStyle w:val="Hyperlink"/>
                <w:color w:val="auto"/>
                <w:u w:val="none"/>
              </w:rPr>
            </w:pPr>
            <w:r>
              <w:rPr>
                <w:rStyle w:val="Hyperlink"/>
                <w:color w:val="auto"/>
              </w:rPr>
              <w:t>Introduction of the NSFR</w:t>
            </w:r>
            <w:r>
              <w:rPr>
                <w:rStyle w:val="Hyperlink"/>
                <w:color w:val="auto"/>
                <w:u w:val="none"/>
              </w:rPr>
              <w:t>: Introduction of the Net Stable Funding Ratio.</w:t>
            </w:r>
          </w:p>
        </w:tc>
      </w:tr>
      <w:tr w:rsidR="00945D96" w14:paraId="35716EB3" w14:textId="77777777" w:rsidTr="00A65E15">
        <w:tc>
          <w:tcPr>
            <w:tcW w:w="1255" w:type="dxa"/>
            <w:vAlign w:val="center"/>
          </w:tcPr>
          <w:p w14:paraId="63DFD57B" w14:textId="02224C1B" w:rsidR="00945D96" w:rsidRDefault="00945D96" w:rsidP="00945D96">
            <w:pPr>
              <w:spacing w:after="200" w:line="360" w:lineRule="auto"/>
              <w:jc w:val="center"/>
              <w:rPr>
                <w:rStyle w:val="Hyperlink"/>
                <w:color w:val="auto"/>
                <w:u w:val="none"/>
              </w:rPr>
            </w:pPr>
            <w:r>
              <w:rPr>
                <w:rStyle w:val="Hyperlink"/>
                <w:color w:val="auto"/>
                <w:u w:val="none"/>
              </w:rPr>
              <w:t>2019</w:t>
            </w:r>
          </w:p>
        </w:tc>
        <w:tc>
          <w:tcPr>
            <w:tcW w:w="8095" w:type="dxa"/>
            <w:vAlign w:val="center"/>
          </w:tcPr>
          <w:p w14:paraId="1D0DCCAB" w14:textId="5B6C55DF" w:rsidR="00945D96" w:rsidRDefault="00945D96" w:rsidP="00945D96">
            <w:pPr>
              <w:spacing w:after="200" w:line="360" w:lineRule="auto"/>
              <w:rPr>
                <w:rStyle w:val="Hyperlink"/>
                <w:color w:val="auto"/>
                <w:u w:val="none"/>
              </w:rPr>
            </w:pPr>
            <w:r>
              <w:rPr>
                <w:rStyle w:val="Hyperlink"/>
                <w:color w:val="auto"/>
              </w:rPr>
              <w:t>LCR comes into Full Effect</w:t>
            </w:r>
            <w:r>
              <w:rPr>
                <w:rStyle w:val="Hyperlink"/>
                <w:color w:val="auto"/>
                <w:u w:val="none"/>
              </w:rPr>
              <w:t>: 100</w:t>
            </w:r>
            <w:r w:rsidR="0044057C">
              <w:rPr>
                <w:rStyle w:val="Hyperlink"/>
                <w:color w:val="auto"/>
                <w:u w:val="none"/>
              </w:rPr>
              <w:t>%</w:t>
            </w:r>
            <w:r>
              <w:rPr>
                <w:rStyle w:val="Hyperlink"/>
                <w:color w:val="auto"/>
                <w:u w:val="none"/>
              </w:rPr>
              <w:t xml:space="preserve"> LCR is expected.</w:t>
            </w:r>
          </w:p>
        </w:tc>
      </w:tr>
    </w:tbl>
    <w:p w14:paraId="22013EAC" w14:textId="18B2D855" w:rsidR="00EA3D54" w:rsidRDefault="00EA3D54" w:rsidP="007C5085">
      <w:pPr>
        <w:spacing w:after="200" w:line="360" w:lineRule="auto"/>
        <w:rPr>
          <w:rStyle w:val="Hyperlink"/>
          <w:color w:val="auto"/>
          <w:u w:val="none"/>
        </w:rPr>
      </w:pPr>
    </w:p>
    <w:p w14:paraId="2021E4FC" w14:textId="77777777" w:rsidR="004A4B3D" w:rsidRDefault="004A4B3D" w:rsidP="007C5085">
      <w:pPr>
        <w:spacing w:after="200" w:line="360" w:lineRule="auto"/>
        <w:rPr>
          <w:rStyle w:val="Hyperlink"/>
          <w:color w:val="auto"/>
          <w:u w:val="none"/>
        </w:rPr>
      </w:pPr>
    </w:p>
    <w:p w14:paraId="24CE0F53" w14:textId="77777777" w:rsidR="007C5085" w:rsidRPr="007C5085" w:rsidRDefault="007C5085" w:rsidP="007C5085">
      <w:pPr>
        <w:spacing w:after="200" w:line="360" w:lineRule="auto"/>
        <w:rPr>
          <w:rStyle w:val="Hyperlink"/>
          <w:b/>
          <w:color w:val="auto"/>
          <w:sz w:val="28"/>
          <w:szCs w:val="28"/>
          <w:u w:val="none"/>
        </w:rPr>
      </w:pPr>
      <w:r w:rsidRPr="007C5085">
        <w:rPr>
          <w:rStyle w:val="Hyperlink"/>
          <w:b/>
          <w:color w:val="auto"/>
          <w:sz w:val="28"/>
          <w:szCs w:val="28"/>
          <w:u w:val="none"/>
        </w:rPr>
        <w:t>References</w:t>
      </w:r>
    </w:p>
    <w:p w14:paraId="102E9788" w14:textId="77777777" w:rsidR="007C5085" w:rsidRDefault="007C5085" w:rsidP="007C5085">
      <w:pPr>
        <w:spacing w:after="200" w:line="360" w:lineRule="auto"/>
        <w:rPr>
          <w:rStyle w:val="Hyperlink"/>
          <w:color w:val="auto"/>
          <w:u w:val="none"/>
        </w:rPr>
      </w:pPr>
    </w:p>
    <w:p w14:paraId="484A6133" w14:textId="76860FD0" w:rsidR="00813174" w:rsidRDefault="00813174" w:rsidP="0060309E">
      <w:pPr>
        <w:pStyle w:val="ListParagraph"/>
        <w:numPr>
          <w:ilvl w:val="0"/>
          <w:numId w:val="2"/>
        </w:numPr>
        <w:spacing w:after="200" w:line="360" w:lineRule="auto"/>
        <w:rPr>
          <w:rStyle w:val="Hyperlink"/>
          <w:color w:val="auto"/>
          <w:u w:val="none"/>
        </w:rPr>
      </w:pPr>
      <w:r>
        <w:rPr>
          <w:rStyle w:val="Hyperlink"/>
          <w:color w:val="auto"/>
          <w:u w:val="none"/>
        </w:rPr>
        <w:lastRenderedPageBreak/>
        <w:t xml:space="preserve">Basel Committee on Banking Supervision (2005): </w:t>
      </w:r>
      <w:hyperlink r:id="rId17" w:history="1">
        <w:r w:rsidRPr="0014272E">
          <w:rPr>
            <w:rStyle w:val="Hyperlink"/>
          </w:rPr>
          <w:t>The First Pillar – Minimum Capital Requirements</w:t>
        </w:r>
      </w:hyperlink>
    </w:p>
    <w:p w14:paraId="256906A7" w14:textId="57393245" w:rsidR="005B6063" w:rsidRPr="0018084C" w:rsidRDefault="0060309E" w:rsidP="0060309E">
      <w:pPr>
        <w:pStyle w:val="ListParagraph"/>
        <w:numPr>
          <w:ilvl w:val="0"/>
          <w:numId w:val="2"/>
        </w:numPr>
        <w:spacing w:after="200" w:line="360" w:lineRule="auto"/>
        <w:rPr>
          <w:rStyle w:val="Hyperlink"/>
          <w:color w:val="auto"/>
          <w:u w:val="none"/>
        </w:rPr>
      </w:pPr>
      <w:hyperlink r:id="rId18" w:history="1">
        <w:r w:rsidR="005B6063" w:rsidRPr="0018084C">
          <w:rPr>
            <w:rStyle w:val="Hyperlink"/>
            <w:color w:val="auto"/>
            <w:u w:val="none"/>
          </w:rPr>
          <w:t>Basel Committee on Banking Supervision (20</w:t>
        </w:r>
        <w:r w:rsidR="005B6063">
          <w:rPr>
            <w:rStyle w:val="Hyperlink"/>
            <w:color w:val="auto"/>
            <w:u w:val="none"/>
          </w:rPr>
          <w:t>09</w:t>
        </w:r>
        <w:r w:rsidR="005B6063" w:rsidRPr="0018084C">
          <w:rPr>
            <w:rStyle w:val="Hyperlink"/>
            <w:color w:val="auto"/>
            <w:u w:val="none"/>
          </w:rPr>
          <w:t>)</w:t>
        </w:r>
      </w:hyperlink>
      <w:r w:rsidR="005B6063">
        <w:rPr>
          <w:rStyle w:val="Hyperlink"/>
          <w:color w:val="auto"/>
          <w:u w:val="none"/>
        </w:rPr>
        <w:t xml:space="preserve">: </w:t>
      </w:r>
      <w:hyperlink r:id="rId19" w:history="1">
        <w:r w:rsidR="005B6063">
          <w:rPr>
            <w:rStyle w:val="Hyperlink"/>
          </w:rPr>
          <w:t>Strengthening the Resilience of the Banking Sector</w:t>
        </w:r>
      </w:hyperlink>
    </w:p>
    <w:p w14:paraId="6677EE9B" w14:textId="77777777" w:rsidR="000C1B68" w:rsidRPr="0018084C" w:rsidRDefault="0060309E" w:rsidP="0060309E">
      <w:pPr>
        <w:pStyle w:val="ListParagraph"/>
        <w:numPr>
          <w:ilvl w:val="0"/>
          <w:numId w:val="2"/>
        </w:numPr>
        <w:spacing w:after="200" w:line="360" w:lineRule="auto"/>
        <w:rPr>
          <w:rStyle w:val="Hyperlink"/>
          <w:color w:val="auto"/>
          <w:u w:val="none"/>
        </w:rPr>
      </w:pPr>
      <w:hyperlink r:id="rId20" w:history="1">
        <w:r w:rsidR="000C1B68" w:rsidRPr="0018084C">
          <w:rPr>
            <w:rStyle w:val="Hyperlink"/>
            <w:color w:val="auto"/>
            <w:u w:val="none"/>
          </w:rPr>
          <w:t xml:space="preserve">Basel Committee </w:t>
        </w:r>
        <w:r w:rsidR="0018084C" w:rsidRPr="0018084C">
          <w:rPr>
            <w:rStyle w:val="Hyperlink"/>
            <w:color w:val="auto"/>
            <w:u w:val="none"/>
          </w:rPr>
          <w:t>on</w:t>
        </w:r>
        <w:r w:rsidR="000C1B68" w:rsidRPr="0018084C">
          <w:rPr>
            <w:rStyle w:val="Hyperlink"/>
            <w:color w:val="auto"/>
            <w:u w:val="none"/>
          </w:rPr>
          <w:t xml:space="preserve"> Banking S</w:t>
        </w:r>
        <w:r w:rsidR="00EA3D54" w:rsidRPr="0018084C">
          <w:rPr>
            <w:rStyle w:val="Hyperlink"/>
            <w:color w:val="auto"/>
            <w:u w:val="none"/>
          </w:rPr>
          <w:t>upervision</w:t>
        </w:r>
        <w:r w:rsidR="000C1B68" w:rsidRPr="0018084C">
          <w:rPr>
            <w:rStyle w:val="Hyperlink"/>
            <w:color w:val="auto"/>
            <w:u w:val="none"/>
          </w:rPr>
          <w:t xml:space="preserve"> (2010)</w:t>
        </w:r>
      </w:hyperlink>
      <w:r w:rsidR="0018084C">
        <w:rPr>
          <w:rStyle w:val="Hyperlink"/>
          <w:color w:val="auto"/>
          <w:u w:val="none"/>
        </w:rPr>
        <w:t xml:space="preserve">: </w:t>
      </w:r>
      <w:hyperlink r:id="rId21" w:history="1">
        <w:r w:rsidR="00A860EC" w:rsidRPr="00A860EC">
          <w:rPr>
            <w:rStyle w:val="Hyperlink"/>
          </w:rPr>
          <w:t>Group of Governors and Heads of Supervision announces Higher Global Minimum Capital Standards</w:t>
        </w:r>
      </w:hyperlink>
    </w:p>
    <w:p w14:paraId="2209A4F9" w14:textId="77777777" w:rsidR="00EA3D54" w:rsidRPr="0018084C" w:rsidRDefault="00EA3D54" w:rsidP="0060309E">
      <w:pPr>
        <w:pStyle w:val="ListParagraph"/>
        <w:numPr>
          <w:ilvl w:val="0"/>
          <w:numId w:val="2"/>
        </w:numPr>
        <w:spacing w:after="200" w:line="360" w:lineRule="auto"/>
        <w:rPr>
          <w:rStyle w:val="Hyperlink"/>
          <w:color w:val="auto"/>
          <w:u w:val="none"/>
        </w:rPr>
      </w:pPr>
      <w:r w:rsidRPr="0018084C">
        <w:rPr>
          <w:rStyle w:val="Hyperlink"/>
          <w:color w:val="auto"/>
          <w:u w:val="none"/>
        </w:rPr>
        <w:t xml:space="preserve">Basel Committee </w:t>
      </w:r>
      <w:r w:rsidR="0018084C">
        <w:rPr>
          <w:rStyle w:val="Hyperlink"/>
          <w:color w:val="auto"/>
          <w:u w:val="none"/>
        </w:rPr>
        <w:t>on</w:t>
      </w:r>
      <w:r w:rsidRPr="0018084C">
        <w:rPr>
          <w:rStyle w:val="Hyperlink"/>
          <w:color w:val="auto"/>
          <w:u w:val="none"/>
        </w:rPr>
        <w:t xml:space="preserve"> Banking Supervision (201</w:t>
      </w:r>
      <w:r w:rsidR="0018084C" w:rsidRPr="0018084C">
        <w:rPr>
          <w:rStyle w:val="Hyperlink"/>
          <w:color w:val="auto"/>
          <w:u w:val="none"/>
        </w:rPr>
        <w:t>3</w:t>
      </w:r>
      <w:r w:rsidRPr="0018084C">
        <w:rPr>
          <w:rStyle w:val="Hyperlink"/>
          <w:color w:val="auto"/>
          <w:u w:val="none"/>
        </w:rPr>
        <w:t>)</w:t>
      </w:r>
      <w:r w:rsidR="0018084C">
        <w:rPr>
          <w:rStyle w:val="Hyperlink"/>
          <w:color w:val="auto"/>
          <w:u w:val="none"/>
        </w:rPr>
        <w:t xml:space="preserve">: </w:t>
      </w:r>
      <w:hyperlink r:id="rId22" w:history="1">
        <w:r w:rsidR="0018084C" w:rsidRPr="0018084C">
          <w:rPr>
            <w:rStyle w:val="Hyperlink"/>
          </w:rPr>
          <w:t>Basel III Phase-in Arrangements</w:t>
        </w:r>
      </w:hyperlink>
    </w:p>
    <w:p w14:paraId="670AB72D" w14:textId="77777777" w:rsidR="00787E37" w:rsidRDefault="00787E37" w:rsidP="0060309E">
      <w:pPr>
        <w:pStyle w:val="ListParagraph"/>
        <w:numPr>
          <w:ilvl w:val="0"/>
          <w:numId w:val="2"/>
        </w:numPr>
        <w:spacing w:after="200" w:line="360" w:lineRule="auto"/>
        <w:rPr>
          <w:rStyle w:val="Hyperlink"/>
          <w:color w:val="auto"/>
          <w:u w:val="none"/>
        </w:rPr>
      </w:pPr>
      <w:r w:rsidRPr="0018084C">
        <w:rPr>
          <w:rStyle w:val="Hyperlink"/>
          <w:color w:val="auto"/>
          <w:u w:val="none"/>
        </w:rPr>
        <w:t xml:space="preserve">Basel Committee </w:t>
      </w:r>
      <w:r w:rsidR="0018084C">
        <w:rPr>
          <w:rStyle w:val="Hyperlink"/>
          <w:color w:val="auto"/>
          <w:u w:val="none"/>
        </w:rPr>
        <w:t>on</w:t>
      </w:r>
      <w:r w:rsidRPr="0018084C">
        <w:rPr>
          <w:rStyle w:val="Hyperlink"/>
          <w:color w:val="auto"/>
          <w:u w:val="none"/>
        </w:rPr>
        <w:t xml:space="preserve"> Banking Supervision (2017): </w:t>
      </w:r>
      <w:hyperlink r:id="rId23" w:history="1">
        <w:r w:rsidRPr="0018084C">
          <w:rPr>
            <w:rStyle w:val="Hyperlink"/>
          </w:rPr>
          <w:t xml:space="preserve">Basel III </w:t>
        </w:r>
        <w:r w:rsidR="0018084C" w:rsidRPr="0018084C">
          <w:rPr>
            <w:rStyle w:val="Hyperlink"/>
          </w:rPr>
          <w:t>Leverage Ratio Framework and Disclosure Requirements</w:t>
        </w:r>
      </w:hyperlink>
    </w:p>
    <w:p w14:paraId="21222792" w14:textId="77777777" w:rsidR="00A860EC" w:rsidRDefault="00A860EC" w:rsidP="0060309E">
      <w:pPr>
        <w:pStyle w:val="ListParagraph"/>
        <w:numPr>
          <w:ilvl w:val="0"/>
          <w:numId w:val="2"/>
        </w:numPr>
        <w:spacing w:after="200" w:line="360" w:lineRule="auto"/>
        <w:rPr>
          <w:rStyle w:val="Hyperlink"/>
          <w:color w:val="auto"/>
          <w:u w:val="none"/>
        </w:rPr>
      </w:pPr>
      <w:r>
        <w:rPr>
          <w:rStyle w:val="Hyperlink"/>
          <w:color w:val="auto"/>
          <w:u w:val="none"/>
        </w:rPr>
        <w:t xml:space="preserve">Central Banking (2013): </w:t>
      </w:r>
      <w:hyperlink r:id="rId24" w:history="1">
        <w:r w:rsidRPr="004D5415">
          <w:rPr>
            <w:rStyle w:val="Hyperlink"/>
          </w:rPr>
          <w:t>Fed and FDIC agree 6% Leverage Ratio for US SIFIs</w:t>
        </w:r>
      </w:hyperlink>
    </w:p>
    <w:p w14:paraId="3654C6EF" w14:textId="50D31F1A" w:rsidR="005620FA" w:rsidRPr="00C53A85" w:rsidRDefault="005620FA" w:rsidP="0060309E">
      <w:pPr>
        <w:pStyle w:val="ListParagraph"/>
        <w:numPr>
          <w:ilvl w:val="0"/>
          <w:numId w:val="2"/>
        </w:numPr>
        <w:spacing w:after="200" w:line="360" w:lineRule="auto"/>
        <w:rPr>
          <w:rStyle w:val="Hyperlink"/>
          <w:color w:val="auto"/>
          <w:u w:val="none"/>
        </w:rPr>
      </w:pPr>
      <w:r>
        <w:rPr>
          <w:rStyle w:val="Hyperlink"/>
          <w:color w:val="auto"/>
          <w:u w:val="none"/>
        </w:rPr>
        <w:t xml:space="preserve">Committee on Financial Services, United States House of Representatives (2011): </w:t>
      </w:r>
      <w:hyperlink r:id="rId25" w:history="1">
        <w:r w:rsidRPr="005620FA">
          <w:rPr>
            <w:rStyle w:val="Hyperlink"/>
          </w:rPr>
          <w:t>Testimony of Hal S. Scott</w:t>
        </w:r>
      </w:hyperlink>
    </w:p>
    <w:p w14:paraId="4E5CFC97" w14:textId="4ADAD678" w:rsidR="00C53A85" w:rsidRDefault="00C53A85" w:rsidP="0060309E">
      <w:pPr>
        <w:pStyle w:val="ListParagraph"/>
        <w:numPr>
          <w:ilvl w:val="0"/>
          <w:numId w:val="2"/>
        </w:numPr>
        <w:spacing w:after="200" w:line="360" w:lineRule="auto"/>
        <w:rPr>
          <w:rStyle w:val="Hyperlink"/>
          <w:color w:val="auto"/>
          <w:u w:val="none"/>
        </w:rPr>
      </w:pPr>
      <w:r>
        <w:rPr>
          <w:rStyle w:val="Hyperlink"/>
          <w:color w:val="auto"/>
          <w:u w:val="none"/>
        </w:rPr>
        <w:t xml:space="preserve">European Banking Agency (2013): </w:t>
      </w:r>
      <w:hyperlink r:id="rId26" w:history="1">
        <w:r w:rsidRPr="00C53A85">
          <w:rPr>
            <w:rStyle w:val="Hyperlink"/>
          </w:rPr>
          <w:t>Implementing Basel III in Europe: CRD IV Package</w:t>
        </w:r>
      </w:hyperlink>
    </w:p>
    <w:p w14:paraId="48628AF7" w14:textId="4A79EB3A" w:rsidR="00C53A85" w:rsidRPr="00576040" w:rsidRDefault="00C53A85" w:rsidP="0060309E">
      <w:pPr>
        <w:pStyle w:val="ListParagraph"/>
        <w:numPr>
          <w:ilvl w:val="0"/>
          <w:numId w:val="2"/>
        </w:numPr>
        <w:spacing w:after="200" w:line="360" w:lineRule="auto"/>
        <w:rPr>
          <w:rStyle w:val="Hyperlink"/>
          <w:color w:val="auto"/>
          <w:u w:val="none"/>
        </w:rPr>
      </w:pPr>
      <w:r>
        <w:rPr>
          <w:rStyle w:val="Hyperlink"/>
          <w:color w:val="auto"/>
          <w:u w:val="none"/>
        </w:rPr>
        <w:t xml:space="preserve">European Commission (2014): </w:t>
      </w:r>
      <w:hyperlink r:id="rId27" w:history="1">
        <w:r w:rsidRPr="00C53A85">
          <w:rPr>
            <w:rStyle w:val="Hyperlink"/>
          </w:rPr>
          <w:t>Liquidity Coverage Requirements Delegated Act: Frequently Asked Questions</w:t>
        </w:r>
      </w:hyperlink>
    </w:p>
    <w:p w14:paraId="52E9B765" w14:textId="75778297" w:rsidR="00576040" w:rsidRDefault="00576040" w:rsidP="0060309E">
      <w:pPr>
        <w:pStyle w:val="ListParagraph"/>
        <w:numPr>
          <w:ilvl w:val="0"/>
          <w:numId w:val="2"/>
        </w:numPr>
        <w:spacing w:after="200" w:line="360" w:lineRule="auto"/>
        <w:rPr>
          <w:rStyle w:val="Hyperlink"/>
          <w:color w:val="auto"/>
          <w:u w:val="none"/>
        </w:rPr>
      </w:pPr>
      <w:r>
        <w:rPr>
          <w:rStyle w:val="Hyperlink"/>
          <w:color w:val="auto"/>
          <w:u w:val="none"/>
        </w:rPr>
        <w:t xml:space="preserve">Federal Reserve (2011): </w:t>
      </w:r>
      <w:hyperlink r:id="rId28" w:history="1">
        <w:r w:rsidRPr="00576040">
          <w:rPr>
            <w:rStyle w:val="Hyperlink"/>
          </w:rPr>
          <w:t>Federal Reserve Board proposes steps to strengthen Regulation and Supervision of Large Bank Holding Companies and Systemically Important Non-bank Financial Firms</w:t>
        </w:r>
      </w:hyperlink>
    </w:p>
    <w:p w14:paraId="6D608FD2" w14:textId="77777777" w:rsidR="005620FA" w:rsidRPr="00EA3D54" w:rsidRDefault="005620FA" w:rsidP="0060309E">
      <w:pPr>
        <w:pStyle w:val="ListParagraph"/>
        <w:numPr>
          <w:ilvl w:val="0"/>
          <w:numId w:val="2"/>
        </w:numPr>
        <w:spacing w:after="200" w:line="360" w:lineRule="auto"/>
        <w:rPr>
          <w:rStyle w:val="Hyperlink"/>
          <w:color w:val="auto"/>
          <w:u w:val="none"/>
        </w:rPr>
      </w:pPr>
      <w:r>
        <w:rPr>
          <w:rStyle w:val="Hyperlink"/>
          <w:color w:val="auto"/>
          <w:u w:val="none"/>
        </w:rPr>
        <w:t xml:space="preserve">Federal Reserve (2013): </w:t>
      </w:r>
      <w:hyperlink r:id="rId29" w:history="1">
        <w:r w:rsidRPr="005620FA">
          <w:rPr>
            <w:rStyle w:val="Hyperlink"/>
          </w:rPr>
          <w:t>Liquidity Coverage Ratio – Liquidity Risk Measurements, Standards, and Monitoring</w:t>
        </w:r>
      </w:hyperlink>
    </w:p>
    <w:p w14:paraId="5ABBC2E5" w14:textId="2AABDBB2" w:rsidR="007C5085" w:rsidRPr="007C5085" w:rsidRDefault="007C5085" w:rsidP="0060309E">
      <w:pPr>
        <w:pStyle w:val="ListParagraph"/>
        <w:numPr>
          <w:ilvl w:val="0"/>
          <w:numId w:val="2"/>
        </w:numPr>
        <w:spacing w:after="200" w:line="360" w:lineRule="auto"/>
        <w:rPr>
          <w:rStyle w:val="Hyperlink"/>
          <w:color w:val="auto"/>
          <w:u w:val="none"/>
        </w:rPr>
      </w:pPr>
      <w:r w:rsidRPr="007C5085">
        <w:rPr>
          <w:rStyle w:val="Hyperlink"/>
          <w:color w:val="auto"/>
          <w:u w:val="none"/>
        </w:rPr>
        <w:t xml:space="preserve">Wikipedia (2018): </w:t>
      </w:r>
      <w:hyperlink r:id="rId30" w:history="1">
        <w:r w:rsidR="00F83546" w:rsidRPr="00F83546">
          <w:rPr>
            <w:rStyle w:val="Hyperlink"/>
          </w:rPr>
          <w:t>Basel III</w:t>
        </w:r>
      </w:hyperlink>
    </w:p>
    <w:p w14:paraId="7030A2B4" w14:textId="357E1E47" w:rsidR="00D8645B" w:rsidRDefault="00D8645B">
      <w:pPr>
        <w:spacing w:after="200" w:line="276" w:lineRule="auto"/>
        <w:rPr>
          <w:rStyle w:val="Hyperlink"/>
          <w:color w:val="auto"/>
          <w:u w:val="none"/>
        </w:rPr>
      </w:pPr>
      <w:r>
        <w:rPr>
          <w:rStyle w:val="Hyperlink"/>
          <w:color w:val="auto"/>
          <w:u w:val="none"/>
        </w:rPr>
        <w:br w:type="page"/>
      </w:r>
    </w:p>
    <w:p w14:paraId="6E640424" w14:textId="77777777" w:rsidR="00D8645B" w:rsidRDefault="00D8645B" w:rsidP="00D8645B">
      <w:pPr>
        <w:spacing w:line="360" w:lineRule="auto"/>
      </w:pPr>
    </w:p>
    <w:p w14:paraId="0DFFC773" w14:textId="77777777" w:rsidR="00D8645B" w:rsidRPr="007376C5" w:rsidRDefault="00D8645B" w:rsidP="00D8645B">
      <w:pPr>
        <w:spacing w:line="360" w:lineRule="auto"/>
        <w:jc w:val="center"/>
        <w:rPr>
          <w:b/>
          <w:sz w:val="32"/>
          <w:szCs w:val="32"/>
        </w:rPr>
      </w:pPr>
      <w:r w:rsidRPr="007376C5">
        <w:rPr>
          <w:b/>
          <w:sz w:val="32"/>
          <w:szCs w:val="32"/>
        </w:rPr>
        <w:t>VaR and Stress Methodology – Integration and Testing</w:t>
      </w:r>
    </w:p>
    <w:p w14:paraId="28934FAF" w14:textId="77777777" w:rsidR="00D8645B" w:rsidRDefault="00D8645B" w:rsidP="00D8645B">
      <w:pPr>
        <w:spacing w:line="360" w:lineRule="auto"/>
      </w:pPr>
    </w:p>
    <w:p w14:paraId="3664BC4D" w14:textId="77777777" w:rsidR="00D8645B" w:rsidRDefault="00D8645B" w:rsidP="00D8645B">
      <w:pPr>
        <w:spacing w:line="360" w:lineRule="auto"/>
      </w:pPr>
    </w:p>
    <w:p w14:paraId="519893A3" w14:textId="77777777" w:rsidR="00D8645B" w:rsidRPr="007376C5" w:rsidRDefault="00D8645B" w:rsidP="00D8645B">
      <w:pPr>
        <w:spacing w:line="360" w:lineRule="auto"/>
        <w:rPr>
          <w:b/>
          <w:sz w:val="28"/>
          <w:szCs w:val="28"/>
        </w:rPr>
      </w:pPr>
      <w:r w:rsidRPr="007376C5">
        <w:rPr>
          <w:b/>
          <w:sz w:val="28"/>
          <w:szCs w:val="28"/>
        </w:rPr>
        <w:t>Objectives of Risk Capital Estimation</w:t>
      </w:r>
    </w:p>
    <w:p w14:paraId="6564C0DC" w14:textId="77777777" w:rsidR="00D8645B" w:rsidRDefault="00D8645B" w:rsidP="00D8645B">
      <w:pPr>
        <w:spacing w:line="360" w:lineRule="auto"/>
      </w:pPr>
    </w:p>
    <w:p w14:paraId="6547A04C" w14:textId="77777777" w:rsidR="00D8645B" w:rsidRDefault="00D8645B" w:rsidP="0060309E">
      <w:pPr>
        <w:pStyle w:val="ListParagraph"/>
        <w:numPr>
          <w:ilvl w:val="0"/>
          <w:numId w:val="38"/>
        </w:numPr>
        <w:spacing w:after="160" w:line="360" w:lineRule="auto"/>
      </w:pPr>
      <w:r w:rsidRPr="007376C5">
        <w:rPr>
          <w:u w:val="single"/>
        </w:rPr>
        <w:t>Evaluation of the BHC Capital Adequacy</w:t>
      </w:r>
      <w:r w:rsidRPr="007376C5">
        <w:t>: Evaluate the BHC’s capital adequacy compared to the risk level. Risk Capital (RC) is defined as the amount of risk that the BHC is taking, measured in units equivalent of common equity. This corresponds to the BHC’s available equity capital.</w:t>
      </w:r>
    </w:p>
    <w:p w14:paraId="07DD5E6D" w14:textId="77777777" w:rsidR="00D8645B" w:rsidRDefault="00D8645B" w:rsidP="0060309E">
      <w:pPr>
        <w:pStyle w:val="ListParagraph"/>
        <w:numPr>
          <w:ilvl w:val="0"/>
          <w:numId w:val="38"/>
        </w:numPr>
        <w:spacing w:after="160" w:line="360" w:lineRule="auto"/>
      </w:pPr>
      <w:r>
        <w:rPr>
          <w:u w:val="single"/>
        </w:rPr>
        <w:t>Evaluating Economic OC of Businesses</w:t>
      </w:r>
      <w:r w:rsidRPr="007376C5">
        <w:t>:</w:t>
      </w:r>
      <w:r>
        <w:t xml:space="preserve"> Evaluate the ROE of the BHC business units from an economic perspective. Using the analysis above, risk capital may be defined as the amount of equity the business unit needs, based on its risk level. This enables prioritization of businesses based on ROE.</w:t>
      </w:r>
    </w:p>
    <w:p w14:paraId="527C34C4" w14:textId="77777777" w:rsidR="00D8645B" w:rsidRDefault="00D8645B" w:rsidP="00D8645B">
      <w:pPr>
        <w:spacing w:line="360" w:lineRule="auto"/>
      </w:pPr>
    </w:p>
    <w:p w14:paraId="020133C0" w14:textId="77777777" w:rsidR="00D8645B" w:rsidRDefault="00D8645B" w:rsidP="00D8645B">
      <w:pPr>
        <w:spacing w:line="360" w:lineRule="auto"/>
      </w:pPr>
    </w:p>
    <w:p w14:paraId="032AF97C" w14:textId="77777777" w:rsidR="00D8645B" w:rsidRPr="007376C5" w:rsidRDefault="00D8645B" w:rsidP="00D8645B">
      <w:pPr>
        <w:spacing w:line="360" w:lineRule="auto"/>
        <w:rPr>
          <w:b/>
          <w:sz w:val="28"/>
          <w:szCs w:val="28"/>
        </w:rPr>
      </w:pPr>
      <w:r w:rsidRPr="007376C5">
        <w:rPr>
          <w:b/>
          <w:sz w:val="28"/>
          <w:szCs w:val="28"/>
        </w:rPr>
        <w:t>BHC Risk Capital – Principles</w:t>
      </w:r>
    </w:p>
    <w:p w14:paraId="22B1CE63" w14:textId="77777777" w:rsidR="00D8645B" w:rsidRDefault="00D8645B" w:rsidP="00D8645B">
      <w:pPr>
        <w:spacing w:line="360" w:lineRule="auto"/>
      </w:pPr>
    </w:p>
    <w:p w14:paraId="1A476941" w14:textId="77777777" w:rsidR="00D8645B" w:rsidRDefault="00D8645B" w:rsidP="0060309E">
      <w:pPr>
        <w:pStyle w:val="ListParagraph"/>
        <w:numPr>
          <w:ilvl w:val="0"/>
          <w:numId w:val="39"/>
        </w:numPr>
        <w:spacing w:after="160" w:line="360" w:lineRule="auto"/>
      </w:pPr>
      <w:r w:rsidRPr="007376C5">
        <w:rPr>
          <w:u w:val="single"/>
        </w:rPr>
        <w:t>Principle behind the BHC Risk Capital Framework</w:t>
      </w:r>
      <w:r w:rsidRPr="007376C5">
        <w:t xml:space="preserve">: 99.97% confidence interval over a 1Y time horizon. This is consistent with </w:t>
      </w:r>
      <w:proofErr w:type="gramStart"/>
      <w:r w:rsidRPr="007376C5">
        <w:t>a</w:t>
      </w:r>
      <w:proofErr w:type="gramEnd"/>
      <w:r w:rsidRPr="007376C5">
        <w:t xml:space="preserve"> AA level of financial strength.</w:t>
      </w:r>
    </w:p>
    <w:p w14:paraId="409DA4C6" w14:textId="77777777" w:rsidR="00D8645B" w:rsidRDefault="00D8645B" w:rsidP="0060309E">
      <w:pPr>
        <w:pStyle w:val="ListParagraph"/>
        <w:numPr>
          <w:ilvl w:val="0"/>
          <w:numId w:val="39"/>
        </w:numPr>
        <w:spacing w:after="160" w:line="360" w:lineRule="auto"/>
      </w:pPr>
      <w:r>
        <w:rPr>
          <w:u w:val="single"/>
        </w:rPr>
        <w:t>Focus on Unexpected Losses</w:t>
      </w:r>
      <w:r w:rsidRPr="007376C5">
        <w:t>:</w:t>
      </w:r>
      <w:r>
        <w:t xml:space="preserve"> Expected Losses covered by current prices or reserves.</w:t>
      </w:r>
    </w:p>
    <w:p w14:paraId="7AC728AD" w14:textId="77777777" w:rsidR="00D8645B" w:rsidRDefault="00D8645B" w:rsidP="0060309E">
      <w:pPr>
        <w:pStyle w:val="ListParagraph"/>
        <w:numPr>
          <w:ilvl w:val="0"/>
          <w:numId w:val="39"/>
        </w:numPr>
        <w:spacing w:after="160" w:line="360" w:lineRule="auto"/>
      </w:pPr>
      <w:r>
        <w:rPr>
          <w:u w:val="single"/>
        </w:rPr>
        <w:t>Comprehensive Coverage of Risk Types</w:t>
      </w:r>
      <w:r w:rsidRPr="007376C5">
        <w:t>:</w:t>
      </w:r>
      <w:r>
        <w:t xml:space="preserve"> Credit risk, operational risk, market risk, etc.</w:t>
      </w:r>
    </w:p>
    <w:p w14:paraId="45707281" w14:textId="77777777" w:rsidR="00D8645B" w:rsidRDefault="00D8645B" w:rsidP="0060309E">
      <w:pPr>
        <w:pStyle w:val="ListParagraph"/>
        <w:numPr>
          <w:ilvl w:val="0"/>
          <w:numId w:val="39"/>
        </w:numPr>
        <w:spacing w:after="160" w:line="360" w:lineRule="auto"/>
      </w:pPr>
      <w:r>
        <w:rPr>
          <w:u w:val="single"/>
        </w:rPr>
        <w:t>Horizon Constant level of Risk</w:t>
      </w:r>
      <w:r w:rsidRPr="008C6763">
        <w:t>:</w:t>
      </w:r>
      <w:r>
        <w:t xml:space="preserve"> A constant level of risk over the year for most activities is assumed. BHC must maintain its business activities during the crisis.</w:t>
      </w:r>
    </w:p>
    <w:p w14:paraId="05E589DF" w14:textId="77777777" w:rsidR="00D8645B" w:rsidRDefault="00D8645B" w:rsidP="0060309E">
      <w:pPr>
        <w:pStyle w:val="ListParagraph"/>
        <w:numPr>
          <w:ilvl w:val="0"/>
          <w:numId w:val="39"/>
        </w:numPr>
        <w:spacing w:after="160" w:line="360" w:lineRule="auto"/>
      </w:pPr>
      <w:r>
        <w:rPr>
          <w:u w:val="single"/>
        </w:rPr>
        <w:t>Full Inclusion of Tail Risk</w:t>
      </w:r>
      <w:r w:rsidRPr="00657DAB">
        <w:t>:</w:t>
      </w:r>
      <w:r>
        <w:t xml:space="preserve"> This must include high correlations and lack of liquidity during a crisis.</w:t>
      </w:r>
    </w:p>
    <w:p w14:paraId="51E6DCAB" w14:textId="77777777" w:rsidR="00D8645B" w:rsidRDefault="00D8645B" w:rsidP="0060309E">
      <w:pPr>
        <w:pStyle w:val="ListParagraph"/>
        <w:numPr>
          <w:ilvl w:val="0"/>
          <w:numId w:val="39"/>
        </w:numPr>
        <w:spacing w:after="160" w:line="360" w:lineRule="auto"/>
      </w:pPr>
      <w:r>
        <w:rPr>
          <w:u w:val="single"/>
        </w:rPr>
        <w:t>Avoidance of Pro-cyclicality</w:t>
      </w:r>
      <w:r w:rsidRPr="00657DAB">
        <w:t>:</w:t>
      </w:r>
      <w:r>
        <w:t xml:space="preserve"> Pro-cyclicality occurs when the reported risk goes up as the crisis occurs.</w:t>
      </w:r>
    </w:p>
    <w:p w14:paraId="20AC6FDA" w14:textId="77777777" w:rsidR="00D8645B" w:rsidRDefault="00D8645B" w:rsidP="00D8645B">
      <w:pPr>
        <w:spacing w:line="360" w:lineRule="auto"/>
      </w:pPr>
    </w:p>
    <w:p w14:paraId="124BCEF9" w14:textId="77777777" w:rsidR="00D8645B" w:rsidRPr="00657DAB" w:rsidRDefault="00D8645B" w:rsidP="00D8645B">
      <w:pPr>
        <w:spacing w:line="360" w:lineRule="auto"/>
        <w:rPr>
          <w:b/>
          <w:sz w:val="28"/>
          <w:szCs w:val="28"/>
        </w:rPr>
      </w:pPr>
      <w:r w:rsidRPr="00657DAB">
        <w:rPr>
          <w:b/>
          <w:sz w:val="28"/>
          <w:szCs w:val="28"/>
        </w:rPr>
        <w:lastRenderedPageBreak/>
        <w:t>Market Risk Capital – Coverage and History</w:t>
      </w:r>
    </w:p>
    <w:p w14:paraId="014FD298" w14:textId="77777777" w:rsidR="00D8645B" w:rsidRDefault="00D8645B" w:rsidP="00D8645B">
      <w:pPr>
        <w:spacing w:line="360" w:lineRule="auto"/>
      </w:pPr>
    </w:p>
    <w:p w14:paraId="6E4EC42B" w14:textId="77777777" w:rsidR="00D8645B" w:rsidRDefault="00D8645B" w:rsidP="0060309E">
      <w:pPr>
        <w:pStyle w:val="ListParagraph"/>
        <w:numPr>
          <w:ilvl w:val="0"/>
          <w:numId w:val="40"/>
        </w:numPr>
        <w:spacing w:after="160" w:line="360" w:lineRule="auto"/>
      </w:pPr>
      <w:r w:rsidRPr="00657DAB">
        <w:rPr>
          <w:u w:val="single"/>
        </w:rPr>
        <w:t>Focus on Market Risk</w:t>
      </w:r>
      <w:r w:rsidRPr="00657DAB">
        <w:t>: This includes counter-party exposure on derivatives (CVA), credit spread risk on AFS, and defined-benefit pension plans. The interest rate component of AFS is typically covered by a separate ALM model.</w:t>
      </w:r>
    </w:p>
    <w:p w14:paraId="5EC8933E" w14:textId="77777777" w:rsidR="00D8645B" w:rsidRDefault="00D8645B" w:rsidP="0060309E">
      <w:pPr>
        <w:pStyle w:val="ListParagraph"/>
        <w:numPr>
          <w:ilvl w:val="0"/>
          <w:numId w:val="40"/>
        </w:numPr>
        <w:spacing w:after="160" w:line="360" w:lineRule="auto"/>
      </w:pPr>
      <w:r>
        <w:rPr>
          <w:u w:val="single"/>
        </w:rPr>
        <w:t>VaR as a Measure of Capital</w:t>
      </w:r>
      <w:r w:rsidRPr="00657DAB">
        <w:t>:</w:t>
      </w:r>
      <w:r>
        <w:t xml:space="preserve"> Prior to 2008, VaR was typically used to measure risk capital. This failed in 2008, since both volatility and correlations increase during a crisis.</w:t>
      </w:r>
    </w:p>
    <w:p w14:paraId="4FC58D03" w14:textId="77777777" w:rsidR="00D8645B" w:rsidRDefault="00D8645B" w:rsidP="0060309E">
      <w:pPr>
        <w:pStyle w:val="ListParagraph"/>
        <w:numPr>
          <w:ilvl w:val="0"/>
          <w:numId w:val="40"/>
        </w:numPr>
        <w:spacing w:after="160" w:line="360" w:lineRule="auto"/>
      </w:pPr>
      <w:r>
        <w:rPr>
          <w:u w:val="single"/>
        </w:rPr>
        <w:t>Drying up of Trading Liquidity</w:t>
      </w:r>
      <w:r w:rsidRPr="00483E4A">
        <w:t>:</w:t>
      </w:r>
      <w:r>
        <w:t xml:space="preserve"> Liquidity dried up for certain market factors, e.g., credit securitizations, while others such as G10 Spot FX remained highly liquid.</w:t>
      </w:r>
    </w:p>
    <w:p w14:paraId="68BF7D9C" w14:textId="77777777" w:rsidR="00D8645B" w:rsidRDefault="00D8645B" w:rsidP="0060309E">
      <w:pPr>
        <w:pStyle w:val="ListParagraph"/>
        <w:numPr>
          <w:ilvl w:val="0"/>
          <w:numId w:val="40"/>
        </w:numPr>
        <w:spacing w:after="160" w:line="360" w:lineRule="auto"/>
      </w:pPr>
      <w:r>
        <w:rPr>
          <w:u w:val="single"/>
        </w:rPr>
        <w:t>Dramatic Increase of Asset Correlation</w:t>
      </w:r>
      <w:r w:rsidRPr="00483E4A">
        <w:t>:</w:t>
      </w:r>
      <w:r>
        <w:t xml:space="preserve"> In key markets, prices moved in a sustained direction, not randomly. Credit spreads widened during 2008 as firms de-leveraged to meet margin calls. Scaling daily volatility under the assumption of i.i.d. would not describe the actual annual change.</w:t>
      </w:r>
    </w:p>
    <w:p w14:paraId="1542BB7E" w14:textId="77777777" w:rsidR="00D8645B" w:rsidRDefault="00D8645B" w:rsidP="00D8645B">
      <w:pPr>
        <w:spacing w:line="360" w:lineRule="auto"/>
      </w:pPr>
    </w:p>
    <w:p w14:paraId="3C1F80E1" w14:textId="77777777" w:rsidR="00D8645B" w:rsidRDefault="00D8645B" w:rsidP="00D8645B">
      <w:pPr>
        <w:spacing w:line="360" w:lineRule="auto"/>
      </w:pPr>
    </w:p>
    <w:p w14:paraId="1FA002BE" w14:textId="77777777" w:rsidR="00D8645B" w:rsidRPr="00483E4A" w:rsidRDefault="00D8645B" w:rsidP="00D8645B">
      <w:pPr>
        <w:spacing w:line="360" w:lineRule="auto"/>
        <w:rPr>
          <w:b/>
          <w:sz w:val="28"/>
          <w:szCs w:val="28"/>
        </w:rPr>
      </w:pPr>
      <w:r w:rsidRPr="00483E4A">
        <w:rPr>
          <w:b/>
          <w:sz w:val="28"/>
          <w:szCs w:val="28"/>
        </w:rPr>
        <w:t>Enhanced Risk Capital Framework</w:t>
      </w:r>
    </w:p>
    <w:p w14:paraId="5896060B" w14:textId="77777777" w:rsidR="00D8645B" w:rsidRDefault="00D8645B" w:rsidP="00D8645B">
      <w:pPr>
        <w:spacing w:line="360" w:lineRule="auto"/>
      </w:pPr>
    </w:p>
    <w:p w14:paraId="0E72B7BB" w14:textId="77777777" w:rsidR="00D8645B" w:rsidRDefault="00D8645B" w:rsidP="0060309E">
      <w:pPr>
        <w:pStyle w:val="ListParagraph"/>
        <w:numPr>
          <w:ilvl w:val="0"/>
          <w:numId w:val="41"/>
        </w:numPr>
        <w:spacing w:after="160" w:line="360" w:lineRule="auto"/>
      </w:pPr>
      <w:r w:rsidRPr="00483E4A">
        <w:rPr>
          <w:u w:val="single"/>
        </w:rPr>
        <w:t>Components of VaR-Stress Framework</w:t>
      </w:r>
      <w:r w:rsidRPr="00483E4A">
        <w:t>: The VaR-Stress integrates the strengths of these components. The first is VaR, which is often fed in annualized.</w:t>
      </w:r>
    </w:p>
    <w:p w14:paraId="61FF2B57" w14:textId="68289B47" w:rsidR="00D8645B" w:rsidRDefault="00D8645B" w:rsidP="0060309E">
      <w:pPr>
        <w:pStyle w:val="ListParagraph"/>
        <w:numPr>
          <w:ilvl w:val="0"/>
          <w:numId w:val="41"/>
        </w:numPr>
        <w:spacing w:after="160" w:line="360" w:lineRule="auto"/>
      </w:pPr>
      <w:r>
        <w:rPr>
          <w:u w:val="single"/>
        </w:rPr>
        <w:t>GSST - Extreme Systemic Stress Scenarios</w:t>
      </w:r>
      <w:r w:rsidRPr="00483E4A">
        <w:t>:</w:t>
      </w:r>
      <w:r>
        <w:t xml:space="preserve"> Extreme stress scenarios (GSST) with assigned likelihoods are based on:</w:t>
      </w:r>
    </w:p>
    <w:p w14:paraId="152EA178" w14:textId="77777777" w:rsidR="00D8645B" w:rsidRDefault="00D8645B" w:rsidP="0060309E">
      <w:pPr>
        <w:pStyle w:val="ListParagraph"/>
        <w:numPr>
          <w:ilvl w:val="1"/>
          <w:numId w:val="41"/>
        </w:numPr>
        <w:spacing w:after="160" w:line="360" w:lineRule="auto"/>
      </w:pPr>
      <w:r>
        <w:t>Two statistical stress scenarios, based on 90 years of historical data, and</w:t>
      </w:r>
    </w:p>
    <w:p w14:paraId="38F52B8C" w14:textId="77777777" w:rsidR="00D8645B" w:rsidRDefault="00D8645B" w:rsidP="0060309E">
      <w:pPr>
        <w:pStyle w:val="ListParagraph"/>
        <w:numPr>
          <w:ilvl w:val="1"/>
          <w:numId w:val="41"/>
        </w:numPr>
        <w:spacing w:after="160" w:line="360" w:lineRule="auto"/>
      </w:pPr>
      <w:r>
        <w:t>Three hypothetical stress scenarios, typically specified by the BHC economist.</w:t>
      </w:r>
    </w:p>
    <w:p w14:paraId="3094611E" w14:textId="77777777" w:rsidR="00D8645B" w:rsidRDefault="00D8645B" w:rsidP="0060309E">
      <w:pPr>
        <w:pStyle w:val="ListParagraph"/>
        <w:numPr>
          <w:ilvl w:val="0"/>
          <w:numId w:val="41"/>
        </w:numPr>
        <w:spacing w:after="160" w:line="360" w:lineRule="auto"/>
      </w:pPr>
      <w:r w:rsidRPr="00483E4A">
        <w:rPr>
          <w:u w:val="single"/>
        </w:rPr>
        <w:t>BSST – Business Specific Stress Tests</w:t>
      </w:r>
      <w:r>
        <w:t>: This captures the material and complex risk not included in GSST or VaR.</w:t>
      </w:r>
    </w:p>
    <w:p w14:paraId="475E8BC6" w14:textId="77777777" w:rsidR="00D8645B" w:rsidRDefault="00D8645B" w:rsidP="0060309E">
      <w:pPr>
        <w:pStyle w:val="ListParagraph"/>
        <w:numPr>
          <w:ilvl w:val="0"/>
          <w:numId w:val="41"/>
        </w:numPr>
        <w:spacing w:after="160" w:line="360" w:lineRule="auto"/>
      </w:pPr>
      <w:r>
        <w:rPr>
          <w:u w:val="single"/>
        </w:rPr>
        <w:t>Credit Related Default Risk Stresses</w:t>
      </w:r>
      <w:r w:rsidRPr="009115DC">
        <w:t>:</w:t>
      </w:r>
      <w:r>
        <w:t xml:space="preserve"> Default risk is included for credit-related stresses. For trading and counter-party risk exposure, separate calculation is added to credit with capital. For AFS and Pensions, the spread shocks in VaR-stress are grossed up to include default risk.</w:t>
      </w:r>
    </w:p>
    <w:p w14:paraId="1124F689" w14:textId="77777777" w:rsidR="00D8645B" w:rsidRDefault="00D8645B" w:rsidP="0060309E">
      <w:pPr>
        <w:pStyle w:val="ListParagraph"/>
        <w:numPr>
          <w:ilvl w:val="0"/>
          <w:numId w:val="41"/>
        </w:numPr>
        <w:spacing w:after="160" w:line="360" w:lineRule="auto"/>
      </w:pPr>
      <w:r>
        <w:rPr>
          <w:u w:val="single"/>
        </w:rPr>
        <w:t>Liquidity Horizons of 1Y</w:t>
      </w:r>
      <w:r w:rsidRPr="009115DC">
        <w:t>:</w:t>
      </w:r>
      <w:r>
        <w:t xml:space="preserve"> Initially, the assumptions are that all liquidity horizons are for one year. The stress scenarios are defined in terms of annual change in market prices.</w:t>
      </w:r>
    </w:p>
    <w:p w14:paraId="5212A3CF" w14:textId="77777777" w:rsidR="00D8645B" w:rsidRDefault="00D8645B" w:rsidP="0060309E">
      <w:pPr>
        <w:pStyle w:val="ListParagraph"/>
        <w:numPr>
          <w:ilvl w:val="0"/>
          <w:numId w:val="41"/>
        </w:numPr>
        <w:spacing w:after="160" w:line="360" w:lineRule="auto"/>
      </w:pPr>
      <w:r>
        <w:rPr>
          <w:u w:val="single"/>
        </w:rPr>
        <w:lastRenderedPageBreak/>
        <w:t>Enhancements to incorporate Reduced Volatility Horizon</w:t>
      </w:r>
      <w:r w:rsidRPr="009115DC">
        <w:t>:</w:t>
      </w:r>
      <w:r>
        <w:t xml:space="preserve"> Refinement allows a few businesses to use a reduced liquidity horizon, e.g., the worst being 2 months, rather than a year. This enables the use of liquidity adjusted stresses.</w:t>
      </w:r>
    </w:p>
    <w:p w14:paraId="30232553" w14:textId="77777777" w:rsidR="00D8645B" w:rsidRDefault="00D8645B" w:rsidP="00D8645B">
      <w:pPr>
        <w:spacing w:line="360" w:lineRule="auto"/>
      </w:pPr>
    </w:p>
    <w:p w14:paraId="4F5BB4EC" w14:textId="77777777" w:rsidR="00D8645B" w:rsidRDefault="00D8645B" w:rsidP="00D8645B">
      <w:pPr>
        <w:spacing w:line="360" w:lineRule="auto"/>
      </w:pPr>
    </w:p>
    <w:p w14:paraId="0C389E6D" w14:textId="77777777" w:rsidR="00D8645B" w:rsidRPr="009115DC" w:rsidRDefault="00D8645B" w:rsidP="00D8645B">
      <w:pPr>
        <w:spacing w:line="360" w:lineRule="auto"/>
        <w:rPr>
          <w:b/>
          <w:sz w:val="28"/>
          <w:szCs w:val="28"/>
        </w:rPr>
      </w:pPr>
      <w:r w:rsidRPr="009115DC">
        <w:rPr>
          <w:b/>
          <w:sz w:val="28"/>
          <w:szCs w:val="28"/>
        </w:rPr>
        <w:t>Step #1 – VaR at 99.97% at 1Y Horizon</w:t>
      </w:r>
    </w:p>
    <w:p w14:paraId="73226328" w14:textId="77777777" w:rsidR="00D8645B" w:rsidRDefault="00D8645B" w:rsidP="00D8645B">
      <w:pPr>
        <w:spacing w:line="360" w:lineRule="auto"/>
      </w:pPr>
    </w:p>
    <w:p w14:paraId="0942F224" w14:textId="77777777" w:rsidR="00D8645B" w:rsidRPr="009115DC" w:rsidRDefault="00D8645B" w:rsidP="0060309E">
      <w:pPr>
        <w:pStyle w:val="ListParagraph"/>
        <w:numPr>
          <w:ilvl w:val="0"/>
          <w:numId w:val="42"/>
        </w:numPr>
        <w:spacing w:after="160" w:line="360" w:lineRule="auto"/>
      </w:pPr>
      <w:r w:rsidRPr="009115DC">
        <w:rPr>
          <w:u w:val="single"/>
        </w:rPr>
        <w:t>Steps in Calculating VaR</w:t>
      </w:r>
      <w:r w:rsidRPr="009115DC">
        <w:t>:</w:t>
      </w:r>
    </w:p>
    <w:p w14:paraId="68500540" w14:textId="77777777" w:rsidR="00D8645B" w:rsidRDefault="00D8645B" w:rsidP="0060309E">
      <w:pPr>
        <w:pStyle w:val="ListParagraph"/>
        <w:numPr>
          <w:ilvl w:val="0"/>
          <w:numId w:val="43"/>
        </w:numPr>
        <w:spacing w:after="160" w:line="360" w:lineRule="auto"/>
      </w:pPr>
      <w:r>
        <w:t>Simulate Changes in market factors – e.g., currently more than 400,000 factors are used.</w:t>
      </w:r>
    </w:p>
    <w:p w14:paraId="60E64E9A" w14:textId="77777777" w:rsidR="00D8645B" w:rsidRDefault="00D8645B" w:rsidP="0060309E">
      <w:pPr>
        <w:pStyle w:val="ListParagraph"/>
        <w:numPr>
          <w:ilvl w:val="0"/>
          <w:numId w:val="43"/>
        </w:numPr>
        <w:spacing w:after="160" w:line="360" w:lineRule="auto"/>
      </w:pPr>
      <w:r>
        <w:t>Calculate the resulting simulated change in the portfolio value.</w:t>
      </w:r>
    </w:p>
    <w:p w14:paraId="7E62486D" w14:textId="77777777" w:rsidR="00D8645B" w:rsidRPr="009115DC" w:rsidRDefault="00D8645B" w:rsidP="0060309E">
      <w:pPr>
        <w:pStyle w:val="ListParagraph"/>
        <w:numPr>
          <w:ilvl w:val="0"/>
          <w:numId w:val="43"/>
        </w:numPr>
        <w:spacing w:after="160" w:line="360" w:lineRule="auto"/>
      </w:pPr>
      <w:r>
        <w:t>Derive the 1D 99% VaR from the probability distribution of portfolio values.</w:t>
      </w:r>
    </w:p>
    <w:p w14:paraId="1B817FAD" w14:textId="77777777" w:rsidR="00D8645B" w:rsidRDefault="00D8645B" w:rsidP="0060309E">
      <w:pPr>
        <w:pStyle w:val="ListParagraph"/>
        <w:numPr>
          <w:ilvl w:val="0"/>
          <w:numId w:val="42"/>
        </w:numPr>
        <w:spacing w:after="160" w:line="360" w:lineRule="auto"/>
      </w:pPr>
      <w:r>
        <w:rPr>
          <w:u w:val="single"/>
        </w:rPr>
        <w:t>Adjustment for Lon Term Factors</w:t>
      </w:r>
      <w:r w:rsidRPr="009115DC">
        <w:t>:</w:t>
      </w:r>
      <w:r>
        <w:t xml:space="preserve"> VaR is then adjusted to reflect long-term factors. Use of long-term average volatilities and correlations instead of current values ensures that the estimated risk does not decline when the market volatility declines.</w:t>
      </w:r>
    </w:p>
    <w:p w14:paraId="520BCFE9" w14:textId="77777777" w:rsidR="00D8645B" w:rsidRDefault="00D8645B" w:rsidP="0060309E">
      <w:pPr>
        <w:pStyle w:val="ListParagraph"/>
        <w:numPr>
          <w:ilvl w:val="0"/>
          <w:numId w:val="42"/>
        </w:numPr>
        <w:spacing w:after="160" w:line="360" w:lineRule="auto"/>
      </w:pPr>
      <w:r>
        <w:rPr>
          <w:u w:val="single"/>
        </w:rPr>
        <w:t>Scaling 1D VaR to 99</w:t>
      </w:r>
      <w:r w:rsidRPr="00D849AE">
        <w:rPr>
          <w:u w:val="single"/>
        </w:rPr>
        <w:t>.97%</w:t>
      </w:r>
      <w:r>
        <w:t xml:space="preserve">: The 1D VaR is then scaled from 99% at 1Y to 99.97%. The losses are assumed to follow a normal distribution, which results in scaling by inverse normal of 0.9997 divided by the inverse normal of 0.99, as well as a multiplication by </w:t>
      </w:r>
      <m:oMath>
        <m:rad>
          <m:radPr>
            <m:degHide m:val="1"/>
            <m:ctrlPr>
              <w:rPr>
                <w:rFonts w:ascii="Cambria Math" w:hAnsi="Cambria Math"/>
                <w:i/>
              </w:rPr>
            </m:ctrlPr>
          </m:radPr>
          <m:deg/>
          <m:e>
            <m:r>
              <w:rPr>
                <w:rFonts w:ascii="Cambria Math" w:hAnsi="Cambria Math"/>
              </w:rPr>
              <m:t>252</m:t>
            </m:r>
          </m:e>
        </m:rad>
      </m:oMath>
      <w:r>
        <w:t xml:space="preserve"> days.</w:t>
      </w:r>
    </w:p>
    <w:p w14:paraId="2A340319" w14:textId="77777777" w:rsidR="00D8645B" w:rsidRDefault="00D8645B" w:rsidP="00D8645B">
      <w:pPr>
        <w:spacing w:line="360" w:lineRule="auto"/>
      </w:pPr>
    </w:p>
    <w:p w14:paraId="2867ADAD" w14:textId="77777777" w:rsidR="00D8645B" w:rsidRDefault="00D8645B" w:rsidP="00D8645B">
      <w:pPr>
        <w:spacing w:line="360" w:lineRule="auto"/>
      </w:pPr>
    </w:p>
    <w:p w14:paraId="2C7E864A" w14:textId="77777777" w:rsidR="00D8645B" w:rsidRPr="00D849AE" w:rsidRDefault="00D8645B" w:rsidP="00D8645B">
      <w:pPr>
        <w:spacing w:line="360" w:lineRule="auto"/>
        <w:rPr>
          <w:b/>
          <w:sz w:val="28"/>
          <w:szCs w:val="28"/>
        </w:rPr>
      </w:pPr>
      <w:r w:rsidRPr="00D849AE">
        <w:rPr>
          <w:b/>
          <w:sz w:val="28"/>
          <w:szCs w:val="28"/>
        </w:rPr>
        <w:t>Step #2 – Global Systemic Stress Testing (GSST)</w:t>
      </w:r>
    </w:p>
    <w:p w14:paraId="0CF28074" w14:textId="77777777" w:rsidR="00D8645B" w:rsidRDefault="00D8645B" w:rsidP="00D8645B">
      <w:pPr>
        <w:spacing w:line="360" w:lineRule="auto"/>
      </w:pPr>
    </w:p>
    <w:p w14:paraId="4E36A520" w14:textId="77777777" w:rsidR="00D8645B" w:rsidRDefault="00D8645B" w:rsidP="0060309E">
      <w:pPr>
        <w:pStyle w:val="ListParagraph"/>
        <w:numPr>
          <w:ilvl w:val="0"/>
          <w:numId w:val="44"/>
        </w:numPr>
        <w:spacing w:after="160" w:line="360" w:lineRule="auto"/>
      </w:pPr>
      <w:r w:rsidRPr="002B156E">
        <w:rPr>
          <w:u w:val="single"/>
        </w:rPr>
        <w:t>Representation of Extreme Stress Events</w:t>
      </w:r>
      <w:r w:rsidRPr="002B156E">
        <w:t>: GSST tests ensure that the extreme stress events are represented. Extreme events are poorly predicted by extrapolating everyday price changes. Stressed co-movements are much higher than everyday Pearson correlations.</w:t>
      </w:r>
    </w:p>
    <w:p w14:paraId="2169A54D" w14:textId="77777777" w:rsidR="00D8645B" w:rsidRDefault="00D8645B" w:rsidP="0060309E">
      <w:pPr>
        <w:pStyle w:val="ListParagraph"/>
        <w:numPr>
          <w:ilvl w:val="0"/>
          <w:numId w:val="44"/>
        </w:numPr>
        <w:spacing w:after="160" w:line="360" w:lineRule="auto"/>
      </w:pPr>
      <w:r>
        <w:rPr>
          <w:u w:val="single"/>
        </w:rPr>
        <w:t>Challenges with the Stress Testing Approach</w:t>
      </w:r>
      <w:r w:rsidRPr="002B156E">
        <w:t>:</w:t>
      </w:r>
      <w:r>
        <w:t xml:space="preserve"> There are a couple of challenges with using stress testing as a foundation for Risk Capital.</w:t>
      </w:r>
    </w:p>
    <w:p w14:paraId="6CF74B4B" w14:textId="77777777" w:rsidR="00D8645B" w:rsidRDefault="00D8645B" w:rsidP="0060309E">
      <w:pPr>
        <w:pStyle w:val="ListParagraph"/>
        <w:numPr>
          <w:ilvl w:val="0"/>
          <w:numId w:val="44"/>
        </w:numPr>
        <w:spacing w:after="160" w:line="360" w:lineRule="auto"/>
      </w:pPr>
      <w:r>
        <w:rPr>
          <w:u w:val="single"/>
        </w:rPr>
        <w:t>Defined Probability for Stress Tests</w:t>
      </w:r>
      <w:r w:rsidRPr="002B156E">
        <w:t>:</w:t>
      </w:r>
      <w:r>
        <w:t xml:space="preserve"> Stress tests typically do not have a defined probability. One alternative is to set a stress based on judgement or an observed historical shock. </w:t>
      </w:r>
      <w:r>
        <w:lastRenderedPageBreak/>
        <w:t>However, this approach provides no statistical foundation to justify the 99.97% result. Thus, the historical data is used to provide a statistical foundation.</w:t>
      </w:r>
    </w:p>
    <w:p w14:paraId="661071A8" w14:textId="77777777" w:rsidR="00D8645B" w:rsidRDefault="00D8645B" w:rsidP="0060309E">
      <w:pPr>
        <w:pStyle w:val="ListParagraph"/>
        <w:numPr>
          <w:ilvl w:val="0"/>
          <w:numId w:val="44"/>
        </w:numPr>
        <w:spacing w:after="160" w:line="360" w:lineRule="auto"/>
      </w:pPr>
      <w:r>
        <w:rPr>
          <w:u w:val="single"/>
        </w:rPr>
        <w:t>Stresses across Multiple Market Factors</w:t>
      </w:r>
      <w:r w:rsidRPr="002B156E">
        <w:t>:</w:t>
      </w:r>
      <w:r>
        <w:t xml:space="preserve"> Stress tests have to provide stresses for many market factors at the same time. The alternative to this is to stress each market factor separately to its extreme outcome – this, however, ignores the benefit of diversification. One solution is to start with a known baseline market factor, then represent other market factors conditional on the outcome of the baseline. Often, a BHC’s baseline variable is the credit risk.</w:t>
      </w:r>
    </w:p>
    <w:p w14:paraId="1FE52C26" w14:textId="77777777" w:rsidR="00D8645B" w:rsidRDefault="00D8645B" w:rsidP="00D8645B">
      <w:pPr>
        <w:spacing w:line="360" w:lineRule="auto"/>
      </w:pPr>
    </w:p>
    <w:p w14:paraId="35DB79C8" w14:textId="77777777" w:rsidR="00D8645B" w:rsidRDefault="00D8645B" w:rsidP="00D8645B">
      <w:pPr>
        <w:spacing w:line="360" w:lineRule="auto"/>
      </w:pPr>
    </w:p>
    <w:p w14:paraId="3FDBCE8A" w14:textId="77777777" w:rsidR="00D8645B" w:rsidRPr="006D6FF4" w:rsidRDefault="00D8645B" w:rsidP="00D8645B">
      <w:pPr>
        <w:spacing w:line="360" w:lineRule="auto"/>
        <w:rPr>
          <w:b/>
          <w:sz w:val="28"/>
          <w:szCs w:val="28"/>
        </w:rPr>
      </w:pPr>
      <w:r w:rsidRPr="006D6FF4">
        <w:rPr>
          <w:b/>
          <w:sz w:val="28"/>
          <w:szCs w:val="28"/>
        </w:rPr>
        <w:t>Credit Risk – The Anchor Set for GSST</w:t>
      </w:r>
    </w:p>
    <w:p w14:paraId="6E8F58A6" w14:textId="77777777" w:rsidR="00D8645B" w:rsidRDefault="00D8645B" w:rsidP="00D8645B">
      <w:pPr>
        <w:spacing w:line="360" w:lineRule="auto"/>
      </w:pPr>
    </w:p>
    <w:p w14:paraId="0C48D451" w14:textId="77777777" w:rsidR="00D8645B" w:rsidRDefault="00D8645B" w:rsidP="0060309E">
      <w:pPr>
        <w:pStyle w:val="ListParagraph"/>
        <w:numPr>
          <w:ilvl w:val="0"/>
          <w:numId w:val="45"/>
        </w:numPr>
        <w:spacing w:after="160" w:line="360" w:lineRule="auto"/>
      </w:pPr>
      <w:r w:rsidRPr="006D6FF4">
        <w:rPr>
          <w:u w:val="single"/>
        </w:rPr>
        <w:t>Market Characterization of Crisis Periods</w:t>
      </w:r>
      <w:r w:rsidRPr="006D6FF4">
        <w:t>: Crisis periods are characterized by a surge in credit spreads and a large drop in equity prices, e.g., the Great Depression and the 2008 Liquidity Crisis. In both cases, huge bank losses and a loss of liquidity led to many bank failures.</w:t>
      </w:r>
    </w:p>
    <w:p w14:paraId="6105CC37" w14:textId="77777777" w:rsidR="00D8645B" w:rsidRDefault="00D8645B" w:rsidP="0060309E">
      <w:pPr>
        <w:pStyle w:val="ListParagraph"/>
        <w:numPr>
          <w:ilvl w:val="0"/>
          <w:numId w:val="45"/>
        </w:numPr>
        <w:spacing w:after="160" w:line="360" w:lineRule="auto"/>
      </w:pPr>
      <w:r>
        <w:rPr>
          <w:u w:val="single"/>
        </w:rPr>
        <w:t>Credit as the Dominant Risk Factor</w:t>
      </w:r>
      <w:r w:rsidRPr="004B798B">
        <w:t>:</w:t>
      </w:r>
      <w:r>
        <w:t xml:space="preserve"> Credit risk is the dominant risk factor all major banks. A BHC’s core risks are highly correlated with credit markets.</w:t>
      </w:r>
    </w:p>
    <w:p w14:paraId="36783AF0" w14:textId="77777777" w:rsidR="00D8645B" w:rsidRDefault="00D8645B" w:rsidP="0060309E">
      <w:pPr>
        <w:pStyle w:val="ListParagraph"/>
        <w:numPr>
          <w:ilvl w:val="1"/>
          <w:numId w:val="45"/>
        </w:numPr>
        <w:spacing w:after="160" w:line="360" w:lineRule="auto"/>
      </w:pPr>
      <w:r>
        <w:t>Trading accounts reflect a heavy focus on fixed-income trading.</w:t>
      </w:r>
    </w:p>
    <w:p w14:paraId="3D79E4AD" w14:textId="77777777" w:rsidR="00D8645B" w:rsidRDefault="00D8645B" w:rsidP="0060309E">
      <w:pPr>
        <w:pStyle w:val="ListParagraph"/>
        <w:numPr>
          <w:ilvl w:val="1"/>
          <w:numId w:val="45"/>
        </w:numPr>
        <w:spacing w:after="160" w:line="360" w:lineRule="auto"/>
      </w:pPr>
      <w:r>
        <w:t>Under-writing activities – especially leveraged finance – are highly correlated with credit markets.</w:t>
      </w:r>
    </w:p>
    <w:p w14:paraId="08469260" w14:textId="77777777" w:rsidR="00D8645B" w:rsidRDefault="00D8645B" w:rsidP="0060309E">
      <w:pPr>
        <w:pStyle w:val="ListParagraph"/>
        <w:numPr>
          <w:ilvl w:val="1"/>
          <w:numId w:val="45"/>
        </w:numPr>
        <w:spacing w:after="160" w:line="360" w:lineRule="auto"/>
      </w:pPr>
      <w:r>
        <w:t>Investment portfolios often have a spread dimension, e.g., municipals.</w:t>
      </w:r>
    </w:p>
    <w:p w14:paraId="166A11F8" w14:textId="77777777" w:rsidR="00D8645B" w:rsidRDefault="00D8645B" w:rsidP="0060309E">
      <w:pPr>
        <w:pStyle w:val="ListParagraph"/>
        <w:numPr>
          <w:ilvl w:val="1"/>
          <w:numId w:val="45"/>
        </w:numPr>
        <w:spacing w:after="160" w:line="360" w:lineRule="auto"/>
      </w:pPr>
      <w:r>
        <w:t>CVA PnL is heavily driven by credit spreads.</w:t>
      </w:r>
    </w:p>
    <w:p w14:paraId="7E400732" w14:textId="77777777" w:rsidR="00D8645B" w:rsidRDefault="00D8645B" w:rsidP="0060309E">
      <w:pPr>
        <w:pStyle w:val="ListParagraph"/>
        <w:numPr>
          <w:ilvl w:val="1"/>
          <w:numId w:val="45"/>
        </w:numPr>
        <w:spacing w:after="160" w:line="360" w:lineRule="auto"/>
      </w:pPr>
      <w:r>
        <w:t>Equity investment losses on FV basis are highly correlated with credit spreads.</w:t>
      </w:r>
    </w:p>
    <w:p w14:paraId="7960FA87" w14:textId="77777777" w:rsidR="00D8645B" w:rsidRDefault="00D8645B" w:rsidP="0060309E">
      <w:pPr>
        <w:pStyle w:val="ListParagraph"/>
        <w:numPr>
          <w:ilvl w:val="1"/>
          <w:numId w:val="45"/>
        </w:numPr>
        <w:spacing w:after="160" w:line="360" w:lineRule="auto"/>
      </w:pPr>
      <w:r>
        <w:t>Default losses in loan portfolios are moderately correlated with credit events.</w:t>
      </w:r>
    </w:p>
    <w:p w14:paraId="18780681" w14:textId="77777777" w:rsidR="00D8645B" w:rsidRDefault="00D8645B" w:rsidP="00D8645B">
      <w:pPr>
        <w:spacing w:line="360" w:lineRule="auto"/>
      </w:pPr>
    </w:p>
    <w:p w14:paraId="4F9E4746" w14:textId="77777777" w:rsidR="00D8645B" w:rsidRDefault="00D8645B" w:rsidP="00D8645B">
      <w:pPr>
        <w:spacing w:line="360" w:lineRule="auto"/>
      </w:pPr>
    </w:p>
    <w:p w14:paraId="06211C0E" w14:textId="77777777" w:rsidR="00D8645B" w:rsidRPr="004B798B" w:rsidRDefault="00D8645B" w:rsidP="00D8645B">
      <w:pPr>
        <w:spacing w:line="360" w:lineRule="auto"/>
        <w:rPr>
          <w:b/>
          <w:sz w:val="28"/>
          <w:szCs w:val="28"/>
        </w:rPr>
      </w:pPr>
      <w:r w:rsidRPr="004B798B">
        <w:rPr>
          <w:b/>
          <w:sz w:val="28"/>
          <w:szCs w:val="28"/>
        </w:rPr>
        <w:t>Historical Credit Spread Studies</w:t>
      </w:r>
    </w:p>
    <w:p w14:paraId="3F3DED79" w14:textId="77777777" w:rsidR="00D8645B" w:rsidRDefault="00D8645B" w:rsidP="00D8645B">
      <w:pPr>
        <w:spacing w:line="360" w:lineRule="auto"/>
      </w:pPr>
    </w:p>
    <w:p w14:paraId="45CC1120" w14:textId="77777777" w:rsidR="00D8645B" w:rsidRDefault="00D8645B" w:rsidP="0060309E">
      <w:pPr>
        <w:pStyle w:val="ListParagraph"/>
        <w:numPr>
          <w:ilvl w:val="0"/>
          <w:numId w:val="46"/>
        </w:numPr>
        <w:spacing w:after="160" w:line="360" w:lineRule="auto"/>
      </w:pPr>
      <w:r w:rsidRPr="004B798B">
        <w:rPr>
          <w:u w:val="single"/>
        </w:rPr>
        <w:lastRenderedPageBreak/>
        <w:t>Spread Changes from 1925-2011</w:t>
      </w:r>
      <w:r w:rsidRPr="004B798B">
        <w:t>: Examination and analysis of the spread changes from 1925 to 2011 reveals several patterns. Estimating the 99.97% confidence interval for credit spread reveals that the distribution is fat-tailed, i.e., a t-distribution with 5 degrees of freedom fits the tail well. The estimated shock at 99.97% confidence corresponds to 2x the observed shocks in 2008.</w:t>
      </w:r>
    </w:p>
    <w:p w14:paraId="40B9CE1E" w14:textId="77777777" w:rsidR="00D8645B" w:rsidRDefault="00D8645B" w:rsidP="0060309E">
      <w:pPr>
        <w:pStyle w:val="ListParagraph"/>
        <w:numPr>
          <w:ilvl w:val="0"/>
          <w:numId w:val="46"/>
        </w:numPr>
        <w:spacing w:after="160" w:line="360" w:lineRule="auto"/>
      </w:pPr>
      <w:r>
        <w:rPr>
          <w:u w:val="single"/>
        </w:rPr>
        <w:t>Analysis of Historical Time Series</w:t>
      </w:r>
      <w:r w:rsidRPr="004B798B">
        <w:t>:</w:t>
      </w:r>
      <w:r>
        <w:t xml:space="preserve"> Analyzing the historical time series of credit spreads with that of the other market factors enables the identification of the 10 largest annual changes in credit spreads. Examination of changes in other classes of market factors is also carried out.</w:t>
      </w:r>
    </w:p>
    <w:p w14:paraId="33253868" w14:textId="77777777" w:rsidR="00D8645B" w:rsidRDefault="00D8645B" w:rsidP="00D8645B">
      <w:pPr>
        <w:spacing w:line="360" w:lineRule="auto"/>
      </w:pPr>
    </w:p>
    <w:p w14:paraId="35F1A9A6" w14:textId="77777777" w:rsidR="00D8645B" w:rsidRDefault="00D8645B" w:rsidP="00D8645B">
      <w:pPr>
        <w:spacing w:line="360" w:lineRule="auto"/>
      </w:pPr>
    </w:p>
    <w:p w14:paraId="1306242B" w14:textId="77777777" w:rsidR="00D8645B" w:rsidRPr="00C479FF" w:rsidRDefault="00D8645B" w:rsidP="00D8645B">
      <w:pPr>
        <w:spacing w:line="360" w:lineRule="auto"/>
        <w:rPr>
          <w:b/>
          <w:sz w:val="28"/>
          <w:szCs w:val="28"/>
        </w:rPr>
      </w:pPr>
      <w:r w:rsidRPr="00C479FF">
        <w:rPr>
          <w:b/>
          <w:sz w:val="28"/>
          <w:szCs w:val="28"/>
        </w:rPr>
        <w:t>Scenario Design – Analyzing Patterns</w:t>
      </w:r>
    </w:p>
    <w:p w14:paraId="6DA63772" w14:textId="77777777" w:rsidR="00D8645B" w:rsidRDefault="00D8645B" w:rsidP="00D8645B">
      <w:pPr>
        <w:spacing w:line="360" w:lineRule="auto"/>
      </w:pPr>
    </w:p>
    <w:p w14:paraId="1CAA089A" w14:textId="14C32333" w:rsidR="00D8645B" w:rsidRDefault="00D8645B" w:rsidP="0060309E">
      <w:pPr>
        <w:pStyle w:val="ListParagraph"/>
        <w:numPr>
          <w:ilvl w:val="0"/>
          <w:numId w:val="47"/>
        </w:numPr>
        <w:spacing w:after="160" w:line="360" w:lineRule="auto"/>
      </w:pPr>
      <w:r w:rsidRPr="00C479FF">
        <w:rPr>
          <w:u w:val="single"/>
        </w:rPr>
        <w:t>Inflationary and Deflationary Foundation Patterns</w:t>
      </w:r>
      <w:r w:rsidRPr="00C479FF">
        <w:t xml:space="preserve">: </w:t>
      </w:r>
      <w:r w:rsidRPr="00C479FF">
        <w:rPr>
          <w:i/>
        </w:rPr>
        <w:t>Two different patterns</w:t>
      </w:r>
      <w:r w:rsidRPr="00C479FF">
        <w:t xml:space="preserve"> can be noted with these largest credit</w:t>
      </w:r>
      <w:r w:rsidR="00021291">
        <w:t>-</w:t>
      </w:r>
      <w:r w:rsidRPr="00C479FF">
        <w:t xml:space="preserve">spread events – </w:t>
      </w:r>
      <w:r w:rsidRPr="00C479FF">
        <w:rPr>
          <w:i/>
        </w:rPr>
        <w:t>inflationary</w:t>
      </w:r>
      <w:r w:rsidRPr="00C479FF">
        <w:t xml:space="preserve"> and </w:t>
      </w:r>
      <w:r w:rsidRPr="00C479FF">
        <w:softHyphen/>
      </w:r>
      <w:r w:rsidRPr="00C479FF">
        <w:rPr>
          <w:i/>
        </w:rPr>
        <w:t>deflationary</w:t>
      </w:r>
      <w:r w:rsidRPr="00C479FF">
        <w:t>. One can base these two foundational scenarios on the risk factor moves identified by each pattern.</w:t>
      </w:r>
    </w:p>
    <w:p w14:paraId="4218BCE9" w14:textId="77777777" w:rsidR="00D8645B" w:rsidRDefault="00D8645B" w:rsidP="0060309E">
      <w:pPr>
        <w:pStyle w:val="ListParagraph"/>
        <w:numPr>
          <w:ilvl w:val="0"/>
          <w:numId w:val="47"/>
        </w:numPr>
        <w:spacing w:after="160" w:line="360" w:lineRule="auto"/>
      </w:pPr>
      <w:r>
        <w:rPr>
          <w:u w:val="single"/>
        </w:rPr>
        <w:t>Deflationary Systemic Stress Shock</w:t>
      </w:r>
      <w:r>
        <w:t>:</w:t>
      </w:r>
    </w:p>
    <w:p w14:paraId="4A13FCA1" w14:textId="77777777" w:rsidR="00D8645B" w:rsidRDefault="00D8645B" w:rsidP="0060309E">
      <w:pPr>
        <w:pStyle w:val="ListParagraph"/>
        <w:numPr>
          <w:ilvl w:val="1"/>
          <w:numId w:val="47"/>
        </w:numPr>
        <w:spacing w:after="160" w:line="360" w:lineRule="auto"/>
      </w:pPr>
      <w:r>
        <w:t>Credit Spreads – UP</w:t>
      </w:r>
    </w:p>
    <w:p w14:paraId="7BCF78FD" w14:textId="77777777" w:rsidR="00D8645B" w:rsidRDefault="00D8645B" w:rsidP="0060309E">
      <w:pPr>
        <w:pStyle w:val="ListParagraph"/>
        <w:numPr>
          <w:ilvl w:val="1"/>
          <w:numId w:val="47"/>
        </w:numPr>
        <w:spacing w:after="160" w:line="360" w:lineRule="auto"/>
      </w:pPr>
      <w:r>
        <w:t>Equity Markets – DOWN</w:t>
      </w:r>
    </w:p>
    <w:p w14:paraId="61616D35" w14:textId="77777777" w:rsidR="00D8645B" w:rsidRDefault="00D8645B" w:rsidP="0060309E">
      <w:pPr>
        <w:pStyle w:val="ListParagraph"/>
        <w:numPr>
          <w:ilvl w:val="1"/>
          <w:numId w:val="47"/>
        </w:numPr>
        <w:spacing w:after="160" w:line="360" w:lineRule="auto"/>
      </w:pPr>
      <w:r>
        <w:t>Yield Curve Level – DOWN</w:t>
      </w:r>
    </w:p>
    <w:p w14:paraId="71A76849" w14:textId="77777777" w:rsidR="00D8645B" w:rsidRDefault="00D8645B" w:rsidP="0060309E">
      <w:pPr>
        <w:pStyle w:val="ListParagraph"/>
        <w:numPr>
          <w:ilvl w:val="1"/>
          <w:numId w:val="47"/>
        </w:numPr>
        <w:spacing w:after="160" w:line="360" w:lineRule="auto"/>
      </w:pPr>
      <w:r>
        <w:t>Commodities – DOWN</w:t>
      </w:r>
    </w:p>
    <w:p w14:paraId="3E58B726" w14:textId="77777777" w:rsidR="00D8645B" w:rsidRPr="00C479FF" w:rsidRDefault="00D8645B" w:rsidP="0060309E">
      <w:pPr>
        <w:pStyle w:val="ListParagraph"/>
        <w:numPr>
          <w:ilvl w:val="1"/>
          <w:numId w:val="47"/>
        </w:numPr>
        <w:spacing w:after="160" w:line="360" w:lineRule="auto"/>
      </w:pPr>
      <w:r>
        <w:t>Energy - DOWN</w:t>
      </w:r>
    </w:p>
    <w:p w14:paraId="6C7705BE" w14:textId="77777777" w:rsidR="00D8645B" w:rsidRDefault="00D8645B" w:rsidP="0060309E">
      <w:pPr>
        <w:pStyle w:val="ListParagraph"/>
        <w:numPr>
          <w:ilvl w:val="0"/>
          <w:numId w:val="47"/>
        </w:numPr>
        <w:spacing w:after="160" w:line="360" w:lineRule="auto"/>
      </w:pPr>
      <w:r>
        <w:rPr>
          <w:u w:val="single"/>
        </w:rPr>
        <w:t>Inflationary Systemic Stress Shock</w:t>
      </w:r>
      <w:r>
        <w:t>:</w:t>
      </w:r>
    </w:p>
    <w:p w14:paraId="2D243B2B" w14:textId="77777777" w:rsidR="00D8645B" w:rsidRDefault="00D8645B" w:rsidP="0060309E">
      <w:pPr>
        <w:pStyle w:val="ListParagraph"/>
        <w:numPr>
          <w:ilvl w:val="1"/>
          <w:numId w:val="47"/>
        </w:numPr>
        <w:spacing w:after="160" w:line="360" w:lineRule="auto"/>
      </w:pPr>
      <w:r>
        <w:t>Credit Spreads – UP</w:t>
      </w:r>
    </w:p>
    <w:p w14:paraId="61FE9EE2" w14:textId="77777777" w:rsidR="00D8645B" w:rsidRDefault="00D8645B" w:rsidP="0060309E">
      <w:pPr>
        <w:pStyle w:val="ListParagraph"/>
        <w:numPr>
          <w:ilvl w:val="1"/>
          <w:numId w:val="47"/>
        </w:numPr>
        <w:spacing w:after="160" w:line="360" w:lineRule="auto"/>
      </w:pPr>
      <w:r>
        <w:t>Equity Markets – DOWN</w:t>
      </w:r>
    </w:p>
    <w:p w14:paraId="00224223" w14:textId="77777777" w:rsidR="00D8645B" w:rsidRDefault="00D8645B" w:rsidP="0060309E">
      <w:pPr>
        <w:pStyle w:val="ListParagraph"/>
        <w:numPr>
          <w:ilvl w:val="1"/>
          <w:numId w:val="47"/>
        </w:numPr>
        <w:spacing w:after="160" w:line="360" w:lineRule="auto"/>
      </w:pPr>
      <w:r>
        <w:t>Yield Curve Level – UP</w:t>
      </w:r>
    </w:p>
    <w:p w14:paraId="3D4FD9C2" w14:textId="77777777" w:rsidR="00D8645B" w:rsidRDefault="00D8645B" w:rsidP="0060309E">
      <w:pPr>
        <w:pStyle w:val="ListParagraph"/>
        <w:numPr>
          <w:ilvl w:val="1"/>
          <w:numId w:val="47"/>
        </w:numPr>
        <w:spacing w:after="160" w:line="360" w:lineRule="auto"/>
      </w:pPr>
      <w:r>
        <w:t>Commodities – UP</w:t>
      </w:r>
    </w:p>
    <w:p w14:paraId="3B61C54A" w14:textId="77777777" w:rsidR="00D8645B" w:rsidRDefault="00D8645B" w:rsidP="0060309E">
      <w:pPr>
        <w:pStyle w:val="ListParagraph"/>
        <w:numPr>
          <w:ilvl w:val="1"/>
          <w:numId w:val="47"/>
        </w:numPr>
        <w:spacing w:after="160" w:line="360" w:lineRule="auto"/>
      </w:pPr>
      <w:r>
        <w:t>Energy – UP</w:t>
      </w:r>
    </w:p>
    <w:p w14:paraId="30DA79A1" w14:textId="77777777" w:rsidR="00D8645B" w:rsidRDefault="00D8645B" w:rsidP="00D8645B">
      <w:pPr>
        <w:spacing w:line="360" w:lineRule="auto"/>
      </w:pPr>
    </w:p>
    <w:p w14:paraId="4878F5D9" w14:textId="77777777" w:rsidR="00D8645B" w:rsidRDefault="00D8645B" w:rsidP="00D8645B">
      <w:pPr>
        <w:spacing w:line="360" w:lineRule="auto"/>
      </w:pPr>
    </w:p>
    <w:p w14:paraId="637C4FEF" w14:textId="77777777" w:rsidR="00D8645B" w:rsidRPr="00C53681" w:rsidRDefault="00D8645B" w:rsidP="00D8645B">
      <w:pPr>
        <w:spacing w:line="360" w:lineRule="auto"/>
        <w:rPr>
          <w:b/>
          <w:sz w:val="28"/>
          <w:szCs w:val="28"/>
        </w:rPr>
      </w:pPr>
      <w:r w:rsidRPr="00C53681">
        <w:rPr>
          <w:b/>
          <w:sz w:val="28"/>
          <w:szCs w:val="28"/>
        </w:rPr>
        <w:lastRenderedPageBreak/>
        <w:t>Top 10 Credit Spread Events</w:t>
      </w:r>
    </w:p>
    <w:p w14:paraId="33137651" w14:textId="77777777" w:rsidR="00D8645B" w:rsidRDefault="00D8645B" w:rsidP="00D8645B">
      <w:pPr>
        <w:spacing w:line="360" w:lineRule="auto"/>
      </w:pPr>
    </w:p>
    <w:p w14:paraId="0CAEC9E3" w14:textId="77777777" w:rsidR="00D8645B" w:rsidRPr="00C53681" w:rsidRDefault="00D8645B" w:rsidP="0060309E">
      <w:pPr>
        <w:pStyle w:val="ListParagraph"/>
        <w:numPr>
          <w:ilvl w:val="0"/>
          <w:numId w:val="48"/>
        </w:numPr>
        <w:spacing w:after="160" w:line="360" w:lineRule="auto"/>
      </w:pPr>
      <w:r w:rsidRPr="00C53681">
        <w:rPr>
          <w:u w:val="single"/>
        </w:rPr>
        <w:t>Top Credit Spread Events Table</w:t>
      </w:r>
      <w:r w:rsidRPr="00C53681">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8645B" w14:paraId="59BD6FD3" w14:textId="77777777" w:rsidTr="00664D46">
        <w:tc>
          <w:tcPr>
            <w:tcW w:w="1558" w:type="dxa"/>
            <w:vAlign w:val="center"/>
          </w:tcPr>
          <w:p w14:paraId="2883AF61" w14:textId="77777777" w:rsidR="00D8645B" w:rsidRPr="004E4CB2" w:rsidRDefault="00D8645B" w:rsidP="00664D46">
            <w:pPr>
              <w:spacing w:line="360" w:lineRule="auto"/>
              <w:jc w:val="center"/>
              <w:rPr>
                <w:b/>
              </w:rPr>
            </w:pPr>
            <w:r>
              <w:rPr>
                <w:b/>
              </w:rPr>
              <w:t>Event Number</w:t>
            </w:r>
          </w:p>
        </w:tc>
        <w:tc>
          <w:tcPr>
            <w:tcW w:w="1558" w:type="dxa"/>
            <w:vAlign w:val="center"/>
          </w:tcPr>
          <w:p w14:paraId="5EEBF2A1" w14:textId="77777777" w:rsidR="00D8645B" w:rsidRPr="004E4CB2" w:rsidRDefault="00D8645B" w:rsidP="00664D46">
            <w:pPr>
              <w:spacing w:line="360" w:lineRule="auto"/>
              <w:jc w:val="center"/>
              <w:rPr>
                <w:b/>
              </w:rPr>
            </w:pPr>
            <w:r>
              <w:rPr>
                <w:b/>
              </w:rPr>
              <w:t>Date</w:t>
            </w:r>
          </w:p>
        </w:tc>
        <w:tc>
          <w:tcPr>
            <w:tcW w:w="1558" w:type="dxa"/>
            <w:vAlign w:val="center"/>
          </w:tcPr>
          <w:p w14:paraId="1CC7F4E4" w14:textId="77777777" w:rsidR="00D8645B" w:rsidRPr="004E4CB2" w:rsidRDefault="00D8645B" w:rsidP="00664D46">
            <w:pPr>
              <w:spacing w:line="360" w:lineRule="auto"/>
              <w:jc w:val="center"/>
              <w:rPr>
                <w:b/>
              </w:rPr>
            </w:pPr>
            <w:r>
              <w:rPr>
                <w:b/>
              </w:rPr>
              <w:t>Baa Spread Change (bp)</w:t>
            </w:r>
          </w:p>
        </w:tc>
        <w:tc>
          <w:tcPr>
            <w:tcW w:w="1558" w:type="dxa"/>
            <w:vAlign w:val="center"/>
          </w:tcPr>
          <w:p w14:paraId="3E0A7F9B" w14:textId="77777777" w:rsidR="00D8645B" w:rsidRPr="004E4CB2" w:rsidRDefault="00D8645B" w:rsidP="00664D46">
            <w:pPr>
              <w:spacing w:line="360" w:lineRule="auto"/>
              <w:jc w:val="center"/>
              <w:rPr>
                <w:b/>
              </w:rPr>
            </w:pPr>
            <w:r>
              <w:rPr>
                <w:b/>
              </w:rPr>
              <w:t>S&amp;P 500 Annual Return (%)</w:t>
            </w:r>
          </w:p>
        </w:tc>
        <w:tc>
          <w:tcPr>
            <w:tcW w:w="1559" w:type="dxa"/>
            <w:vAlign w:val="center"/>
          </w:tcPr>
          <w:p w14:paraId="33CE40AA" w14:textId="77777777" w:rsidR="00D8645B" w:rsidRPr="004E4CB2" w:rsidRDefault="00D8645B" w:rsidP="00664D46">
            <w:pPr>
              <w:spacing w:line="360" w:lineRule="auto"/>
              <w:jc w:val="center"/>
              <w:rPr>
                <w:b/>
              </w:rPr>
            </w:pPr>
            <w:r>
              <w:rPr>
                <w:b/>
              </w:rPr>
              <w:t>5Y Treasury Absolute Change (bp)</w:t>
            </w:r>
          </w:p>
        </w:tc>
        <w:tc>
          <w:tcPr>
            <w:tcW w:w="1559" w:type="dxa"/>
            <w:vAlign w:val="center"/>
          </w:tcPr>
          <w:p w14:paraId="0A938E0E" w14:textId="77777777" w:rsidR="00D8645B" w:rsidRPr="004E4CB2" w:rsidRDefault="00D8645B" w:rsidP="00664D46">
            <w:pPr>
              <w:spacing w:line="360" w:lineRule="auto"/>
              <w:jc w:val="center"/>
              <w:rPr>
                <w:b/>
              </w:rPr>
            </w:pPr>
            <w:r>
              <w:rPr>
                <w:b/>
              </w:rPr>
              <w:t>10Y – 3M Treasury Absolute Change (bp)</w:t>
            </w:r>
          </w:p>
        </w:tc>
      </w:tr>
      <w:tr w:rsidR="00D8645B" w14:paraId="65BA429B" w14:textId="77777777" w:rsidTr="00664D46">
        <w:tc>
          <w:tcPr>
            <w:tcW w:w="1558" w:type="dxa"/>
            <w:vAlign w:val="center"/>
          </w:tcPr>
          <w:p w14:paraId="5377C918" w14:textId="77777777" w:rsidR="00D8645B" w:rsidRDefault="00D8645B" w:rsidP="00664D46">
            <w:pPr>
              <w:spacing w:line="360" w:lineRule="auto"/>
              <w:jc w:val="center"/>
            </w:pPr>
            <w:r>
              <w:t>1</w:t>
            </w:r>
          </w:p>
        </w:tc>
        <w:tc>
          <w:tcPr>
            <w:tcW w:w="1558" w:type="dxa"/>
            <w:vAlign w:val="center"/>
          </w:tcPr>
          <w:p w14:paraId="356A7696" w14:textId="77777777" w:rsidR="00D8645B" w:rsidRDefault="00D8645B" w:rsidP="00664D46">
            <w:pPr>
              <w:spacing w:line="360" w:lineRule="auto"/>
              <w:jc w:val="center"/>
            </w:pPr>
            <w:r>
              <w:t>Nov 2008</w:t>
            </w:r>
          </w:p>
        </w:tc>
        <w:tc>
          <w:tcPr>
            <w:tcW w:w="1558" w:type="dxa"/>
            <w:vAlign w:val="center"/>
          </w:tcPr>
          <w:p w14:paraId="50541C4D" w14:textId="77777777" w:rsidR="00D8645B" w:rsidRDefault="00D8645B" w:rsidP="00664D46">
            <w:pPr>
              <w:spacing w:line="360" w:lineRule="auto"/>
              <w:jc w:val="center"/>
            </w:pPr>
            <w:r>
              <w:t>371</w:t>
            </w:r>
          </w:p>
        </w:tc>
        <w:tc>
          <w:tcPr>
            <w:tcW w:w="1558" w:type="dxa"/>
            <w:vAlign w:val="center"/>
          </w:tcPr>
          <w:p w14:paraId="45CE9E93" w14:textId="77777777" w:rsidR="00D8645B" w:rsidRDefault="00D8645B" w:rsidP="00664D46">
            <w:pPr>
              <w:spacing w:line="360" w:lineRule="auto"/>
              <w:jc w:val="center"/>
            </w:pPr>
            <w:r>
              <w:t>-39.5</w:t>
            </w:r>
          </w:p>
        </w:tc>
        <w:tc>
          <w:tcPr>
            <w:tcW w:w="1559" w:type="dxa"/>
            <w:vAlign w:val="center"/>
          </w:tcPr>
          <w:p w14:paraId="22A636C2" w14:textId="77777777" w:rsidR="00D8645B" w:rsidRDefault="00D8645B" w:rsidP="00664D46">
            <w:pPr>
              <w:spacing w:line="360" w:lineRule="auto"/>
              <w:jc w:val="center"/>
            </w:pPr>
            <w:r>
              <w:t>-197</w:t>
            </w:r>
          </w:p>
        </w:tc>
        <w:tc>
          <w:tcPr>
            <w:tcW w:w="1559" w:type="dxa"/>
            <w:vAlign w:val="center"/>
          </w:tcPr>
          <w:p w14:paraId="5D8F83A5" w14:textId="77777777" w:rsidR="00D8645B" w:rsidRDefault="00D8645B" w:rsidP="00664D46">
            <w:pPr>
              <w:spacing w:line="360" w:lineRule="auto"/>
              <w:jc w:val="center"/>
            </w:pPr>
            <w:r>
              <w:t>+129</w:t>
            </w:r>
          </w:p>
        </w:tc>
      </w:tr>
      <w:tr w:rsidR="00D8645B" w14:paraId="43C13FA8" w14:textId="77777777" w:rsidTr="00664D46">
        <w:tc>
          <w:tcPr>
            <w:tcW w:w="1558" w:type="dxa"/>
            <w:vAlign w:val="center"/>
          </w:tcPr>
          <w:p w14:paraId="359A2334" w14:textId="77777777" w:rsidR="00D8645B" w:rsidRDefault="00D8645B" w:rsidP="00664D46">
            <w:pPr>
              <w:spacing w:line="360" w:lineRule="auto"/>
              <w:jc w:val="center"/>
            </w:pPr>
            <w:r>
              <w:t>2</w:t>
            </w:r>
          </w:p>
        </w:tc>
        <w:tc>
          <w:tcPr>
            <w:tcW w:w="1558" w:type="dxa"/>
            <w:vAlign w:val="center"/>
          </w:tcPr>
          <w:p w14:paraId="75455522" w14:textId="77777777" w:rsidR="00D8645B" w:rsidRDefault="00D8645B" w:rsidP="00664D46">
            <w:pPr>
              <w:spacing w:line="360" w:lineRule="auto"/>
              <w:jc w:val="center"/>
            </w:pPr>
            <w:r>
              <w:t>Apr 1932</w:t>
            </w:r>
          </w:p>
        </w:tc>
        <w:tc>
          <w:tcPr>
            <w:tcW w:w="1558" w:type="dxa"/>
            <w:vAlign w:val="center"/>
          </w:tcPr>
          <w:p w14:paraId="7FDFF1FC" w14:textId="77777777" w:rsidR="00D8645B" w:rsidRDefault="00D8645B" w:rsidP="00664D46">
            <w:pPr>
              <w:spacing w:line="360" w:lineRule="auto"/>
              <w:jc w:val="center"/>
            </w:pPr>
            <w:r>
              <w:t>332</w:t>
            </w:r>
          </w:p>
        </w:tc>
        <w:tc>
          <w:tcPr>
            <w:tcW w:w="1558" w:type="dxa"/>
            <w:vAlign w:val="center"/>
          </w:tcPr>
          <w:p w14:paraId="4D533B78" w14:textId="77777777" w:rsidR="00D8645B" w:rsidRDefault="00D8645B" w:rsidP="00664D46">
            <w:pPr>
              <w:spacing w:line="360" w:lineRule="auto"/>
              <w:jc w:val="center"/>
            </w:pPr>
            <w:r>
              <w:t>-61.4</w:t>
            </w:r>
          </w:p>
        </w:tc>
        <w:tc>
          <w:tcPr>
            <w:tcW w:w="1559" w:type="dxa"/>
            <w:vAlign w:val="center"/>
          </w:tcPr>
          <w:p w14:paraId="0D1D4C3B" w14:textId="77777777" w:rsidR="00D8645B" w:rsidRDefault="00D8645B" w:rsidP="00664D46">
            <w:pPr>
              <w:spacing w:line="360" w:lineRule="auto"/>
              <w:jc w:val="center"/>
            </w:pPr>
            <w:r>
              <w:t>+42</w:t>
            </w:r>
          </w:p>
        </w:tc>
        <w:tc>
          <w:tcPr>
            <w:tcW w:w="1559" w:type="dxa"/>
            <w:vAlign w:val="center"/>
          </w:tcPr>
          <w:p w14:paraId="38021A8C" w14:textId="77777777" w:rsidR="00D8645B" w:rsidRDefault="00D8645B" w:rsidP="00664D46">
            <w:pPr>
              <w:spacing w:line="360" w:lineRule="auto"/>
              <w:jc w:val="center"/>
            </w:pPr>
            <w:r>
              <w:t>+96</w:t>
            </w:r>
          </w:p>
        </w:tc>
      </w:tr>
      <w:tr w:rsidR="00D8645B" w14:paraId="08F358CD" w14:textId="77777777" w:rsidTr="00664D46">
        <w:tc>
          <w:tcPr>
            <w:tcW w:w="1558" w:type="dxa"/>
            <w:vAlign w:val="center"/>
          </w:tcPr>
          <w:p w14:paraId="67B3DEDB" w14:textId="77777777" w:rsidR="00D8645B" w:rsidRDefault="00D8645B" w:rsidP="00664D46">
            <w:pPr>
              <w:spacing w:line="360" w:lineRule="auto"/>
              <w:jc w:val="center"/>
            </w:pPr>
            <w:r>
              <w:t>3</w:t>
            </w:r>
          </w:p>
        </w:tc>
        <w:tc>
          <w:tcPr>
            <w:tcW w:w="1558" w:type="dxa"/>
            <w:vAlign w:val="center"/>
          </w:tcPr>
          <w:p w14:paraId="7A7954B1" w14:textId="77777777" w:rsidR="00D8645B" w:rsidRDefault="00D8645B" w:rsidP="00664D46">
            <w:pPr>
              <w:spacing w:line="360" w:lineRule="auto"/>
              <w:jc w:val="center"/>
            </w:pPr>
            <w:r>
              <w:t>Jan 1975</w:t>
            </w:r>
          </w:p>
        </w:tc>
        <w:tc>
          <w:tcPr>
            <w:tcW w:w="1558" w:type="dxa"/>
            <w:vAlign w:val="center"/>
          </w:tcPr>
          <w:p w14:paraId="1BB3020A" w14:textId="77777777" w:rsidR="00D8645B" w:rsidRDefault="00D8645B" w:rsidP="00664D46">
            <w:pPr>
              <w:spacing w:line="360" w:lineRule="auto"/>
              <w:jc w:val="center"/>
            </w:pPr>
            <w:r>
              <w:t>221</w:t>
            </w:r>
          </w:p>
        </w:tc>
        <w:tc>
          <w:tcPr>
            <w:tcW w:w="1558" w:type="dxa"/>
            <w:vAlign w:val="center"/>
          </w:tcPr>
          <w:p w14:paraId="3D61F74D" w14:textId="77777777" w:rsidR="00D8645B" w:rsidRDefault="00D8645B" w:rsidP="00664D46">
            <w:pPr>
              <w:spacing w:line="360" w:lineRule="auto"/>
              <w:jc w:val="center"/>
            </w:pPr>
            <w:r>
              <w:t>-29.7</w:t>
            </w:r>
          </w:p>
        </w:tc>
        <w:tc>
          <w:tcPr>
            <w:tcW w:w="1559" w:type="dxa"/>
            <w:vAlign w:val="center"/>
          </w:tcPr>
          <w:p w14:paraId="72590B41" w14:textId="77777777" w:rsidR="00D8645B" w:rsidRDefault="00D8645B" w:rsidP="00664D46">
            <w:pPr>
              <w:spacing w:line="360" w:lineRule="auto"/>
              <w:jc w:val="center"/>
            </w:pPr>
            <w:r>
              <w:t>+183</w:t>
            </w:r>
          </w:p>
        </w:tc>
        <w:tc>
          <w:tcPr>
            <w:tcW w:w="1559" w:type="dxa"/>
            <w:vAlign w:val="center"/>
          </w:tcPr>
          <w:p w14:paraId="5D11A4FD" w14:textId="77777777" w:rsidR="00D8645B" w:rsidRDefault="00D8645B" w:rsidP="00664D46">
            <w:pPr>
              <w:spacing w:line="360" w:lineRule="auto"/>
              <w:jc w:val="center"/>
            </w:pPr>
            <w:r>
              <w:t>-53</w:t>
            </w:r>
          </w:p>
        </w:tc>
      </w:tr>
      <w:tr w:rsidR="00D8645B" w14:paraId="6F76EC72" w14:textId="77777777" w:rsidTr="00664D46">
        <w:tc>
          <w:tcPr>
            <w:tcW w:w="1558" w:type="dxa"/>
            <w:vAlign w:val="center"/>
          </w:tcPr>
          <w:p w14:paraId="7AA2709C" w14:textId="77777777" w:rsidR="00D8645B" w:rsidRDefault="00D8645B" w:rsidP="00664D46">
            <w:pPr>
              <w:spacing w:line="360" w:lineRule="auto"/>
              <w:jc w:val="center"/>
            </w:pPr>
            <w:r>
              <w:t>4</w:t>
            </w:r>
          </w:p>
        </w:tc>
        <w:tc>
          <w:tcPr>
            <w:tcW w:w="1558" w:type="dxa"/>
            <w:vAlign w:val="center"/>
          </w:tcPr>
          <w:p w14:paraId="44C6FD18" w14:textId="77777777" w:rsidR="00D8645B" w:rsidRDefault="00D8645B" w:rsidP="00664D46">
            <w:pPr>
              <w:spacing w:line="360" w:lineRule="auto"/>
              <w:jc w:val="center"/>
            </w:pPr>
            <w:r>
              <w:t>Apr 1938</w:t>
            </w:r>
          </w:p>
        </w:tc>
        <w:tc>
          <w:tcPr>
            <w:tcW w:w="1558" w:type="dxa"/>
            <w:vAlign w:val="center"/>
          </w:tcPr>
          <w:p w14:paraId="20E85544" w14:textId="77777777" w:rsidR="00D8645B" w:rsidRDefault="00D8645B" w:rsidP="00664D46">
            <w:pPr>
              <w:spacing w:line="360" w:lineRule="auto"/>
              <w:jc w:val="center"/>
            </w:pPr>
            <w:r>
              <w:t>180</w:t>
            </w:r>
          </w:p>
        </w:tc>
        <w:tc>
          <w:tcPr>
            <w:tcW w:w="1558" w:type="dxa"/>
            <w:vAlign w:val="center"/>
          </w:tcPr>
          <w:p w14:paraId="0C1BD97D" w14:textId="77777777" w:rsidR="00D8645B" w:rsidRDefault="00D8645B" w:rsidP="00664D46">
            <w:pPr>
              <w:spacing w:line="360" w:lineRule="auto"/>
              <w:jc w:val="center"/>
            </w:pPr>
            <w:r>
              <w:t>-40.5</w:t>
            </w:r>
          </w:p>
        </w:tc>
        <w:tc>
          <w:tcPr>
            <w:tcW w:w="1559" w:type="dxa"/>
            <w:vAlign w:val="center"/>
          </w:tcPr>
          <w:p w14:paraId="23734456" w14:textId="77777777" w:rsidR="00D8645B" w:rsidRDefault="00D8645B" w:rsidP="00664D46">
            <w:pPr>
              <w:spacing w:line="360" w:lineRule="auto"/>
              <w:jc w:val="center"/>
            </w:pPr>
            <w:r>
              <w:t>-17</w:t>
            </w:r>
          </w:p>
        </w:tc>
        <w:tc>
          <w:tcPr>
            <w:tcW w:w="1559" w:type="dxa"/>
            <w:vAlign w:val="center"/>
          </w:tcPr>
          <w:p w14:paraId="18116C5D" w14:textId="77777777" w:rsidR="00D8645B" w:rsidRDefault="00D8645B" w:rsidP="00664D46">
            <w:pPr>
              <w:spacing w:line="360" w:lineRule="auto"/>
              <w:jc w:val="center"/>
            </w:pPr>
            <w:r>
              <w:t>+30</w:t>
            </w:r>
          </w:p>
        </w:tc>
      </w:tr>
      <w:tr w:rsidR="00D8645B" w14:paraId="35A9932F" w14:textId="77777777" w:rsidTr="00664D46">
        <w:tc>
          <w:tcPr>
            <w:tcW w:w="1558" w:type="dxa"/>
            <w:vAlign w:val="center"/>
          </w:tcPr>
          <w:p w14:paraId="4059C840" w14:textId="77777777" w:rsidR="00D8645B" w:rsidRDefault="00D8645B" w:rsidP="00664D46">
            <w:pPr>
              <w:spacing w:line="360" w:lineRule="auto"/>
              <w:jc w:val="center"/>
            </w:pPr>
            <w:r>
              <w:t>5</w:t>
            </w:r>
          </w:p>
        </w:tc>
        <w:tc>
          <w:tcPr>
            <w:tcW w:w="1558" w:type="dxa"/>
            <w:vAlign w:val="center"/>
          </w:tcPr>
          <w:p w14:paraId="4F641C63" w14:textId="77777777" w:rsidR="00D8645B" w:rsidRDefault="00D8645B" w:rsidP="00664D46">
            <w:pPr>
              <w:spacing w:line="360" w:lineRule="auto"/>
              <w:jc w:val="center"/>
            </w:pPr>
            <w:r>
              <w:t>Aug 1982</w:t>
            </w:r>
          </w:p>
        </w:tc>
        <w:tc>
          <w:tcPr>
            <w:tcW w:w="1558" w:type="dxa"/>
            <w:vAlign w:val="center"/>
          </w:tcPr>
          <w:p w14:paraId="4EA1D356" w14:textId="77777777" w:rsidR="00D8645B" w:rsidRDefault="00D8645B" w:rsidP="00664D46">
            <w:pPr>
              <w:spacing w:line="360" w:lineRule="auto"/>
              <w:jc w:val="center"/>
            </w:pPr>
            <w:r>
              <w:t>161</w:t>
            </w:r>
          </w:p>
        </w:tc>
        <w:tc>
          <w:tcPr>
            <w:tcW w:w="1558" w:type="dxa"/>
            <w:vAlign w:val="center"/>
          </w:tcPr>
          <w:p w14:paraId="31356E1F" w14:textId="77777777" w:rsidR="00D8645B" w:rsidRDefault="00D8645B" w:rsidP="00664D46">
            <w:pPr>
              <w:spacing w:line="360" w:lineRule="auto"/>
              <w:jc w:val="center"/>
            </w:pPr>
            <w:r>
              <w:t>-2.7</w:t>
            </w:r>
          </w:p>
        </w:tc>
        <w:tc>
          <w:tcPr>
            <w:tcW w:w="1559" w:type="dxa"/>
            <w:vAlign w:val="center"/>
          </w:tcPr>
          <w:p w14:paraId="69CE79F8" w14:textId="77777777" w:rsidR="00D8645B" w:rsidRDefault="00D8645B" w:rsidP="00664D46">
            <w:pPr>
              <w:spacing w:line="360" w:lineRule="auto"/>
              <w:jc w:val="center"/>
            </w:pPr>
            <w:r>
              <w:t>-256</w:t>
            </w:r>
          </w:p>
        </w:tc>
        <w:tc>
          <w:tcPr>
            <w:tcW w:w="1559" w:type="dxa"/>
            <w:vAlign w:val="center"/>
          </w:tcPr>
          <w:p w14:paraId="312A0FB6" w14:textId="77777777" w:rsidR="00D8645B" w:rsidRDefault="00D8645B" w:rsidP="00664D46">
            <w:pPr>
              <w:spacing w:line="360" w:lineRule="auto"/>
              <w:jc w:val="center"/>
            </w:pPr>
            <w:r>
              <w:t>+520</w:t>
            </w:r>
          </w:p>
        </w:tc>
      </w:tr>
      <w:tr w:rsidR="00D8645B" w14:paraId="31545592" w14:textId="77777777" w:rsidTr="00664D46">
        <w:tc>
          <w:tcPr>
            <w:tcW w:w="1558" w:type="dxa"/>
            <w:vAlign w:val="center"/>
          </w:tcPr>
          <w:p w14:paraId="4580324A" w14:textId="77777777" w:rsidR="00D8645B" w:rsidRDefault="00D8645B" w:rsidP="00664D46">
            <w:pPr>
              <w:spacing w:line="360" w:lineRule="auto"/>
              <w:jc w:val="center"/>
            </w:pPr>
            <w:r>
              <w:t>6</w:t>
            </w:r>
          </w:p>
        </w:tc>
        <w:tc>
          <w:tcPr>
            <w:tcW w:w="1558" w:type="dxa"/>
            <w:vAlign w:val="center"/>
          </w:tcPr>
          <w:p w14:paraId="62160DE8" w14:textId="77777777" w:rsidR="00D8645B" w:rsidRDefault="00D8645B" w:rsidP="00664D46">
            <w:pPr>
              <w:spacing w:line="360" w:lineRule="auto"/>
              <w:jc w:val="center"/>
            </w:pPr>
            <w:r>
              <w:t>Apr 1980</w:t>
            </w:r>
          </w:p>
        </w:tc>
        <w:tc>
          <w:tcPr>
            <w:tcW w:w="1558" w:type="dxa"/>
            <w:vAlign w:val="center"/>
          </w:tcPr>
          <w:p w14:paraId="032072FF" w14:textId="77777777" w:rsidR="00D8645B" w:rsidRDefault="00D8645B" w:rsidP="00664D46">
            <w:pPr>
              <w:spacing w:line="360" w:lineRule="auto"/>
              <w:jc w:val="center"/>
            </w:pPr>
            <w:r>
              <w:t>147</w:t>
            </w:r>
          </w:p>
        </w:tc>
        <w:tc>
          <w:tcPr>
            <w:tcW w:w="1558" w:type="dxa"/>
            <w:vAlign w:val="center"/>
          </w:tcPr>
          <w:p w14:paraId="0EE861D4" w14:textId="77777777" w:rsidR="00D8645B" w:rsidRDefault="00D8645B" w:rsidP="00664D46">
            <w:pPr>
              <w:spacing w:line="360" w:lineRule="auto"/>
              <w:jc w:val="center"/>
            </w:pPr>
            <w:r>
              <w:t>+4.5</w:t>
            </w:r>
          </w:p>
        </w:tc>
        <w:tc>
          <w:tcPr>
            <w:tcW w:w="1559" w:type="dxa"/>
            <w:vAlign w:val="center"/>
          </w:tcPr>
          <w:p w14:paraId="03FDB68C" w14:textId="77777777" w:rsidR="00D8645B" w:rsidRDefault="00D8645B" w:rsidP="00664D46">
            <w:pPr>
              <w:spacing w:line="360" w:lineRule="auto"/>
              <w:jc w:val="center"/>
            </w:pPr>
            <w:r>
              <w:t>+259</w:t>
            </w:r>
          </w:p>
        </w:tc>
        <w:tc>
          <w:tcPr>
            <w:tcW w:w="1559" w:type="dxa"/>
            <w:vAlign w:val="center"/>
          </w:tcPr>
          <w:p w14:paraId="3750C9A3" w14:textId="77777777" w:rsidR="00D8645B" w:rsidRDefault="00D8645B" w:rsidP="00664D46">
            <w:pPr>
              <w:spacing w:line="360" w:lineRule="auto"/>
              <w:jc w:val="center"/>
            </w:pPr>
            <w:r>
              <w:t>-135</w:t>
            </w:r>
          </w:p>
        </w:tc>
      </w:tr>
      <w:tr w:rsidR="00D8645B" w14:paraId="6B1C65A8" w14:textId="77777777" w:rsidTr="00664D46">
        <w:tc>
          <w:tcPr>
            <w:tcW w:w="1558" w:type="dxa"/>
            <w:vAlign w:val="center"/>
          </w:tcPr>
          <w:p w14:paraId="0B639656" w14:textId="77777777" w:rsidR="00D8645B" w:rsidRDefault="00D8645B" w:rsidP="00664D46">
            <w:pPr>
              <w:spacing w:line="360" w:lineRule="auto"/>
              <w:jc w:val="center"/>
            </w:pPr>
            <w:r>
              <w:t>7</w:t>
            </w:r>
          </w:p>
        </w:tc>
        <w:tc>
          <w:tcPr>
            <w:tcW w:w="1558" w:type="dxa"/>
            <w:vAlign w:val="center"/>
          </w:tcPr>
          <w:p w14:paraId="068B21FC" w14:textId="77777777" w:rsidR="00D8645B" w:rsidRDefault="00D8645B" w:rsidP="00664D46">
            <w:pPr>
              <w:spacing w:line="360" w:lineRule="auto"/>
              <w:jc w:val="center"/>
            </w:pPr>
            <w:r>
              <w:t>Nov 1970</w:t>
            </w:r>
          </w:p>
        </w:tc>
        <w:tc>
          <w:tcPr>
            <w:tcW w:w="1558" w:type="dxa"/>
            <w:vAlign w:val="center"/>
          </w:tcPr>
          <w:p w14:paraId="22A371A1" w14:textId="77777777" w:rsidR="00D8645B" w:rsidRDefault="00D8645B" w:rsidP="00664D46">
            <w:pPr>
              <w:spacing w:line="360" w:lineRule="auto"/>
              <w:jc w:val="center"/>
            </w:pPr>
            <w:r>
              <w:t>140</w:t>
            </w:r>
          </w:p>
        </w:tc>
        <w:tc>
          <w:tcPr>
            <w:tcW w:w="1558" w:type="dxa"/>
            <w:vAlign w:val="center"/>
          </w:tcPr>
          <w:p w14:paraId="734ADFFD" w14:textId="77777777" w:rsidR="00D8645B" w:rsidRDefault="00D8645B" w:rsidP="00664D46">
            <w:pPr>
              <w:spacing w:line="360" w:lineRule="auto"/>
              <w:jc w:val="center"/>
            </w:pPr>
            <w:r>
              <w:t>-7.0</w:t>
            </w:r>
          </w:p>
        </w:tc>
        <w:tc>
          <w:tcPr>
            <w:tcW w:w="1559" w:type="dxa"/>
            <w:vAlign w:val="center"/>
          </w:tcPr>
          <w:p w14:paraId="1A7FD716" w14:textId="77777777" w:rsidR="00D8645B" w:rsidRDefault="00D8645B" w:rsidP="00664D46">
            <w:pPr>
              <w:spacing w:line="360" w:lineRule="auto"/>
              <w:jc w:val="center"/>
            </w:pPr>
            <w:r>
              <w:t>-106</w:t>
            </w:r>
          </w:p>
        </w:tc>
        <w:tc>
          <w:tcPr>
            <w:tcW w:w="1559" w:type="dxa"/>
            <w:vAlign w:val="center"/>
          </w:tcPr>
          <w:p w14:paraId="356B294E" w14:textId="77777777" w:rsidR="00D8645B" w:rsidRDefault="00D8645B" w:rsidP="00664D46">
            <w:pPr>
              <w:spacing w:line="360" w:lineRule="auto"/>
              <w:jc w:val="center"/>
            </w:pPr>
            <w:r>
              <w:t>+169</w:t>
            </w:r>
          </w:p>
        </w:tc>
      </w:tr>
      <w:tr w:rsidR="00D8645B" w14:paraId="40B3A8D8" w14:textId="77777777" w:rsidTr="00664D46">
        <w:tc>
          <w:tcPr>
            <w:tcW w:w="1558" w:type="dxa"/>
            <w:vAlign w:val="center"/>
          </w:tcPr>
          <w:p w14:paraId="3B74D372" w14:textId="77777777" w:rsidR="00D8645B" w:rsidRDefault="00D8645B" w:rsidP="00664D46">
            <w:pPr>
              <w:spacing w:line="360" w:lineRule="auto"/>
              <w:jc w:val="center"/>
            </w:pPr>
            <w:r>
              <w:t>8</w:t>
            </w:r>
          </w:p>
        </w:tc>
        <w:tc>
          <w:tcPr>
            <w:tcW w:w="1558" w:type="dxa"/>
            <w:vAlign w:val="center"/>
          </w:tcPr>
          <w:p w14:paraId="0BE0882C" w14:textId="77777777" w:rsidR="00D8645B" w:rsidRDefault="00D8645B" w:rsidP="00664D46">
            <w:pPr>
              <w:spacing w:line="360" w:lineRule="auto"/>
              <w:jc w:val="center"/>
            </w:pPr>
            <w:r>
              <w:t>Jan 2001</w:t>
            </w:r>
          </w:p>
        </w:tc>
        <w:tc>
          <w:tcPr>
            <w:tcW w:w="1558" w:type="dxa"/>
            <w:vAlign w:val="center"/>
          </w:tcPr>
          <w:p w14:paraId="3FD4A599" w14:textId="77777777" w:rsidR="00D8645B" w:rsidRDefault="00D8645B" w:rsidP="00664D46">
            <w:pPr>
              <w:spacing w:line="360" w:lineRule="auto"/>
              <w:jc w:val="center"/>
            </w:pPr>
            <w:r>
              <w:t>125</w:t>
            </w:r>
          </w:p>
        </w:tc>
        <w:tc>
          <w:tcPr>
            <w:tcW w:w="1558" w:type="dxa"/>
            <w:vAlign w:val="center"/>
          </w:tcPr>
          <w:p w14:paraId="5BE1BF77" w14:textId="77777777" w:rsidR="00D8645B" w:rsidRDefault="00D8645B" w:rsidP="00664D46">
            <w:pPr>
              <w:spacing w:line="360" w:lineRule="auto"/>
              <w:jc w:val="center"/>
            </w:pPr>
            <w:r>
              <w:t>-2.0</w:t>
            </w:r>
          </w:p>
        </w:tc>
        <w:tc>
          <w:tcPr>
            <w:tcW w:w="1559" w:type="dxa"/>
            <w:vAlign w:val="center"/>
          </w:tcPr>
          <w:p w14:paraId="7E7B0CBF" w14:textId="77777777" w:rsidR="00D8645B" w:rsidRDefault="00D8645B" w:rsidP="00664D46">
            <w:pPr>
              <w:spacing w:line="360" w:lineRule="auto"/>
              <w:jc w:val="center"/>
            </w:pPr>
            <w:r>
              <w:t>-172</w:t>
            </w:r>
          </w:p>
        </w:tc>
        <w:tc>
          <w:tcPr>
            <w:tcW w:w="1559" w:type="dxa"/>
            <w:vAlign w:val="center"/>
          </w:tcPr>
          <w:p w14:paraId="51A4F764" w14:textId="77777777" w:rsidR="00D8645B" w:rsidRDefault="00D8645B" w:rsidP="00664D46">
            <w:pPr>
              <w:spacing w:line="360" w:lineRule="auto"/>
              <w:jc w:val="center"/>
            </w:pPr>
            <w:r>
              <w:t>-148</w:t>
            </w:r>
          </w:p>
        </w:tc>
      </w:tr>
      <w:tr w:rsidR="00D8645B" w14:paraId="3250CEA3" w14:textId="77777777" w:rsidTr="00664D46">
        <w:tc>
          <w:tcPr>
            <w:tcW w:w="1558" w:type="dxa"/>
            <w:vAlign w:val="center"/>
          </w:tcPr>
          <w:p w14:paraId="4761476D" w14:textId="77777777" w:rsidR="00D8645B" w:rsidRDefault="00D8645B" w:rsidP="00664D46">
            <w:pPr>
              <w:spacing w:line="360" w:lineRule="auto"/>
              <w:jc w:val="center"/>
            </w:pPr>
            <w:r>
              <w:t>9</w:t>
            </w:r>
          </w:p>
        </w:tc>
        <w:tc>
          <w:tcPr>
            <w:tcW w:w="1558" w:type="dxa"/>
            <w:vAlign w:val="center"/>
          </w:tcPr>
          <w:p w14:paraId="79FDFC15" w14:textId="77777777" w:rsidR="00D8645B" w:rsidRDefault="00D8645B" w:rsidP="00664D46">
            <w:pPr>
              <w:spacing w:line="360" w:lineRule="auto"/>
              <w:jc w:val="center"/>
            </w:pPr>
            <w:r>
              <w:t>Apr 1931</w:t>
            </w:r>
          </w:p>
        </w:tc>
        <w:tc>
          <w:tcPr>
            <w:tcW w:w="1558" w:type="dxa"/>
            <w:vAlign w:val="center"/>
          </w:tcPr>
          <w:p w14:paraId="1FBCA984" w14:textId="77777777" w:rsidR="00D8645B" w:rsidRDefault="00D8645B" w:rsidP="00664D46">
            <w:pPr>
              <w:spacing w:line="360" w:lineRule="auto"/>
              <w:jc w:val="center"/>
            </w:pPr>
            <w:r>
              <w:t>113</w:t>
            </w:r>
          </w:p>
        </w:tc>
        <w:tc>
          <w:tcPr>
            <w:tcW w:w="1558" w:type="dxa"/>
            <w:vAlign w:val="center"/>
          </w:tcPr>
          <w:p w14:paraId="23BFF868" w14:textId="77777777" w:rsidR="00D8645B" w:rsidRDefault="00D8645B" w:rsidP="00664D46">
            <w:pPr>
              <w:spacing w:line="360" w:lineRule="auto"/>
              <w:jc w:val="center"/>
            </w:pPr>
            <w:r>
              <w:t>-39.4</w:t>
            </w:r>
          </w:p>
        </w:tc>
        <w:tc>
          <w:tcPr>
            <w:tcW w:w="1559" w:type="dxa"/>
            <w:vAlign w:val="center"/>
          </w:tcPr>
          <w:p w14:paraId="16A98440" w14:textId="77777777" w:rsidR="00D8645B" w:rsidRDefault="00D8645B" w:rsidP="00664D46">
            <w:pPr>
              <w:spacing w:line="360" w:lineRule="auto"/>
              <w:jc w:val="center"/>
            </w:pPr>
            <w:r>
              <w:t>-11</w:t>
            </w:r>
          </w:p>
        </w:tc>
        <w:tc>
          <w:tcPr>
            <w:tcW w:w="1559" w:type="dxa"/>
            <w:vAlign w:val="center"/>
          </w:tcPr>
          <w:p w14:paraId="00435642" w14:textId="77777777" w:rsidR="00D8645B" w:rsidRDefault="00D8645B" w:rsidP="00664D46">
            <w:pPr>
              <w:spacing w:line="360" w:lineRule="auto"/>
              <w:jc w:val="center"/>
            </w:pPr>
            <w:r>
              <w:t>N/A</w:t>
            </w:r>
          </w:p>
        </w:tc>
      </w:tr>
      <w:tr w:rsidR="00D8645B" w14:paraId="589031F4" w14:textId="77777777" w:rsidTr="00664D46">
        <w:tc>
          <w:tcPr>
            <w:tcW w:w="1558" w:type="dxa"/>
            <w:vAlign w:val="center"/>
          </w:tcPr>
          <w:p w14:paraId="61140095" w14:textId="77777777" w:rsidR="00D8645B" w:rsidRDefault="00D8645B" w:rsidP="00664D46">
            <w:pPr>
              <w:spacing w:line="360" w:lineRule="auto"/>
              <w:jc w:val="center"/>
            </w:pPr>
            <w:r>
              <w:t>10</w:t>
            </w:r>
          </w:p>
        </w:tc>
        <w:tc>
          <w:tcPr>
            <w:tcW w:w="1558" w:type="dxa"/>
            <w:vAlign w:val="center"/>
          </w:tcPr>
          <w:p w14:paraId="57673349" w14:textId="77777777" w:rsidR="00D8645B" w:rsidRDefault="00D8645B" w:rsidP="00664D46">
            <w:pPr>
              <w:spacing w:line="360" w:lineRule="auto"/>
              <w:jc w:val="center"/>
            </w:pPr>
            <w:r>
              <w:t>Dec 1966</w:t>
            </w:r>
          </w:p>
        </w:tc>
        <w:tc>
          <w:tcPr>
            <w:tcW w:w="1558" w:type="dxa"/>
            <w:vAlign w:val="center"/>
          </w:tcPr>
          <w:p w14:paraId="2D276B96" w14:textId="77777777" w:rsidR="00D8645B" w:rsidRDefault="00D8645B" w:rsidP="00664D46">
            <w:pPr>
              <w:spacing w:line="360" w:lineRule="auto"/>
              <w:jc w:val="center"/>
            </w:pPr>
            <w:r>
              <w:t>94</w:t>
            </w:r>
          </w:p>
        </w:tc>
        <w:tc>
          <w:tcPr>
            <w:tcW w:w="1558" w:type="dxa"/>
            <w:vAlign w:val="center"/>
          </w:tcPr>
          <w:p w14:paraId="5C571AD4" w14:textId="77777777" w:rsidR="00D8645B" w:rsidRDefault="00D8645B" w:rsidP="00664D46">
            <w:pPr>
              <w:spacing w:line="360" w:lineRule="auto"/>
              <w:jc w:val="center"/>
            </w:pPr>
            <w:r>
              <w:t>-13.1</w:t>
            </w:r>
          </w:p>
        </w:tc>
        <w:tc>
          <w:tcPr>
            <w:tcW w:w="1559" w:type="dxa"/>
            <w:vAlign w:val="center"/>
          </w:tcPr>
          <w:p w14:paraId="14AD1FD8" w14:textId="77777777" w:rsidR="00D8645B" w:rsidRDefault="00D8645B" w:rsidP="00664D46">
            <w:pPr>
              <w:spacing w:line="360" w:lineRule="auto"/>
              <w:jc w:val="center"/>
            </w:pPr>
            <w:r>
              <w:t>+28</w:t>
            </w:r>
          </w:p>
        </w:tc>
        <w:tc>
          <w:tcPr>
            <w:tcW w:w="1559" w:type="dxa"/>
            <w:vAlign w:val="center"/>
          </w:tcPr>
          <w:p w14:paraId="50AB595D" w14:textId="77777777" w:rsidR="00D8645B" w:rsidRDefault="00D8645B" w:rsidP="00664D46">
            <w:pPr>
              <w:spacing w:line="360" w:lineRule="auto"/>
              <w:jc w:val="center"/>
            </w:pPr>
            <w:r>
              <w:t>+28</w:t>
            </w:r>
          </w:p>
        </w:tc>
      </w:tr>
    </w:tbl>
    <w:p w14:paraId="2ED9506F" w14:textId="77777777" w:rsidR="00D8645B" w:rsidRDefault="00D8645B" w:rsidP="00D8645B">
      <w:pPr>
        <w:spacing w:line="360" w:lineRule="auto"/>
      </w:pPr>
    </w:p>
    <w:tbl>
      <w:tblPr>
        <w:tblStyle w:val="TableGrid"/>
        <w:tblW w:w="0" w:type="auto"/>
        <w:tblLook w:val="04A0" w:firstRow="1" w:lastRow="0" w:firstColumn="1" w:lastColumn="0" w:noHBand="0" w:noVBand="1"/>
      </w:tblPr>
      <w:tblGrid>
        <w:gridCol w:w="1556"/>
        <w:gridCol w:w="1555"/>
        <w:gridCol w:w="1556"/>
        <w:gridCol w:w="1558"/>
        <w:gridCol w:w="1570"/>
      </w:tblGrid>
      <w:tr w:rsidR="00D8645B" w14:paraId="2D0256B1" w14:textId="77777777" w:rsidTr="00664D46">
        <w:tc>
          <w:tcPr>
            <w:tcW w:w="1556" w:type="dxa"/>
            <w:vAlign w:val="center"/>
          </w:tcPr>
          <w:p w14:paraId="61EF704A" w14:textId="77777777" w:rsidR="00D8645B" w:rsidRPr="004E4CB2" w:rsidRDefault="00D8645B" w:rsidP="00664D46">
            <w:pPr>
              <w:spacing w:line="360" w:lineRule="auto"/>
              <w:jc w:val="center"/>
              <w:rPr>
                <w:b/>
              </w:rPr>
            </w:pPr>
            <w:r>
              <w:rPr>
                <w:b/>
              </w:rPr>
              <w:t>Event Number</w:t>
            </w:r>
          </w:p>
        </w:tc>
        <w:tc>
          <w:tcPr>
            <w:tcW w:w="1555" w:type="dxa"/>
            <w:vAlign w:val="center"/>
          </w:tcPr>
          <w:p w14:paraId="39B3A90A" w14:textId="77777777" w:rsidR="00D8645B" w:rsidRPr="004E4CB2" w:rsidRDefault="00D8645B" w:rsidP="00664D46">
            <w:pPr>
              <w:spacing w:line="360" w:lineRule="auto"/>
              <w:jc w:val="center"/>
              <w:rPr>
                <w:b/>
              </w:rPr>
            </w:pPr>
            <w:r>
              <w:rPr>
                <w:b/>
              </w:rPr>
              <w:t>FX Rate</w:t>
            </w:r>
          </w:p>
        </w:tc>
        <w:tc>
          <w:tcPr>
            <w:tcW w:w="1556" w:type="dxa"/>
            <w:vAlign w:val="center"/>
          </w:tcPr>
          <w:p w14:paraId="3C68BC86" w14:textId="77777777" w:rsidR="00D8645B" w:rsidRPr="004E4CB2" w:rsidRDefault="00D8645B" w:rsidP="00664D46">
            <w:pPr>
              <w:spacing w:line="360" w:lineRule="auto"/>
              <w:jc w:val="center"/>
              <w:rPr>
                <w:b/>
              </w:rPr>
            </w:pPr>
            <w:r>
              <w:rPr>
                <w:b/>
              </w:rPr>
              <w:t>WTI Spot % Return from 1946</w:t>
            </w:r>
          </w:p>
        </w:tc>
        <w:tc>
          <w:tcPr>
            <w:tcW w:w="1558" w:type="dxa"/>
            <w:vAlign w:val="center"/>
          </w:tcPr>
          <w:p w14:paraId="19153CFE" w14:textId="77777777" w:rsidR="00D8645B" w:rsidRPr="004E4CB2" w:rsidRDefault="00D8645B" w:rsidP="00664D46">
            <w:pPr>
              <w:spacing w:line="360" w:lineRule="auto"/>
              <w:jc w:val="center"/>
              <w:rPr>
                <w:b/>
              </w:rPr>
            </w:pPr>
            <w:r>
              <w:rPr>
                <w:b/>
              </w:rPr>
              <w:t>S&amp;P GSCI Non-energy Commodity Index</w:t>
            </w:r>
          </w:p>
        </w:tc>
        <w:tc>
          <w:tcPr>
            <w:tcW w:w="1570" w:type="dxa"/>
            <w:vAlign w:val="center"/>
          </w:tcPr>
          <w:p w14:paraId="5ED1ADB8" w14:textId="77777777" w:rsidR="00D8645B" w:rsidRPr="004E4CB2" w:rsidRDefault="00D8645B" w:rsidP="00664D46">
            <w:pPr>
              <w:spacing w:line="360" w:lineRule="auto"/>
              <w:jc w:val="center"/>
              <w:rPr>
                <w:b/>
              </w:rPr>
            </w:pPr>
            <w:r>
              <w:rPr>
                <w:b/>
              </w:rPr>
              <w:t>Inflationary, Deflationary, or Neither</w:t>
            </w:r>
          </w:p>
        </w:tc>
      </w:tr>
      <w:tr w:rsidR="00D8645B" w14:paraId="34FB6966" w14:textId="77777777" w:rsidTr="00664D46">
        <w:tc>
          <w:tcPr>
            <w:tcW w:w="1556" w:type="dxa"/>
            <w:vAlign w:val="center"/>
          </w:tcPr>
          <w:p w14:paraId="4DC49EE3" w14:textId="77777777" w:rsidR="00D8645B" w:rsidRDefault="00D8645B" w:rsidP="00664D46">
            <w:pPr>
              <w:spacing w:line="360" w:lineRule="auto"/>
              <w:jc w:val="center"/>
            </w:pPr>
            <w:r>
              <w:t>1</w:t>
            </w:r>
          </w:p>
        </w:tc>
        <w:tc>
          <w:tcPr>
            <w:tcW w:w="1555" w:type="dxa"/>
            <w:vAlign w:val="center"/>
          </w:tcPr>
          <w:p w14:paraId="0B105B76" w14:textId="77777777" w:rsidR="00D8645B" w:rsidRDefault="00D8645B" w:rsidP="00664D46">
            <w:pPr>
              <w:spacing w:line="360" w:lineRule="auto"/>
              <w:jc w:val="center"/>
            </w:pPr>
            <w:r>
              <w:t>+7.8%</w:t>
            </w:r>
          </w:p>
        </w:tc>
        <w:tc>
          <w:tcPr>
            <w:tcW w:w="1556" w:type="dxa"/>
            <w:vAlign w:val="center"/>
          </w:tcPr>
          <w:p w14:paraId="0D916E0D" w14:textId="77777777" w:rsidR="00D8645B" w:rsidRDefault="00D8645B" w:rsidP="00664D46">
            <w:pPr>
              <w:spacing w:line="360" w:lineRule="auto"/>
              <w:jc w:val="center"/>
            </w:pPr>
            <w:r>
              <w:t>-55.0</w:t>
            </w:r>
          </w:p>
        </w:tc>
        <w:tc>
          <w:tcPr>
            <w:tcW w:w="1558" w:type="dxa"/>
            <w:vAlign w:val="center"/>
          </w:tcPr>
          <w:p w14:paraId="1F379455" w14:textId="77777777" w:rsidR="00D8645B" w:rsidRDefault="00D8645B" w:rsidP="00664D46">
            <w:pPr>
              <w:spacing w:line="360" w:lineRule="auto"/>
              <w:jc w:val="center"/>
            </w:pPr>
            <w:r>
              <w:t>-28.5%</w:t>
            </w:r>
          </w:p>
        </w:tc>
        <w:tc>
          <w:tcPr>
            <w:tcW w:w="1570" w:type="dxa"/>
            <w:vAlign w:val="center"/>
          </w:tcPr>
          <w:p w14:paraId="32424FC8" w14:textId="77777777" w:rsidR="00D8645B" w:rsidRDefault="00D8645B" w:rsidP="00664D46">
            <w:pPr>
              <w:spacing w:line="360" w:lineRule="auto"/>
              <w:jc w:val="center"/>
            </w:pPr>
            <w:r>
              <w:t>Deflationary</w:t>
            </w:r>
          </w:p>
        </w:tc>
      </w:tr>
      <w:tr w:rsidR="00D8645B" w14:paraId="786FC7B9" w14:textId="77777777" w:rsidTr="00664D46">
        <w:tc>
          <w:tcPr>
            <w:tcW w:w="1556" w:type="dxa"/>
            <w:vAlign w:val="center"/>
          </w:tcPr>
          <w:p w14:paraId="2C073B4F" w14:textId="77777777" w:rsidR="00D8645B" w:rsidRDefault="00D8645B" w:rsidP="00664D46">
            <w:pPr>
              <w:spacing w:line="360" w:lineRule="auto"/>
              <w:jc w:val="center"/>
            </w:pPr>
            <w:r>
              <w:t>2</w:t>
            </w:r>
          </w:p>
        </w:tc>
        <w:tc>
          <w:tcPr>
            <w:tcW w:w="1555" w:type="dxa"/>
            <w:vAlign w:val="center"/>
          </w:tcPr>
          <w:p w14:paraId="2C7B0397" w14:textId="77777777" w:rsidR="00D8645B" w:rsidRDefault="00D8645B" w:rsidP="00664D46">
            <w:pPr>
              <w:spacing w:line="360" w:lineRule="auto"/>
              <w:jc w:val="center"/>
            </w:pPr>
            <w:r>
              <w:t>N/A</w:t>
            </w:r>
          </w:p>
        </w:tc>
        <w:tc>
          <w:tcPr>
            <w:tcW w:w="1556" w:type="dxa"/>
            <w:vAlign w:val="center"/>
          </w:tcPr>
          <w:p w14:paraId="0645930C" w14:textId="77777777" w:rsidR="00D8645B" w:rsidRDefault="00D8645B" w:rsidP="00664D46">
            <w:pPr>
              <w:spacing w:line="360" w:lineRule="auto"/>
              <w:jc w:val="center"/>
            </w:pPr>
            <w:r>
              <w:t>+33.8</w:t>
            </w:r>
          </w:p>
        </w:tc>
        <w:tc>
          <w:tcPr>
            <w:tcW w:w="1558" w:type="dxa"/>
            <w:vAlign w:val="center"/>
          </w:tcPr>
          <w:p w14:paraId="3626E902" w14:textId="77777777" w:rsidR="00D8645B" w:rsidRDefault="00D8645B" w:rsidP="00664D46">
            <w:pPr>
              <w:spacing w:line="360" w:lineRule="auto"/>
              <w:jc w:val="center"/>
            </w:pPr>
            <w:r>
              <w:t>N/A</w:t>
            </w:r>
          </w:p>
        </w:tc>
        <w:tc>
          <w:tcPr>
            <w:tcW w:w="1570" w:type="dxa"/>
            <w:vAlign w:val="center"/>
          </w:tcPr>
          <w:p w14:paraId="0DC5CDAB" w14:textId="77777777" w:rsidR="00D8645B" w:rsidRDefault="00D8645B" w:rsidP="00664D46">
            <w:pPr>
              <w:spacing w:line="360" w:lineRule="auto"/>
              <w:jc w:val="center"/>
            </w:pPr>
            <w:r>
              <w:t>Neither</w:t>
            </w:r>
          </w:p>
        </w:tc>
      </w:tr>
      <w:tr w:rsidR="00D8645B" w14:paraId="461FB0B8" w14:textId="77777777" w:rsidTr="00664D46">
        <w:tc>
          <w:tcPr>
            <w:tcW w:w="1556" w:type="dxa"/>
            <w:vAlign w:val="center"/>
          </w:tcPr>
          <w:p w14:paraId="734E03A8" w14:textId="77777777" w:rsidR="00D8645B" w:rsidRDefault="00D8645B" w:rsidP="00664D46">
            <w:pPr>
              <w:spacing w:line="360" w:lineRule="auto"/>
              <w:jc w:val="center"/>
            </w:pPr>
            <w:r>
              <w:t>3</w:t>
            </w:r>
          </w:p>
        </w:tc>
        <w:tc>
          <w:tcPr>
            <w:tcW w:w="1555" w:type="dxa"/>
            <w:vAlign w:val="center"/>
          </w:tcPr>
          <w:p w14:paraId="12EF4330" w14:textId="77777777" w:rsidR="00D8645B" w:rsidRDefault="00D8645B" w:rsidP="00664D46">
            <w:pPr>
              <w:spacing w:line="360" w:lineRule="auto"/>
              <w:jc w:val="center"/>
            </w:pPr>
            <w:r>
              <w:t>-8.5%</w:t>
            </w:r>
          </w:p>
        </w:tc>
        <w:tc>
          <w:tcPr>
            <w:tcW w:w="1556" w:type="dxa"/>
            <w:vAlign w:val="center"/>
          </w:tcPr>
          <w:p w14:paraId="7FF1455A" w14:textId="77777777" w:rsidR="00D8645B" w:rsidRDefault="00D8645B" w:rsidP="00664D46">
            <w:pPr>
              <w:spacing w:line="360" w:lineRule="auto"/>
              <w:jc w:val="center"/>
            </w:pPr>
            <w:r>
              <w:t>+159.0</w:t>
            </w:r>
          </w:p>
        </w:tc>
        <w:tc>
          <w:tcPr>
            <w:tcW w:w="1558" w:type="dxa"/>
            <w:vAlign w:val="center"/>
          </w:tcPr>
          <w:p w14:paraId="65FE8162" w14:textId="77777777" w:rsidR="00D8645B" w:rsidRDefault="00D8645B" w:rsidP="00664D46">
            <w:pPr>
              <w:spacing w:line="360" w:lineRule="auto"/>
              <w:jc w:val="center"/>
            </w:pPr>
            <w:r>
              <w:t>+49.2%</w:t>
            </w:r>
          </w:p>
        </w:tc>
        <w:tc>
          <w:tcPr>
            <w:tcW w:w="1570" w:type="dxa"/>
            <w:vAlign w:val="center"/>
          </w:tcPr>
          <w:p w14:paraId="6FB677D2" w14:textId="77777777" w:rsidR="00D8645B" w:rsidRDefault="00D8645B" w:rsidP="00664D46">
            <w:pPr>
              <w:spacing w:line="360" w:lineRule="auto"/>
              <w:jc w:val="center"/>
            </w:pPr>
            <w:r>
              <w:t>Inflationary</w:t>
            </w:r>
          </w:p>
        </w:tc>
      </w:tr>
      <w:tr w:rsidR="00D8645B" w14:paraId="3604AFA6" w14:textId="77777777" w:rsidTr="00664D46">
        <w:tc>
          <w:tcPr>
            <w:tcW w:w="1556" w:type="dxa"/>
            <w:vAlign w:val="center"/>
          </w:tcPr>
          <w:p w14:paraId="48CB5F61" w14:textId="77777777" w:rsidR="00D8645B" w:rsidRDefault="00D8645B" w:rsidP="00664D46">
            <w:pPr>
              <w:spacing w:line="360" w:lineRule="auto"/>
              <w:jc w:val="center"/>
            </w:pPr>
            <w:r>
              <w:t>4</w:t>
            </w:r>
          </w:p>
        </w:tc>
        <w:tc>
          <w:tcPr>
            <w:tcW w:w="1555" w:type="dxa"/>
            <w:vAlign w:val="center"/>
          </w:tcPr>
          <w:p w14:paraId="3D16F297" w14:textId="77777777" w:rsidR="00D8645B" w:rsidRDefault="00D8645B" w:rsidP="00664D46">
            <w:pPr>
              <w:spacing w:line="360" w:lineRule="auto"/>
              <w:jc w:val="center"/>
            </w:pPr>
            <w:r>
              <w:t>N/A</w:t>
            </w:r>
          </w:p>
        </w:tc>
        <w:tc>
          <w:tcPr>
            <w:tcW w:w="1556" w:type="dxa"/>
            <w:vAlign w:val="center"/>
          </w:tcPr>
          <w:p w14:paraId="34656957" w14:textId="77777777" w:rsidR="00D8645B" w:rsidRDefault="00D8645B" w:rsidP="00664D46">
            <w:pPr>
              <w:spacing w:line="360" w:lineRule="auto"/>
              <w:jc w:val="center"/>
            </w:pPr>
            <w:r>
              <w:t>-4.2</w:t>
            </w:r>
          </w:p>
        </w:tc>
        <w:tc>
          <w:tcPr>
            <w:tcW w:w="1558" w:type="dxa"/>
            <w:vAlign w:val="center"/>
          </w:tcPr>
          <w:p w14:paraId="31870A52" w14:textId="77777777" w:rsidR="00D8645B" w:rsidRDefault="00D8645B" w:rsidP="00664D46">
            <w:pPr>
              <w:spacing w:line="360" w:lineRule="auto"/>
              <w:jc w:val="center"/>
            </w:pPr>
            <w:r>
              <w:t>N/A</w:t>
            </w:r>
          </w:p>
        </w:tc>
        <w:tc>
          <w:tcPr>
            <w:tcW w:w="1570" w:type="dxa"/>
            <w:vAlign w:val="center"/>
          </w:tcPr>
          <w:p w14:paraId="24A3ABDB" w14:textId="77777777" w:rsidR="00D8645B" w:rsidRDefault="00D8645B" w:rsidP="00664D46">
            <w:pPr>
              <w:spacing w:line="360" w:lineRule="auto"/>
              <w:jc w:val="center"/>
            </w:pPr>
            <w:r>
              <w:t>Neither</w:t>
            </w:r>
          </w:p>
        </w:tc>
      </w:tr>
      <w:tr w:rsidR="00D8645B" w14:paraId="2384F154" w14:textId="77777777" w:rsidTr="00664D46">
        <w:tc>
          <w:tcPr>
            <w:tcW w:w="1556" w:type="dxa"/>
            <w:vAlign w:val="center"/>
          </w:tcPr>
          <w:p w14:paraId="6CD34AE5" w14:textId="77777777" w:rsidR="00D8645B" w:rsidRDefault="00D8645B" w:rsidP="00664D46">
            <w:pPr>
              <w:spacing w:line="360" w:lineRule="auto"/>
              <w:jc w:val="center"/>
            </w:pPr>
            <w:r>
              <w:t>5</w:t>
            </w:r>
          </w:p>
        </w:tc>
        <w:tc>
          <w:tcPr>
            <w:tcW w:w="1555" w:type="dxa"/>
            <w:vAlign w:val="center"/>
          </w:tcPr>
          <w:p w14:paraId="00ED19FF" w14:textId="77777777" w:rsidR="00D8645B" w:rsidRDefault="00D8645B" w:rsidP="00664D46">
            <w:pPr>
              <w:spacing w:line="360" w:lineRule="auto"/>
              <w:jc w:val="center"/>
            </w:pPr>
            <w:r>
              <w:t>-0.8%</w:t>
            </w:r>
          </w:p>
        </w:tc>
        <w:tc>
          <w:tcPr>
            <w:tcW w:w="1556" w:type="dxa"/>
            <w:vAlign w:val="center"/>
          </w:tcPr>
          <w:p w14:paraId="230B0735" w14:textId="77777777" w:rsidR="00D8645B" w:rsidRDefault="00D8645B" w:rsidP="00664D46">
            <w:pPr>
              <w:spacing w:line="360" w:lineRule="auto"/>
              <w:jc w:val="center"/>
            </w:pPr>
            <w:r>
              <w:t>-6.0</w:t>
            </w:r>
          </w:p>
        </w:tc>
        <w:tc>
          <w:tcPr>
            <w:tcW w:w="1558" w:type="dxa"/>
            <w:vAlign w:val="center"/>
          </w:tcPr>
          <w:p w14:paraId="79203F3D" w14:textId="77777777" w:rsidR="00D8645B" w:rsidRDefault="00D8645B" w:rsidP="00664D46">
            <w:pPr>
              <w:spacing w:line="360" w:lineRule="auto"/>
              <w:jc w:val="center"/>
            </w:pPr>
            <w:r>
              <w:t>-7.8%</w:t>
            </w:r>
          </w:p>
        </w:tc>
        <w:tc>
          <w:tcPr>
            <w:tcW w:w="1570" w:type="dxa"/>
            <w:vAlign w:val="center"/>
          </w:tcPr>
          <w:p w14:paraId="6526FB56" w14:textId="77777777" w:rsidR="00D8645B" w:rsidRDefault="00D8645B" w:rsidP="00664D46">
            <w:pPr>
              <w:spacing w:line="360" w:lineRule="auto"/>
              <w:jc w:val="center"/>
            </w:pPr>
            <w:r>
              <w:t>Deflationary</w:t>
            </w:r>
          </w:p>
        </w:tc>
      </w:tr>
      <w:tr w:rsidR="00D8645B" w14:paraId="2E34B11C" w14:textId="77777777" w:rsidTr="00664D46">
        <w:tc>
          <w:tcPr>
            <w:tcW w:w="1556" w:type="dxa"/>
            <w:vAlign w:val="center"/>
          </w:tcPr>
          <w:p w14:paraId="3E2AEA40" w14:textId="77777777" w:rsidR="00D8645B" w:rsidRDefault="00D8645B" w:rsidP="00664D46">
            <w:pPr>
              <w:spacing w:line="360" w:lineRule="auto"/>
              <w:jc w:val="center"/>
            </w:pPr>
            <w:r>
              <w:t>6</w:t>
            </w:r>
          </w:p>
        </w:tc>
        <w:tc>
          <w:tcPr>
            <w:tcW w:w="1555" w:type="dxa"/>
            <w:vAlign w:val="center"/>
          </w:tcPr>
          <w:p w14:paraId="0F695EB6" w14:textId="77777777" w:rsidR="00D8645B" w:rsidRDefault="00D8645B" w:rsidP="00664D46">
            <w:pPr>
              <w:spacing w:line="360" w:lineRule="auto"/>
              <w:jc w:val="center"/>
            </w:pPr>
            <w:r>
              <w:t>-1.0%</w:t>
            </w:r>
          </w:p>
        </w:tc>
        <w:tc>
          <w:tcPr>
            <w:tcW w:w="1556" w:type="dxa"/>
            <w:vAlign w:val="center"/>
          </w:tcPr>
          <w:p w14:paraId="58632E34" w14:textId="77777777" w:rsidR="00D8645B" w:rsidRDefault="00D8645B" w:rsidP="00664D46">
            <w:pPr>
              <w:spacing w:line="360" w:lineRule="auto"/>
              <w:jc w:val="center"/>
            </w:pPr>
            <w:r>
              <w:t>+149.0</w:t>
            </w:r>
          </w:p>
        </w:tc>
        <w:tc>
          <w:tcPr>
            <w:tcW w:w="1558" w:type="dxa"/>
            <w:vAlign w:val="center"/>
          </w:tcPr>
          <w:p w14:paraId="6FF062AB" w14:textId="77777777" w:rsidR="00D8645B" w:rsidRDefault="00D8645B" w:rsidP="00664D46">
            <w:pPr>
              <w:spacing w:line="360" w:lineRule="auto"/>
              <w:jc w:val="center"/>
            </w:pPr>
            <w:r>
              <w:t>+4.1%</w:t>
            </w:r>
          </w:p>
        </w:tc>
        <w:tc>
          <w:tcPr>
            <w:tcW w:w="1570" w:type="dxa"/>
            <w:vAlign w:val="center"/>
          </w:tcPr>
          <w:p w14:paraId="74063BE5" w14:textId="77777777" w:rsidR="00D8645B" w:rsidRDefault="00D8645B" w:rsidP="00664D46">
            <w:pPr>
              <w:spacing w:line="360" w:lineRule="auto"/>
              <w:jc w:val="center"/>
            </w:pPr>
            <w:r>
              <w:t>Inflationary</w:t>
            </w:r>
          </w:p>
        </w:tc>
      </w:tr>
      <w:tr w:rsidR="00D8645B" w14:paraId="2FA20582" w14:textId="77777777" w:rsidTr="00664D46">
        <w:tc>
          <w:tcPr>
            <w:tcW w:w="1556" w:type="dxa"/>
            <w:vAlign w:val="center"/>
          </w:tcPr>
          <w:p w14:paraId="367B4ED2" w14:textId="77777777" w:rsidR="00D8645B" w:rsidRDefault="00D8645B" w:rsidP="00664D46">
            <w:pPr>
              <w:spacing w:line="360" w:lineRule="auto"/>
              <w:jc w:val="center"/>
            </w:pPr>
            <w:r>
              <w:t>7</w:t>
            </w:r>
          </w:p>
        </w:tc>
        <w:tc>
          <w:tcPr>
            <w:tcW w:w="1555" w:type="dxa"/>
            <w:vAlign w:val="center"/>
          </w:tcPr>
          <w:p w14:paraId="338BAB5A" w14:textId="77777777" w:rsidR="00D8645B" w:rsidRDefault="00D8645B" w:rsidP="00664D46">
            <w:pPr>
              <w:spacing w:line="360" w:lineRule="auto"/>
              <w:jc w:val="center"/>
            </w:pPr>
            <w:r>
              <w:t>N/A</w:t>
            </w:r>
          </w:p>
        </w:tc>
        <w:tc>
          <w:tcPr>
            <w:tcW w:w="1556" w:type="dxa"/>
            <w:vAlign w:val="center"/>
          </w:tcPr>
          <w:p w14:paraId="1039661A" w14:textId="77777777" w:rsidR="00D8645B" w:rsidRDefault="00D8645B" w:rsidP="00664D46">
            <w:pPr>
              <w:spacing w:line="360" w:lineRule="auto"/>
              <w:jc w:val="center"/>
            </w:pPr>
            <w:r>
              <w:t>-1.0</w:t>
            </w:r>
          </w:p>
        </w:tc>
        <w:tc>
          <w:tcPr>
            <w:tcW w:w="1558" w:type="dxa"/>
            <w:vAlign w:val="center"/>
          </w:tcPr>
          <w:p w14:paraId="050EB516" w14:textId="77777777" w:rsidR="00D8645B" w:rsidRDefault="00D8645B" w:rsidP="00664D46">
            <w:pPr>
              <w:spacing w:line="360" w:lineRule="auto"/>
              <w:jc w:val="center"/>
            </w:pPr>
            <w:r>
              <w:t>+3.9%</w:t>
            </w:r>
          </w:p>
        </w:tc>
        <w:tc>
          <w:tcPr>
            <w:tcW w:w="1570" w:type="dxa"/>
            <w:vAlign w:val="center"/>
          </w:tcPr>
          <w:p w14:paraId="2045C4F7" w14:textId="77777777" w:rsidR="00D8645B" w:rsidRDefault="00D8645B" w:rsidP="00664D46">
            <w:pPr>
              <w:spacing w:line="360" w:lineRule="auto"/>
              <w:jc w:val="center"/>
            </w:pPr>
            <w:r>
              <w:t>Neither</w:t>
            </w:r>
          </w:p>
        </w:tc>
      </w:tr>
      <w:tr w:rsidR="00D8645B" w14:paraId="0000F088" w14:textId="77777777" w:rsidTr="00664D46">
        <w:tc>
          <w:tcPr>
            <w:tcW w:w="1556" w:type="dxa"/>
            <w:vAlign w:val="center"/>
          </w:tcPr>
          <w:p w14:paraId="75BA1488" w14:textId="77777777" w:rsidR="00D8645B" w:rsidRDefault="00D8645B" w:rsidP="00664D46">
            <w:pPr>
              <w:spacing w:line="360" w:lineRule="auto"/>
              <w:jc w:val="center"/>
            </w:pPr>
            <w:r>
              <w:lastRenderedPageBreak/>
              <w:t>8</w:t>
            </w:r>
          </w:p>
        </w:tc>
        <w:tc>
          <w:tcPr>
            <w:tcW w:w="1555" w:type="dxa"/>
            <w:vAlign w:val="center"/>
          </w:tcPr>
          <w:p w14:paraId="7EB28A1B" w14:textId="77777777" w:rsidR="00D8645B" w:rsidRDefault="00D8645B" w:rsidP="00664D46">
            <w:pPr>
              <w:spacing w:line="360" w:lineRule="auto"/>
              <w:jc w:val="center"/>
            </w:pPr>
            <w:r>
              <w:t>8.1%</w:t>
            </w:r>
          </w:p>
        </w:tc>
        <w:tc>
          <w:tcPr>
            <w:tcW w:w="1556" w:type="dxa"/>
            <w:vAlign w:val="center"/>
          </w:tcPr>
          <w:p w14:paraId="226932CF" w14:textId="77777777" w:rsidR="00D8645B" w:rsidRDefault="00D8645B" w:rsidP="00664D46">
            <w:pPr>
              <w:spacing w:line="360" w:lineRule="auto"/>
              <w:jc w:val="center"/>
            </w:pPr>
            <w:r>
              <w:t>+9.0</w:t>
            </w:r>
          </w:p>
        </w:tc>
        <w:tc>
          <w:tcPr>
            <w:tcW w:w="1558" w:type="dxa"/>
            <w:vAlign w:val="center"/>
          </w:tcPr>
          <w:p w14:paraId="38CEF28F" w14:textId="77777777" w:rsidR="00D8645B" w:rsidRDefault="00D8645B" w:rsidP="00664D46">
            <w:pPr>
              <w:spacing w:line="360" w:lineRule="auto"/>
              <w:jc w:val="center"/>
            </w:pPr>
            <w:r>
              <w:t>+3.2%</w:t>
            </w:r>
          </w:p>
        </w:tc>
        <w:tc>
          <w:tcPr>
            <w:tcW w:w="1570" w:type="dxa"/>
            <w:vAlign w:val="center"/>
          </w:tcPr>
          <w:p w14:paraId="763C3D19" w14:textId="77777777" w:rsidR="00D8645B" w:rsidRDefault="00D8645B" w:rsidP="00664D46">
            <w:pPr>
              <w:spacing w:line="360" w:lineRule="auto"/>
              <w:jc w:val="center"/>
            </w:pPr>
            <w:r>
              <w:t>Neither</w:t>
            </w:r>
          </w:p>
        </w:tc>
      </w:tr>
      <w:tr w:rsidR="00D8645B" w14:paraId="4CBC8094" w14:textId="77777777" w:rsidTr="00664D46">
        <w:tc>
          <w:tcPr>
            <w:tcW w:w="1556" w:type="dxa"/>
            <w:vAlign w:val="center"/>
          </w:tcPr>
          <w:p w14:paraId="3F183C0A" w14:textId="77777777" w:rsidR="00D8645B" w:rsidRDefault="00D8645B" w:rsidP="00664D46">
            <w:pPr>
              <w:spacing w:line="360" w:lineRule="auto"/>
              <w:jc w:val="center"/>
            </w:pPr>
            <w:r>
              <w:t>9</w:t>
            </w:r>
          </w:p>
        </w:tc>
        <w:tc>
          <w:tcPr>
            <w:tcW w:w="1555" w:type="dxa"/>
            <w:vAlign w:val="center"/>
          </w:tcPr>
          <w:p w14:paraId="1FC4330A" w14:textId="77777777" w:rsidR="00D8645B" w:rsidRDefault="00D8645B" w:rsidP="00664D46">
            <w:pPr>
              <w:spacing w:line="360" w:lineRule="auto"/>
              <w:jc w:val="center"/>
            </w:pPr>
            <w:r>
              <w:t>N/A</w:t>
            </w:r>
          </w:p>
        </w:tc>
        <w:tc>
          <w:tcPr>
            <w:tcW w:w="1556" w:type="dxa"/>
            <w:vAlign w:val="center"/>
          </w:tcPr>
          <w:p w14:paraId="44E6BB02" w14:textId="77777777" w:rsidR="00D8645B" w:rsidRDefault="00D8645B" w:rsidP="00664D46">
            <w:pPr>
              <w:spacing w:line="360" w:lineRule="auto"/>
              <w:jc w:val="center"/>
            </w:pPr>
            <w:r>
              <w:t>-45.4</w:t>
            </w:r>
          </w:p>
        </w:tc>
        <w:tc>
          <w:tcPr>
            <w:tcW w:w="1558" w:type="dxa"/>
            <w:vAlign w:val="center"/>
          </w:tcPr>
          <w:p w14:paraId="62A1144A" w14:textId="77777777" w:rsidR="00D8645B" w:rsidRDefault="00D8645B" w:rsidP="00664D46">
            <w:pPr>
              <w:spacing w:line="360" w:lineRule="auto"/>
              <w:jc w:val="center"/>
            </w:pPr>
            <w:r>
              <w:t>N/A</w:t>
            </w:r>
          </w:p>
        </w:tc>
        <w:tc>
          <w:tcPr>
            <w:tcW w:w="1570" w:type="dxa"/>
            <w:vAlign w:val="center"/>
          </w:tcPr>
          <w:p w14:paraId="58944F8C" w14:textId="77777777" w:rsidR="00D8645B" w:rsidRDefault="00D8645B" w:rsidP="00664D46">
            <w:pPr>
              <w:spacing w:line="360" w:lineRule="auto"/>
              <w:jc w:val="center"/>
            </w:pPr>
            <w:r>
              <w:t>Neither</w:t>
            </w:r>
          </w:p>
        </w:tc>
      </w:tr>
      <w:tr w:rsidR="00D8645B" w14:paraId="56620A75" w14:textId="77777777" w:rsidTr="00664D46">
        <w:tc>
          <w:tcPr>
            <w:tcW w:w="1556" w:type="dxa"/>
            <w:vAlign w:val="center"/>
          </w:tcPr>
          <w:p w14:paraId="769D9BFB" w14:textId="77777777" w:rsidR="00D8645B" w:rsidRDefault="00D8645B" w:rsidP="00664D46">
            <w:pPr>
              <w:spacing w:line="360" w:lineRule="auto"/>
              <w:jc w:val="center"/>
            </w:pPr>
            <w:r>
              <w:t>10</w:t>
            </w:r>
          </w:p>
        </w:tc>
        <w:tc>
          <w:tcPr>
            <w:tcW w:w="1555" w:type="dxa"/>
            <w:vAlign w:val="center"/>
          </w:tcPr>
          <w:p w14:paraId="1775F3CE" w14:textId="77777777" w:rsidR="00D8645B" w:rsidRDefault="00D8645B" w:rsidP="00664D46">
            <w:pPr>
              <w:spacing w:line="360" w:lineRule="auto"/>
              <w:jc w:val="center"/>
            </w:pPr>
            <w:r>
              <w:t>N/A</w:t>
            </w:r>
          </w:p>
        </w:tc>
        <w:tc>
          <w:tcPr>
            <w:tcW w:w="1556" w:type="dxa"/>
            <w:vAlign w:val="center"/>
          </w:tcPr>
          <w:p w14:paraId="2316F6FC" w14:textId="77777777" w:rsidR="00D8645B" w:rsidRDefault="00D8645B" w:rsidP="00664D46">
            <w:pPr>
              <w:spacing w:line="360" w:lineRule="auto"/>
              <w:jc w:val="center"/>
            </w:pPr>
            <w:r>
              <w:t>+2.0</w:t>
            </w:r>
          </w:p>
        </w:tc>
        <w:tc>
          <w:tcPr>
            <w:tcW w:w="1558" w:type="dxa"/>
            <w:vAlign w:val="center"/>
          </w:tcPr>
          <w:p w14:paraId="430DF085" w14:textId="77777777" w:rsidR="00D8645B" w:rsidRDefault="00D8645B" w:rsidP="00664D46">
            <w:pPr>
              <w:spacing w:line="360" w:lineRule="auto"/>
              <w:jc w:val="center"/>
            </w:pPr>
            <w:r>
              <w:t>N/A</w:t>
            </w:r>
          </w:p>
        </w:tc>
        <w:tc>
          <w:tcPr>
            <w:tcW w:w="1570" w:type="dxa"/>
            <w:vAlign w:val="center"/>
          </w:tcPr>
          <w:p w14:paraId="08D10965" w14:textId="77777777" w:rsidR="00D8645B" w:rsidRDefault="00D8645B" w:rsidP="00664D46">
            <w:pPr>
              <w:spacing w:line="360" w:lineRule="auto"/>
              <w:jc w:val="center"/>
            </w:pPr>
            <w:r>
              <w:t>Neither</w:t>
            </w:r>
          </w:p>
        </w:tc>
      </w:tr>
    </w:tbl>
    <w:p w14:paraId="0A380F23" w14:textId="77777777" w:rsidR="00D8645B" w:rsidRPr="004E4CB2" w:rsidRDefault="00D8645B" w:rsidP="00D8645B">
      <w:pPr>
        <w:spacing w:line="360" w:lineRule="auto"/>
      </w:pPr>
    </w:p>
    <w:p w14:paraId="23A96305" w14:textId="77777777" w:rsidR="00D8645B" w:rsidRPr="00C53681" w:rsidRDefault="00D8645B" w:rsidP="0060309E">
      <w:pPr>
        <w:pStyle w:val="ListParagraph"/>
        <w:numPr>
          <w:ilvl w:val="0"/>
          <w:numId w:val="48"/>
        </w:numPr>
        <w:spacing w:after="160" w:line="360" w:lineRule="auto"/>
      </w:pPr>
      <w:r>
        <w:rPr>
          <w:u w:val="single"/>
        </w:rPr>
        <w:t>Notes on the above</w:t>
      </w:r>
      <w:r w:rsidRPr="00C53681">
        <w:rPr>
          <w:u w:val="single"/>
        </w:rPr>
        <w:t xml:space="preserve"> Table</w:t>
      </w:r>
      <w:r w:rsidRPr="00C53681">
        <w:t>:</w:t>
      </w:r>
    </w:p>
    <w:p w14:paraId="34487E39" w14:textId="77777777" w:rsidR="00D8645B" w:rsidRDefault="00D8645B" w:rsidP="0060309E">
      <w:pPr>
        <w:pStyle w:val="ListParagraph"/>
        <w:numPr>
          <w:ilvl w:val="0"/>
          <w:numId w:val="49"/>
        </w:numPr>
        <w:spacing w:after="160" w:line="360" w:lineRule="auto"/>
      </w:pPr>
      <w:r>
        <w:t>The FX rate is specified as USD/EUR from Feb 1999. Prior to the German DM/USD is used. FX did not float until after the Bretton-Woods system, and is represented by N/A in the table for the years prior to 1973.</w:t>
      </w:r>
    </w:p>
    <w:p w14:paraId="5C1F2E84" w14:textId="77777777" w:rsidR="00D8645B" w:rsidRDefault="00D8645B" w:rsidP="0060309E">
      <w:pPr>
        <w:pStyle w:val="ListParagraph"/>
        <w:numPr>
          <w:ilvl w:val="0"/>
          <w:numId w:val="49"/>
        </w:numPr>
        <w:spacing w:after="160" w:line="360" w:lineRule="auto"/>
      </w:pPr>
      <w:r>
        <w:t>Energy price return is calculated using annual averages of crude oil purchase prices in dollars per barrel, sourced from the Energy Information Administration.</w:t>
      </w:r>
    </w:p>
    <w:p w14:paraId="334867AE" w14:textId="77777777" w:rsidR="00D8645B" w:rsidRDefault="00D8645B" w:rsidP="00D8645B">
      <w:pPr>
        <w:spacing w:line="360" w:lineRule="auto"/>
      </w:pPr>
    </w:p>
    <w:p w14:paraId="7BBE3CFF" w14:textId="77777777" w:rsidR="00D8645B" w:rsidRDefault="00D8645B" w:rsidP="00D8645B">
      <w:pPr>
        <w:spacing w:line="360" w:lineRule="auto"/>
      </w:pPr>
    </w:p>
    <w:p w14:paraId="4C370B15" w14:textId="77777777" w:rsidR="00D8645B" w:rsidRPr="00B076AE" w:rsidRDefault="00D8645B" w:rsidP="00D8645B">
      <w:pPr>
        <w:spacing w:line="360" w:lineRule="auto"/>
        <w:rPr>
          <w:b/>
          <w:sz w:val="28"/>
          <w:szCs w:val="28"/>
        </w:rPr>
      </w:pPr>
      <w:r w:rsidRPr="00B076AE">
        <w:rPr>
          <w:b/>
          <w:sz w:val="28"/>
          <w:szCs w:val="28"/>
        </w:rPr>
        <w:t>Formulating GSST Scenarios</w:t>
      </w:r>
    </w:p>
    <w:p w14:paraId="76B0F5A0" w14:textId="77777777" w:rsidR="00D8645B" w:rsidRDefault="00D8645B" w:rsidP="00D8645B">
      <w:pPr>
        <w:spacing w:line="360" w:lineRule="auto"/>
      </w:pPr>
    </w:p>
    <w:p w14:paraId="7DCBE286" w14:textId="77777777" w:rsidR="00D8645B" w:rsidRDefault="00D8645B" w:rsidP="0060309E">
      <w:pPr>
        <w:pStyle w:val="ListParagraph"/>
        <w:numPr>
          <w:ilvl w:val="0"/>
          <w:numId w:val="50"/>
        </w:numPr>
        <w:spacing w:after="160" w:line="360" w:lineRule="auto"/>
      </w:pPr>
      <w:r w:rsidRPr="00B076AE">
        <w:rPr>
          <w:u w:val="single"/>
        </w:rPr>
        <w:t>2008 Capital Baseline - Deflationary Crisis</w:t>
      </w:r>
      <w:r w:rsidRPr="00B076AE">
        <w:t>: This is the first of the two key scenarios that drive much of the VaR-stress result. This equals the conditional outcome for all prices given a 99.97% shock to credit spreads divided by 2, i.e.</w:t>
      </w:r>
    </w:p>
    <w:p w14:paraId="11BE21FF" w14:textId="77777777" w:rsidR="00D8645B" w:rsidRPr="006C662C" w:rsidRDefault="00D8645B" w:rsidP="00D8645B">
      <w:pPr>
        <w:spacing w:line="360" w:lineRule="auto"/>
        <w:rPr>
          <w:u w:val="single"/>
        </w:rPr>
      </w:pPr>
    </w:p>
    <w:p w14:paraId="462AFC18" w14:textId="77777777" w:rsidR="00D8645B" w:rsidRPr="006C662C" w:rsidRDefault="00D8645B" w:rsidP="00D8645B">
      <w:pPr>
        <w:pStyle w:val="ListParagraph"/>
        <w:spacing w:line="360" w:lineRule="auto"/>
        <w:ind w:left="360"/>
        <w:rPr>
          <w:rFonts w:eastAsiaTheme="minorEastAsia"/>
        </w:rPr>
      </w:pPr>
      <m:oMathPara>
        <m:oMath>
          <m:r>
            <w:rPr>
              <w:rFonts w:ascii="Cambria Math" w:hAnsi="Cambria Math"/>
            </w:rPr>
            <m:t>Conditional 99.97% Shock=Standalone 99.97% Shock ×Stress Correlation with Credit Spreads</m:t>
          </m:r>
        </m:oMath>
      </m:oMathPara>
    </w:p>
    <w:p w14:paraId="7A15F0FE" w14:textId="77777777" w:rsidR="00D8645B" w:rsidRPr="006C662C" w:rsidRDefault="00D8645B" w:rsidP="00D8645B">
      <w:pPr>
        <w:spacing w:line="360" w:lineRule="auto"/>
      </w:pPr>
    </w:p>
    <w:p w14:paraId="36CB3D08" w14:textId="77777777" w:rsidR="00D8645B" w:rsidRDefault="00D8645B" w:rsidP="0060309E">
      <w:pPr>
        <w:pStyle w:val="ListParagraph"/>
        <w:numPr>
          <w:ilvl w:val="0"/>
          <w:numId w:val="50"/>
        </w:numPr>
        <w:spacing w:after="160" w:line="360" w:lineRule="auto"/>
      </w:pPr>
      <w:r>
        <w:rPr>
          <w:u w:val="single"/>
        </w:rPr>
        <w:t>Scenario Components of Deflationary Crisis</w:t>
      </w:r>
      <w:r>
        <w:t>:</w:t>
      </w:r>
    </w:p>
    <w:tbl>
      <w:tblPr>
        <w:tblStyle w:val="TableGrid"/>
        <w:tblW w:w="9895" w:type="dxa"/>
        <w:tblLook w:val="04A0" w:firstRow="1" w:lastRow="0" w:firstColumn="1" w:lastColumn="0" w:noHBand="0" w:noVBand="1"/>
      </w:tblPr>
      <w:tblGrid>
        <w:gridCol w:w="1556"/>
        <w:gridCol w:w="1557"/>
        <w:gridCol w:w="1557"/>
        <w:gridCol w:w="1563"/>
        <w:gridCol w:w="1559"/>
        <w:gridCol w:w="2103"/>
      </w:tblGrid>
      <w:tr w:rsidR="00D8645B" w14:paraId="56C5CB1B" w14:textId="77777777" w:rsidTr="00664D46">
        <w:tc>
          <w:tcPr>
            <w:tcW w:w="1556" w:type="dxa"/>
            <w:vAlign w:val="center"/>
          </w:tcPr>
          <w:p w14:paraId="2DF12004" w14:textId="77777777" w:rsidR="00D8645B" w:rsidRPr="005B4691" w:rsidRDefault="00D8645B" w:rsidP="00664D46">
            <w:pPr>
              <w:spacing w:line="360" w:lineRule="auto"/>
              <w:jc w:val="center"/>
              <w:rPr>
                <w:b/>
              </w:rPr>
            </w:pPr>
            <w:r>
              <w:rPr>
                <w:b/>
              </w:rPr>
              <w:t>Market Factor</w:t>
            </w:r>
          </w:p>
        </w:tc>
        <w:tc>
          <w:tcPr>
            <w:tcW w:w="1557" w:type="dxa"/>
            <w:vAlign w:val="center"/>
          </w:tcPr>
          <w:p w14:paraId="16661791" w14:textId="77777777" w:rsidR="00D8645B" w:rsidRPr="005B4691" w:rsidRDefault="00D8645B" w:rsidP="00664D46">
            <w:pPr>
              <w:spacing w:line="360" w:lineRule="auto"/>
              <w:jc w:val="center"/>
              <w:rPr>
                <w:b/>
              </w:rPr>
            </w:pPr>
            <w:r>
              <w:rPr>
                <w:b/>
              </w:rPr>
              <w:t>2008 Actual</w:t>
            </w:r>
          </w:p>
        </w:tc>
        <w:tc>
          <w:tcPr>
            <w:tcW w:w="1557" w:type="dxa"/>
            <w:vAlign w:val="center"/>
          </w:tcPr>
          <w:p w14:paraId="65A2CE8B" w14:textId="77777777" w:rsidR="00D8645B" w:rsidRPr="005B4691" w:rsidRDefault="00D8645B" w:rsidP="00664D46">
            <w:pPr>
              <w:spacing w:line="360" w:lineRule="auto"/>
              <w:jc w:val="center"/>
              <w:rPr>
                <w:b/>
              </w:rPr>
            </w:pPr>
            <w:r>
              <w:rPr>
                <w:b/>
              </w:rPr>
              <w:t>Study</w:t>
            </w:r>
          </w:p>
        </w:tc>
        <w:tc>
          <w:tcPr>
            <w:tcW w:w="1563" w:type="dxa"/>
            <w:vAlign w:val="center"/>
          </w:tcPr>
          <w:p w14:paraId="31DAA588" w14:textId="77777777" w:rsidR="00D8645B" w:rsidRPr="005B4691" w:rsidRDefault="00D8645B" w:rsidP="00664D46">
            <w:pPr>
              <w:spacing w:line="360" w:lineRule="auto"/>
              <w:jc w:val="center"/>
              <w:rPr>
                <w:b/>
              </w:rPr>
            </w:pPr>
            <w:r>
              <w:rPr>
                <w:b/>
              </w:rPr>
              <w:t>Extrapolated 99.97% Shock</w:t>
            </w:r>
          </w:p>
        </w:tc>
        <w:tc>
          <w:tcPr>
            <w:tcW w:w="1559" w:type="dxa"/>
            <w:vAlign w:val="center"/>
          </w:tcPr>
          <w:p w14:paraId="2C0D0FA0" w14:textId="77777777" w:rsidR="00D8645B" w:rsidRPr="005B4691" w:rsidRDefault="00D8645B" w:rsidP="00664D46">
            <w:pPr>
              <w:spacing w:line="360" w:lineRule="auto"/>
              <w:jc w:val="center"/>
              <w:rPr>
                <w:b/>
              </w:rPr>
            </w:pPr>
            <w:r>
              <w:rPr>
                <w:b/>
              </w:rPr>
              <w:t>Stress Correlation</w:t>
            </w:r>
          </w:p>
        </w:tc>
        <w:tc>
          <w:tcPr>
            <w:tcW w:w="2103" w:type="dxa"/>
            <w:vAlign w:val="center"/>
          </w:tcPr>
          <w:p w14:paraId="0C1D2FF7" w14:textId="77777777" w:rsidR="00D8645B" w:rsidRPr="005B4691" w:rsidRDefault="00D8645B" w:rsidP="00664D46">
            <w:pPr>
              <w:spacing w:line="360" w:lineRule="auto"/>
              <w:jc w:val="center"/>
              <w:rPr>
                <w:b/>
              </w:rPr>
            </w:pPr>
            <w:r>
              <w:rPr>
                <w:b/>
              </w:rPr>
              <w:t>2008 Capital Baseline Shock</w:t>
            </w:r>
          </w:p>
        </w:tc>
      </w:tr>
      <w:tr w:rsidR="00D8645B" w14:paraId="246D1134" w14:textId="77777777" w:rsidTr="00664D46">
        <w:tc>
          <w:tcPr>
            <w:tcW w:w="1556" w:type="dxa"/>
            <w:vAlign w:val="center"/>
          </w:tcPr>
          <w:p w14:paraId="7D0DA35F" w14:textId="77777777" w:rsidR="00D8645B" w:rsidRDefault="00D8645B" w:rsidP="00664D46">
            <w:pPr>
              <w:spacing w:line="360" w:lineRule="auto"/>
              <w:jc w:val="center"/>
            </w:pPr>
            <w:r>
              <w:lastRenderedPageBreak/>
              <w:t>Credit Spreads</w:t>
            </w:r>
          </w:p>
        </w:tc>
        <w:tc>
          <w:tcPr>
            <w:tcW w:w="1557" w:type="dxa"/>
            <w:vAlign w:val="center"/>
          </w:tcPr>
          <w:p w14:paraId="0F41682E" w14:textId="77777777" w:rsidR="00D8645B" w:rsidRDefault="00D8645B" w:rsidP="00664D46">
            <w:pPr>
              <w:spacing w:line="360" w:lineRule="auto"/>
              <w:jc w:val="center"/>
            </w:pPr>
            <w:r>
              <w:t>Varies by Instrument</w:t>
            </w:r>
          </w:p>
        </w:tc>
        <w:tc>
          <w:tcPr>
            <w:tcW w:w="1557" w:type="dxa"/>
            <w:vAlign w:val="center"/>
          </w:tcPr>
          <w:p w14:paraId="5B465924" w14:textId="77777777" w:rsidR="00D8645B" w:rsidRDefault="00D8645B" w:rsidP="00664D46">
            <w:pPr>
              <w:spacing w:line="360" w:lineRule="auto"/>
              <w:jc w:val="center"/>
            </w:pPr>
            <w:r>
              <w:t>BBB credit spreads back to 1925</w:t>
            </w:r>
          </w:p>
        </w:tc>
        <w:tc>
          <w:tcPr>
            <w:tcW w:w="1563" w:type="dxa"/>
            <w:vAlign w:val="center"/>
          </w:tcPr>
          <w:p w14:paraId="34D6AF44" w14:textId="77777777" w:rsidR="00D8645B" w:rsidRDefault="00D8645B" w:rsidP="00664D46">
            <w:pPr>
              <w:spacing w:line="360" w:lineRule="auto"/>
              <w:jc w:val="center"/>
            </w:pPr>
            <w:r>
              <w:t>2x as large as 2008 Actual</w:t>
            </w:r>
          </w:p>
        </w:tc>
        <w:tc>
          <w:tcPr>
            <w:tcW w:w="1559" w:type="dxa"/>
            <w:vAlign w:val="center"/>
          </w:tcPr>
          <w:p w14:paraId="2B0EA0D7" w14:textId="77777777" w:rsidR="00D8645B" w:rsidRDefault="00D8645B" w:rsidP="00664D46">
            <w:pPr>
              <w:spacing w:line="360" w:lineRule="auto"/>
              <w:jc w:val="center"/>
            </w:pPr>
            <w:r>
              <w:t>1.0</w:t>
            </w:r>
          </w:p>
        </w:tc>
        <w:tc>
          <w:tcPr>
            <w:tcW w:w="2103" w:type="dxa"/>
            <w:vAlign w:val="center"/>
          </w:tcPr>
          <w:p w14:paraId="6B3D297A" w14:textId="77777777" w:rsidR="00D8645B" w:rsidRDefault="00D8645B" w:rsidP="00664D46">
            <w:pPr>
              <w:spacing w:line="360" w:lineRule="auto"/>
              <w:jc w:val="center"/>
            </w:pPr>
            <w:r>
              <w:t>Same as 2008 actual for each instrument</w:t>
            </w:r>
          </w:p>
        </w:tc>
      </w:tr>
      <w:tr w:rsidR="00D8645B" w14:paraId="66E0AE9E" w14:textId="77777777" w:rsidTr="00664D46">
        <w:tc>
          <w:tcPr>
            <w:tcW w:w="1556" w:type="dxa"/>
            <w:vAlign w:val="center"/>
          </w:tcPr>
          <w:p w14:paraId="0739B051" w14:textId="77777777" w:rsidR="00D8645B" w:rsidRDefault="00D8645B" w:rsidP="00664D46">
            <w:pPr>
              <w:spacing w:line="360" w:lineRule="auto"/>
              <w:jc w:val="center"/>
            </w:pPr>
            <w:r>
              <w:t>DM Interest Rates</w:t>
            </w:r>
          </w:p>
        </w:tc>
        <w:tc>
          <w:tcPr>
            <w:tcW w:w="1557" w:type="dxa"/>
            <w:vAlign w:val="center"/>
          </w:tcPr>
          <w:p w14:paraId="4B2DBE49" w14:textId="77777777" w:rsidR="00D8645B" w:rsidRDefault="00D8645B" w:rsidP="00664D46">
            <w:pPr>
              <w:spacing w:line="360" w:lineRule="auto"/>
              <w:jc w:val="center"/>
            </w:pPr>
            <w:r>
              <w:t>-200 bp for 5Y treasury</w:t>
            </w:r>
          </w:p>
        </w:tc>
        <w:tc>
          <w:tcPr>
            <w:tcW w:w="1557" w:type="dxa"/>
            <w:vAlign w:val="center"/>
          </w:tcPr>
          <w:p w14:paraId="34E9CC77" w14:textId="77777777" w:rsidR="00D8645B" w:rsidRDefault="00D8645B" w:rsidP="00664D46">
            <w:pPr>
              <w:spacing w:line="360" w:lineRule="auto"/>
              <w:jc w:val="center"/>
            </w:pPr>
            <w:r>
              <w:t>Treasury Yields back to 1953</w:t>
            </w:r>
          </w:p>
        </w:tc>
        <w:tc>
          <w:tcPr>
            <w:tcW w:w="1563" w:type="dxa"/>
            <w:vAlign w:val="center"/>
          </w:tcPr>
          <w:p w14:paraId="0855B1D3" w14:textId="77777777" w:rsidR="00D8645B" w:rsidRDefault="00D8645B" w:rsidP="00664D46">
            <w:pPr>
              <w:spacing w:line="360" w:lineRule="auto"/>
              <w:jc w:val="center"/>
            </w:pPr>
            <w:r>
              <w:t>-320 bp</w:t>
            </w:r>
          </w:p>
        </w:tc>
        <w:tc>
          <w:tcPr>
            <w:tcW w:w="1559" w:type="dxa"/>
            <w:vAlign w:val="center"/>
          </w:tcPr>
          <w:p w14:paraId="5A938ECB" w14:textId="77777777" w:rsidR="00D8645B" w:rsidRDefault="00D8645B" w:rsidP="00664D46">
            <w:pPr>
              <w:spacing w:line="360" w:lineRule="auto"/>
              <w:jc w:val="center"/>
            </w:pPr>
            <w:r>
              <w:t>-0.50</w:t>
            </w:r>
          </w:p>
        </w:tc>
        <w:tc>
          <w:tcPr>
            <w:tcW w:w="2103" w:type="dxa"/>
            <w:vAlign w:val="center"/>
          </w:tcPr>
          <w:p w14:paraId="69D9E2DA" w14:textId="77777777" w:rsidR="00D8645B" w:rsidRDefault="00D8645B" w:rsidP="00664D46">
            <w:pPr>
              <w:spacing w:line="360" w:lineRule="auto"/>
              <w:jc w:val="center"/>
            </w:pPr>
            <w:r>
              <w:t>-100 bp ~ -320 bp x 0.5 / 2</w:t>
            </w:r>
          </w:p>
        </w:tc>
      </w:tr>
      <w:tr w:rsidR="00D8645B" w14:paraId="111FF873" w14:textId="77777777" w:rsidTr="00664D46">
        <w:tc>
          <w:tcPr>
            <w:tcW w:w="1556" w:type="dxa"/>
            <w:vAlign w:val="center"/>
          </w:tcPr>
          <w:p w14:paraId="5497D30A" w14:textId="77777777" w:rsidR="00D8645B" w:rsidRDefault="00D8645B" w:rsidP="00664D46">
            <w:pPr>
              <w:spacing w:line="360" w:lineRule="auto"/>
              <w:jc w:val="center"/>
            </w:pPr>
            <w:r>
              <w:t>DM Equity Prices</w:t>
            </w:r>
          </w:p>
        </w:tc>
        <w:tc>
          <w:tcPr>
            <w:tcW w:w="1557" w:type="dxa"/>
            <w:vAlign w:val="center"/>
          </w:tcPr>
          <w:p w14:paraId="5F881932" w14:textId="77777777" w:rsidR="00D8645B" w:rsidRDefault="00D8645B" w:rsidP="00664D46">
            <w:pPr>
              <w:spacing w:line="360" w:lineRule="auto"/>
              <w:jc w:val="center"/>
            </w:pPr>
            <w:r>
              <w:t>-40%</w:t>
            </w:r>
          </w:p>
        </w:tc>
        <w:tc>
          <w:tcPr>
            <w:tcW w:w="1557" w:type="dxa"/>
            <w:vAlign w:val="center"/>
          </w:tcPr>
          <w:p w14:paraId="033B88F5" w14:textId="77777777" w:rsidR="00D8645B" w:rsidRDefault="00D8645B" w:rsidP="00664D46">
            <w:pPr>
              <w:spacing w:line="360" w:lineRule="auto"/>
              <w:jc w:val="center"/>
            </w:pPr>
            <w:r>
              <w:t>S&amp;P 500 back to 1948</w:t>
            </w:r>
          </w:p>
        </w:tc>
        <w:tc>
          <w:tcPr>
            <w:tcW w:w="1563" w:type="dxa"/>
            <w:vAlign w:val="center"/>
          </w:tcPr>
          <w:p w14:paraId="1E01C0CD" w14:textId="77777777" w:rsidR="00D8645B" w:rsidRDefault="00D8645B" w:rsidP="00664D46">
            <w:pPr>
              <w:spacing w:line="360" w:lineRule="auto"/>
              <w:jc w:val="center"/>
            </w:pPr>
            <w:r>
              <w:t>-74%</w:t>
            </w:r>
          </w:p>
        </w:tc>
        <w:tc>
          <w:tcPr>
            <w:tcW w:w="1559" w:type="dxa"/>
            <w:vAlign w:val="center"/>
          </w:tcPr>
          <w:p w14:paraId="444E28E1" w14:textId="77777777" w:rsidR="00D8645B" w:rsidRDefault="00D8645B" w:rsidP="00664D46">
            <w:pPr>
              <w:spacing w:line="360" w:lineRule="auto"/>
              <w:jc w:val="center"/>
            </w:pPr>
            <w:r>
              <w:t>0.84</w:t>
            </w:r>
          </w:p>
        </w:tc>
        <w:tc>
          <w:tcPr>
            <w:tcW w:w="2103" w:type="dxa"/>
            <w:vAlign w:val="center"/>
          </w:tcPr>
          <w:p w14:paraId="05831742" w14:textId="77777777" w:rsidR="00D8645B" w:rsidRDefault="00D8645B" w:rsidP="00664D46">
            <w:pPr>
              <w:spacing w:line="360" w:lineRule="auto"/>
              <w:jc w:val="center"/>
            </w:pPr>
            <w:r>
              <w:t>-32% ~ -74% x 0.84 / 2</w:t>
            </w:r>
          </w:p>
        </w:tc>
      </w:tr>
    </w:tbl>
    <w:p w14:paraId="128B1378" w14:textId="77777777" w:rsidR="00D8645B" w:rsidRPr="005B4691" w:rsidRDefault="00D8645B" w:rsidP="00D8645B">
      <w:pPr>
        <w:spacing w:line="360" w:lineRule="auto"/>
      </w:pPr>
    </w:p>
    <w:p w14:paraId="7C76A534" w14:textId="77777777" w:rsidR="00D8645B" w:rsidRDefault="00D8645B" w:rsidP="0060309E">
      <w:pPr>
        <w:pStyle w:val="ListParagraph"/>
        <w:numPr>
          <w:ilvl w:val="0"/>
          <w:numId w:val="50"/>
        </w:numPr>
        <w:spacing w:after="160" w:line="360" w:lineRule="auto"/>
      </w:pPr>
      <w:r>
        <w:rPr>
          <w:u w:val="single"/>
        </w:rPr>
        <w:t>1974</w:t>
      </w:r>
      <w:r w:rsidRPr="005B4691">
        <w:rPr>
          <w:u w:val="single"/>
        </w:rPr>
        <w:t xml:space="preserve"> Capital Baseline - </w:t>
      </w:r>
      <w:r>
        <w:rPr>
          <w:u w:val="single"/>
        </w:rPr>
        <w:t>Inflationary</w:t>
      </w:r>
      <w:r w:rsidRPr="005B4691">
        <w:rPr>
          <w:u w:val="single"/>
        </w:rPr>
        <w:t xml:space="preserve"> Crisis</w:t>
      </w:r>
      <w:r w:rsidRPr="005B4691">
        <w:t>: Th</w:t>
      </w:r>
      <w:r>
        <w:t>e 1974 capital baseline is the second key scenario. It is judged to be the aggregate of the 99.97% of wider spreads and rising interest rates. Individual shocks are around 80% of the estimated 99.97% shock divided by 2. However, the reverse correlation of the rates/spreads makes this scenario much less likely.</w:t>
      </w:r>
    </w:p>
    <w:p w14:paraId="6EACA816" w14:textId="77777777" w:rsidR="00D8645B" w:rsidRDefault="00D8645B" w:rsidP="0060309E">
      <w:pPr>
        <w:pStyle w:val="ListParagraph"/>
        <w:numPr>
          <w:ilvl w:val="0"/>
          <w:numId w:val="50"/>
        </w:numPr>
        <w:spacing w:after="160" w:line="360" w:lineRule="auto"/>
      </w:pPr>
      <w:r>
        <w:rPr>
          <w:u w:val="single"/>
        </w:rPr>
        <w:t>1974 Capital Baseline Scenario Table</w:t>
      </w:r>
      <w:r w:rsidRPr="00332B69">
        <w:t>:</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D8645B" w14:paraId="0CA2A94D" w14:textId="77777777" w:rsidTr="00664D46">
        <w:tc>
          <w:tcPr>
            <w:tcW w:w="2337" w:type="dxa"/>
            <w:vAlign w:val="center"/>
          </w:tcPr>
          <w:p w14:paraId="70B938EB" w14:textId="77777777" w:rsidR="00D8645B" w:rsidRPr="00332B69" w:rsidRDefault="00D8645B" w:rsidP="00664D46">
            <w:pPr>
              <w:spacing w:line="360" w:lineRule="auto"/>
              <w:jc w:val="center"/>
              <w:rPr>
                <w:b/>
              </w:rPr>
            </w:pPr>
            <w:r>
              <w:rPr>
                <w:b/>
              </w:rPr>
              <w:t>Market Factor</w:t>
            </w:r>
          </w:p>
        </w:tc>
        <w:tc>
          <w:tcPr>
            <w:tcW w:w="2337" w:type="dxa"/>
            <w:vAlign w:val="center"/>
          </w:tcPr>
          <w:p w14:paraId="0CC982FD" w14:textId="77777777" w:rsidR="00D8645B" w:rsidRPr="00332B69" w:rsidRDefault="00D8645B" w:rsidP="00664D46">
            <w:pPr>
              <w:spacing w:line="360" w:lineRule="auto"/>
              <w:jc w:val="center"/>
              <w:rPr>
                <w:b/>
              </w:rPr>
            </w:pPr>
            <w:r>
              <w:rPr>
                <w:b/>
              </w:rPr>
              <w:t>1974 Actual</w:t>
            </w:r>
          </w:p>
        </w:tc>
        <w:tc>
          <w:tcPr>
            <w:tcW w:w="2338" w:type="dxa"/>
            <w:vAlign w:val="center"/>
          </w:tcPr>
          <w:p w14:paraId="29B2E1E1" w14:textId="77777777" w:rsidR="00D8645B" w:rsidRPr="00332B69" w:rsidRDefault="00D8645B" w:rsidP="00664D46">
            <w:pPr>
              <w:spacing w:line="360" w:lineRule="auto"/>
              <w:jc w:val="center"/>
              <w:rPr>
                <w:b/>
              </w:rPr>
            </w:pPr>
            <w:r>
              <w:rPr>
                <w:b/>
              </w:rPr>
              <w:t>2008 Capital Baseline Shock</w:t>
            </w:r>
          </w:p>
        </w:tc>
        <w:tc>
          <w:tcPr>
            <w:tcW w:w="2338" w:type="dxa"/>
            <w:vAlign w:val="center"/>
          </w:tcPr>
          <w:p w14:paraId="4E903088" w14:textId="77777777" w:rsidR="00D8645B" w:rsidRPr="00332B69" w:rsidRDefault="00D8645B" w:rsidP="00664D46">
            <w:pPr>
              <w:spacing w:line="360" w:lineRule="auto"/>
              <w:jc w:val="center"/>
              <w:rPr>
                <w:b/>
              </w:rPr>
            </w:pPr>
            <w:r>
              <w:rPr>
                <w:b/>
              </w:rPr>
              <w:t>Rationale</w:t>
            </w:r>
          </w:p>
        </w:tc>
      </w:tr>
      <w:tr w:rsidR="00D8645B" w14:paraId="0F25F6D7" w14:textId="77777777" w:rsidTr="00664D46">
        <w:tc>
          <w:tcPr>
            <w:tcW w:w="2337" w:type="dxa"/>
            <w:vAlign w:val="center"/>
          </w:tcPr>
          <w:p w14:paraId="5745A4EC" w14:textId="77777777" w:rsidR="00D8645B" w:rsidRDefault="00D8645B" w:rsidP="00664D46">
            <w:pPr>
              <w:spacing w:line="360" w:lineRule="auto"/>
              <w:jc w:val="center"/>
            </w:pPr>
            <w:r>
              <w:t>Credit Spreads</w:t>
            </w:r>
          </w:p>
        </w:tc>
        <w:tc>
          <w:tcPr>
            <w:tcW w:w="2337" w:type="dxa"/>
            <w:vAlign w:val="center"/>
          </w:tcPr>
          <w:p w14:paraId="25D4C32F" w14:textId="77777777" w:rsidR="00D8645B" w:rsidRDefault="00D8645B" w:rsidP="00664D46">
            <w:pPr>
              <w:spacing w:line="360" w:lineRule="auto"/>
              <w:jc w:val="center"/>
            </w:pPr>
            <w:r>
              <w:t>56% of 2008 Actual</w:t>
            </w:r>
          </w:p>
        </w:tc>
        <w:tc>
          <w:tcPr>
            <w:tcW w:w="2338" w:type="dxa"/>
            <w:vAlign w:val="center"/>
          </w:tcPr>
          <w:p w14:paraId="6E50A68E" w14:textId="77777777" w:rsidR="00D8645B" w:rsidRDefault="00D8645B" w:rsidP="00664D46">
            <w:pPr>
              <w:spacing w:line="360" w:lineRule="auto"/>
              <w:jc w:val="center"/>
            </w:pPr>
            <w:r>
              <w:t>80% of 2008 actual for each instrument</w:t>
            </w:r>
          </w:p>
        </w:tc>
        <w:tc>
          <w:tcPr>
            <w:tcW w:w="2338" w:type="dxa"/>
            <w:vAlign w:val="center"/>
          </w:tcPr>
          <w:p w14:paraId="2712968A" w14:textId="77777777" w:rsidR="00D8645B" w:rsidRDefault="00D8645B" w:rsidP="00664D46">
            <w:pPr>
              <w:spacing w:line="360" w:lineRule="auto"/>
              <w:jc w:val="center"/>
            </w:pPr>
            <w:r>
              <w:t>Given t-5 distribution, this is about twice as likely as a 99.97% shock</w:t>
            </w:r>
          </w:p>
        </w:tc>
      </w:tr>
      <w:tr w:rsidR="00D8645B" w14:paraId="777F8D6C" w14:textId="77777777" w:rsidTr="00664D46">
        <w:tc>
          <w:tcPr>
            <w:tcW w:w="2337" w:type="dxa"/>
            <w:vAlign w:val="center"/>
          </w:tcPr>
          <w:p w14:paraId="3E7B4D41" w14:textId="77777777" w:rsidR="00D8645B" w:rsidRDefault="00D8645B" w:rsidP="00664D46">
            <w:pPr>
              <w:spacing w:line="360" w:lineRule="auto"/>
              <w:jc w:val="center"/>
            </w:pPr>
            <w:r>
              <w:t>DM Interest rates</w:t>
            </w:r>
          </w:p>
        </w:tc>
        <w:tc>
          <w:tcPr>
            <w:tcW w:w="2337" w:type="dxa"/>
            <w:vAlign w:val="center"/>
          </w:tcPr>
          <w:p w14:paraId="1B4F8477" w14:textId="77777777" w:rsidR="00D8645B" w:rsidRDefault="00D8645B" w:rsidP="00664D46">
            <w:pPr>
              <w:spacing w:line="360" w:lineRule="auto"/>
              <w:jc w:val="center"/>
            </w:pPr>
            <w:r>
              <w:t>+183 bp for 5Y treasury</w:t>
            </w:r>
          </w:p>
        </w:tc>
        <w:tc>
          <w:tcPr>
            <w:tcW w:w="2338" w:type="dxa"/>
            <w:vAlign w:val="center"/>
          </w:tcPr>
          <w:p w14:paraId="54999881" w14:textId="77777777" w:rsidR="00D8645B" w:rsidRDefault="00D8645B" w:rsidP="00664D46">
            <w:pPr>
              <w:spacing w:line="360" w:lineRule="auto"/>
              <w:jc w:val="center"/>
            </w:pPr>
            <w:r>
              <w:t>+150 bp</w:t>
            </w:r>
          </w:p>
        </w:tc>
        <w:tc>
          <w:tcPr>
            <w:tcW w:w="2338" w:type="dxa"/>
            <w:vAlign w:val="center"/>
          </w:tcPr>
          <w:p w14:paraId="237C6D73" w14:textId="77777777" w:rsidR="00D8645B" w:rsidRDefault="00D8645B" w:rsidP="00664D46">
            <w:pPr>
              <w:spacing w:line="360" w:lineRule="auto"/>
              <w:jc w:val="center"/>
            </w:pPr>
            <w:r>
              <w:t>Standalone 99.97% shock estimated at 90%. Multiply by ~80% - judgmental – then divide by 2</w:t>
            </w:r>
          </w:p>
        </w:tc>
      </w:tr>
      <w:tr w:rsidR="00D8645B" w14:paraId="38D077B1" w14:textId="77777777" w:rsidTr="00664D46">
        <w:tc>
          <w:tcPr>
            <w:tcW w:w="2337" w:type="dxa"/>
            <w:vAlign w:val="center"/>
          </w:tcPr>
          <w:p w14:paraId="73614E5C" w14:textId="77777777" w:rsidR="00D8645B" w:rsidRDefault="00D8645B" w:rsidP="00664D46">
            <w:pPr>
              <w:spacing w:line="360" w:lineRule="auto"/>
              <w:jc w:val="center"/>
            </w:pPr>
            <w:r>
              <w:t>EM Equity Prices</w:t>
            </w:r>
          </w:p>
        </w:tc>
        <w:tc>
          <w:tcPr>
            <w:tcW w:w="2337" w:type="dxa"/>
            <w:vAlign w:val="center"/>
          </w:tcPr>
          <w:p w14:paraId="77080F70" w14:textId="77777777" w:rsidR="00D8645B" w:rsidRDefault="00D8645B" w:rsidP="00664D46">
            <w:pPr>
              <w:spacing w:line="360" w:lineRule="auto"/>
              <w:jc w:val="center"/>
            </w:pPr>
            <w:r>
              <w:t>-30%</w:t>
            </w:r>
          </w:p>
        </w:tc>
        <w:tc>
          <w:tcPr>
            <w:tcW w:w="2338" w:type="dxa"/>
            <w:vAlign w:val="center"/>
          </w:tcPr>
          <w:p w14:paraId="0B452ACF" w14:textId="77777777" w:rsidR="00D8645B" w:rsidRDefault="00D8645B" w:rsidP="00664D46">
            <w:pPr>
              <w:spacing w:line="360" w:lineRule="auto"/>
              <w:jc w:val="center"/>
            </w:pPr>
            <w:r>
              <w:t>-25.5%</w:t>
            </w:r>
          </w:p>
        </w:tc>
        <w:tc>
          <w:tcPr>
            <w:tcW w:w="2338" w:type="dxa"/>
            <w:vAlign w:val="center"/>
          </w:tcPr>
          <w:p w14:paraId="7788090F" w14:textId="77777777" w:rsidR="00D8645B" w:rsidRDefault="00D8645B" w:rsidP="00664D46">
            <w:pPr>
              <w:spacing w:line="360" w:lineRule="auto"/>
              <w:jc w:val="center"/>
            </w:pPr>
            <w:r>
              <w:t>Multiply 2008 Capital Baseline by ~80%</w:t>
            </w:r>
          </w:p>
        </w:tc>
      </w:tr>
    </w:tbl>
    <w:p w14:paraId="308C82DD" w14:textId="77777777" w:rsidR="00D8645B" w:rsidRDefault="00D8645B" w:rsidP="00D8645B">
      <w:pPr>
        <w:spacing w:line="360" w:lineRule="auto"/>
      </w:pPr>
    </w:p>
    <w:p w14:paraId="19852FA7" w14:textId="77777777" w:rsidR="00D8645B" w:rsidRDefault="00D8645B" w:rsidP="00D8645B">
      <w:pPr>
        <w:spacing w:line="360" w:lineRule="auto"/>
      </w:pPr>
    </w:p>
    <w:p w14:paraId="2581EB91" w14:textId="77777777" w:rsidR="00D8645B" w:rsidRPr="006C662C" w:rsidRDefault="00D8645B" w:rsidP="00D8645B">
      <w:pPr>
        <w:spacing w:line="360" w:lineRule="auto"/>
        <w:rPr>
          <w:b/>
          <w:sz w:val="28"/>
          <w:szCs w:val="28"/>
        </w:rPr>
      </w:pPr>
      <w:r w:rsidRPr="006C662C">
        <w:rPr>
          <w:b/>
          <w:sz w:val="28"/>
          <w:szCs w:val="28"/>
        </w:rPr>
        <w:lastRenderedPageBreak/>
        <w:t>Step #3 – Business Specific Stress Tests</w:t>
      </w:r>
    </w:p>
    <w:p w14:paraId="0436E19C" w14:textId="77777777" w:rsidR="00D8645B" w:rsidRDefault="00D8645B" w:rsidP="00D8645B">
      <w:pPr>
        <w:spacing w:line="360" w:lineRule="auto"/>
      </w:pPr>
    </w:p>
    <w:p w14:paraId="4879DF89" w14:textId="77777777" w:rsidR="00D8645B" w:rsidRDefault="00D8645B" w:rsidP="0060309E">
      <w:pPr>
        <w:pStyle w:val="ListParagraph"/>
        <w:numPr>
          <w:ilvl w:val="0"/>
          <w:numId w:val="51"/>
        </w:numPr>
        <w:spacing w:after="160" w:line="360" w:lineRule="auto"/>
      </w:pPr>
      <w:r w:rsidRPr="006C662C">
        <w:rPr>
          <w:u w:val="single"/>
        </w:rPr>
        <w:t>Purpose of Business Specific Tests</w:t>
      </w:r>
      <w:r w:rsidRPr="006C662C">
        <w:t xml:space="preserve">: The purpose is to quantify material risks not quantified by GSST or VaR. Examples include exotic derivatives, merger arbitrage, and basis risks not in GSST. The cBSST or the </w:t>
      </w:r>
      <w:r w:rsidRPr="006C662C">
        <w:rPr>
          <w:i/>
        </w:rPr>
        <w:t>correlated</w:t>
      </w:r>
      <w:r w:rsidRPr="006C662C">
        <w:t xml:space="preserve"> BSST is typically used to address deficiencies in the GSST. The iBSST or </w:t>
      </w:r>
      <w:r w:rsidRPr="006C662C">
        <w:rPr>
          <w:i/>
        </w:rPr>
        <w:t>independent</w:t>
      </w:r>
      <w:r w:rsidRPr="006C662C">
        <w:t xml:space="preserve"> BSST is used to address the idiosyncratic risks. The loss occurs randomly, but is correlated with the GSST results.</w:t>
      </w:r>
    </w:p>
    <w:p w14:paraId="068157A6" w14:textId="77777777" w:rsidR="00D8645B" w:rsidRDefault="00D8645B" w:rsidP="0060309E">
      <w:pPr>
        <w:pStyle w:val="ListParagraph"/>
        <w:numPr>
          <w:ilvl w:val="0"/>
          <w:numId w:val="51"/>
        </w:numPr>
        <w:spacing w:after="160" w:line="360" w:lineRule="auto"/>
      </w:pPr>
      <w:r>
        <w:rPr>
          <w:u w:val="single"/>
        </w:rPr>
        <w:t>Guidelines to Developing Business Tests</w:t>
      </w:r>
      <w:r w:rsidRPr="006C662C">
        <w:t>:</w:t>
      </w:r>
      <w:r>
        <w:t xml:space="preserve"> A BSST is required if risk is not accurately captured by VaR or GSST. It would typically be proposed by risk managers, and agreed to with the business. The update process is monthly, and the updates will be done as the potions change. Typically, certain materiality tests may be app-lied. For instance, if the correlation is zero, the loss amount may be estimated as 5% of the business GSST loss amount with a lower floor – say $25 million loss amount. If the correlation is high, the floor may be set at a smaller amount, e.g., $5 million. The probability is set to 1-in-</w:t>
      </w:r>
      <w:proofErr w:type="gramStart"/>
      <w:r>
        <w:t>50 year</w:t>
      </w:r>
      <w:proofErr w:type="gramEnd"/>
      <w:r>
        <w:t xml:space="preserve"> confidence level for linear risks. The defeasance period is treated to be a maximum of one year. This is based on conservative period to defease the exposure in a stressed environment.</w:t>
      </w:r>
    </w:p>
    <w:p w14:paraId="2B0C3CB8" w14:textId="77777777" w:rsidR="00D8645B" w:rsidRDefault="00D8645B" w:rsidP="00D8645B">
      <w:pPr>
        <w:spacing w:line="360" w:lineRule="auto"/>
      </w:pPr>
    </w:p>
    <w:p w14:paraId="0F822847" w14:textId="77777777" w:rsidR="00D8645B" w:rsidRDefault="00D8645B" w:rsidP="00D8645B">
      <w:pPr>
        <w:spacing w:line="360" w:lineRule="auto"/>
      </w:pPr>
    </w:p>
    <w:p w14:paraId="0F4FDF92" w14:textId="77777777" w:rsidR="00D8645B" w:rsidRPr="00452C21" w:rsidRDefault="00D8645B" w:rsidP="00D8645B">
      <w:pPr>
        <w:spacing w:line="360" w:lineRule="auto"/>
        <w:rPr>
          <w:b/>
          <w:sz w:val="28"/>
          <w:szCs w:val="28"/>
        </w:rPr>
      </w:pPr>
      <w:r w:rsidRPr="00452C21">
        <w:rPr>
          <w:b/>
          <w:sz w:val="28"/>
          <w:szCs w:val="28"/>
        </w:rPr>
        <w:t>VaR-Stress integrates VaR and Stress Results</w:t>
      </w:r>
    </w:p>
    <w:p w14:paraId="0640AB3A" w14:textId="77777777" w:rsidR="00D8645B" w:rsidRDefault="00D8645B" w:rsidP="00D8645B">
      <w:pPr>
        <w:spacing w:line="360" w:lineRule="auto"/>
      </w:pPr>
    </w:p>
    <w:p w14:paraId="79F5729C" w14:textId="77777777" w:rsidR="00D8645B" w:rsidRPr="006C662C" w:rsidRDefault="00D8645B" w:rsidP="0060309E">
      <w:pPr>
        <w:pStyle w:val="ListParagraph"/>
        <w:numPr>
          <w:ilvl w:val="0"/>
          <w:numId w:val="53"/>
        </w:numPr>
        <w:spacing w:after="160" w:line="360" w:lineRule="auto"/>
      </w:pPr>
      <w:r w:rsidRPr="006C662C">
        <w:rPr>
          <w:u w:val="single"/>
        </w:rPr>
        <w:t>Annualized VaR</w:t>
      </w:r>
      <w:r w:rsidRPr="006C662C">
        <w:t>:</w:t>
      </w:r>
    </w:p>
    <w:p w14:paraId="583AC0C2" w14:textId="77777777" w:rsidR="00D8645B" w:rsidRDefault="00D8645B" w:rsidP="0060309E">
      <w:pPr>
        <w:pStyle w:val="ListParagraph"/>
        <w:numPr>
          <w:ilvl w:val="0"/>
          <w:numId w:val="52"/>
        </w:numPr>
        <w:spacing w:after="160" w:line="360" w:lineRule="auto"/>
      </w:pPr>
      <w:r>
        <w:t>VaR is simulated as a Normal Random variable.</w:t>
      </w:r>
    </w:p>
    <w:p w14:paraId="6101B681" w14:textId="77777777" w:rsidR="00D8645B" w:rsidRDefault="00D8645B" w:rsidP="0060309E">
      <w:pPr>
        <w:pStyle w:val="ListParagraph"/>
        <w:numPr>
          <w:ilvl w:val="0"/>
          <w:numId w:val="52"/>
        </w:numPr>
        <w:spacing w:after="160" w:line="360" w:lineRule="auto"/>
      </w:pPr>
      <w:r>
        <w:t>VaR is computed based on through-the-cycle volatilities, not current volatilities, to avoid pro-cyclicality.</w:t>
      </w:r>
    </w:p>
    <w:p w14:paraId="19C35F83" w14:textId="77777777" w:rsidR="00D8645B" w:rsidRDefault="00D8645B" w:rsidP="0060309E">
      <w:pPr>
        <w:pStyle w:val="ListParagraph"/>
        <w:numPr>
          <w:ilvl w:val="0"/>
          <w:numId w:val="52"/>
        </w:numPr>
        <w:spacing w:after="160" w:line="360" w:lineRule="auto"/>
      </w:pPr>
      <w:r>
        <w:t xml:space="preserve">VaR is scaled to be half of the 99.97% 1Y </w:t>
      </w:r>
      <w:proofErr w:type="spellStart"/>
      <w:r>
        <w:t>c.i.</w:t>
      </w:r>
      <w:proofErr w:type="spellEnd"/>
    </w:p>
    <w:p w14:paraId="7733E699" w14:textId="77777777" w:rsidR="00D8645B" w:rsidRDefault="00D8645B" w:rsidP="0060309E">
      <w:pPr>
        <w:pStyle w:val="ListParagraph"/>
        <w:numPr>
          <w:ilvl w:val="0"/>
          <w:numId w:val="52"/>
        </w:numPr>
        <w:spacing w:after="160" w:line="360" w:lineRule="auto"/>
      </w:pPr>
      <w:r>
        <w:t>The VaR based outcome is assumed to be uncorrelated with the stress results. Therefore, it represents idiosyncratic risk.</w:t>
      </w:r>
    </w:p>
    <w:p w14:paraId="1D227CC3" w14:textId="77777777" w:rsidR="00D8645B" w:rsidRDefault="00D8645B" w:rsidP="0060309E">
      <w:pPr>
        <w:pStyle w:val="ListParagraph"/>
        <w:numPr>
          <w:ilvl w:val="0"/>
          <w:numId w:val="53"/>
        </w:numPr>
        <w:spacing w:after="160" w:line="360" w:lineRule="auto"/>
      </w:pPr>
      <w:r w:rsidRPr="00065F8B">
        <w:rPr>
          <w:u w:val="single"/>
        </w:rPr>
        <w:t>Systemic Stresses (GSST)</w:t>
      </w:r>
      <w:r>
        <w:t>:</w:t>
      </w:r>
    </w:p>
    <w:p w14:paraId="4F18FE02" w14:textId="77777777" w:rsidR="00D8645B" w:rsidRDefault="00D8645B" w:rsidP="0060309E">
      <w:pPr>
        <w:pStyle w:val="ListParagraph"/>
        <w:numPr>
          <w:ilvl w:val="1"/>
          <w:numId w:val="53"/>
        </w:numPr>
        <w:spacing w:after="160" w:line="360" w:lineRule="auto"/>
      </w:pPr>
      <w:r>
        <w:t>In 88% of the simulations, there is no stress loss.</w:t>
      </w:r>
    </w:p>
    <w:p w14:paraId="0CD58346" w14:textId="77777777" w:rsidR="00D8645B" w:rsidRDefault="00D8645B" w:rsidP="0060309E">
      <w:pPr>
        <w:pStyle w:val="ListParagraph"/>
        <w:numPr>
          <w:ilvl w:val="1"/>
          <w:numId w:val="53"/>
        </w:numPr>
        <w:spacing w:after="160" w:line="360" w:lineRule="auto"/>
      </w:pPr>
      <w:r>
        <w:lastRenderedPageBreak/>
        <w:t>In 12% of simulated outcomes, one of 6 GSST scenarios is randomly selected – at 2% probability for each scenario.</w:t>
      </w:r>
    </w:p>
    <w:p w14:paraId="7619C129" w14:textId="77777777" w:rsidR="00D8645B" w:rsidRDefault="00D8645B" w:rsidP="0060309E">
      <w:pPr>
        <w:pStyle w:val="ListParagraph"/>
        <w:numPr>
          <w:ilvl w:val="1"/>
          <w:numId w:val="53"/>
        </w:numPr>
        <w:spacing w:after="160" w:line="360" w:lineRule="auto"/>
      </w:pPr>
      <w:r>
        <w:t>Each position is revalued using the assumptions corresponding to the selected GSST scenario.</w:t>
      </w:r>
    </w:p>
    <w:p w14:paraId="55142C97" w14:textId="77777777" w:rsidR="00D8645B" w:rsidRDefault="00D8645B" w:rsidP="0060309E">
      <w:pPr>
        <w:pStyle w:val="ListParagraph"/>
        <w:numPr>
          <w:ilvl w:val="0"/>
          <w:numId w:val="53"/>
        </w:numPr>
        <w:spacing w:after="160" w:line="360" w:lineRule="auto"/>
      </w:pPr>
      <w:r w:rsidRPr="00065F8B">
        <w:rPr>
          <w:u w:val="single"/>
        </w:rPr>
        <w:t>Business Specific Stress Tests BSST</w:t>
      </w:r>
      <w:r>
        <w:t>:</w:t>
      </w:r>
    </w:p>
    <w:p w14:paraId="01FF8FE0" w14:textId="77777777" w:rsidR="00D8645B" w:rsidRDefault="00D8645B" w:rsidP="0060309E">
      <w:pPr>
        <w:pStyle w:val="ListParagraph"/>
        <w:numPr>
          <w:ilvl w:val="1"/>
          <w:numId w:val="53"/>
        </w:numPr>
        <w:spacing w:after="160" w:line="360" w:lineRule="auto"/>
      </w:pPr>
      <w:r>
        <w:t>BSST represents the 1-in-50 downside losses for linear risks. For non-linear risks, the BSST loss is the 99.97% loss divided by 2.</w:t>
      </w:r>
    </w:p>
    <w:p w14:paraId="443F30E2" w14:textId="77777777" w:rsidR="00D8645B" w:rsidRDefault="00D8645B" w:rsidP="0060309E">
      <w:pPr>
        <w:pStyle w:val="ListParagraph"/>
        <w:numPr>
          <w:ilvl w:val="1"/>
          <w:numId w:val="53"/>
        </w:numPr>
        <w:spacing w:after="160" w:line="360" w:lineRule="auto"/>
      </w:pPr>
      <w:r>
        <w:t>Each iBSST is simulated separately as a binomial variable with a given probability.</w:t>
      </w:r>
    </w:p>
    <w:p w14:paraId="474323E6" w14:textId="77777777" w:rsidR="00D8645B" w:rsidRDefault="00D8645B" w:rsidP="0060309E">
      <w:pPr>
        <w:pStyle w:val="ListParagraph"/>
        <w:numPr>
          <w:ilvl w:val="1"/>
          <w:numId w:val="53"/>
        </w:numPr>
        <w:spacing w:after="160" w:line="360" w:lineRule="auto"/>
      </w:pPr>
      <w:r>
        <w:t>Each cBSST is specified by the Market Risk Manager for each of the GSST scenarios.</w:t>
      </w:r>
    </w:p>
    <w:p w14:paraId="75C4F835" w14:textId="77777777" w:rsidR="00D8645B" w:rsidRDefault="00D8645B" w:rsidP="0060309E">
      <w:pPr>
        <w:pStyle w:val="ListParagraph"/>
        <w:numPr>
          <w:ilvl w:val="0"/>
          <w:numId w:val="53"/>
        </w:numPr>
        <w:spacing w:after="160" w:line="360" w:lineRule="auto"/>
      </w:pPr>
      <w:r w:rsidRPr="00065F8B">
        <w:rPr>
          <w:u w:val="single"/>
        </w:rPr>
        <w:t>Total Loss in a Path</w:t>
      </w:r>
      <w:r>
        <w:t>: In each scenario, the total loss outcome is the sum of the VaR PnL, the GSST PnL, and the BSST outcome(s).</w:t>
      </w:r>
    </w:p>
    <w:p w14:paraId="2072F84D" w14:textId="77777777" w:rsidR="00D8645B" w:rsidRDefault="00D8645B" w:rsidP="0060309E">
      <w:pPr>
        <w:pStyle w:val="ListParagraph"/>
        <w:numPr>
          <w:ilvl w:val="0"/>
          <w:numId w:val="53"/>
        </w:numPr>
        <w:spacing w:after="160" w:line="360" w:lineRule="auto"/>
      </w:pPr>
      <w:r>
        <w:rPr>
          <w:u w:val="single"/>
        </w:rPr>
        <w:t>The VaR Stress Capital Estimate</w:t>
      </w:r>
      <w:r w:rsidRPr="00065F8B">
        <w:t>:</w:t>
      </w:r>
      <w:r>
        <w:t xml:space="preserve"> The VaR-stress equals the average loss in the 98</w:t>
      </w:r>
      <w:r w:rsidRPr="00065F8B">
        <w:rPr>
          <w:vertAlign w:val="superscript"/>
        </w:rPr>
        <w:t>th</w:t>
      </w:r>
      <w:r>
        <w:t xml:space="preserve"> percentile tail. The 98</w:t>
      </w:r>
      <w:r w:rsidRPr="00065F8B">
        <w:rPr>
          <w:vertAlign w:val="superscript"/>
        </w:rPr>
        <w:t>th</w:t>
      </w:r>
      <w:r>
        <w:t xml:space="preserve"> percentile tail is the average of the worst 200 outcomes out of 10,000 simulated scenarios.</w:t>
      </w:r>
    </w:p>
    <w:p w14:paraId="75AC5CF0" w14:textId="77777777" w:rsidR="00D8645B" w:rsidRDefault="00D8645B" w:rsidP="0060309E">
      <w:pPr>
        <w:pStyle w:val="ListParagraph"/>
        <w:numPr>
          <w:ilvl w:val="0"/>
          <w:numId w:val="53"/>
        </w:numPr>
        <w:spacing w:after="160" w:line="360" w:lineRule="auto"/>
      </w:pPr>
      <w:r>
        <w:rPr>
          <w:u w:val="single"/>
        </w:rPr>
        <w:t>Risk Capital Estimated at 99</w:t>
      </w:r>
      <w:r w:rsidRPr="00065F8B">
        <w:rPr>
          <w:u w:val="single"/>
        </w:rPr>
        <w:t>.97%</w:t>
      </w:r>
      <w:r>
        <w:t>: The loss is then scaled by 2x to estimate the risk capital at 99.97%.</w:t>
      </w:r>
    </w:p>
    <w:p w14:paraId="70766184" w14:textId="77777777" w:rsidR="00D8645B" w:rsidRDefault="00D8645B" w:rsidP="00D8645B">
      <w:pPr>
        <w:spacing w:line="360" w:lineRule="auto"/>
      </w:pPr>
    </w:p>
    <w:p w14:paraId="0887E863" w14:textId="77777777" w:rsidR="00D8645B" w:rsidRDefault="00D8645B" w:rsidP="00D8645B">
      <w:pPr>
        <w:spacing w:line="360" w:lineRule="auto"/>
      </w:pPr>
    </w:p>
    <w:p w14:paraId="60EAD2F0" w14:textId="77777777" w:rsidR="00D8645B" w:rsidRPr="0039088C" w:rsidRDefault="00D8645B" w:rsidP="00D8645B">
      <w:pPr>
        <w:spacing w:line="360" w:lineRule="auto"/>
        <w:rPr>
          <w:b/>
          <w:sz w:val="28"/>
          <w:szCs w:val="28"/>
        </w:rPr>
      </w:pPr>
      <w:r w:rsidRPr="0039088C">
        <w:rPr>
          <w:b/>
          <w:sz w:val="28"/>
          <w:szCs w:val="28"/>
        </w:rPr>
        <w:t>Illustration of VaR-Stress Process</w:t>
      </w:r>
    </w:p>
    <w:p w14:paraId="2BAB2B23" w14:textId="77777777" w:rsidR="00D8645B" w:rsidRDefault="00D8645B" w:rsidP="00D8645B">
      <w:pPr>
        <w:spacing w:line="360" w:lineRule="auto"/>
      </w:pPr>
    </w:p>
    <w:p w14:paraId="60A2B168" w14:textId="77777777" w:rsidR="00D8645B" w:rsidRDefault="00D8645B" w:rsidP="0060309E">
      <w:pPr>
        <w:pStyle w:val="ListParagraph"/>
        <w:numPr>
          <w:ilvl w:val="0"/>
          <w:numId w:val="54"/>
        </w:numPr>
        <w:spacing w:after="160" w:line="360" w:lineRule="auto"/>
      </w:pPr>
      <w:r w:rsidRPr="0039088C">
        <w:t>Generate a simple annualized VaR distribution.</w:t>
      </w:r>
    </w:p>
    <w:p w14:paraId="5C7CDEDC" w14:textId="77777777" w:rsidR="00D8645B" w:rsidRDefault="00D8645B" w:rsidP="0060309E">
      <w:pPr>
        <w:pStyle w:val="ListParagraph"/>
        <w:numPr>
          <w:ilvl w:val="0"/>
          <w:numId w:val="54"/>
        </w:numPr>
        <w:spacing w:after="160" w:line="360" w:lineRule="auto"/>
      </w:pPr>
      <w:r>
        <w:t>Compute the gain or loss from the six stress scenarios.</w:t>
      </w:r>
    </w:p>
    <w:p w14:paraId="3D7E9655" w14:textId="77777777" w:rsidR="00D8645B" w:rsidRDefault="00D8645B" w:rsidP="0060309E">
      <w:pPr>
        <w:pStyle w:val="ListParagraph"/>
        <w:numPr>
          <w:ilvl w:val="0"/>
          <w:numId w:val="54"/>
        </w:numPr>
        <w:spacing w:after="160" w:line="360" w:lineRule="auto"/>
      </w:pPr>
      <w:r>
        <w:t>Generate the 6 annualized VaR distribution centered the six stress scenarios using the initial distribution.</w:t>
      </w:r>
    </w:p>
    <w:p w14:paraId="3C5A10BF" w14:textId="77777777" w:rsidR="00D8645B" w:rsidRDefault="00D8645B" w:rsidP="0060309E">
      <w:pPr>
        <w:pStyle w:val="ListParagraph"/>
        <w:numPr>
          <w:ilvl w:val="0"/>
          <w:numId w:val="54"/>
        </w:numPr>
        <w:spacing w:after="160" w:line="360" w:lineRule="auto"/>
      </w:pPr>
      <w:r>
        <w:t>Finally, generate the fat annualized tail distribution.</w:t>
      </w:r>
    </w:p>
    <w:p w14:paraId="66414F5E" w14:textId="77777777" w:rsidR="00D8645B" w:rsidRDefault="00D8645B" w:rsidP="00D8645B">
      <w:pPr>
        <w:spacing w:line="360" w:lineRule="auto"/>
      </w:pPr>
    </w:p>
    <w:p w14:paraId="728EBD22" w14:textId="77777777" w:rsidR="00D8645B" w:rsidRDefault="00D8645B" w:rsidP="00D8645B">
      <w:pPr>
        <w:spacing w:line="360" w:lineRule="auto"/>
      </w:pPr>
    </w:p>
    <w:p w14:paraId="68FAC872" w14:textId="77777777" w:rsidR="00D8645B" w:rsidRPr="0039088C" w:rsidRDefault="00D8645B" w:rsidP="00D8645B">
      <w:pPr>
        <w:spacing w:line="360" w:lineRule="auto"/>
        <w:rPr>
          <w:b/>
          <w:sz w:val="28"/>
          <w:szCs w:val="28"/>
        </w:rPr>
      </w:pPr>
      <w:r w:rsidRPr="0039088C">
        <w:rPr>
          <w:b/>
          <w:sz w:val="28"/>
          <w:szCs w:val="28"/>
        </w:rPr>
        <w:t>Allocation of Total Risk Capital to each Business</w:t>
      </w:r>
    </w:p>
    <w:p w14:paraId="77E8AA6E" w14:textId="77777777" w:rsidR="00D8645B" w:rsidRDefault="00D8645B" w:rsidP="00D8645B">
      <w:pPr>
        <w:spacing w:line="360" w:lineRule="auto"/>
      </w:pPr>
    </w:p>
    <w:p w14:paraId="33DF492E" w14:textId="77777777" w:rsidR="00D8645B" w:rsidRDefault="00D8645B" w:rsidP="0060309E">
      <w:pPr>
        <w:pStyle w:val="ListParagraph"/>
        <w:numPr>
          <w:ilvl w:val="0"/>
          <w:numId w:val="55"/>
        </w:numPr>
        <w:spacing w:after="160" w:line="360" w:lineRule="auto"/>
      </w:pPr>
      <w:r w:rsidRPr="0039088C">
        <w:rPr>
          <w:u w:val="single"/>
        </w:rPr>
        <w:t>Allocating the VaR-stress Capital</w:t>
      </w:r>
      <w:r w:rsidRPr="0039088C">
        <w:t>: The total VaR-stress RC is allocated among the businesses. This uses the large diversification benefit among the businesses. The following are the objectives of an allocation methodo</w:t>
      </w:r>
      <w:r>
        <w:t>logy:</w:t>
      </w:r>
    </w:p>
    <w:p w14:paraId="18073012" w14:textId="77777777" w:rsidR="00D8645B" w:rsidRDefault="00D8645B" w:rsidP="0060309E">
      <w:pPr>
        <w:pStyle w:val="ListParagraph"/>
        <w:numPr>
          <w:ilvl w:val="1"/>
          <w:numId w:val="55"/>
        </w:numPr>
        <w:spacing w:after="160" w:line="360" w:lineRule="auto"/>
      </w:pPr>
      <w:r>
        <w:t>Simple and stable over time.</w:t>
      </w:r>
    </w:p>
    <w:p w14:paraId="66CBEB84" w14:textId="77777777" w:rsidR="00D8645B" w:rsidRDefault="00D8645B" w:rsidP="0060309E">
      <w:pPr>
        <w:pStyle w:val="ListParagraph"/>
        <w:numPr>
          <w:ilvl w:val="1"/>
          <w:numId w:val="55"/>
        </w:numPr>
        <w:spacing w:after="160" w:line="360" w:lineRule="auto"/>
      </w:pPr>
      <w:r>
        <w:t>Diversified RC for each business should be proportional to the business’ standalone risk.</w:t>
      </w:r>
    </w:p>
    <w:p w14:paraId="38172402" w14:textId="77777777" w:rsidR="00D8645B" w:rsidRDefault="00D8645B" w:rsidP="0060309E">
      <w:pPr>
        <w:pStyle w:val="ListParagraph"/>
        <w:numPr>
          <w:ilvl w:val="1"/>
          <w:numId w:val="55"/>
        </w:numPr>
        <w:spacing w:after="160" w:line="360" w:lineRule="auto"/>
      </w:pPr>
      <w:r>
        <w:t>The business allocations have to add up to the total VaR-stress outcome.</w:t>
      </w:r>
    </w:p>
    <w:p w14:paraId="6ACD40A2" w14:textId="77777777" w:rsidR="00D8645B" w:rsidRDefault="00D8645B" w:rsidP="0060309E">
      <w:pPr>
        <w:pStyle w:val="ListParagraph"/>
        <w:numPr>
          <w:ilvl w:val="0"/>
          <w:numId w:val="55"/>
        </w:numPr>
        <w:spacing w:after="160" w:line="360" w:lineRule="auto"/>
      </w:pPr>
      <w:r w:rsidRPr="0039088C">
        <w:rPr>
          <w:u w:val="single"/>
        </w:rPr>
        <w:t>Pro-rata and Contributory Allocation Approaches</w:t>
      </w:r>
      <w:r>
        <w:t>:</w:t>
      </w:r>
    </w:p>
    <w:p w14:paraId="5F3573DF" w14:textId="77777777" w:rsidR="00D8645B" w:rsidRDefault="00D8645B" w:rsidP="0060309E">
      <w:pPr>
        <w:pStyle w:val="ListParagraph"/>
        <w:numPr>
          <w:ilvl w:val="1"/>
          <w:numId w:val="55"/>
        </w:numPr>
        <w:spacing w:after="160" w:line="360" w:lineRule="auto"/>
      </w:pPr>
      <w:r>
        <w:t>In the pro-rata approach, the business capital allocation fraction equals the standalone business RC divided by the sum of the standalone RC of all the other businesses. The concern with this approach is that this does not adjust for the different correlations and the level of systemic risk.</w:t>
      </w:r>
    </w:p>
    <w:p w14:paraId="20AB16F1" w14:textId="77777777" w:rsidR="00D8645B" w:rsidRDefault="00D8645B" w:rsidP="0060309E">
      <w:pPr>
        <w:pStyle w:val="ListParagraph"/>
        <w:numPr>
          <w:ilvl w:val="1"/>
          <w:numId w:val="55"/>
        </w:numPr>
        <w:spacing w:after="160" w:line="360" w:lineRule="auto"/>
      </w:pPr>
      <w:r>
        <w:t>In the contributory approach, the business capital equals the incremental marginal impact of each business to the total risk capital. However, this can lead to negative allocations. Further, the allocated capital can also be unstable across time.</w:t>
      </w:r>
    </w:p>
    <w:p w14:paraId="5E9BE8BA" w14:textId="77777777" w:rsidR="00D8645B" w:rsidRDefault="00D8645B" w:rsidP="0060309E">
      <w:pPr>
        <w:pStyle w:val="ListParagraph"/>
        <w:numPr>
          <w:ilvl w:val="0"/>
          <w:numId w:val="55"/>
        </w:numPr>
        <w:spacing w:after="160" w:line="360" w:lineRule="auto"/>
      </w:pPr>
      <w:r w:rsidRPr="005A7D25">
        <w:rPr>
          <w:u w:val="single"/>
        </w:rPr>
        <w:t>Beta Approach for Capital Allocation</w:t>
      </w:r>
      <w:r>
        <w:t xml:space="preserve">: To address the above issues, a </w:t>
      </w:r>
      <w:r>
        <w:rPr>
          <w:i/>
        </w:rPr>
        <w:t>beta</w:t>
      </w:r>
      <w:r>
        <w:t xml:space="preserve"> approach is used for the allocation to the businesses.</w:t>
      </w:r>
    </w:p>
    <w:p w14:paraId="1E3C04DC" w14:textId="77777777" w:rsidR="00D8645B" w:rsidRDefault="00D8645B" w:rsidP="0060309E">
      <w:pPr>
        <w:pStyle w:val="ListParagraph"/>
        <w:numPr>
          <w:ilvl w:val="1"/>
          <w:numId w:val="55"/>
        </w:numPr>
        <w:spacing w:after="160" w:line="360" w:lineRule="auto"/>
      </w:pPr>
      <w:r>
        <w:t>The beta measures the level of systemic risk for a business.</w:t>
      </w:r>
    </w:p>
    <w:p w14:paraId="7F9324DD" w14:textId="77777777" w:rsidR="00D8645B" w:rsidRDefault="00D8645B" w:rsidP="0060309E">
      <w:pPr>
        <w:pStyle w:val="ListParagraph"/>
        <w:numPr>
          <w:ilvl w:val="1"/>
          <w:numId w:val="55"/>
        </w:numPr>
        <w:spacing w:after="160" w:line="360" w:lineRule="auto"/>
      </w:pPr>
      <w:r>
        <w:t>Beta has three values – high, medium, or low.</w:t>
      </w:r>
    </w:p>
    <w:p w14:paraId="4AFA3449" w14:textId="77777777" w:rsidR="00D8645B" w:rsidRDefault="00D8645B" w:rsidP="0060309E">
      <w:pPr>
        <w:pStyle w:val="ListParagraph"/>
        <w:numPr>
          <w:ilvl w:val="1"/>
          <w:numId w:val="55"/>
        </w:numPr>
        <w:spacing w:after="160" w:line="360" w:lineRule="auto"/>
      </w:pPr>
      <w:r>
        <w:t>The RC allocated to each business is the product of the business beta and the business standalone RC.</w:t>
      </w:r>
    </w:p>
    <w:p w14:paraId="7BB4B40D" w14:textId="77777777" w:rsidR="00D8645B" w:rsidRDefault="00D8645B" w:rsidP="0060309E">
      <w:pPr>
        <w:pStyle w:val="ListParagraph"/>
        <w:numPr>
          <w:ilvl w:val="1"/>
          <w:numId w:val="55"/>
        </w:numPr>
        <w:spacing w:after="160" w:line="360" w:lineRule="auto"/>
      </w:pPr>
      <w:r>
        <w:t>Betas may be calibrated each quarter such that the sum of business capital equals the total VaR-stress capital.</w:t>
      </w:r>
    </w:p>
    <w:p w14:paraId="5E6C4743" w14:textId="77777777" w:rsidR="00D8645B" w:rsidRDefault="00D8645B" w:rsidP="0060309E">
      <w:pPr>
        <w:pStyle w:val="ListParagraph"/>
        <w:numPr>
          <w:ilvl w:val="0"/>
          <w:numId w:val="55"/>
        </w:numPr>
        <w:spacing w:after="160" w:line="360" w:lineRule="auto"/>
      </w:pPr>
      <w:r>
        <w:rPr>
          <w:u w:val="single"/>
        </w:rPr>
        <w:t>Determination of</w:t>
      </w:r>
      <w:r w:rsidRPr="005A7D25">
        <w:rPr>
          <w:u w:val="single"/>
        </w:rPr>
        <w:t xml:space="preserve"> </w:t>
      </w:r>
      <w:r>
        <w:rPr>
          <w:u w:val="single"/>
        </w:rPr>
        <w:t xml:space="preserve">the </w:t>
      </w:r>
      <w:r w:rsidRPr="005A7D25">
        <w:rPr>
          <w:u w:val="single"/>
        </w:rPr>
        <w:t>Beta</w:t>
      </w:r>
      <w:r>
        <w:rPr>
          <w:u w:val="single"/>
        </w:rPr>
        <w:t>s</w:t>
      </w:r>
      <w:r>
        <w:t>: First, estimation of the systemic risk of each business is required.</w:t>
      </w:r>
    </w:p>
    <w:p w14:paraId="7AF6CEF2" w14:textId="77777777" w:rsidR="00D8645B" w:rsidRDefault="00D8645B" w:rsidP="0060309E">
      <w:pPr>
        <w:pStyle w:val="ListParagraph"/>
        <w:numPr>
          <w:ilvl w:val="1"/>
          <w:numId w:val="55"/>
        </w:numPr>
        <w:spacing w:after="160" w:line="360" w:lineRule="auto"/>
      </w:pPr>
      <w:r>
        <w:t>First, correlation between each business revenue and a suitable credit spread index must be performed.</w:t>
      </w:r>
    </w:p>
    <w:p w14:paraId="696E128C" w14:textId="77777777" w:rsidR="00D8645B" w:rsidRDefault="00D8645B" w:rsidP="0060309E">
      <w:pPr>
        <w:pStyle w:val="ListParagraph"/>
        <w:numPr>
          <w:ilvl w:val="1"/>
          <w:numId w:val="55"/>
        </w:numPr>
        <w:spacing w:after="160" w:line="360" w:lineRule="auto"/>
      </w:pPr>
      <w:r>
        <w:t>The core of the BHC risk is credit, so a high correlation with credit means that the business adds directly to the BHC’s core risk.</w:t>
      </w:r>
    </w:p>
    <w:p w14:paraId="3ECA6FC8" w14:textId="77777777" w:rsidR="00D8645B" w:rsidRDefault="00D8645B" w:rsidP="0060309E">
      <w:pPr>
        <w:pStyle w:val="ListParagraph"/>
        <w:numPr>
          <w:ilvl w:val="1"/>
          <w:numId w:val="55"/>
        </w:numPr>
        <w:spacing w:after="160" w:line="360" w:lineRule="auto"/>
      </w:pPr>
      <w:r>
        <w:lastRenderedPageBreak/>
        <w:t>The historical correlation must be adjusted judgmentally to reflect structural business risks and potential loss of liquidity in a crisis.</w:t>
      </w:r>
    </w:p>
    <w:p w14:paraId="772F2D36" w14:textId="77777777" w:rsidR="00D8645B" w:rsidRDefault="00D8645B" w:rsidP="0060309E">
      <w:pPr>
        <w:pStyle w:val="ListParagraph"/>
        <w:numPr>
          <w:ilvl w:val="0"/>
          <w:numId w:val="55"/>
        </w:numPr>
        <w:spacing w:after="160" w:line="360" w:lineRule="auto"/>
      </w:pPr>
      <w:r w:rsidRPr="008E062F">
        <w:rPr>
          <w:u w:val="single"/>
        </w:rPr>
        <w:t>Beta Table for Historical Correlation</w:t>
      </w:r>
      <w:r>
        <w:t>: Each quarter, x is re-calibrated so that the sum of the RC is the total BHC RC.</w:t>
      </w:r>
    </w:p>
    <w:tbl>
      <w:tblPr>
        <w:tblStyle w:val="TableGrid"/>
        <w:tblW w:w="0" w:type="auto"/>
        <w:tblLook w:val="04A0" w:firstRow="1" w:lastRow="0" w:firstColumn="1" w:lastColumn="0" w:noHBand="0" w:noVBand="1"/>
      </w:tblPr>
      <w:tblGrid>
        <w:gridCol w:w="3116"/>
        <w:gridCol w:w="3117"/>
        <w:gridCol w:w="3117"/>
      </w:tblGrid>
      <w:tr w:rsidR="00D8645B" w14:paraId="56451547" w14:textId="77777777" w:rsidTr="00664D46">
        <w:tc>
          <w:tcPr>
            <w:tcW w:w="3116" w:type="dxa"/>
            <w:vAlign w:val="center"/>
          </w:tcPr>
          <w:p w14:paraId="67E65D7C" w14:textId="77777777" w:rsidR="00D8645B" w:rsidRPr="008E062F" w:rsidRDefault="00D8645B" w:rsidP="00664D46">
            <w:pPr>
              <w:spacing w:line="360" w:lineRule="auto"/>
              <w:jc w:val="center"/>
              <w:rPr>
                <w:b/>
              </w:rPr>
            </w:pPr>
            <w:r>
              <w:rPr>
                <w:b/>
              </w:rPr>
              <w:t>Historical Correlation Beta Bucket</w:t>
            </w:r>
          </w:p>
        </w:tc>
        <w:tc>
          <w:tcPr>
            <w:tcW w:w="3117" w:type="dxa"/>
            <w:vAlign w:val="center"/>
          </w:tcPr>
          <w:p w14:paraId="0B9D5B68" w14:textId="77777777" w:rsidR="00D8645B" w:rsidRPr="008E062F" w:rsidRDefault="00D8645B" w:rsidP="00664D46">
            <w:pPr>
              <w:spacing w:line="360" w:lineRule="auto"/>
              <w:jc w:val="center"/>
              <w:rPr>
                <w:b/>
              </w:rPr>
            </w:pPr>
            <w:r>
              <w:rPr>
                <w:b/>
              </w:rPr>
              <w:t>Starting Beta (say, 2010 beta)</w:t>
            </w:r>
          </w:p>
        </w:tc>
        <w:tc>
          <w:tcPr>
            <w:tcW w:w="3117" w:type="dxa"/>
            <w:vAlign w:val="center"/>
          </w:tcPr>
          <w:p w14:paraId="2EC853D6" w14:textId="77777777" w:rsidR="00D8645B" w:rsidRPr="008E062F" w:rsidRDefault="00D8645B" w:rsidP="00664D46">
            <w:pPr>
              <w:spacing w:line="360" w:lineRule="auto"/>
              <w:jc w:val="center"/>
              <w:rPr>
                <w:b/>
              </w:rPr>
            </w:pPr>
            <w:r>
              <w:rPr>
                <w:b/>
              </w:rPr>
              <w:t>Final Business Beta</w:t>
            </w:r>
          </w:p>
        </w:tc>
      </w:tr>
      <w:tr w:rsidR="00D8645B" w14:paraId="5CF0B6A0" w14:textId="77777777" w:rsidTr="00664D46">
        <w:tc>
          <w:tcPr>
            <w:tcW w:w="3116" w:type="dxa"/>
            <w:vAlign w:val="center"/>
          </w:tcPr>
          <w:p w14:paraId="334E2B25" w14:textId="77777777" w:rsidR="00D8645B" w:rsidRDefault="00D8645B" w:rsidP="00664D46">
            <w:pPr>
              <w:spacing w:line="360" w:lineRule="auto"/>
              <w:jc w:val="center"/>
            </w:pPr>
            <w:r>
              <w:t>High</w:t>
            </w:r>
          </w:p>
        </w:tc>
        <w:tc>
          <w:tcPr>
            <w:tcW w:w="3117" w:type="dxa"/>
            <w:vAlign w:val="center"/>
          </w:tcPr>
          <w:p w14:paraId="58DA08ED" w14:textId="77777777" w:rsidR="00D8645B" w:rsidRDefault="00D8645B" w:rsidP="00664D46">
            <w:pPr>
              <w:spacing w:line="360" w:lineRule="auto"/>
              <w:jc w:val="center"/>
            </w:pPr>
            <w:r>
              <w:t>80%</w:t>
            </w:r>
          </w:p>
        </w:tc>
        <w:tc>
          <w:tcPr>
            <w:tcW w:w="3117" w:type="dxa"/>
            <w:vAlign w:val="center"/>
          </w:tcPr>
          <w:p w14:paraId="3F9547CF" w14:textId="77777777" w:rsidR="00D8645B" w:rsidRDefault="00D8645B" w:rsidP="00664D46">
            <w:pPr>
              <w:spacing w:line="360" w:lineRule="auto"/>
              <w:jc w:val="center"/>
            </w:pPr>
            <w:r>
              <w:t>80%</w:t>
            </w:r>
          </w:p>
        </w:tc>
      </w:tr>
      <w:tr w:rsidR="00D8645B" w14:paraId="65067CDA" w14:textId="77777777" w:rsidTr="00664D46">
        <w:tc>
          <w:tcPr>
            <w:tcW w:w="3116" w:type="dxa"/>
            <w:vAlign w:val="center"/>
          </w:tcPr>
          <w:p w14:paraId="199AFD95" w14:textId="77777777" w:rsidR="00D8645B" w:rsidRDefault="00D8645B" w:rsidP="00664D46">
            <w:pPr>
              <w:spacing w:line="360" w:lineRule="auto"/>
              <w:jc w:val="center"/>
            </w:pPr>
            <w:r>
              <w:t>Medium</w:t>
            </w:r>
          </w:p>
        </w:tc>
        <w:tc>
          <w:tcPr>
            <w:tcW w:w="3117" w:type="dxa"/>
            <w:vAlign w:val="center"/>
          </w:tcPr>
          <w:p w14:paraId="69FEEE5B" w14:textId="77777777" w:rsidR="00D8645B" w:rsidRDefault="00D8645B" w:rsidP="00664D46">
            <w:pPr>
              <w:spacing w:line="360" w:lineRule="auto"/>
              <w:jc w:val="center"/>
            </w:pPr>
            <w:r>
              <w:t>36%</w:t>
            </w:r>
          </w:p>
        </w:tc>
        <w:tc>
          <w:tcPr>
            <w:tcW w:w="3117" w:type="dxa"/>
            <w:vAlign w:val="center"/>
          </w:tcPr>
          <w:p w14:paraId="740AFFDB" w14:textId="77777777" w:rsidR="00D8645B" w:rsidRDefault="00D8645B" w:rsidP="00664D46">
            <w:pPr>
              <w:spacing w:line="360" w:lineRule="auto"/>
              <w:jc w:val="center"/>
            </w:pPr>
            <w:r>
              <w:t>2x</w:t>
            </w:r>
          </w:p>
        </w:tc>
      </w:tr>
      <w:tr w:rsidR="00D8645B" w14:paraId="449B42F4" w14:textId="77777777" w:rsidTr="00664D46">
        <w:tc>
          <w:tcPr>
            <w:tcW w:w="3116" w:type="dxa"/>
            <w:vAlign w:val="center"/>
          </w:tcPr>
          <w:p w14:paraId="44F0A09F" w14:textId="77777777" w:rsidR="00D8645B" w:rsidRDefault="00D8645B" w:rsidP="00664D46">
            <w:pPr>
              <w:spacing w:line="360" w:lineRule="auto"/>
              <w:jc w:val="center"/>
            </w:pPr>
            <w:r>
              <w:t>Low</w:t>
            </w:r>
          </w:p>
        </w:tc>
        <w:tc>
          <w:tcPr>
            <w:tcW w:w="3117" w:type="dxa"/>
            <w:vAlign w:val="center"/>
          </w:tcPr>
          <w:p w14:paraId="5E4EBD0A" w14:textId="77777777" w:rsidR="00D8645B" w:rsidRDefault="00D8645B" w:rsidP="00664D46">
            <w:pPr>
              <w:spacing w:line="360" w:lineRule="auto"/>
              <w:jc w:val="center"/>
            </w:pPr>
            <w:r>
              <w:t>18%</w:t>
            </w:r>
          </w:p>
        </w:tc>
        <w:tc>
          <w:tcPr>
            <w:tcW w:w="3117" w:type="dxa"/>
            <w:vAlign w:val="center"/>
          </w:tcPr>
          <w:p w14:paraId="0DB71B34" w14:textId="77777777" w:rsidR="00D8645B" w:rsidRDefault="00D8645B" w:rsidP="00664D46">
            <w:pPr>
              <w:spacing w:line="360" w:lineRule="auto"/>
              <w:jc w:val="center"/>
            </w:pPr>
            <w:r>
              <w:t>x</w:t>
            </w:r>
          </w:p>
        </w:tc>
      </w:tr>
    </w:tbl>
    <w:p w14:paraId="136452CD" w14:textId="77777777" w:rsidR="00D8645B" w:rsidRPr="008E062F" w:rsidRDefault="00D8645B" w:rsidP="00D8645B">
      <w:pPr>
        <w:spacing w:line="360" w:lineRule="auto"/>
      </w:pPr>
    </w:p>
    <w:p w14:paraId="0AC932E1" w14:textId="77777777" w:rsidR="00D8645B" w:rsidRDefault="00D8645B" w:rsidP="0060309E">
      <w:pPr>
        <w:pStyle w:val="ListParagraph"/>
        <w:numPr>
          <w:ilvl w:val="0"/>
          <w:numId w:val="55"/>
        </w:numPr>
        <w:spacing w:after="160" w:line="360" w:lineRule="auto"/>
      </w:pPr>
      <w:r>
        <w:rPr>
          <w:u w:val="single"/>
        </w:rPr>
        <w:t>Allocation for CVA and AFS</w:t>
      </w:r>
      <w:r>
        <w:t>: For CVA and AFS exposure, the allocation is very simple. The VaR-stress result is driven entirely by shocks to credit spreads. The sum of business is very close to the total. The businesses simply add up to the total.</w:t>
      </w:r>
    </w:p>
    <w:p w14:paraId="63B1A240" w14:textId="77777777" w:rsidR="00D8645B" w:rsidRDefault="00D8645B" w:rsidP="0060309E">
      <w:pPr>
        <w:pStyle w:val="ListParagraph"/>
        <w:numPr>
          <w:ilvl w:val="0"/>
          <w:numId w:val="55"/>
        </w:numPr>
        <w:spacing w:after="160" w:line="360" w:lineRule="auto"/>
      </w:pPr>
      <w:r>
        <w:rPr>
          <w:u w:val="single"/>
        </w:rPr>
        <w:t>Example - Trading/AFS Beta Classification Table</w:t>
      </w:r>
      <w:r w:rsidRPr="007968C2">
        <w:t>:</w:t>
      </w:r>
    </w:p>
    <w:tbl>
      <w:tblPr>
        <w:tblStyle w:val="TableGrid"/>
        <w:tblW w:w="0" w:type="auto"/>
        <w:tblLook w:val="04A0" w:firstRow="1" w:lastRow="0" w:firstColumn="1" w:lastColumn="0" w:noHBand="0" w:noVBand="1"/>
      </w:tblPr>
      <w:tblGrid>
        <w:gridCol w:w="2337"/>
        <w:gridCol w:w="2788"/>
        <w:gridCol w:w="1887"/>
        <w:gridCol w:w="2338"/>
      </w:tblGrid>
      <w:tr w:rsidR="00D8645B" w14:paraId="2A3AF6A5" w14:textId="77777777" w:rsidTr="00664D46">
        <w:tc>
          <w:tcPr>
            <w:tcW w:w="2337" w:type="dxa"/>
            <w:vAlign w:val="center"/>
          </w:tcPr>
          <w:p w14:paraId="30AA5A27" w14:textId="77777777" w:rsidR="00D8645B" w:rsidRPr="007968C2" w:rsidRDefault="00D8645B" w:rsidP="00664D46">
            <w:pPr>
              <w:spacing w:line="360" w:lineRule="auto"/>
              <w:jc w:val="center"/>
              <w:rPr>
                <w:b/>
              </w:rPr>
            </w:pPr>
            <w:r>
              <w:rPr>
                <w:b/>
              </w:rPr>
              <w:t>Product</w:t>
            </w:r>
          </w:p>
        </w:tc>
        <w:tc>
          <w:tcPr>
            <w:tcW w:w="2788" w:type="dxa"/>
            <w:vAlign w:val="center"/>
          </w:tcPr>
          <w:p w14:paraId="12514909" w14:textId="77777777" w:rsidR="00D8645B" w:rsidRPr="007968C2" w:rsidRDefault="00D8645B" w:rsidP="00664D46">
            <w:pPr>
              <w:spacing w:line="360" w:lineRule="auto"/>
              <w:jc w:val="center"/>
              <w:rPr>
                <w:b/>
              </w:rPr>
            </w:pPr>
            <w:r>
              <w:rPr>
                <w:b/>
              </w:rPr>
              <w:t>Business</w:t>
            </w:r>
          </w:p>
        </w:tc>
        <w:tc>
          <w:tcPr>
            <w:tcW w:w="1887" w:type="dxa"/>
            <w:vAlign w:val="center"/>
          </w:tcPr>
          <w:p w14:paraId="536BA0F4" w14:textId="77777777" w:rsidR="00D8645B" w:rsidRPr="007968C2" w:rsidRDefault="00D8645B" w:rsidP="00664D46">
            <w:pPr>
              <w:spacing w:line="360" w:lineRule="auto"/>
              <w:jc w:val="center"/>
              <w:rPr>
                <w:b/>
              </w:rPr>
            </w:pPr>
            <w:r>
              <w:rPr>
                <w:b/>
              </w:rPr>
              <w:t>Trading Beta</w:t>
            </w:r>
          </w:p>
        </w:tc>
        <w:tc>
          <w:tcPr>
            <w:tcW w:w="2338" w:type="dxa"/>
            <w:vAlign w:val="center"/>
          </w:tcPr>
          <w:p w14:paraId="630AA3CE" w14:textId="77777777" w:rsidR="00D8645B" w:rsidRPr="007968C2" w:rsidRDefault="00D8645B" w:rsidP="00664D46">
            <w:pPr>
              <w:spacing w:line="360" w:lineRule="auto"/>
              <w:jc w:val="center"/>
              <w:rPr>
                <w:b/>
              </w:rPr>
            </w:pPr>
            <w:r>
              <w:rPr>
                <w:b/>
              </w:rPr>
              <w:t>AFS Beta</w:t>
            </w:r>
          </w:p>
        </w:tc>
      </w:tr>
      <w:tr w:rsidR="00D8645B" w14:paraId="5FAB3276" w14:textId="77777777" w:rsidTr="00664D46">
        <w:tc>
          <w:tcPr>
            <w:tcW w:w="2337" w:type="dxa"/>
            <w:vAlign w:val="center"/>
          </w:tcPr>
          <w:p w14:paraId="3314E57E" w14:textId="77777777" w:rsidR="00D8645B" w:rsidRDefault="00D8645B" w:rsidP="00664D46">
            <w:pPr>
              <w:spacing w:line="360" w:lineRule="auto"/>
              <w:jc w:val="center"/>
            </w:pPr>
            <w:r>
              <w:t>Advisory</w:t>
            </w:r>
          </w:p>
        </w:tc>
        <w:tc>
          <w:tcPr>
            <w:tcW w:w="2788" w:type="dxa"/>
            <w:vAlign w:val="center"/>
          </w:tcPr>
          <w:p w14:paraId="43B4EC8A" w14:textId="77777777" w:rsidR="00D8645B" w:rsidRDefault="00D8645B" w:rsidP="00664D46">
            <w:pPr>
              <w:spacing w:line="360" w:lineRule="auto"/>
              <w:jc w:val="center"/>
            </w:pPr>
            <w:r>
              <w:t>Advisory</w:t>
            </w:r>
          </w:p>
        </w:tc>
        <w:tc>
          <w:tcPr>
            <w:tcW w:w="1887" w:type="dxa"/>
            <w:vAlign w:val="center"/>
          </w:tcPr>
          <w:p w14:paraId="0EE334D7" w14:textId="77777777" w:rsidR="00D8645B" w:rsidRDefault="00D8645B" w:rsidP="00664D46">
            <w:pPr>
              <w:spacing w:line="360" w:lineRule="auto"/>
              <w:jc w:val="center"/>
            </w:pPr>
            <w:r>
              <w:t>Low</w:t>
            </w:r>
          </w:p>
        </w:tc>
        <w:tc>
          <w:tcPr>
            <w:tcW w:w="2338" w:type="dxa"/>
            <w:vAlign w:val="center"/>
          </w:tcPr>
          <w:p w14:paraId="3D6ED341" w14:textId="77777777" w:rsidR="00D8645B" w:rsidRDefault="00D8645B" w:rsidP="00664D46">
            <w:pPr>
              <w:spacing w:line="360" w:lineRule="auto"/>
              <w:jc w:val="center"/>
            </w:pPr>
            <w:r>
              <w:t>High</w:t>
            </w:r>
          </w:p>
        </w:tc>
      </w:tr>
      <w:tr w:rsidR="00D8645B" w14:paraId="57B0255D" w14:textId="77777777" w:rsidTr="00664D46">
        <w:tc>
          <w:tcPr>
            <w:tcW w:w="2337" w:type="dxa"/>
            <w:vAlign w:val="center"/>
          </w:tcPr>
          <w:p w14:paraId="45BBCE81" w14:textId="77777777" w:rsidR="00D8645B" w:rsidRDefault="00D8645B" w:rsidP="00664D46">
            <w:pPr>
              <w:spacing w:line="360" w:lineRule="auto"/>
              <w:jc w:val="center"/>
            </w:pPr>
            <w:r>
              <w:t>CAI</w:t>
            </w:r>
          </w:p>
        </w:tc>
        <w:tc>
          <w:tcPr>
            <w:tcW w:w="2788" w:type="dxa"/>
            <w:vAlign w:val="center"/>
          </w:tcPr>
          <w:p w14:paraId="50EE0B72" w14:textId="77777777" w:rsidR="00D8645B" w:rsidRDefault="00D8645B" w:rsidP="00664D46">
            <w:pPr>
              <w:spacing w:line="360" w:lineRule="auto"/>
              <w:jc w:val="center"/>
            </w:pPr>
            <w:r>
              <w:t>CAI</w:t>
            </w:r>
          </w:p>
        </w:tc>
        <w:tc>
          <w:tcPr>
            <w:tcW w:w="1887" w:type="dxa"/>
            <w:vAlign w:val="center"/>
          </w:tcPr>
          <w:p w14:paraId="5739F36C" w14:textId="77777777" w:rsidR="00D8645B" w:rsidRDefault="00D8645B" w:rsidP="00664D46">
            <w:pPr>
              <w:spacing w:line="360" w:lineRule="auto"/>
              <w:jc w:val="center"/>
            </w:pPr>
            <w:r>
              <w:t>Medium</w:t>
            </w:r>
          </w:p>
        </w:tc>
        <w:tc>
          <w:tcPr>
            <w:tcW w:w="2338" w:type="dxa"/>
            <w:vAlign w:val="center"/>
          </w:tcPr>
          <w:p w14:paraId="653C5C5C" w14:textId="77777777" w:rsidR="00D8645B" w:rsidRDefault="00D8645B" w:rsidP="00664D46">
            <w:pPr>
              <w:spacing w:line="360" w:lineRule="auto"/>
              <w:jc w:val="center"/>
            </w:pPr>
            <w:r>
              <w:t>High</w:t>
            </w:r>
          </w:p>
        </w:tc>
      </w:tr>
      <w:tr w:rsidR="00D8645B" w14:paraId="26F3434E" w14:textId="77777777" w:rsidTr="00664D46">
        <w:tc>
          <w:tcPr>
            <w:tcW w:w="2337" w:type="dxa"/>
            <w:vAlign w:val="center"/>
          </w:tcPr>
          <w:p w14:paraId="1B9648DD" w14:textId="77777777" w:rsidR="00D8645B" w:rsidRDefault="00D8645B" w:rsidP="00664D46">
            <w:pPr>
              <w:spacing w:line="360" w:lineRule="auto"/>
              <w:jc w:val="center"/>
            </w:pPr>
            <w:r>
              <w:t>Commodities</w:t>
            </w:r>
          </w:p>
        </w:tc>
        <w:tc>
          <w:tcPr>
            <w:tcW w:w="2788" w:type="dxa"/>
            <w:vAlign w:val="center"/>
          </w:tcPr>
          <w:p w14:paraId="6F760539" w14:textId="77777777" w:rsidR="00D8645B" w:rsidRDefault="00D8645B" w:rsidP="00664D46">
            <w:pPr>
              <w:spacing w:line="360" w:lineRule="auto"/>
              <w:jc w:val="center"/>
            </w:pPr>
            <w:r>
              <w:t>Commodities Houston</w:t>
            </w:r>
          </w:p>
        </w:tc>
        <w:tc>
          <w:tcPr>
            <w:tcW w:w="1887" w:type="dxa"/>
            <w:vAlign w:val="center"/>
          </w:tcPr>
          <w:p w14:paraId="1DB34BBA" w14:textId="77777777" w:rsidR="00D8645B" w:rsidRDefault="00D8645B" w:rsidP="00664D46">
            <w:pPr>
              <w:spacing w:line="360" w:lineRule="auto"/>
              <w:jc w:val="center"/>
            </w:pPr>
            <w:r>
              <w:t>Low</w:t>
            </w:r>
          </w:p>
        </w:tc>
        <w:tc>
          <w:tcPr>
            <w:tcW w:w="2338" w:type="dxa"/>
            <w:vAlign w:val="center"/>
          </w:tcPr>
          <w:p w14:paraId="026CE754" w14:textId="77777777" w:rsidR="00D8645B" w:rsidRDefault="00D8645B" w:rsidP="00664D46">
            <w:pPr>
              <w:spacing w:line="360" w:lineRule="auto"/>
              <w:jc w:val="center"/>
            </w:pPr>
            <w:r>
              <w:t>High</w:t>
            </w:r>
          </w:p>
        </w:tc>
      </w:tr>
      <w:tr w:rsidR="00D8645B" w14:paraId="02E2A589" w14:textId="77777777" w:rsidTr="00664D46">
        <w:tc>
          <w:tcPr>
            <w:tcW w:w="2337" w:type="dxa"/>
            <w:vMerge w:val="restart"/>
            <w:vAlign w:val="center"/>
          </w:tcPr>
          <w:p w14:paraId="5D69CD3F" w14:textId="77777777" w:rsidR="00D8645B" w:rsidRDefault="00D8645B" w:rsidP="00664D46">
            <w:pPr>
              <w:spacing w:line="360" w:lineRule="auto"/>
              <w:jc w:val="center"/>
            </w:pPr>
            <w:r>
              <w:t>Credit</w:t>
            </w:r>
          </w:p>
        </w:tc>
        <w:tc>
          <w:tcPr>
            <w:tcW w:w="2788" w:type="dxa"/>
            <w:vAlign w:val="center"/>
          </w:tcPr>
          <w:p w14:paraId="3EF3C66C" w14:textId="77777777" w:rsidR="00D8645B" w:rsidRDefault="00D8645B" w:rsidP="00664D46">
            <w:pPr>
              <w:spacing w:line="360" w:lineRule="auto"/>
              <w:jc w:val="center"/>
            </w:pPr>
            <w:r>
              <w:t>Credit Trading</w:t>
            </w:r>
          </w:p>
        </w:tc>
        <w:tc>
          <w:tcPr>
            <w:tcW w:w="1887" w:type="dxa"/>
            <w:vAlign w:val="center"/>
          </w:tcPr>
          <w:p w14:paraId="29100397" w14:textId="77777777" w:rsidR="00D8645B" w:rsidRDefault="00D8645B" w:rsidP="00664D46">
            <w:pPr>
              <w:spacing w:line="360" w:lineRule="auto"/>
              <w:jc w:val="center"/>
            </w:pPr>
            <w:r>
              <w:t>Medium</w:t>
            </w:r>
          </w:p>
        </w:tc>
        <w:tc>
          <w:tcPr>
            <w:tcW w:w="2338" w:type="dxa"/>
            <w:vAlign w:val="center"/>
          </w:tcPr>
          <w:p w14:paraId="66666FFA" w14:textId="77777777" w:rsidR="00D8645B" w:rsidRDefault="00D8645B" w:rsidP="00664D46">
            <w:pPr>
              <w:spacing w:line="360" w:lineRule="auto"/>
              <w:jc w:val="center"/>
            </w:pPr>
            <w:r>
              <w:t>High</w:t>
            </w:r>
          </w:p>
        </w:tc>
      </w:tr>
      <w:tr w:rsidR="00D8645B" w14:paraId="6FA9198E" w14:textId="77777777" w:rsidTr="00664D46">
        <w:tc>
          <w:tcPr>
            <w:tcW w:w="2337" w:type="dxa"/>
            <w:vMerge/>
            <w:vAlign w:val="center"/>
          </w:tcPr>
          <w:p w14:paraId="4BF538D5" w14:textId="77777777" w:rsidR="00D8645B" w:rsidRDefault="00D8645B" w:rsidP="00664D46">
            <w:pPr>
              <w:spacing w:line="360" w:lineRule="auto"/>
              <w:jc w:val="center"/>
            </w:pPr>
          </w:p>
        </w:tc>
        <w:tc>
          <w:tcPr>
            <w:tcW w:w="2788" w:type="dxa"/>
            <w:vAlign w:val="center"/>
          </w:tcPr>
          <w:p w14:paraId="199228D6" w14:textId="77777777" w:rsidR="00D8645B" w:rsidRDefault="00D8645B" w:rsidP="00664D46">
            <w:pPr>
              <w:spacing w:line="360" w:lineRule="auto"/>
              <w:jc w:val="center"/>
            </w:pPr>
            <w:r>
              <w:t>Distressed</w:t>
            </w:r>
          </w:p>
        </w:tc>
        <w:tc>
          <w:tcPr>
            <w:tcW w:w="1887" w:type="dxa"/>
            <w:vAlign w:val="center"/>
          </w:tcPr>
          <w:p w14:paraId="173561FA" w14:textId="77777777" w:rsidR="00D8645B" w:rsidRDefault="00D8645B" w:rsidP="00664D46">
            <w:pPr>
              <w:spacing w:line="360" w:lineRule="auto"/>
              <w:jc w:val="center"/>
            </w:pPr>
            <w:r>
              <w:t>Medium</w:t>
            </w:r>
          </w:p>
        </w:tc>
        <w:tc>
          <w:tcPr>
            <w:tcW w:w="2338" w:type="dxa"/>
            <w:vAlign w:val="center"/>
          </w:tcPr>
          <w:p w14:paraId="75FC6B30" w14:textId="77777777" w:rsidR="00D8645B" w:rsidRDefault="00D8645B" w:rsidP="00664D46">
            <w:pPr>
              <w:spacing w:line="360" w:lineRule="auto"/>
              <w:jc w:val="center"/>
            </w:pPr>
            <w:r>
              <w:t>High</w:t>
            </w:r>
          </w:p>
        </w:tc>
      </w:tr>
      <w:tr w:rsidR="00D8645B" w14:paraId="10A7E5A5" w14:textId="77777777" w:rsidTr="00664D46">
        <w:tc>
          <w:tcPr>
            <w:tcW w:w="2337" w:type="dxa"/>
            <w:vMerge/>
            <w:vAlign w:val="center"/>
          </w:tcPr>
          <w:p w14:paraId="45464603" w14:textId="77777777" w:rsidR="00D8645B" w:rsidRDefault="00D8645B" w:rsidP="00664D46">
            <w:pPr>
              <w:spacing w:line="360" w:lineRule="auto"/>
              <w:jc w:val="center"/>
            </w:pPr>
          </w:p>
        </w:tc>
        <w:tc>
          <w:tcPr>
            <w:tcW w:w="2788" w:type="dxa"/>
            <w:vAlign w:val="center"/>
          </w:tcPr>
          <w:p w14:paraId="33F8AA72" w14:textId="77777777" w:rsidR="00D8645B" w:rsidRDefault="00D8645B" w:rsidP="00664D46">
            <w:pPr>
              <w:spacing w:line="360" w:lineRule="auto"/>
              <w:jc w:val="center"/>
            </w:pPr>
            <w:r>
              <w:t>EM Credit Trading</w:t>
            </w:r>
          </w:p>
        </w:tc>
        <w:tc>
          <w:tcPr>
            <w:tcW w:w="1887" w:type="dxa"/>
            <w:vAlign w:val="center"/>
          </w:tcPr>
          <w:p w14:paraId="65AFAA95" w14:textId="77777777" w:rsidR="00D8645B" w:rsidRDefault="00D8645B" w:rsidP="00664D46">
            <w:pPr>
              <w:spacing w:line="360" w:lineRule="auto"/>
              <w:jc w:val="center"/>
            </w:pPr>
            <w:r>
              <w:t>Medium</w:t>
            </w:r>
          </w:p>
        </w:tc>
        <w:tc>
          <w:tcPr>
            <w:tcW w:w="2338" w:type="dxa"/>
            <w:vAlign w:val="center"/>
          </w:tcPr>
          <w:p w14:paraId="1F3007CC" w14:textId="77777777" w:rsidR="00D8645B" w:rsidRDefault="00D8645B" w:rsidP="00664D46">
            <w:pPr>
              <w:spacing w:line="360" w:lineRule="auto"/>
              <w:jc w:val="center"/>
            </w:pPr>
            <w:r>
              <w:t>High</w:t>
            </w:r>
          </w:p>
        </w:tc>
      </w:tr>
      <w:tr w:rsidR="00D8645B" w14:paraId="5A19A895" w14:textId="77777777" w:rsidTr="00664D46">
        <w:tc>
          <w:tcPr>
            <w:tcW w:w="2337" w:type="dxa"/>
            <w:vMerge/>
            <w:vAlign w:val="center"/>
          </w:tcPr>
          <w:p w14:paraId="142197D4" w14:textId="77777777" w:rsidR="00D8645B" w:rsidRDefault="00D8645B" w:rsidP="00664D46">
            <w:pPr>
              <w:spacing w:line="360" w:lineRule="auto"/>
              <w:jc w:val="center"/>
            </w:pPr>
          </w:p>
        </w:tc>
        <w:tc>
          <w:tcPr>
            <w:tcW w:w="2788" w:type="dxa"/>
            <w:vAlign w:val="center"/>
          </w:tcPr>
          <w:p w14:paraId="67CA4BEC" w14:textId="77777777" w:rsidR="00D8645B" w:rsidRDefault="00D8645B" w:rsidP="00664D46">
            <w:pPr>
              <w:spacing w:line="360" w:lineRule="auto"/>
              <w:jc w:val="center"/>
            </w:pPr>
            <w:r>
              <w:t>Credit Macro Hedge</w:t>
            </w:r>
          </w:p>
        </w:tc>
        <w:tc>
          <w:tcPr>
            <w:tcW w:w="1887" w:type="dxa"/>
            <w:vAlign w:val="center"/>
          </w:tcPr>
          <w:p w14:paraId="56CF8782" w14:textId="77777777" w:rsidR="00D8645B" w:rsidRDefault="00D8645B" w:rsidP="00664D46">
            <w:pPr>
              <w:spacing w:line="360" w:lineRule="auto"/>
              <w:jc w:val="center"/>
            </w:pPr>
            <w:r>
              <w:t>Hedge</w:t>
            </w:r>
          </w:p>
        </w:tc>
        <w:tc>
          <w:tcPr>
            <w:tcW w:w="2338" w:type="dxa"/>
            <w:vAlign w:val="center"/>
          </w:tcPr>
          <w:p w14:paraId="728E59D8" w14:textId="77777777" w:rsidR="00D8645B" w:rsidRDefault="00D8645B" w:rsidP="00664D46">
            <w:pPr>
              <w:spacing w:line="360" w:lineRule="auto"/>
              <w:jc w:val="center"/>
            </w:pPr>
            <w:r>
              <w:t>Hedge</w:t>
            </w:r>
          </w:p>
        </w:tc>
      </w:tr>
      <w:tr w:rsidR="00D8645B" w14:paraId="1D83C475" w14:textId="77777777" w:rsidTr="00664D46">
        <w:tc>
          <w:tcPr>
            <w:tcW w:w="2337" w:type="dxa"/>
            <w:vMerge/>
            <w:vAlign w:val="center"/>
          </w:tcPr>
          <w:p w14:paraId="25653260" w14:textId="77777777" w:rsidR="00D8645B" w:rsidRDefault="00D8645B" w:rsidP="00664D46">
            <w:pPr>
              <w:spacing w:line="360" w:lineRule="auto"/>
              <w:jc w:val="center"/>
            </w:pPr>
          </w:p>
        </w:tc>
        <w:tc>
          <w:tcPr>
            <w:tcW w:w="2788" w:type="dxa"/>
            <w:vAlign w:val="center"/>
          </w:tcPr>
          <w:p w14:paraId="364A42F9" w14:textId="77777777" w:rsidR="00D8645B" w:rsidRDefault="00D8645B" w:rsidP="00664D46">
            <w:pPr>
              <w:spacing w:line="360" w:lineRule="auto"/>
              <w:jc w:val="center"/>
            </w:pPr>
            <w:r>
              <w:t>PECD</w:t>
            </w:r>
          </w:p>
        </w:tc>
        <w:tc>
          <w:tcPr>
            <w:tcW w:w="1887" w:type="dxa"/>
            <w:vAlign w:val="center"/>
          </w:tcPr>
          <w:p w14:paraId="59F829D7" w14:textId="77777777" w:rsidR="00D8645B" w:rsidRDefault="00D8645B" w:rsidP="00664D46">
            <w:pPr>
              <w:spacing w:line="360" w:lineRule="auto"/>
              <w:jc w:val="center"/>
            </w:pPr>
            <w:r>
              <w:t>High</w:t>
            </w:r>
          </w:p>
        </w:tc>
        <w:tc>
          <w:tcPr>
            <w:tcW w:w="2338" w:type="dxa"/>
            <w:vAlign w:val="center"/>
          </w:tcPr>
          <w:p w14:paraId="2069FFB7" w14:textId="77777777" w:rsidR="00D8645B" w:rsidRDefault="00D8645B" w:rsidP="00664D46">
            <w:pPr>
              <w:spacing w:line="360" w:lineRule="auto"/>
              <w:jc w:val="center"/>
            </w:pPr>
            <w:r>
              <w:t>High</w:t>
            </w:r>
          </w:p>
        </w:tc>
      </w:tr>
      <w:tr w:rsidR="00D8645B" w14:paraId="530697F3" w14:textId="77777777" w:rsidTr="00664D46">
        <w:tc>
          <w:tcPr>
            <w:tcW w:w="2337" w:type="dxa"/>
            <w:vMerge/>
            <w:vAlign w:val="center"/>
          </w:tcPr>
          <w:p w14:paraId="63148016" w14:textId="77777777" w:rsidR="00D8645B" w:rsidRDefault="00D8645B" w:rsidP="00664D46">
            <w:pPr>
              <w:spacing w:line="360" w:lineRule="auto"/>
              <w:jc w:val="center"/>
            </w:pPr>
          </w:p>
        </w:tc>
        <w:tc>
          <w:tcPr>
            <w:tcW w:w="2788" w:type="dxa"/>
            <w:vAlign w:val="center"/>
          </w:tcPr>
          <w:p w14:paraId="2482C60D" w14:textId="77777777" w:rsidR="00D8645B" w:rsidRDefault="00D8645B" w:rsidP="00664D46">
            <w:pPr>
              <w:spacing w:line="360" w:lineRule="auto"/>
              <w:jc w:val="center"/>
            </w:pPr>
            <w:r>
              <w:t>Short Term</w:t>
            </w:r>
          </w:p>
        </w:tc>
        <w:tc>
          <w:tcPr>
            <w:tcW w:w="1887" w:type="dxa"/>
            <w:vAlign w:val="center"/>
          </w:tcPr>
          <w:p w14:paraId="47F4B671" w14:textId="77777777" w:rsidR="00D8645B" w:rsidRDefault="00D8645B" w:rsidP="00664D46">
            <w:pPr>
              <w:spacing w:line="360" w:lineRule="auto"/>
              <w:jc w:val="center"/>
            </w:pPr>
            <w:r>
              <w:t>Medium</w:t>
            </w:r>
          </w:p>
        </w:tc>
        <w:tc>
          <w:tcPr>
            <w:tcW w:w="2338" w:type="dxa"/>
            <w:vAlign w:val="center"/>
          </w:tcPr>
          <w:p w14:paraId="1207DF1A" w14:textId="77777777" w:rsidR="00D8645B" w:rsidRDefault="00D8645B" w:rsidP="00664D46">
            <w:pPr>
              <w:spacing w:line="360" w:lineRule="auto"/>
              <w:jc w:val="center"/>
            </w:pPr>
            <w:r>
              <w:t>High</w:t>
            </w:r>
          </w:p>
        </w:tc>
      </w:tr>
      <w:tr w:rsidR="00D8645B" w14:paraId="7E37C472" w14:textId="77777777" w:rsidTr="00664D46">
        <w:tc>
          <w:tcPr>
            <w:tcW w:w="2337" w:type="dxa"/>
            <w:vMerge/>
            <w:vAlign w:val="center"/>
          </w:tcPr>
          <w:p w14:paraId="3F002543" w14:textId="77777777" w:rsidR="00D8645B" w:rsidRDefault="00D8645B" w:rsidP="00664D46">
            <w:pPr>
              <w:spacing w:line="360" w:lineRule="auto"/>
              <w:jc w:val="center"/>
            </w:pPr>
          </w:p>
        </w:tc>
        <w:tc>
          <w:tcPr>
            <w:tcW w:w="2788" w:type="dxa"/>
            <w:vAlign w:val="center"/>
          </w:tcPr>
          <w:p w14:paraId="03A248F8" w14:textId="77777777" w:rsidR="00D8645B" w:rsidRDefault="00D8645B" w:rsidP="00664D46">
            <w:pPr>
              <w:spacing w:line="360" w:lineRule="auto"/>
              <w:jc w:val="center"/>
            </w:pPr>
            <w:r>
              <w:t>GSSG West</w:t>
            </w:r>
          </w:p>
        </w:tc>
        <w:tc>
          <w:tcPr>
            <w:tcW w:w="1887" w:type="dxa"/>
            <w:vAlign w:val="center"/>
          </w:tcPr>
          <w:p w14:paraId="03D60C78" w14:textId="77777777" w:rsidR="00D8645B" w:rsidRDefault="00D8645B" w:rsidP="00664D46">
            <w:pPr>
              <w:spacing w:line="360" w:lineRule="auto"/>
              <w:jc w:val="center"/>
            </w:pPr>
            <w:r>
              <w:t>High</w:t>
            </w:r>
          </w:p>
        </w:tc>
        <w:tc>
          <w:tcPr>
            <w:tcW w:w="2338" w:type="dxa"/>
            <w:vAlign w:val="center"/>
          </w:tcPr>
          <w:p w14:paraId="45A8F7D0" w14:textId="77777777" w:rsidR="00D8645B" w:rsidRDefault="00D8645B" w:rsidP="00664D46">
            <w:pPr>
              <w:spacing w:line="360" w:lineRule="auto"/>
              <w:jc w:val="center"/>
            </w:pPr>
            <w:r>
              <w:t>High</w:t>
            </w:r>
          </w:p>
        </w:tc>
      </w:tr>
      <w:tr w:rsidR="00D8645B" w14:paraId="5ADE951F" w14:textId="77777777" w:rsidTr="00664D46">
        <w:tc>
          <w:tcPr>
            <w:tcW w:w="2337" w:type="dxa"/>
            <w:vAlign w:val="center"/>
          </w:tcPr>
          <w:p w14:paraId="3C783A1B" w14:textId="77777777" w:rsidR="00D8645B" w:rsidRDefault="00D8645B" w:rsidP="00664D46">
            <w:pPr>
              <w:spacing w:line="360" w:lineRule="auto"/>
              <w:jc w:val="center"/>
            </w:pPr>
            <w:r>
              <w:t>EM ABF</w:t>
            </w:r>
          </w:p>
        </w:tc>
        <w:tc>
          <w:tcPr>
            <w:tcW w:w="2788" w:type="dxa"/>
            <w:vAlign w:val="center"/>
          </w:tcPr>
          <w:p w14:paraId="6B59FED7" w14:textId="77777777" w:rsidR="00D8645B" w:rsidRDefault="00D8645B" w:rsidP="00664D46">
            <w:pPr>
              <w:spacing w:line="360" w:lineRule="auto"/>
              <w:jc w:val="center"/>
            </w:pPr>
            <w:r>
              <w:t>EM ABF</w:t>
            </w:r>
          </w:p>
        </w:tc>
        <w:tc>
          <w:tcPr>
            <w:tcW w:w="1887" w:type="dxa"/>
            <w:vAlign w:val="center"/>
          </w:tcPr>
          <w:p w14:paraId="7692608F" w14:textId="77777777" w:rsidR="00D8645B" w:rsidRDefault="00D8645B" w:rsidP="00664D46">
            <w:pPr>
              <w:spacing w:line="360" w:lineRule="auto"/>
              <w:jc w:val="center"/>
            </w:pPr>
            <w:r>
              <w:t>Medium</w:t>
            </w:r>
          </w:p>
        </w:tc>
        <w:tc>
          <w:tcPr>
            <w:tcW w:w="2338" w:type="dxa"/>
            <w:vAlign w:val="center"/>
          </w:tcPr>
          <w:p w14:paraId="688F41DC" w14:textId="77777777" w:rsidR="00D8645B" w:rsidRDefault="00D8645B" w:rsidP="00664D46">
            <w:pPr>
              <w:spacing w:line="360" w:lineRule="auto"/>
              <w:jc w:val="center"/>
            </w:pPr>
            <w:r>
              <w:t>High</w:t>
            </w:r>
          </w:p>
        </w:tc>
      </w:tr>
      <w:tr w:rsidR="00D8645B" w14:paraId="6EAF83A1" w14:textId="77777777" w:rsidTr="00664D46">
        <w:tc>
          <w:tcPr>
            <w:tcW w:w="2337" w:type="dxa"/>
            <w:vMerge w:val="restart"/>
            <w:vAlign w:val="center"/>
          </w:tcPr>
          <w:p w14:paraId="280BBE4C" w14:textId="77777777" w:rsidR="00D8645B" w:rsidRDefault="00D8645B" w:rsidP="00664D46">
            <w:pPr>
              <w:spacing w:line="360" w:lineRule="auto"/>
              <w:jc w:val="center"/>
            </w:pPr>
            <w:r>
              <w:t>Equities</w:t>
            </w:r>
          </w:p>
        </w:tc>
        <w:tc>
          <w:tcPr>
            <w:tcW w:w="2788" w:type="dxa"/>
            <w:vAlign w:val="center"/>
          </w:tcPr>
          <w:p w14:paraId="659042FF" w14:textId="77777777" w:rsidR="00D8645B" w:rsidRDefault="00D8645B" w:rsidP="00664D46">
            <w:pPr>
              <w:spacing w:line="360" w:lineRule="auto"/>
              <w:jc w:val="center"/>
            </w:pPr>
            <w:r>
              <w:t>Cash</w:t>
            </w:r>
          </w:p>
        </w:tc>
        <w:tc>
          <w:tcPr>
            <w:tcW w:w="1887" w:type="dxa"/>
            <w:vAlign w:val="center"/>
          </w:tcPr>
          <w:p w14:paraId="6A672539" w14:textId="77777777" w:rsidR="00D8645B" w:rsidRDefault="00D8645B" w:rsidP="00664D46">
            <w:pPr>
              <w:spacing w:line="360" w:lineRule="auto"/>
              <w:jc w:val="center"/>
            </w:pPr>
            <w:r>
              <w:t>Low</w:t>
            </w:r>
          </w:p>
        </w:tc>
        <w:tc>
          <w:tcPr>
            <w:tcW w:w="2338" w:type="dxa"/>
            <w:vAlign w:val="center"/>
          </w:tcPr>
          <w:p w14:paraId="120BEDD3" w14:textId="77777777" w:rsidR="00D8645B" w:rsidRDefault="00D8645B" w:rsidP="00664D46">
            <w:pPr>
              <w:spacing w:line="360" w:lineRule="auto"/>
              <w:jc w:val="center"/>
            </w:pPr>
            <w:r>
              <w:t>High</w:t>
            </w:r>
          </w:p>
        </w:tc>
      </w:tr>
      <w:tr w:rsidR="00D8645B" w14:paraId="57C8252A" w14:textId="77777777" w:rsidTr="00664D46">
        <w:tc>
          <w:tcPr>
            <w:tcW w:w="2337" w:type="dxa"/>
            <w:vMerge/>
            <w:vAlign w:val="center"/>
          </w:tcPr>
          <w:p w14:paraId="5E59985E" w14:textId="77777777" w:rsidR="00D8645B" w:rsidRDefault="00D8645B" w:rsidP="00664D46">
            <w:pPr>
              <w:spacing w:line="360" w:lineRule="auto"/>
              <w:jc w:val="center"/>
            </w:pPr>
          </w:p>
        </w:tc>
        <w:tc>
          <w:tcPr>
            <w:tcW w:w="2788" w:type="dxa"/>
            <w:vAlign w:val="center"/>
          </w:tcPr>
          <w:p w14:paraId="2E37491B" w14:textId="77777777" w:rsidR="00D8645B" w:rsidRDefault="00D8645B" w:rsidP="00664D46">
            <w:pPr>
              <w:spacing w:line="360" w:lineRule="auto"/>
              <w:jc w:val="center"/>
            </w:pPr>
            <w:r>
              <w:t>Converts</w:t>
            </w:r>
          </w:p>
        </w:tc>
        <w:tc>
          <w:tcPr>
            <w:tcW w:w="1887" w:type="dxa"/>
            <w:vAlign w:val="center"/>
          </w:tcPr>
          <w:p w14:paraId="19FC6D6C" w14:textId="77777777" w:rsidR="00D8645B" w:rsidRDefault="00D8645B" w:rsidP="00664D46">
            <w:pPr>
              <w:spacing w:line="360" w:lineRule="auto"/>
              <w:jc w:val="center"/>
            </w:pPr>
            <w:r>
              <w:t>High</w:t>
            </w:r>
          </w:p>
        </w:tc>
        <w:tc>
          <w:tcPr>
            <w:tcW w:w="2338" w:type="dxa"/>
            <w:vAlign w:val="center"/>
          </w:tcPr>
          <w:p w14:paraId="03FE8F32" w14:textId="77777777" w:rsidR="00D8645B" w:rsidRDefault="00D8645B" w:rsidP="00664D46">
            <w:pPr>
              <w:spacing w:line="360" w:lineRule="auto"/>
              <w:jc w:val="center"/>
            </w:pPr>
            <w:r>
              <w:t>High</w:t>
            </w:r>
          </w:p>
        </w:tc>
      </w:tr>
      <w:tr w:rsidR="00D8645B" w14:paraId="22D2252E" w14:textId="77777777" w:rsidTr="00664D46">
        <w:tc>
          <w:tcPr>
            <w:tcW w:w="2337" w:type="dxa"/>
            <w:vMerge/>
            <w:vAlign w:val="center"/>
          </w:tcPr>
          <w:p w14:paraId="34469859" w14:textId="77777777" w:rsidR="00D8645B" w:rsidRDefault="00D8645B" w:rsidP="00664D46">
            <w:pPr>
              <w:spacing w:line="360" w:lineRule="auto"/>
              <w:jc w:val="center"/>
            </w:pPr>
          </w:p>
        </w:tc>
        <w:tc>
          <w:tcPr>
            <w:tcW w:w="2788" w:type="dxa"/>
            <w:vAlign w:val="center"/>
          </w:tcPr>
          <w:p w14:paraId="134F4AE1" w14:textId="77777777" w:rsidR="00D8645B" w:rsidRDefault="00D8645B" w:rsidP="00664D46">
            <w:pPr>
              <w:spacing w:line="360" w:lineRule="auto"/>
              <w:jc w:val="center"/>
            </w:pPr>
            <w:r>
              <w:t>Equity Derivative</w:t>
            </w:r>
          </w:p>
        </w:tc>
        <w:tc>
          <w:tcPr>
            <w:tcW w:w="1887" w:type="dxa"/>
            <w:vAlign w:val="center"/>
          </w:tcPr>
          <w:p w14:paraId="63F84439" w14:textId="77777777" w:rsidR="00D8645B" w:rsidRDefault="00D8645B" w:rsidP="00664D46">
            <w:pPr>
              <w:spacing w:line="360" w:lineRule="auto"/>
              <w:jc w:val="center"/>
            </w:pPr>
            <w:r>
              <w:t>Medium</w:t>
            </w:r>
          </w:p>
        </w:tc>
        <w:tc>
          <w:tcPr>
            <w:tcW w:w="2338" w:type="dxa"/>
            <w:vAlign w:val="center"/>
          </w:tcPr>
          <w:p w14:paraId="465E182C" w14:textId="77777777" w:rsidR="00D8645B" w:rsidRDefault="00D8645B" w:rsidP="00664D46">
            <w:pPr>
              <w:spacing w:line="360" w:lineRule="auto"/>
              <w:jc w:val="center"/>
            </w:pPr>
            <w:r>
              <w:t>High</w:t>
            </w:r>
          </w:p>
        </w:tc>
      </w:tr>
      <w:tr w:rsidR="00D8645B" w14:paraId="5692B6E8" w14:textId="77777777" w:rsidTr="00664D46">
        <w:tc>
          <w:tcPr>
            <w:tcW w:w="2337" w:type="dxa"/>
            <w:vAlign w:val="center"/>
          </w:tcPr>
          <w:p w14:paraId="72E91D57" w14:textId="77777777" w:rsidR="00D8645B" w:rsidRDefault="00D8645B" w:rsidP="00664D46">
            <w:pPr>
              <w:spacing w:line="360" w:lineRule="auto"/>
              <w:jc w:val="center"/>
            </w:pPr>
            <w:r>
              <w:lastRenderedPageBreak/>
              <w:t>Equity Under-writing</w:t>
            </w:r>
          </w:p>
        </w:tc>
        <w:tc>
          <w:tcPr>
            <w:tcW w:w="2788" w:type="dxa"/>
            <w:vAlign w:val="center"/>
          </w:tcPr>
          <w:p w14:paraId="74178551" w14:textId="77777777" w:rsidR="00D8645B" w:rsidRDefault="00D8645B" w:rsidP="00664D46">
            <w:pPr>
              <w:spacing w:line="360" w:lineRule="auto"/>
              <w:jc w:val="center"/>
            </w:pPr>
            <w:r>
              <w:t>Equity Under-writing</w:t>
            </w:r>
          </w:p>
        </w:tc>
        <w:tc>
          <w:tcPr>
            <w:tcW w:w="1887" w:type="dxa"/>
            <w:vAlign w:val="center"/>
          </w:tcPr>
          <w:p w14:paraId="4562783A" w14:textId="77777777" w:rsidR="00D8645B" w:rsidRDefault="00D8645B" w:rsidP="00664D46">
            <w:pPr>
              <w:spacing w:line="360" w:lineRule="auto"/>
              <w:jc w:val="center"/>
            </w:pPr>
            <w:r>
              <w:t>Low</w:t>
            </w:r>
          </w:p>
        </w:tc>
        <w:tc>
          <w:tcPr>
            <w:tcW w:w="2338" w:type="dxa"/>
            <w:vAlign w:val="center"/>
          </w:tcPr>
          <w:p w14:paraId="6DAB1006" w14:textId="77777777" w:rsidR="00D8645B" w:rsidRDefault="00D8645B" w:rsidP="00664D46">
            <w:pPr>
              <w:spacing w:line="360" w:lineRule="auto"/>
              <w:jc w:val="center"/>
            </w:pPr>
            <w:r>
              <w:t>High</w:t>
            </w:r>
          </w:p>
        </w:tc>
      </w:tr>
      <w:tr w:rsidR="00D8645B" w14:paraId="21C848D1" w14:textId="77777777" w:rsidTr="00664D46">
        <w:tc>
          <w:tcPr>
            <w:tcW w:w="2337" w:type="dxa"/>
            <w:vMerge w:val="restart"/>
            <w:vAlign w:val="center"/>
          </w:tcPr>
          <w:p w14:paraId="557FBE84" w14:textId="77777777" w:rsidR="00D8645B" w:rsidRDefault="00D8645B" w:rsidP="00664D46">
            <w:pPr>
              <w:spacing w:line="360" w:lineRule="auto"/>
              <w:jc w:val="center"/>
            </w:pPr>
            <w:r>
              <w:t>Fixed Income Under-writing</w:t>
            </w:r>
          </w:p>
        </w:tc>
        <w:tc>
          <w:tcPr>
            <w:tcW w:w="2788" w:type="dxa"/>
            <w:vAlign w:val="center"/>
          </w:tcPr>
          <w:p w14:paraId="20BCBECC" w14:textId="77777777" w:rsidR="00D8645B" w:rsidRDefault="00D8645B" w:rsidP="00664D46">
            <w:pPr>
              <w:spacing w:line="360" w:lineRule="auto"/>
              <w:jc w:val="center"/>
            </w:pPr>
            <w:r>
              <w:t>EM Bonds</w:t>
            </w:r>
          </w:p>
        </w:tc>
        <w:tc>
          <w:tcPr>
            <w:tcW w:w="1887" w:type="dxa"/>
            <w:vAlign w:val="center"/>
          </w:tcPr>
          <w:p w14:paraId="03F060B8" w14:textId="77777777" w:rsidR="00D8645B" w:rsidRDefault="00D8645B" w:rsidP="00664D46">
            <w:pPr>
              <w:spacing w:line="360" w:lineRule="auto"/>
              <w:jc w:val="center"/>
            </w:pPr>
            <w:r>
              <w:t>Medium</w:t>
            </w:r>
          </w:p>
        </w:tc>
        <w:tc>
          <w:tcPr>
            <w:tcW w:w="2338" w:type="dxa"/>
            <w:vAlign w:val="center"/>
          </w:tcPr>
          <w:p w14:paraId="37BB26B2" w14:textId="77777777" w:rsidR="00D8645B" w:rsidRDefault="00D8645B" w:rsidP="00664D46">
            <w:pPr>
              <w:spacing w:line="360" w:lineRule="auto"/>
              <w:jc w:val="center"/>
            </w:pPr>
            <w:r>
              <w:t>High</w:t>
            </w:r>
          </w:p>
        </w:tc>
      </w:tr>
      <w:tr w:rsidR="00D8645B" w14:paraId="543E2706" w14:textId="77777777" w:rsidTr="00664D46">
        <w:tc>
          <w:tcPr>
            <w:tcW w:w="2337" w:type="dxa"/>
            <w:vMerge/>
            <w:vAlign w:val="center"/>
          </w:tcPr>
          <w:p w14:paraId="1B9E3EB6" w14:textId="77777777" w:rsidR="00D8645B" w:rsidRDefault="00D8645B" w:rsidP="00664D46">
            <w:pPr>
              <w:spacing w:line="360" w:lineRule="auto"/>
              <w:jc w:val="center"/>
            </w:pPr>
          </w:p>
        </w:tc>
        <w:tc>
          <w:tcPr>
            <w:tcW w:w="2788" w:type="dxa"/>
            <w:vAlign w:val="center"/>
          </w:tcPr>
          <w:p w14:paraId="20D89C38" w14:textId="77777777" w:rsidR="00D8645B" w:rsidRDefault="00D8645B" w:rsidP="00664D46">
            <w:pPr>
              <w:spacing w:line="360" w:lineRule="auto"/>
              <w:jc w:val="center"/>
            </w:pPr>
            <w:r>
              <w:t>EM Primary Loans</w:t>
            </w:r>
          </w:p>
        </w:tc>
        <w:tc>
          <w:tcPr>
            <w:tcW w:w="1887" w:type="dxa"/>
            <w:vAlign w:val="center"/>
          </w:tcPr>
          <w:p w14:paraId="30EDCA7D" w14:textId="77777777" w:rsidR="00D8645B" w:rsidRDefault="00D8645B" w:rsidP="00664D46">
            <w:pPr>
              <w:spacing w:line="360" w:lineRule="auto"/>
              <w:jc w:val="center"/>
            </w:pPr>
            <w:r>
              <w:t>Medium</w:t>
            </w:r>
          </w:p>
        </w:tc>
        <w:tc>
          <w:tcPr>
            <w:tcW w:w="2338" w:type="dxa"/>
            <w:vAlign w:val="center"/>
          </w:tcPr>
          <w:p w14:paraId="2D7DF574" w14:textId="77777777" w:rsidR="00D8645B" w:rsidRDefault="00D8645B" w:rsidP="00664D46">
            <w:pPr>
              <w:spacing w:line="360" w:lineRule="auto"/>
              <w:jc w:val="center"/>
            </w:pPr>
            <w:r>
              <w:t>High</w:t>
            </w:r>
          </w:p>
        </w:tc>
      </w:tr>
      <w:tr w:rsidR="00D8645B" w14:paraId="605229C9" w14:textId="77777777" w:rsidTr="00664D46">
        <w:tc>
          <w:tcPr>
            <w:tcW w:w="2337" w:type="dxa"/>
            <w:vMerge/>
            <w:vAlign w:val="center"/>
          </w:tcPr>
          <w:p w14:paraId="6F6C00BF" w14:textId="77777777" w:rsidR="00D8645B" w:rsidRDefault="00D8645B" w:rsidP="00664D46">
            <w:pPr>
              <w:spacing w:line="360" w:lineRule="auto"/>
              <w:jc w:val="center"/>
            </w:pPr>
          </w:p>
        </w:tc>
        <w:tc>
          <w:tcPr>
            <w:tcW w:w="2788" w:type="dxa"/>
            <w:vAlign w:val="center"/>
          </w:tcPr>
          <w:p w14:paraId="1D658AFC" w14:textId="77777777" w:rsidR="00D8645B" w:rsidRDefault="00D8645B" w:rsidP="00664D46">
            <w:pPr>
              <w:spacing w:line="360" w:lineRule="auto"/>
              <w:jc w:val="center"/>
            </w:pPr>
            <w:r>
              <w:t>IG Bonds</w:t>
            </w:r>
          </w:p>
        </w:tc>
        <w:tc>
          <w:tcPr>
            <w:tcW w:w="1887" w:type="dxa"/>
            <w:vAlign w:val="center"/>
          </w:tcPr>
          <w:p w14:paraId="5B91B917" w14:textId="77777777" w:rsidR="00D8645B" w:rsidRDefault="00D8645B" w:rsidP="00664D46">
            <w:pPr>
              <w:spacing w:line="360" w:lineRule="auto"/>
              <w:jc w:val="center"/>
            </w:pPr>
            <w:r>
              <w:t>Medium</w:t>
            </w:r>
          </w:p>
        </w:tc>
        <w:tc>
          <w:tcPr>
            <w:tcW w:w="2338" w:type="dxa"/>
            <w:vAlign w:val="center"/>
          </w:tcPr>
          <w:p w14:paraId="00769581" w14:textId="77777777" w:rsidR="00D8645B" w:rsidRDefault="00D8645B" w:rsidP="00664D46">
            <w:pPr>
              <w:spacing w:line="360" w:lineRule="auto"/>
              <w:jc w:val="center"/>
            </w:pPr>
            <w:r>
              <w:t>High</w:t>
            </w:r>
          </w:p>
        </w:tc>
      </w:tr>
      <w:tr w:rsidR="00D8645B" w14:paraId="3AEB9F03" w14:textId="77777777" w:rsidTr="00664D46">
        <w:tc>
          <w:tcPr>
            <w:tcW w:w="2337" w:type="dxa"/>
            <w:vMerge/>
            <w:vAlign w:val="center"/>
          </w:tcPr>
          <w:p w14:paraId="4B19FF81" w14:textId="77777777" w:rsidR="00D8645B" w:rsidRDefault="00D8645B" w:rsidP="00664D46">
            <w:pPr>
              <w:spacing w:line="360" w:lineRule="auto"/>
              <w:jc w:val="center"/>
            </w:pPr>
          </w:p>
        </w:tc>
        <w:tc>
          <w:tcPr>
            <w:tcW w:w="2788" w:type="dxa"/>
            <w:vAlign w:val="center"/>
          </w:tcPr>
          <w:p w14:paraId="3F6BC3FE" w14:textId="77777777" w:rsidR="00D8645B" w:rsidRDefault="00D8645B" w:rsidP="00664D46">
            <w:pPr>
              <w:spacing w:line="360" w:lineRule="auto"/>
              <w:jc w:val="center"/>
            </w:pPr>
            <w:r>
              <w:t>IG Primary Loans</w:t>
            </w:r>
          </w:p>
        </w:tc>
        <w:tc>
          <w:tcPr>
            <w:tcW w:w="1887" w:type="dxa"/>
            <w:vAlign w:val="center"/>
          </w:tcPr>
          <w:p w14:paraId="244AAFBB" w14:textId="77777777" w:rsidR="00D8645B" w:rsidRDefault="00D8645B" w:rsidP="00664D46">
            <w:pPr>
              <w:spacing w:line="360" w:lineRule="auto"/>
              <w:jc w:val="center"/>
            </w:pPr>
            <w:r>
              <w:t>Medium</w:t>
            </w:r>
          </w:p>
        </w:tc>
        <w:tc>
          <w:tcPr>
            <w:tcW w:w="2338" w:type="dxa"/>
            <w:vAlign w:val="center"/>
          </w:tcPr>
          <w:p w14:paraId="60446535" w14:textId="77777777" w:rsidR="00D8645B" w:rsidRDefault="00D8645B" w:rsidP="00664D46">
            <w:pPr>
              <w:spacing w:line="360" w:lineRule="auto"/>
              <w:jc w:val="center"/>
            </w:pPr>
            <w:r>
              <w:t>High</w:t>
            </w:r>
          </w:p>
        </w:tc>
      </w:tr>
      <w:tr w:rsidR="00D8645B" w14:paraId="013BAB85" w14:textId="77777777" w:rsidTr="00664D46">
        <w:tc>
          <w:tcPr>
            <w:tcW w:w="2337" w:type="dxa"/>
            <w:vMerge/>
            <w:vAlign w:val="center"/>
          </w:tcPr>
          <w:p w14:paraId="7C3FFA1F" w14:textId="77777777" w:rsidR="00D8645B" w:rsidRDefault="00D8645B" w:rsidP="00664D46">
            <w:pPr>
              <w:spacing w:line="360" w:lineRule="auto"/>
              <w:jc w:val="center"/>
            </w:pPr>
          </w:p>
        </w:tc>
        <w:tc>
          <w:tcPr>
            <w:tcW w:w="2788" w:type="dxa"/>
            <w:vAlign w:val="center"/>
          </w:tcPr>
          <w:p w14:paraId="3D6B74C4" w14:textId="77777777" w:rsidR="00D8645B" w:rsidRDefault="00D8645B" w:rsidP="00664D46">
            <w:pPr>
              <w:spacing w:line="360" w:lineRule="auto"/>
              <w:jc w:val="center"/>
            </w:pPr>
            <w:r>
              <w:t>Leveraged Finance</w:t>
            </w:r>
          </w:p>
        </w:tc>
        <w:tc>
          <w:tcPr>
            <w:tcW w:w="1887" w:type="dxa"/>
            <w:vAlign w:val="center"/>
          </w:tcPr>
          <w:p w14:paraId="5E6B66A2" w14:textId="77777777" w:rsidR="00D8645B" w:rsidRDefault="00D8645B" w:rsidP="00664D46">
            <w:pPr>
              <w:spacing w:line="360" w:lineRule="auto"/>
              <w:jc w:val="center"/>
            </w:pPr>
            <w:r>
              <w:t>High</w:t>
            </w:r>
          </w:p>
        </w:tc>
        <w:tc>
          <w:tcPr>
            <w:tcW w:w="2338" w:type="dxa"/>
            <w:vAlign w:val="center"/>
          </w:tcPr>
          <w:p w14:paraId="594D301D" w14:textId="77777777" w:rsidR="00D8645B" w:rsidRDefault="00D8645B" w:rsidP="00664D46">
            <w:pPr>
              <w:spacing w:line="360" w:lineRule="auto"/>
              <w:jc w:val="center"/>
            </w:pPr>
            <w:r>
              <w:t>High</w:t>
            </w:r>
          </w:p>
        </w:tc>
      </w:tr>
      <w:tr w:rsidR="00D8645B" w14:paraId="72E0F3BC" w14:textId="77777777" w:rsidTr="00664D46">
        <w:tc>
          <w:tcPr>
            <w:tcW w:w="2337" w:type="dxa"/>
            <w:vMerge/>
            <w:vAlign w:val="center"/>
          </w:tcPr>
          <w:p w14:paraId="692FBEC4" w14:textId="77777777" w:rsidR="00D8645B" w:rsidRDefault="00D8645B" w:rsidP="00664D46">
            <w:pPr>
              <w:spacing w:line="360" w:lineRule="auto"/>
              <w:jc w:val="center"/>
            </w:pPr>
          </w:p>
        </w:tc>
        <w:tc>
          <w:tcPr>
            <w:tcW w:w="2788" w:type="dxa"/>
            <w:vAlign w:val="center"/>
          </w:tcPr>
          <w:p w14:paraId="67B660E9" w14:textId="77777777" w:rsidR="00D8645B" w:rsidRDefault="00D8645B" w:rsidP="00664D46">
            <w:pPr>
              <w:spacing w:line="360" w:lineRule="auto"/>
              <w:jc w:val="center"/>
            </w:pPr>
            <w:r>
              <w:t>Other FI Under-writing</w:t>
            </w:r>
          </w:p>
        </w:tc>
        <w:tc>
          <w:tcPr>
            <w:tcW w:w="1887" w:type="dxa"/>
            <w:vAlign w:val="center"/>
          </w:tcPr>
          <w:p w14:paraId="5AB0ABAD" w14:textId="77777777" w:rsidR="00D8645B" w:rsidRDefault="00D8645B" w:rsidP="00664D46">
            <w:pPr>
              <w:spacing w:line="360" w:lineRule="auto"/>
              <w:jc w:val="center"/>
            </w:pPr>
            <w:r>
              <w:t>Medium</w:t>
            </w:r>
          </w:p>
        </w:tc>
        <w:tc>
          <w:tcPr>
            <w:tcW w:w="2338" w:type="dxa"/>
            <w:vAlign w:val="center"/>
          </w:tcPr>
          <w:p w14:paraId="46B6EE4E" w14:textId="77777777" w:rsidR="00D8645B" w:rsidRDefault="00D8645B" w:rsidP="00664D46">
            <w:pPr>
              <w:spacing w:line="360" w:lineRule="auto"/>
              <w:jc w:val="center"/>
            </w:pPr>
            <w:r>
              <w:t>High</w:t>
            </w:r>
          </w:p>
        </w:tc>
      </w:tr>
      <w:tr w:rsidR="00D8645B" w14:paraId="0D10C846" w14:textId="77777777" w:rsidTr="00664D46">
        <w:tc>
          <w:tcPr>
            <w:tcW w:w="2337" w:type="dxa"/>
            <w:vMerge/>
            <w:vAlign w:val="center"/>
          </w:tcPr>
          <w:p w14:paraId="3AF3657D" w14:textId="77777777" w:rsidR="00D8645B" w:rsidRDefault="00D8645B" w:rsidP="00664D46">
            <w:pPr>
              <w:spacing w:line="360" w:lineRule="auto"/>
              <w:jc w:val="center"/>
            </w:pPr>
          </w:p>
        </w:tc>
        <w:tc>
          <w:tcPr>
            <w:tcW w:w="2788" w:type="dxa"/>
            <w:vAlign w:val="center"/>
          </w:tcPr>
          <w:p w14:paraId="26893F5C" w14:textId="77777777" w:rsidR="00D8645B" w:rsidRDefault="00D8645B" w:rsidP="00664D46">
            <w:pPr>
              <w:spacing w:line="360" w:lineRule="auto"/>
              <w:jc w:val="center"/>
            </w:pPr>
            <w:r>
              <w:t>Project Finance</w:t>
            </w:r>
          </w:p>
        </w:tc>
        <w:tc>
          <w:tcPr>
            <w:tcW w:w="1887" w:type="dxa"/>
            <w:vAlign w:val="center"/>
          </w:tcPr>
          <w:p w14:paraId="7A5062D1" w14:textId="77777777" w:rsidR="00D8645B" w:rsidRDefault="00D8645B" w:rsidP="00664D46">
            <w:pPr>
              <w:spacing w:line="360" w:lineRule="auto"/>
              <w:jc w:val="center"/>
            </w:pPr>
            <w:r>
              <w:t>Medium</w:t>
            </w:r>
          </w:p>
        </w:tc>
        <w:tc>
          <w:tcPr>
            <w:tcW w:w="2338" w:type="dxa"/>
            <w:vAlign w:val="center"/>
          </w:tcPr>
          <w:p w14:paraId="78EBE72E" w14:textId="77777777" w:rsidR="00D8645B" w:rsidRDefault="00D8645B" w:rsidP="00664D46">
            <w:pPr>
              <w:spacing w:line="360" w:lineRule="auto"/>
              <w:jc w:val="center"/>
            </w:pPr>
            <w:r>
              <w:t>High</w:t>
            </w:r>
          </w:p>
        </w:tc>
      </w:tr>
      <w:tr w:rsidR="00D8645B" w14:paraId="378A778D" w14:textId="77777777" w:rsidTr="00664D46">
        <w:tc>
          <w:tcPr>
            <w:tcW w:w="2337" w:type="dxa"/>
            <w:vMerge w:val="restart"/>
            <w:vAlign w:val="center"/>
          </w:tcPr>
          <w:p w14:paraId="57DFE2F2" w14:textId="77777777" w:rsidR="00D8645B" w:rsidRDefault="00D8645B" w:rsidP="00664D46">
            <w:pPr>
              <w:spacing w:line="360" w:lineRule="auto"/>
              <w:jc w:val="center"/>
            </w:pPr>
            <w:r>
              <w:t>FX Local Markets</w:t>
            </w:r>
          </w:p>
        </w:tc>
        <w:tc>
          <w:tcPr>
            <w:tcW w:w="2788" w:type="dxa"/>
            <w:vAlign w:val="center"/>
          </w:tcPr>
          <w:p w14:paraId="43123CA0" w14:textId="77777777" w:rsidR="00D8645B" w:rsidRDefault="00D8645B" w:rsidP="00664D46">
            <w:pPr>
              <w:spacing w:line="360" w:lineRule="auto"/>
              <w:jc w:val="center"/>
            </w:pPr>
            <w:r>
              <w:t>G10 FX</w:t>
            </w:r>
          </w:p>
        </w:tc>
        <w:tc>
          <w:tcPr>
            <w:tcW w:w="1887" w:type="dxa"/>
            <w:vAlign w:val="center"/>
          </w:tcPr>
          <w:p w14:paraId="2DAC9061" w14:textId="77777777" w:rsidR="00D8645B" w:rsidRDefault="00D8645B" w:rsidP="00664D46">
            <w:pPr>
              <w:spacing w:line="360" w:lineRule="auto"/>
              <w:jc w:val="center"/>
            </w:pPr>
            <w:r>
              <w:t>Low</w:t>
            </w:r>
          </w:p>
        </w:tc>
        <w:tc>
          <w:tcPr>
            <w:tcW w:w="2338" w:type="dxa"/>
            <w:vAlign w:val="center"/>
          </w:tcPr>
          <w:p w14:paraId="502BB34D" w14:textId="77777777" w:rsidR="00D8645B" w:rsidRDefault="00D8645B" w:rsidP="00664D46">
            <w:pPr>
              <w:spacing w:line="360" w:lineRule="auto"/>
              <w:jc w:val="center"/>
            </w:pPr>
            <w:r>
              <w:t>High</w:t>
            </w:r>
          </w:p>
        </w:tc>
      </w:tr>
      <w:tr w:rsidR="00D8645B" w14:paraId="6C3A05A9" w14:textId="77777777" w:rsidTr="00664D46">
        <w:tc>
          <w:tcPr>
            <w:tcW w:w="2337" w:type="dxa"/>
            <w:vMerge/>
            <w:vAlign w:val="center"/>
          </w:tcPr>
          <w:p w14:paraId="5619293F" w14:textId="77777777" w:rsidR="00D8645B" w:rsidRDefault="00D8645B" w:rsidP="00664D46">
            <w:pPr>
              <w:spacing w:line="360" w:lineRule="auto"/>
              <w:jc w:val="center"/>
            </w:pPr>
          </w:p>
        </w:tc>
        <w:tc>
          <w:tcPr>
            <w:tcW w:w="2788" w:type="dxa"/>
            <w:vAlign w:val="center"/>
          </w:tcPr>
          <w:p w14:paraId="1E504B9A" w14:textId="77777777" w:rsidR="00D8645B" w:rsidRDefault="00D8645B" w:rsidP="00664D46">
            <w:pPr>
              <w:spacing w:line="360" w:lineRule="auto"/>
              <w:jc w:val="center"/>
            </w:pPr>
            <w:r>
              <w:t>Local Markets</w:t>
            </w:r>
          </w:p>
        </w:tc>
        <w:tc>
          <w:tcPr>
            <w:tcW w:w="1887" w:type="dxa"/>
            <w:vAlign w:val="center"/>
          </w:tcPr>
          <w:p w14:paraId="09711423" w14:textId="77777777" w:rsidR="00D8645B" w:rsidRDefault="00D8645B" w:rsidP="00664D46">
            <w:pPr>
              <w:spacing w:line="360" w:lineRule="auto"/>
              <w:jc w:val="center"/>
            </w:pPr>
            <w:r>
              <w:t>Low</w:t>
            </w:r>
          </w:p>
        </w:tc>
        <w:tc>
          <w:tcPr>
            <w:tcW w:w="2338" w:type="dxa"/>
            <w:vAlign w:val="center"/>
          </w:tcPr>
          <w:p w14:paraId="521E373D" w14:textId="77777777" w:rsidR="00D8645B" w:rsidRDefault="00D8645B" w:rsidP="00664D46">
            <w:pPr>
              <w:spacing w:line="360" w:lineRule="auto"/>
              <w:jc w:val="center"/>
            </w:pPr>
            <w:r>
              <w:t>High</w:t>
            </w:r>
          </w:p>
        </w:tc>
      </w:tr>
      <w:tr w:rsidR="00D8645B" w14:paraId="2EB1F566" w14:textId="77777777" w:rsidTr="00664D46">
        <w:tc>
          <w:tcPr>
            <w:tcW w:w="2337" w:type="dxa"/>
            <w:vAlign w:val="center"/>
          </w:tcPr>
          <w:p w14:paraId="08F810D2" w14:textId="77777777" w:rsidR="00D8645B" w:rsidRDefault="00D8645B" w:rsidP="00664D46">
            <w:pPr>
              <w:spacing w:line="360" w:lineRule="auto"/>
              <w:jc w:val="center"/>
            </w:pPr>
            <w:r>
              <w:t>G10 Rates</w:t>
            </w:r>
          </w:p>
        </w:tc>
        <w:tc>
          <w:tcPr>
            <w:tcW w:w="2788" w:type="dxa"/>
            <w:vAlign w:val="center"/>
          </w:tcPr>
          <w:p w14:paraId="2FA9F579" w14:textId="77777777" w:rsidR="00D8645B" w:rsidRDefault="00D8645B" w:rsidP="00664D46">
            <w:pPr>
              <w:spacing w:line="360" w:lineRule="auto"/>
              <w:jc w:val="center"/>
            </w:pPr>
            <w:r>
              <w:t>G10 Rates</w:t>
            </w:r>
          </w:p>
        </w:tc>
        <w:tc>
          <w:tcPr>
            <w:tcW w:w="1887" w:type="dxa"/>
            <w:vAlign w:val="center"/>
          </w:tcPr>
          <w:p w14:paraId="263AEABE" w14:textId="77777777" w:rsidR="00D8645B" w:rsidRDefault="00D8645B" w:rsidP="00664D46">
            <w:pPr>
              <w:spacing w:line="360" w:lineRule="auto"/>
              <w:jc w:val="center"/>
            </w:pPr>
            <w:r>
              <w:t>Medium</w:t>
            </w:r>
          </w:p>
        </w:tc>
        <w:tc>
          <w:tcPr>
            <w:tcW w:w="2338" w:type="dxa"/>
            <w:vAlign w:val="center"/>
          </w:tcPr>
          <w:p w14:paraId="3D4C2EF3" w14:textId="77777777" w:rsidR="00D8645B" w:rsidRDefault="00D8645B" w:rsidP="00664D46">
            <w:pPr>
              <w:spacing w:line="360" w:lineRule="auto"/>
              <w:jc w:val="center"/>
            </w:pPr>
            <w:r>
              <w:t>High</w:t>
            </w:r>
          </w:p>
        </w:tc>
      </w:tr>
      <w:tr w:rsidR="00D8645B" w14:paraId="7597C752" w14:textId="77777777" w:rsidTr="00664D46">
        <w:tc>
          <w:tcPr>
            <w:tcW w:w="2337" w:type="dxa"/>
            <w:vMerge w:val="restart"/>
            <w:vAlign w:val="center"/>
          </w:tcPr>
          <w:p w14:paraId="7C200AB7" w14:textId="77777777" w:rsidR="00D8645B" w:rsidRDefault="00D8645B" w:rsidP="00664D46">
            <w:pPr>
              <w:spacing w:line="360" w:lineRule="auto"/>
              <w:jc w:val="center"/>
            </w:pPr>
            <w:r>
              <w:t>G10 Risk Treasury RV Finance</w:t>
            </w:r>
          </w:p>
        </w:tc>
        <w:tc>
          <w:tcPr>
            <w:tcW w:w="2788" w:type="dxa"/>
            <w:vAlign w:val="center"/>
          </w:tcPr>
          <w:p w14:paraId="74480550" w14:textId="77777777" w:rsidR="00D8645B" w:rsidRDefault="00D8645B" w:rsidP="00664D46">
            <w:pPr>
              <w:spacing w:line="360" w:lineRule="auto"/>
              <w:jc w:val="center"/>
            </w:pPr>
            <w:r>
              <w:t>FIMA</w:t>
            </w:r>
          </w:p>
        </w:tc>
        <w:tc>
          <w:tcPr>
            <w:tcW w:w="1887" w:type="dxa"/>
            <w:vAlign w:val="center"/>
          </w:tcPr>
          <w:p w14:paraId="0A00D191" w14:textId="77777777" w:rsidR="00D8645B" w:rsidRDefault="00D8645B" w:rsidP="00664D46">
            <w:pPr>
              <w:spacing w:line="360" w:lineRule="auto"/>
              <w:jc w:val="center"/>
            </w:pPr>
            <w:r>
              <w:t>Low</w:t>
            </w:r>
          </w:p>
        </w:tc>
        <w:tc>
          <w:tcPr>
            <w:tcW w:w="2338" w:type="dxa"/>
            <w:vAlign w:val="center"/>
          </w:tcPr>
          <w:p w14:paraId="5C7452C2" w14:textId="77777777" w:rsidR="00D8645B" w:rsidRDefault="00D8645B" w:rsidP="00664D46">
            <w:pPr>
              <w:spacing w:line="360" w:lineRule="auto"/>
              <w:jc w:val="center"/>
            </w:pPr>
            <w:r>
              <w:t>High</w:t>
            </w:r>
          </w:p>
        </w:tc>
      </w:tr>
      <w:tr w:rsidR="00D8645B" w14:paraId="56BADDF5" w14:textId="77777777" w:rsidTr="00664D46">
        <w:tc>
          <w:tcPr>
            <w:tcW w:w="2337" w:type="dxa"/>
            <w:vMerge/>
            <w:vAlign w:val="center"/>
          </w:tcPr>
          <w:p w14:paraId="5AC695BD" w14:textId="77777777" w:rsidR="00D8645B" w:rsidRDefault="00D8645B" w:rsidP="00664D46">
            <w:pPr>
              <w:spacing w:line="360" w:lineRule="auto"/>
              <w:jc w:val="center"/>
            </w:pPr>
          </w:p>
        </w:tc>
        <w:tc>
          <w:tcPr>
            <w:tcW w:w="2788" w:type="dxa"/>
            <w:vAlign w:val="center"/>
          </w:tcPr>
          <w:p w14:paraId="0F6B64BB" w14:textId="77777777" w:rsidR="00D8645B" w:rsidRDefault="00D8645B" w:rsidP="00664D46">
            <w:pPr>
              <w:spacing w:line="360" w:lineRule="auto"/>
              <w:jc w:val="center"/>
            </w:pPr>
            <w:r>
              <w:t>Finance</w:t>
            </w:r>
          </w:p>
        </w:tc>
        <w:tc>
          <w:tcPr>
            <w:tcW w:w="1887" w:type="dxa"/>
            <w:vAlign w:val="center"/>
          </w:tcPr>
          <w:p w14:paraId="26041115" w14:textId="77777777" w:rsidR="00D8645B" w:rsidRDefault="00D8645B" w:rsidP="00664D46">
            <w:pPr>
              <w:spacing w:line="360" w:lineRule="auto"/>
              <w:jc w:val="center"/>
            </w:pPr>
            <w:r>
              <w:t>Low</w:t>
            </w:r>
          </w:p>
        </w:tc>
        <w:tc>
          <w:tcPr>
            <w:tcW w:w="2338" w:type="dxa"/>
            <w:vAlign w:val="center"/>
          </w:tcPr>
          <w:p w14:paraId="0510207C" w14:textId="77777777" w:rsidR="00D8645B" w:rsidRDefault="00D8645B" w:rsidP="00664D46">
            <w:pPr>
              <w:spacing w:line="360" w:lineRule="auto"/>
              <w:jc w:val="center"/>
            </w:pPr>
            <w:r>
              <w:t>High</w:t>
            </w:r>
          </w:p>
        </w:tc>
      </w:tr>
      <w:tr w:rsidR="00D8645B" w14:paraId="1BE8C741" w14:textId="77777777" w:rsidTr="00664D46">
        <w:tc>
          <w:tcPr>
            <w:tcW w:w="2337" w:type="dxa"/>
            <w:vMerge/>
            <w:vAlign w:val="center"/>
          </w:tcPr>
          <w:p w14:paraId="59E1E096" w14:textId="77777777" w:rsidR="00D8645B" w:rsidRDefault="00D8645B" w:rsidP="00664D46">
            <w:pPr>
              <w:spacing w:line="360" w:lineRule="auto"/>
              <w:jc w:val="center"/>
            </w:pPr>
          </w:p>
        </w:tc>
        <w:tc>
          <w:tcPr>
            <w:tcW w:w="2788" w:type="dxa"/>
            <w:vAlign w:val="center"/>
          </w:tcPr>
          <w:p w14:paraId="4971B980" w14:textId="77777777" w:rsidR="00D8645B" w:rsidRDefault="00D8645B" w:rsidP="00664D46">
            <w:pPr>
              <w:spacing w:line="360" w:lineRule="auto"/>
              <w:jc w:val="center"/>
            </w:pPr>
            <w:r>
              <w:t>Risk Treasury</w:t>
            </w:r>
          </w:p>
        </w:tc>
        <w:tc>
          <w:tcPr>
            <w:tcW w:w="1887" w:type="dxa"/>
            <w:vAlign w:val="center"/>
          </w:tcPr>
          <w:p w14:paraId="2AE649A1" w14:textId="77777777" w:rsidR="00D8645B" w:rsidRDefault="00D8645B" w:rsidP="00664D46">
            <w:pPr>
              <w:spacing w:line="360" w:lineRule="auto"/>
              <w:jc w:val="center"/>
            </w:pPr>
            <w:r>
              <w:t>Low</w:t>
            </w:r>
          </w:p>
        </w:tc>
        <w:tc>
          <w:tcPr>
            <w:tcW w:w="2338" w:type="dxa"/>
            <w:vAlign w:val="center"/>
          </w:tcPr>
          <w:p w14:paraId="5FA36F11" w14:textId="77777777" w:rsidR="00D8645B" w:rsidRDefault="00D8645B" w:rsidP="00664D46">
            <w:pPr>
              <w:spacing w:line="360" w:lineRule="auto"/>
              <w:jc w:val="center"/>
            </w:pPr>
            <w:r>
              <w:t>Medium</w:t>
            </w:r>
          </w:p>
        </w:tc>
      </w:tr>
      <w:tr w:rsidR="00D8645B" w14:paraId="1C4BD5EF" w14:textId="77777777" w:rsidTr="00664D46">
        <w:tc>
          <w:tcPr>
            <w:tcW w:w="2337" w:type="dxa"/>
            <w:vAlign w:val="center"/>
          </w:tcPr>
          <w:p w14:paraId="4C30C78D" w14:textId="77777777" w:rsidR="00D8645B" w:rsidRDefault="00D8645B" w:rsidP="00664D46">
            <w:pPr>
              <w:spacing w:line="360" w:lineRule="auto"/>
              <w:jc w:val="center"/>
            </w:pPr>
            <w:r>
              <w:t>GTS</w:t>
            </w:r>
          </w:p>
        </w:tc>
        <w:tc>
          <w:tcPr>
            <w:tcW w:w="2788" w:type="dxa"/>
            <w:vAlign w:val="center"/>
          </w:tcPr>
          <w:p w14:paraId="06645C3F" w14:textId="77777777" w:rsidR="00D8645B" w:rsidRDefault="00D8645B" w:rsidP="00664D46">
            <w:pPr>
              <w:spacing w:line="360" w:lineRule="auto"/>
              <w:jc w:val="center"/>
            </w:pPr>
            <w:r>
              <w:t>GTS</w:t>
            </w:r>
          </w:p>
        </w:tc>
        <w:tc>
          <w:tcPr>
            <w:tcW w:w="1887" w:type="dxa"/>
            <w:vAlign w:val="center"/>
          </w:tcPr>
          <w:p w14:paraId="53337F34" w14:textId="77777777" w:rsidR="00D8645B" w:rsidRDefault="00D8645B" w:rsidP="00664D46">
            <w:pPr>
              <w:spacing w:line="360" w:lineRule="auto"/>
              <w:jc w:val="center"/>
            </w:pPr>
            <w:r>
              <w:t>Low</w:t>
            </w:r>
          </w:p>
        </w:tc>
        <w:tc>
          <w:tcPr>
            <w:tcW w:w="2338" w:type="dxa"/>
            <w:vAlign w:val="center"/>
          </w:tcPr>
          <w:p w14:paraId="79A3CF12" w14:textId="77777777" w:rsidR="00D8645B" w:rsidRDefault="00D8645B" w:rsidP="00664D46">
            <w:pPr>
              <w:spacing w:line="360" w:lineRule="auto"/>
              <w:jc w:val="center"/>
            </w:pPr>
            <w:r>
              <w:t>High</w:t>
            </w:r>
          </w:p>
        </w:tc>
      </w:tr>
      <w:tr w:rsidR="00D8645B" w14:paraId="053208A6" w14:textId="77777777" w:rsidTr="00664D46">
        <w:tc>
          <w:tcPr>
            <w:tcW w:w="2337" w:type="dxa"/>
            <w:vAlign w:val="center"/>
          </w:tcPr>
          <w:p w14:paraId="245AF6FC" w14:textId="77777777" w:rsidR="00D8645B" w:rsidRDefault="00D8645B" w:rsidP="00664D46">
            <w:pPr>
              <w:spacing w:line="360" w:lineRule="auto"/>
              <w:jc w:val="center"/>
            </w:pPr>
            <w:r>
              <w:t>GWM</w:t>
            </w:r>
          </w:p>
        </w:tc>
        <w:tc>
          <w:tcPr>
            <w:tcW w:w="2788" w:type="dxa"/>
            <w:vAlign w:val="center"/>
          </w:tcPr>
          <w:p w14:paraId="50C1EE1F" w14:textId="77777777" w:rsidR="00D8645B" w:rsidRDefault="00D8645B" w:rsidP="00664D46">
            <w:pPr>
              <w:spacing w:line="360" w:lineRule="auto"/>
              <w:jc w:val="center"/>
            </w:pPr>
            <w:r>
              <w:t>GWM</w:t>
            </w:r>
          </w:p>
        </w:tc>
        <w:tc>
          <w:tcPr>
            <w:tcW w:w="1887" w:type="dxa"/>
            <w:vAlign w:val="center"/>
          </w:tcPr>
          <w:p w14:paraId="3AD90D87" w14:textId="77777777" w:rsidR="00D8645B" w:rsidRDefault="00D8645B" w:rsidP="00664D46">
            <w:pPr>
              <w:spacing w:line="360" w:lineRule="auto"/>
              <w:jc w:val="center"/>
            </w:pPr>
            <w:r>
              <w:t>Low</w:t>
            </w:r>
          </w:p>
        </w:tc>
        <w:tc>
          <w:tcPr>
            <w:tcW w:w="2338" w:type="dxa"/>
            <w:vAlign w:val="center"/>
          </w:tcPr>
          <w:p w14:paraId="33E8CDF5" w14:textId="77777777" w:rsidR="00D8645B" w:rsidRDefault="00D8645B" w:rsidP="00664D46">
            <w:pPr>
              <w:spacing w:line="360" w:lineRule="auto"/>
              <w:jc w:val="center"/>
            </w:pPr>
            <w:r>
              <w:t>High</w:t>
            </w:r>
          </w:p>
        </w:tc>
      </w:tr>
      <w:tr w:rsidR="00D8645B" w14:paraId="5C9BED5C" w14:textId="77777777" w:rsidTr="00664D46">
        <w:tc>
          <w:tcPr>
            <w:tcW w:w="2337" w:type="dxa"/>
            <w:vAlign w:val="center"/>
          </w:tcPr>
          <w:p w14:paraId="6B827735" w14:textId="77777777" w:rsidR="00D8645B" w:rsidRDefault="00D8645B" w:rsidP="00664D46">
            <w:pPr>
              <w:spacing w:line="360" w:lineRule="auto"/>
              <w:jc w:val="center"/>
            </w:pPr>
            <w:r>
              <w:t>Hybrids</w:t>
            </w:r>
          </w:p>
        </w:tc>
        <w:tc>
          <w:tcPr>
            <w:tcW w:w="2788" w:type="dxa"/>
            <w:vAlign w:val="center"/>
          </w:tcPr>
          <w:p w14:paraId="07242139" w14:textId="77777777" w:rsidR="00D8645B" w:rsidRDefault="00D8645B" w:rsidP="00664D46">
            <w:pPr>
              <w:spacing w:line="360" w:lineRule="auto"/>
              <w:jc w:val="center"/>
            </w:pPr>
            <w:r>
              <w:t>Hybrids</w:t>
            </w:r>
          </w:p>
        </w:tc>
        <w:tc>
          <w:tcPr>
            <w:tcW w:w="1887" w:type="dxa"/>
            <w:vAlign w:val="center"/>
          </w:tcPr>
          <w:p w14:paraId="101B29A7" w14:textId="77777777" w:rsidR="00D8645B" w:rsidRDefault="00D8645B" w:rsidP="00664D46">
            <w:pPr>
              <w:spacing w:line="360" w:lineRule="auto"/>
              <w:jc w:val="center"/>
            </w:pPr>
            <w:r>
              <w:t>Medium</w:t>
            </w:r>
          </w:p>
        </w:tc>
        <w:tc>
          <w:tcPr>
            <w:tcW w:w="2338" w:type="dxa"/>
            <w:vAlign w:val="center"/>
          </w:tcPr>
          <w:p w14:paraId="7D19AA01" w14:textId="77777777" w:rsidR="00D8645B" w:rsidRDefault="00D8645B" w:rsidP="00664D46">
            <w:pPr>
              <w:spacing w:line="360" w:lineRule="auto"/>
              <w:jc w:val="center"/>
            </w:pPr>
            <w:r>
              <w:t>High</w:t>
            </w:r>
          </w:p>
        </w:tc>
      </w:tr>
      <w:tr w:rsidR="00D8645B" w14:paraId="1C3C50A0" w14:textId="77777777" w:rsidTr="00664D46">
        <w:tc>
          <w:tcPr>
            <w:tcW w:w="2337" w:type="dxa"/>
            <w:vAlign w:val="center"/>
          </w:tcPr>
          <w:p w14:paraId="64EDCC25" w14:textId="77777777" w:rsidR="00D8645B" w:rsidRDefault="00D8645B" w:rsidP="00664D46">
            <w:pPr>
              <w:spacing w:line="360" w:lineRule="auto"/>
              <w:jc w:val="center"/>
            </w:pPr>
            <w:r>
              <w:t>Municipals</w:t>
            </w:r>
          </w:p>
        </w:tc>
        <w:tc>
          <w:tcPr>
            <w:tcW w:w="2788" w:type="dxa"/>
            <w:vAlign w:val="center"/>
          </w:tcPr>
          <w:p w14:paraId="11BD8C99" w14:textId="77777777" w:rsidR="00D8645B" w:rsidRDefault="00D8645B" w:rsidP="00664D46">
            <w:pPr>
              <w:spacing w:line="360" w:lineRule="auto"/>
              <w:jc w:val="center"/>
            </w:pPr>
            <w:r>
              <w:t>Municipals</w:t>
            </w:r>
          </w:p>
        </w:tc>
        <w:tc>
          <w:tcPr>
            <w:tcW w:w="1887" w:type="dxa"/>
            <w:vAlign w:val="center"/>
          </w:tcPr>
          <w:p w14:paraId="2FC7854D" w14:textId="77777777" w:rsidR="00D8645B" w:rsidRDefault="00D8645B" w:rsidP="00664D46">
            <w:pPr>
              <w:spacing w:line="360" w:lineRule="auto"/>
              <w:jc w:val="center"/>
            </w:pPr>
            <w:r>
              <w:t>Medium</w:t>
            </w:r>
          </w:p>
        </w:tc>
        <w:tc>
          <w:tcPr>
            <w:tcW w:w="2338" w:type="dxa"/>
            <w:vAlign w:val="center"/>
          </w:tcPr>
          <w:p w14:paraId="1451ABE6" w14:textId="77777777" w:rsidR="00D8645B" w:rsidRDefault="00D8645B" w:rsidP="00664D46">
            <w:pPr>
              <w:spacing w:line="360" w:lineRule="auto"/>
              <w:jc w:val="center"/>
            </w:pPr>
            <w:r>
              <w:t>High</w:t>
            </w:r>
          </w:p>
        </w:tc>
      </w:tr>
      <w:tr w:rsidR="00D8645B" w14:paraId="04215E2F" w14:textId="77777777" w:rsidTr="00664D46">
        <w:tc>
          <w:tcPr>
            <w:tcW w:w="2337" w:type="dxa"/>
            <w:vAlign w:val="center"/>
          </w:tcPr>
          <w:p w14:paraId="50EDDB32" w14:textId="77777777" w:rsidR="00D8645B" w:rsidRDefault="00D8645B" w:rsidP="00664D46">
            <w:pPr>
              <w:spacing w:line="360" w:lineRule="auto"/>
              <w:jc w:val="center"/>
            </w:pPr>
            <w:r>
              <w:t>OS&amp;B</w:t>
            </w:r>
          </w:p>
        </w:tc>
        <w:tc>
          <w:tcPr>
            <w:tcW w:w="2788" w:type="dxa"/>
            <w:vAlign w:val="center"/>
          </w:tcPr>
          <w:p w14:paraId="4FFEFB88" w14:textId="77777777" w:rsidR="00D8645B" w:rsidRDefault="00D8645B" w:rsidP="00664D46">
            <w:pPr>
              <w:spacing w:line="360" w:lineRule="auto"/>
              <w:jc w:val="center"/>
            </w:pPr>
            <w:r>
              <w:t>OS&amp;B</w:t>
            </w:r>
          </w:p>
        </w:tc>
        <w:tc>
          <w:tcPr>
            <w:tcW w:w="1887" w:type="dxa"/>
            <w:vAlign w:val="center"/>
          </w:tcPr>
          <w:p w14:paraId="04047F9B" w14:textId="77777777" w:rsidR="00D8645B" w:rsidRDefault="00D8645B" w:rsidP="00664D46">
            <w:pPr>
              <w:spacing w:line="360" w:lineRule="auto"/>
              <w:jc w:val="center"/>
            </w:pPr>
            <w:r>
              <w:t>OS&amp;B</w:t>
            </w:r>
          </w:p>
        </w:tc>
        <w:tc>
          <w:tcPr>
            <w:tcW w:w="2338" w:type="dxa"/>
            <w:vAlign w:val="center"/>
          </w:tcPr>
          <w:p w14:paraId="3B9FFFB4" w14:textId="77777777" w:rsidR="00D8645B" w:rsidRDefault="00D8645B" w:rsidP="00664D46">
            <w:pPr>
              <w:spacing w:line="360" w:lineRule="auto"/>
              <w:jc w:val="center"/>
            </w:pPr>
            <w:r>
              <w:t>OS&amp;B</w:t>
            </w:r>
          </w:p>
        </w:tc>
      </w:tr>
      <w:tr w:rsidR="00D8645B" w14:paraId="5209D8A8" w14:textId="77777777" w:rsidTr="00664D46">
        <w:tc>
          <w:tcPr>
            <w:tcW w:w="2337" w:type="dxa"/>
            <w:vAlign w:val="center"/>
          </w:tcPr>
          <w:p w14:paraId="0F26D09F" w14:textId="77777777" w:rsidR="00D8645B" w:rsidRDefault="00D8645B" w:rsidP="00664D46">
            <w:pPr>
              <w:spacing w:line="360" w:lineRule="auto"/>
              <w:jc w:val="center"/>
            </w:pPr>
            <w:r>
              <w:t>Other Global Markets</w:t>
            </w:r>
          </w:p>
        </w:tc>
        <w:tc>
          <w:tcPr>
            <w:tcW w:w="2788" w:type="dxa"/>
            <w:vAlign w:val="center"/>
          </w:tcPr>
          <w:p w14:paraId="5F1E294B" w14:textId="77777777" w:rsidR="00D8645B" w:rsidRDefault="00D8645B" w:rsidP="00664D46">
            <w:pPr>
              <w:spacing w:line="360" w:lineRule="auto"/>
              <w:jc w:val="center"/>
            </w:pPr>
            <w:r>
              <w:t>Other Global Markets</w:t>
            </w:r>
          </w:p>
        </w:tc>
        <w:tc>
          <w:tcPr>
            <w:tcW w:w="1887" w:type="dxa"/>
            <w:vAlign w:val="center"/>
          </w:tcPr>
          <w:p w14:paraId="232311AB" w14:textId="77777777" w:rsidR="00D8645B" w:rsidRDefault="00D8645B" w:rsidP="00664D46">
            <w:pPr>
              <w:spacing w:line="360" w:lineRule="auto"/>
              <w:jc w:val="center"/>
            </w:pPr>
            <w:r>
              <w:t>Low</w:t>
            </w:r>
          </w:p>
        </w:tc>
        <w:tc>
          <w:tcPr>
            <w:tcW w:w="2338" w:type="dxa"/>
            <w:vAlign w:val="center"/>
          </w:tcPr>
          <w:p w14:paraId="1369846C" w14:textId="77777777" w:rsidR="00D8645B" w:rsidRDefault="00D8645B" w:rsidP="00664D46">
            <w:pPr>
              <w:spacing w:line="360" w:lineRule="auto"/>
              <w:jc w:val="center"/>
            </w:pPr>
            <w:r>
              <w:t>High</w:t>
            </w:r>
          </w:p>
        </w:tc>
      </w:tr>
      <w:tr w:rsidR="00D8645B" w14:paraId="0A41EEE2" w14:textId="77777777" w:rsidTr="00664D46">
        <w:tc>
          <w:tcPr>
            <w:tcW w:w="2337" w:type="dxa"/>
            <w:vAlign w:val="center"/>
          </w:tcPr>
          <w:p w14:paraId="5EC9926D" w14:textId="77777777" w:rsidR="00D8645B" w:rsidRDefault="00D8645B" w:rsidP="00664D46">
            <w:pPr>
              <w:spacing w:line="360" w:lineRule="auto"/>
              <w:jc w:val="center"/>
            </w:pPr>
            <w:r>
              <w:t>Prime Finance</w:t>
            </w:r>
          </w:p>
        </w:tc>
        <w:tc>
          <w:tcPr>
            <w:tcW w:w="2788" w:type="dxa"/>
            <w:vAlign w:val="center"/>
          </w:tcPr>
          <w:p w14:paraId="760340ED" w14:textId="77777777" w:rsidR="00D8645B" w:rsidRDefault="00D8645B" w:rsidP="00664D46">
            <w:pPr>
              <w:spacing w:line="360" w:lineRule="auto"/>
              <w:jc w:val="center"/>
            </w:pPr>
            <w:r>
              <w:t>Prime Finance</w:t>
            </w:r>
          </w:p>
        </w:tc>
        <w:tc>
          <w:tcPr>
            <w:tcW w:w="1887" w:type="dxa"/>
            <w:vAlign w:val="center"/>
          </w:tcPr>
          <w:p w14:paraId="75DEC26C" w14:textId="77777777" w:rsidR="00D8645B" w:rsidRDefault="00D8645B" w:rsidP="00664D46">
            <w:pPr>
              <w:spacing w:line="360" w:lineRule="auto"/>
              <w:jc w:val="center"/>
            </w:pPr>
            <w:r>
              <w:t>Low</w:t>
            </w:r>
          </w:p>
        </w:tc>
        <w:tc>
          <w:tcPr>
            <w:tcW w:w="2338" w:type="dxa"/>
            <w:vAlign w:val="center"/>
          </w:tcPr>
          <w:p w14:paraId="7DD5B306" w14:textId="77777777" w:rsidR="00D8645B" w:rsidRDefault="00D8645B" w:rsidP="00664D46">
            <w:pPr>
              <w:spacing w:line="360" w:lineRule="auto"/>
              <w:jc w:val="center"/>
            </w:pPr>
            <w:r>
              <w:t>High</w:t>
            </w:r>
          </w:p>
        </w:tc>
      </w:tr>
      <w:tr w:rsidR="00D8645B" w14:paraId="2FF2C23B" w14:textId="77777777" w:rsidTr="00664D46">
        <w:tc>
          <w:tcPr>
            <w:tcW w:w="2337" w:type="dxa"/>
          </w:tcPr>
          <w:p w14:paraId="1E7617C4" w14:textId="77777777" w:rsidR="00D8645B" w:rsidRDefault="00D8645B" w:rsidP="00664D46">
            <w:pPr>
              <w:spacing w:line="360" w:lineRule="auto"/>
              <w:jc w:val="center"/>
            </w:pPr>
            <w:r>
              <w:t>Securitized Markets</w:t>
            </w:r>
          </w:p>
        </w:tc>
        <w:tc>
          <w:tcPr>
            <w:tcW w:w="2788" w:type="dxa"/>
          </w:tcPr>
          <w:p w14:paraId="337A6E81" w14:textId="77777777" w:rsidR="00D8645B" w:rsidRDefault="00D8645B" w:rsidP="00664D46">
            <w:pPr>
              <w:spacing w:line="360" w:lineRule="auto"/>
              <w:jc w:val="center"/>
            </w:pPr>
            <w:r>
              <w:t>Securitized Markets</w:t>
            </w:r>
          </w:p>
        </w:tc>
        <w:tc>
          <w:tcPr>
            <w:tcW w:w="1887" w:type="dxa"/>
          </w:tcPr>
          <w:p w14:paraId="7AEE1C75" w14:textId="77777777" w:rsidR="00D8645B" w:rsidRDefault="00D8645B" w:rsidP="00664D46">
            <w:pPr>
              <w:spacing w:line="360" w:lineRule="auto"/>
              <w:jc w:val="center"/>
            </w:pPr>
            <w:r>
              <w:t>High</w:t>
            </w:r>
          </w:p>
        </w:tc>
        <w:tc>
          <w:tcPr>
            <w:tcW w:w="2338" w:type="dxa"/>
          </w:tcPr>
          <w:p w14:paraId="1BC6AD4A" w14:textId="77777777" w:rsidR="00D8645B" w:rsidRDefault="00D8645B" w:rsidP="00664D46">
            <w:pPr>
              <w:spacing w:line="360" w:lineRule="auto"/>
              <w:jc w:val="center"/>
            </w:pPr>
            <w:r>
              <w:t>High</w:t>
            </w:r>
          </w:p>
        </w:tc>
      </w:tr>
    </w:tbl>
    <w:p w14:paraId="0F121CD1" w14:textId="77777777" w:rsidR="00D8645B" w:rsidRDefault="00D8645B" w:rsidP="00D8645B">
      <w:pPr>
        <w:spacing w:line="360" w:lineRule="auto"/>
      </w:pPr>
    </w:p>
    <w:p w14:paraId="44E82710" w14:textId="77777777" w:rsidR="00D8645B" w:rsidRDefault="00D8645B" w:rsidP="0060309E">
      <w:pPr>
        <w:pStyle w:val="ListParagraph"/>
        <w:numPr>
          <w:ilvl w:val="0"/>
          <w:numId w:val="55"/>
        </w:numPr>
        <w:spacing w:after="160" w:line="360" w:lineRule="auto"/>
      </w:pPr>
      <w:r w:rsidRPr="002609D0">
        <w:rPr>
          <w:u w:val="single"/>
        </w:rPr>
        <w:t>Notes on Sample Table</w:t>
      </w:r>
      <w:r>
        <w:t>:</w:t>
      </w:r>
    </w:p>
    <w:p w14:paraId="192F5FF1" w14:textId="77777777" w:rsidR="00D8645B" w:rsidRDefault="00D8645B" w:rsidP="0060309E">
      <w:pPr>
        <w:pStyle w:val="ListParagraph"/>
        <w:numPr>
          <w:ilvl w:val="1"/>
          <w:numId w:val="55"/>
        </w:numPr>
        <w:spacing w:after="160" w:line="360" w:lineRule="auto"/>
      </w:pPr>
      <w:r>
        <w:t>Certain businesses, such as Consumer Banking and other Corporate Lines, may not receive a beta treatment.</w:t>
      </w:r>
    </w:p>
    <w:p w14:paraId="49804CD5" w14:textId="77777777" w:rsidR="00D8645B" w:rsidRDefault="00D8645B" w:rsidP="0060309E">
      <w:pPr>
        <w:pStyle w:val="ListParagraph"/>
        <w:numPr>
          <w:ilvl w:val="1"/>
          <w:numId w:val="55"/>
        </w:numPr>
        <w:spacing w:after="160" w:line="360" w:lineRule="auto"/>
      </w:pPr>
      <w:r>
        <w:t>Betas for some activities may be not be differentiated across its component businesses.</w:t>
      </w:r>
    </w:p>
    <w:p w14:paraId="5A106EA1" w14:textId="77777777" w:rsidR="00D8645B" w:rsidRDefault="00D8645B" w:rsidP="0060309E">
      <w:pPr>
        <w:pStyle w:val="ListParagraph"/>
        <w:numPr>
          <w:ilvl w:val="1"/>
          <w:numId w:val="55"/>
        </w:numPr>
        <w:spacing w:after="160" w:line="360" w:lineRule="auto"/>
      </w:pPr>
      <w:r>
        <w:t>Hedge means a beta of -1 because these hedges should produce a profit in a crisis.</w:t>
      </w:r>
    </w:p>
    <w:p w14:paraId="4370FBDE" w14:textId="77777777" w:rsidR="00D8645B" w:rsidRDefault="00D8645B" w:rsidP="00D8645B">
      <w:pPr>
        <w:spacing w:line="360" w:lineRule="auto"/>
      </w:pPr>
    </w:p>
    <w:p w14:paraId="607B4445" w14:textId="77777777" w:rsidR="00D8645B" w:rsidRDefault="00D8645B" w:rsidP="00D8645B">
      <w:pPr>
        <w:spacing w:line="360" w:lineRule="auto"/>
      </w:pPr>
    </w:p>
    <w:p w14:paraId="73F6F5FC" w14:textId="77777777" w:rsidR="00D8645B" w:rsidRPr="002609D0" w:rsidRDefault="00D8645B" w:rsidP="00D8645B">
      <w:pPr>
        <w:spacing w:line="360" w:lineRule="auto"/>
        <w:rPr>
          <w:b/>
          <w:sz w:val="28"/>
          <w:szCs w:val="28"/>
        </w:rPr>
      </w:pPr>
      <w:r w:rsidRPr="002609D0">
        <w:rPr>
          <w:b/>
          <w:sz w:val="28"/>
          <w:szCs w:val="28"/>
        </w:rPr>
        <w:t>Conclusion</w:t>
      </w:r>
    </w:p>
    <w:p w14:paraId="6447CC77" w14:textId="77777777" w:rsidR="00D8645B" w:rsidRDefault="00D8645B" w:rsidP="00D8645B">
      <w:pPr>
        <w:spacing w:line="360" w:lineRule="auto"/>
      </w:pPr>
    </w:p>
    <w:p w14:paraId="317BDE41" w14:textId="77777777" w:rsidR="00D8645B" w:rsidRDefault="00D8645B" w:rsidP="0060309E">
      <w:pPr>
        <w:pStyle w:val="ListParagraph"/>
        <w:numPr>
          <w:ilvl w:val="0"/>
          <w:numId w:val="56"/>
        </w:numPr>
        <w:spacing w:after="160" w:line="360" w:lineRule="auto"/>
      </w:pPr>
      <w:r w:rsidRPr="002609D0">
        <w:rPr>
          <w:u w:val="single"/>
        </w:rPr>
        <w:t>Risk Capital Estimation as a Fundamental Activity</w:t>
      </w:r>
      <w:r w:rsidRPr="002609D0">
        <w:t>: Risk capital estimation is based ongoing, fundamental risk management systems. It must integrate both normal VaR and stress tests.</w:t>
      </w:r>
    </w:p>
    <w:p w14:paraId="780A221A" w14:textId="77777777" w:rsidR="00D8645B" w:rsidRDefault="00D8645B" w:rsidP="0060309E">
      <w:pPr>
        <w:pStyle w:val="ListParagraph"/>
        <w:numPr>
          <w:ilvl w:val="0"/>
          <w:numId w:val="56"/>
        </w:numPr>
        <w:spacing w:after="160" w:line="360" w:lineRule="auto"/>
      </w:pPr>
      <w:r>
        <w:rPr>
          <w:u w:val="single"/>
        </w:rPr>
        <w:t>Avoiding Double Counting of Losses</w:t>
      </w:r>
      <w:r w:rsidRPr="00662A2F">
        <w:t>:</w:t>
      </w:r>
      <w:r>
        <w:t xml:space="preserve"> The systemic and business specific stress losses and VaR capture different aspects of risk, and can be statistically combined.</w:t>
      </w:r>
    </w:p>
    <w:p w14:paraId="37CB2C04" w14:textId="77777777" w:rsidR="00D8645B" w:rsidRDefault="00D8645B" w:rsidP="0060309E">
      <w:pPr>
        <w:pStyle w:val="ListParagraph"/>
        <w:numPr>
          <w:ilvl w:val="0"/>
          <w:numId w:val="56"/>
        </w:numPr>
        <w:spacing w:after="160" w:line="360" w:lineRule="auto"/>
      </w:pPr>
      <w:r>
        <w:rPr>
          <w:u w:val="single"/>
        </w:rPr>
        <w:t>Understandable by Business Units</w:t>
      </w:r>
      <w:r w:rsidRPr="00662A2F">
        <w:t>:</w:t>
      </w:r>
      <w:r>
        <w:t xml:space="preserve"> Stress based risk capital is simple to understand. Allocation to businesses is based on their own risks.</w:t>
      </w:r>
    </w:p>
    <w:p w14:paraId="086476F0" w14:textId="77777777" w:rsidR="00D8645B" w:rsidRDefault="00D8645B" w:rsidP="0060309E">
      <w:pPr>
        <w:pStyle w:val="ListParagraph"/>
        <w:numPr>
          <w:ilvl w:val="0"/>
          <w:numId w:val="56"/>
        </w:numPr>
        <w:spacing w:after="160" w:line="360" w:lineRule="auto"/>
      </w:pPr>
      <w:r>
        <w:rPr>
          <w:u w:val="single"/>
        </w:rPr>
        <w:t>Ongoing Performance Review and Enhancement</w:t>
      </w:r>
      <w:r w:rsidRPr="00662A2F">
        <w:t>:</w:t>
      </w:r>
      <w:r>
        <w:t xml:space="preserve"> The core stress scenarios (2007/2008) have been refined over time with additional research. The three hypothetical stress scenarios – conditioned on the current state of the economy – are periodically updated by the senior economist in collaboration with senior risk management. Business specific risks are reviewed and updated by trading risk managers in a systematic way. Trading risk managers must also meet monthly to review VaR PnL attribution to identify any material risk not captured in VaR, or any adjustments that may need to be made to the GSST scenarios. Liquidity-adjusted stresses must be applied to as many areas as possible.</w:t>
      </w:r>
    </w:p>
    <w:p w14:paraId="113394BB" w14:textId="77777777" w:rsidR="00D8645B" w:rsidRDefault="00D8645B" w:rsidP="00D8645B">
      <w:pPr>
        <w:spacing w:line="360" w:lineRule="auto"/>
      </w:pPr>
    </w:p>
    <w:p w14:paraId="02DD7E9D" w14:textId="77777777" w:rsidR="00D8645B" w:rsidRDefault="00D8645B" w:rsidP="00D8645B">
      <w:pPr>
        <w:spacing w:line="360" w:lineRule="auto"/>
      </w:pPr>
    </w:p>
    <w:p w14:paraId="064EF4C0" w14:textId="77777777" w:rsidR="00D8645B" w:rsidRPr="00B02658" w:rsidRDefault="00D8645B" w:rsidP="00D8645B">
      <w:pPr>
        <w:spacing w:line="360" w:lineRule="auto"/>
        <w:rPr>
          <w:b/>
          <w:sz w:val="28"/>
          <w:szCs w:val="28"/>
        </w:rPr>
      </w:pPr>
      <w:r w:rsidRPr="00B02658">
        <w:rPr>
          <w:b/>
          <w:sz w:val="28"/>
          <w:szCs w:val="28"/>
        </w:rPr>
        <w:t>GSST Stress Scenario Definitions</w:t>
      </w:r>
    </w:p>
    <w:p w14:paraId="1E102792" w14:textId="77777777" w:rsidR="00D8645B" w:rsidRDefault="00D8645B" w:rsidP="00D8645B">
      <w:pPr>
        <w:spacing w:line="360" w:lineRule="auto"/>
      </w:pPr>
    </w:p>
    <w:p w14:paraId="6CCAD0E3" w14:textId="77777777" w:rsidR="00D8645B" w:rsidRDefault="00D8645B" w:rsidP="0060309E">
      <w:pPr>
        <w:pStyle w:val="ListParagraph"/>
        <w:numPr>
          <w:ilvl w:val="0"/>
          <w:numId w:val="57"/>
        </w:numPr>
        <w:spacing w:after="160" w:line="360" w:lineRule="auto"/>
      </w:pPr>
      <w:r w:rsidRPr="00B02658">
        <w:rPr>
          <w:u w:val="single"/>
        </w:rPr>
        <w:t>Variable/Market Factor</w:t>
      </w:r>
      <w:r w:rsidRPr="00B02658">
        <w:t>:</w:t>
      </w:r>
    </w:p>
    <w:p w14:paraId="3BBC82A6" w14:textId="77777777" w:rsidR="00D8645B" w:rsidRDefault="00D8645B" w:rsidP="0060309E">
      <w:pPr>
        <w:pStyle w:val="ListParagraph"/>
        <w:numPr>
          <w:ilvl w:val="1"/>
          <w:numId w:val="57"/>
        </w:numPr>
        <w:spacing w:after="160" w:line="360" w:lineRule="auto"/>
      </w:pPr>
      <w:r>
        <w:t>Macro-economic Variables</w:t>
      </w:r>
    </w:p>
    <w:p w14:paraId="49ECE502" w14:textId="77777777" w:rsidR="00D8645B" w:rsidRDefault="00D8645B" w:rsidP="0060309E">
      <w:pPr>
        <w:pStyle w:val="ListParagraph"/>
        <w:numPr>
          <w:ilvl w:val="2"/>
          <w:numId w:val="57"/>
        </w:numPr>
        <w:spacing w:after="160" w:line="360" w:lineRule="auto"/>
      </w:pPr>
      <w:r>
        <w:t>GDP</w:t>
      </w:r>
    </w:p>
    <w:p w14:paraId="201A5B3D" w14:textId="77777777" w:rsidR="00D8645B" w:rsidRDefault="00D8645B" w:rsidP="0060309E">
      <w:pPr>
        <w:pStyle w:val="ListParagraph"/>
        <w:numPr>
          <w:ilvl w:val="2"/>
          <w:numId w:val="57"/>
        </w:numPr>
        <w:spacing w:after="160" w:line="360" w:lineRule="auto"/>
      </w:pPr>
      <w:r>
        <w:t>Unemployment</w:t>
      </w:r>
    </w:p>
    <w:p w14:paraId="2E2B0103" w14:textId="77777777" w:rsidR="00D8645B" w:rsidRDefault="00D8645B" w:rsidP="0060309E">
      <w:pPr>
        <w:pStyle w:val="ListParagraph"/>
        <w:numPr>
          <w:ilvl w:val="2"/>
          <w:numId w:val="57"/>
        </w:numPr>
        <w:spacing w:after="160" w:line="360" w:lineRule="auto"/>
      </w:pPr>
      <w:r>
        <w:t>House Prices (Case/Shiller) – Note a</w:t>
      </w:r>
    </w:p>
    <w:p w14:paraId="42D29F5D" w14:textId="77777777" w:rsidR="00D8645B" w:rsidRDefault="00D8645B" w:rsidP="0060309E">
      <w:pPr>
        <w:pStyle w:val="ListParagraph"/>
        <w:numPr>
          <w:ilvl w:val="1"/>
          <w:numId w:val="57"/>
        </w:numPr>
        <w:spacing w:after="160" w:line="360" w:lineRule="auto"/>
      </w:pPr>
      <w:r>
        <w:t>Market Factors</w:t>
      </w:r>
    </w:p>
    <w:p w14:paraId="2538935F" w14:textId="77777777" w:rsidR="00D8645B" w:rsidRDefault="00D8645B" w:rsidP="0060309E">
      <w:pPr>
        <w:pStyle w:val="ListParagraph"/>
        <w:numPr>
          <w:ilvl w:val="2"/>
          <w:numId w:val="57"/>
        </w:numPr>
        <w:spacing w:after="160" w:line="360" w:lineRule="auto"/>
      </w:pPr>
      <w:r>
        <w:t>IR Level – Note b, Note c</w:t>
      </w:r>
    </w:p>
    <w:p w14:paraId="067A5C29" w14:textId="77777777" w:rsidR="00D8645B" w:rsidRDefault="00D8645B" w:rsidP="0060309E">
      <w:pPr>
        <w:pStyle w:val="ListParagraph"/>
        <w:numPr>
          <w:ilvl w:val="2"/>
          <w:numId w:val="57"/>
        </w:numPr>
        <w:spacing w:after="160" w:line="360" w:lineRule="auto"/>
      </w:pPr>
      <w:r>
        <w:t>IR Slope – Note b, Note c</w:t>
      </w:r>
    </w:p>
    <w:p w14:paraId="1F2E50A9" w14:textId="77777777" w:rsidR="00D8645B" w:rsidRDefault="00D8645B" w:rsidP="0060309E">
      <w:pPr>
        <w:pStyle w:val="ListParagraph"/>
        <w:numPr>
          <w:ilvl w:val="2"/>
          <w:numId w:val="57"/>
        </w:numPr>
        <w:spacing w:after="160" w:line="360" w:lineRule="auto"/>
      </w:pPr>
      <w:r>
        <w:lastRenderedPageBreak/>
        <w:t>Credit Spread including Municipals – Note d</w:t>
      </w:r>
    </w:p>
    <w:p w14:paraId="4ED92CF9" w14:textId="77777777" w:rsidR="00D8645B" w:rsidRDefault="00D8645B" w:rsidP="0060309E">
      <w:pPr>
        <w:pStyle w:val="ListParagraph"/>
        <w:numPr>
          <w:ilvl w:val="2"/>
          <w:numId w:val="57"/>
        </w:numPr>
        <w:spacing w:after="160" w:line="360" w:lineRule="auto"/>
      </w:pPr>
      <w:r>
        <w:t>Spot FX – USD vs all other currencies – Note e</w:t>
      </w:r>
    </w:p>
    <w:p w14:paraId="7C9F3487" w14:textId="77777777" w:rsidR="00D8645B" w:rsidRDefault="00D8645B" w:rsidP="0060309E">
      <w:pPr>
        <w:pStyle w:val="ListParagraph"/>
        <w:numPr>
          <w:ilvl w:val="2"/>
          <w:numId w:val="57"/>
        </w:numPr>
        <w:spacing w:after="160" w:line="360" w:lineRule="auto"/>
      </w:pPr>
      <w:r>
        <w:t>Equity and equity indexes</w:t>
      </w:r>
    </w:p>
    <w:p w14:paraId="02AF2AB7" w14:textId="77777777" w:rsidR="00D8645B" w:rsidRDefault="00D8645B" w:rsidP="0060309E">
      <w:pPr>
        <w:pStyle w:val="ListParagraph"/>
        <w:numPr>
          <w:ilvl w:val="2"/>
          <w:numId w:val="57"/>
        </w:numPr>
        <w:spacing w:after="160" w:line="360" w:lineRule="auto"/>
      </w:pPr>
      <w:r>
        <w:t>Private equity – Note f</w:t>
      </w:r>
    </w:p>
    <w:p w14:paraId="150651C6" w14:textId="77777777" w:rsidR="00D8645B" w:rsidRDefault="00D8645B" w:rsidP="0060309E">
      <w:pPr>
        <w:pStyle w:val="ListParagraph"/>
        <w:numPr>
          <w:ilvl w:val="2"/>
          <w:numId w:val="57"/>
        </w:numPr>
        <w:spacing w:after="160" w:line="360" w:lineRule="auto"/>
      </w:pPr>
      <w:r>
        <w:t>Hedge funds – Note h</w:t>
      </w:r>
    </w:p>
    <w:p w14:paraId="2E7BE19D" w14:textId="77777777" w:rsidR="00D8645B" w:rsidRDefault="00D8645B" w:rsidP="0060309E">
      <w:pPr>
        <w:pStyle w:val="ListParagraph"/>
        <w:numPr>
          <w:ilvl w:val="2"/>
          <w:numId w:val="57"/>
        </w:numPr>
        <w:spacing w:after="160" w:line="360" w:lineRule="auto"/>
      </w:pPr>
      <w:r>
        <w:t>ABX Index 07-1 AAA</w:t>
      </w:r>
    </w:p>
    <w:p w14:paraId="618B15DB" w14:textId="77777777" w:rsidR="00D8645B" w:rsidRDefault="00D8645B" w:rsidP="0060309E">
      <w:pPr>
        <w:pStyle w:val="ListParagraph"/>
        <w:numPr>
          <w:ilvl w:val="2"/>
          <w:numId w:val="57"/>
        </w:numPr>
        <w:spacing w:after="160" w:line="360" w:lineRule="auto"/>
      </w:pPr>
      <w:r>
        <w:t>Energy – WTI, 1MFt</w:t>
      </w:r>
    </w:p>
    <w:p w14:paraId="2FD259E3" w14:textId="77777777" w:rsidR="00D8645B" w:rsidRDefault="00D8645B" w:rsidP="0060309E">
      <w:pPr>
        <w:pStyle w:val="ListParagraph"/>
        <w:numPr>
          <w:ilvl w:val="2"/>
          <w:numId w:val="57"/>
        </w:numPr>
        <w:spacing w:after="160" w:line="360" w:lineRule="auto"/>
      </w:pPr>
      <w:r>
        <w:t>Natural Gas – NYMEX, 3Mft</w:t>
      </w:r>
    </w:p>
    <w:p w14:paraId="33CF1F73" w14:textId="77777777" w:rsidR="00D8645B" w:rsidRDefault="00D8645B" w:rsidP="0060309E">
      <w:pPr>
        <w:pStyle w:val="ListParagraph"/>
        <w:numPr>
          <w:ilvl w:val="2"/>
          <w:numId w:val="57"/>
        </w:numPr>
        <w:spacing w:after="160" w:line="360" w:lineRule="auto"/>
      </w:pPr>
      <w:r>
        <w:t>Copper Spot</w:t>
      </w:r>
    </w:p>
    <w:p w14:paraId="2BF64B48" w14:textId="77777777" w:rsidR="00D8645B" w:rsidRDefault="00D8645B" w:rsidP="0060309E">
      <w:pPr>
        <w:pStyle w:val="ListParagraph"/>
        <w:numPr>
          <w:ilvl w:val="2"/>
          <w:numId w:val="57"/>
        </w:numPr>
        <w:spacing w:after="160" w:line="360" w:lineRule="auto"/>
      </w:pPr>
      <w:r>
        <w:t>Gold Spot</w:t>
      </w:r>
    </w:p>
    <w:p w14:paraId="22B2CE18" w14:textId="77777777" w:rsidR="00D8645B" w:rsidRDefault="00D8645B" w:rsidP="0060309E">
      <w:pPr>
        <w:pStyle w:val="ListParagraph"/>
        <w:numPr>
          <w:ilvl w:val="2"/>
          <w:numId w:val="57"/>
        </w:numPr>
        <w:spacing w:after="160" w:line="360" w:lineRule="auto"/>
      </w:pPr>
      <w:r>
        <w:t>Corn 3MFt</w:t>
      </w:r>
    </w:p>
    <w:p w14:paraId="40992664" w14:textId="77777777" w:rsidR="00D8645B" w:rsidRDefault="00D8645B" w:rsidP="0060309E">
      <w:pPr>
        <w:pStyle w:val="ListParagraph"/>
        <w:numPr>
          <w:ilvl w:val="2"/>
          <w:numId w:val="57"/>
        </w:numPr>
        <w:spacing w:after="160" w:line="360" w:lineRule="auto"/>
      </w:pPr>
      <w:r>
        <w:t>Other Commodities</w:t>
      </w:r>
    </w:p>
    <w:p w14:paraId="4E62A298" w14:textId="77777777" w:rsidR="00D8645B" w:rsidRDefault="00D8645B" w:rsidP="0060309E">
      <w:pPr>
        <w:pStyle w:val="ListParagraph"/>
        <w:numPr>
          <w:ilvl w:val="2"/>
          <w:numId w:val="57"/>
        </w:numPr>
        <w:spacing w:after="160" w:line="360" w:lineRule="auto"/>
      </w:pPr>
      <w:r>
        <w:t>Equity Implied Volatilities VIX</w:t>
      </w:r>
    </w:p>
    <w:p w14:paraId="39047A02" w14:textId="77777777" w:rsidR="00D8645B" w:rsidRDefault="00D8645B" w:rsidP="0060309E">
      <w:pPr>
        <w:pStyle w:val="ListParagraph"/>
        <w:numPr>
          <w:ilvl w:val="2"/>
          <w:numId w:val="57"/>
        </w:numPr>
        <w:spacing w:after="160" w:line="360" w:lineRule="auto"/>
      </w:pPr>
      <w:r>
        <w:t>Implied Volatilities – Other – Note g</w:t>
      </w:r>
    </w:p>
    <w:p w14:paraId="7BC981EE" w14:textId="77777777" w:rsidR="00D8645B" w:rsidRDefault="00D8645B" w:rsidP="0060309E">
      <w:pPr>
        <w:pStyle w:val="ListParagraph"/>
        <w:numPr>
          <w:ilvl w:val="1"/>
          <w:numId w:val="57"/>
        </w:numPr>
        <w:spacing w:after="160" w:line="360" w:lineRule="auto"/>
      </w:pPr>
      <w:r>
        <w:t>Other</w:t>
      </w:r>
    </w:p>
    <w:p w14:paraId="7C8A742E" w14:textId="77777777" w:rsidR="00D8645B" w:rsidRDefault="00D8645B" w:rsidP="0060309E">
      <w:pPr>
        <w:pStyle w:val="ListParagraph"/>
        <w:numPr>
          <w:ilvl w:val="2"/>
          <w:numId w:val="57"/>
        </w:numPr>
        <w:spacing w:after="160" w:line="360" w:lineRule="auto"/>
      </w:pPr>
      <w:r>
        <w:t>Wholesale LGD</w:t>
      </w:r>
    </w:p>
    <w:p w14:paraId="6697F821" w14:textId="77777777" w:rsidR="00D8645B" w:rsidRPr="00B02658" w:rsidRDefault="00D8645B" w:rsidP="0060309E">
      <w:pPr>
        <w:pStyle w:val="ListParagraph"/>
        <w:numPr>
          <w:ilvl w:val="2"/>
          <w:numId w:val="57"/>
        </w:numPr>
        <w:spacing w:after="160" w:line="360" w:lineRule="auto"/>
      </w:pPr>
      <w:r>
        <w:t>Likelihood of Scenario</w:t>
      </w:r>
    </w:p>
    <w:p w14:paraId="6F16E7B9" w14:textId="77777777" w:rsidR="00D8645B" w:rsidRDefault="00D8645B" w:rsidP="0060309E">
      <w:pPr>
        <w:pStyle w:val="ListParagraph"/>
        <w:numPr>
          <w:ilvl w:val="0"/>
          <w:numId w:val="57"/>
        </w:numPr>
        <w:spacing w:after="160" w:line="360" w:lineRule="auto"/>
      </w:pPr>
      <w:r w:rsidRPr="00B02658">
        <w:rPr>
          <w:u w:val="single"/>
        </w:rPr>
        <w:t>Variable/Market Factor</w:t>
      </w:r>
      <w:r>
        <w:rPr>
          <w:u w:val="single"/>
        </w:rPr>
        <w:t xml:space="preserve"> Description</w:t>
      </w:r>
      <w:r w:rsidRPr="00B02658">
        <w:t>:</w:t>
      </w:r>
    </w:p>
    <w:tbl>
      <w:tblPr>
        <w:tblStyle w:val="TableGrid"/>
        <w:tblW w:w="0" w:type="auto"/>
        <w:tblLook w:val="04A0" w:firstRow="1" w:lastRow="0" w:firstColumn="1" w:lastColumn="0" w:noHBand="0" w:noVBand="1"/>
      </w:tblPr>
      <w:tblGrid>
        <w:gridCol w:w="2965"/>
        <w:gridCol w:w="2880"/>
        <w:gridCol w:w="2070"/>
        <w:gridCol w:w="1435"/>
      </w:tblGrid>
      <w:tr w:rsidR="00D8645B" w14:paraId="6E58878D" w14:textId="77777777" w:rsidTr="00664D46">
        <w:tc>
          <w:tcPr>
            <w:tcW w:w="2965" w:type="dxa"/>
            <w:vAlign w:val="center"/>
          </w:tcPr>
          <w:p w14:paraId="5CC486F6" w14:textId="77777777" w:rsidR="00D8645B" w:rsidRPr="00B02658" w:rsidRDefault="00D8645B" w:rsidP="00664D46">
            <w:pPr>
              <w:spacing w:line="360" w:lineRule="auto"/>
              <w:jc w:val="center"/>
              <w:rPr>
                <w:b/>
              </w:rPr>
            </w:pPr>
            <w:r>
              <w:rPr>
                <w:b/>
              </w:rPr>
              <w:t>Variable/Market Factor</w:t>
            </w:r>
          </w:p>
        </w:tc>
        <w:tc>
          <w:tcPr>
            <w:tcW w:w="2880" w:type="dxa"/>
            <w:vAlign w:val="center"/>
          </w:tcPr>
          <w:p w14:paraId="7A7A74CA" w14:textId="77777777" w:rsidR="00D8645B" w:rsidRPr="00B02658" w:rsidRDefault="00D8645B" w:rsidP="00664D46">
            <w:pPr>
              <w:spacing w:line="360" w:lineRule="auto"/>
              <w:jc w:val="center"/>
              <w:rPr>
                <w:b/>
              </w:rPr>
            </w:pPr>
            <w:r>
              <w:rPr>
                <w:b/>
              </w:rPr>
              <w:t>DM or EM</w:t>
            </w:r>
          </w:p>
        </w:tc>
        <w:tc>
          <w:tcPr>
            <w:tcW w:w="2070" w:type="dxa"/>
            <w:vAlign w:val="center"/>
          </w:tcPr>
          <w:p w14:paraId="46DF5907" w14:textId="77777777" w:rsidR="00D8645B" w:rsidRPr="00B02658" w:rsidRDefault="00D8645B" w:rsidP="00664D46">
            <w:pPr>
              <w:spacing w:line="360" w:lineRule="auto"/>
              <w:jc w:val="center"/>
              <w:rPr>
                <w:b/>
              </w:rPr>
            </w:pPr>
            <w:r>
              <w:rPr>
                <w:b/>
              </w:rPr>
              <w:t>Type of Change</w:t>
            </w:r>
          </w:p>
        </w:tc>
        <w:tc>
          <w:tcPr>
            <w:tcW w:w="1435" w:type="dxa"/>
            <w:vAlign w:val="center"/>
          </w:tcPr>
          <w:p w14:paraId="01672DE6" w14:textId="77777777" w:rsidR="00D8645B" w:rsidRPr="00B02658" w:rsidRDefault="00D8645B" w:rsidP="00664D46">
            <w:pPr>
              <w:spacing w:line="360" w:lineRule="auto"/>
              <w:jc w:val="center"/>
              <w:rPr>
                <w:b/>
              </w:rPr>
            </w:pPr>
            <w:r>
              <w:rPr>
                <w:b/>
              </w:rPr>
              <w:t>Unit</w:t>
            </w:r>
          </w:p>
        </w:tc>
      </w:tr>
      <w:tr w:rsidR="00D8645B" w14:paraId="15AEE885" w14:textId="77777777" w:rsidTr="00664D46">
        <w:tc>
          <w:tcPr>
            <w:tcW w:w="2965" w:type="dxa"/>
            <w:vAlign w:val="center"/>
          </w:tcPr>
          <w:p w14:paraId="55551280" w14:textId="77777777" w:rsidR="00D8645B" w:rsidRDefault="00D8645B" w:rsidP="00664D46">
            <w:pPr>
              <w:spacing w:line="360" w:lineRule="auto"/>
              <w:jc w:val="center"/>
            </w:pPr>
            <w:r>
              <w:t>GDP</w:t>
            </w:r>
          </w:p>
        </w:tc>
        <w:tc>
          <w:tcPr>
            <w:tcW w:w="2880" w:type="dxa"/>
            <w:vAlign w:val="center"/>
          </w:tcPr>
          <w:p w14:paraId="3BB39BA1" w14:textId="77777777" w:rsidR="00D8645B" w:rsidRDefault="00D8645B" w:rsidP="00664D46">
            <w:pPr>
              <w:spacing w:line="360" w:lineRule="auto"/>
              <w:jc w:val="center"/>
            </w:pPr>
            <w:r>
              <w:t>Both</w:t>
            </w:r>
          </w:p>
        </w:tc>
        <w:tc>
          <w:tcPr>
            <w:tcW w:w="2070" w:type="dxa"/>
            <w:vAlign w:val="center"/>
          </w:tcPr>
          <w:p w14:paraId="7466553D" w14:textId="77777777" w:rsidR="00D8645B" w:rsidRDefault="00D8645B" w:rsidP="00664D46">
            <w:pPr>
              <w:spacing w:line="360" w:lineRule="auto"/>
              <w:jc w:val="center"/>
            </w:pPr>
            <w:r>
              <w:t>1</w:t>
            </w:r>
          </w:p>
        </w:tc>
        <w:tc>
          <w:tcPr>
            <w:tcW w:w="1435" w:type="dxa"/>
            <w:vAlign w:val="center"/>
          </w:tcPr>
          <w:p w14:paraId="14E0F8A1" w14:textId="77777777" w:rsidR="00D8645B" w:rsidRDefault="00D8645B" w:rsidP="00664D46">
            <w:pPr>
              <w:spacing w:line="360" w:lineRule="auto"/>
              <w:jc w:val="center"/>
            </w:pPr>
            <w:r>
              <w:t>ppt</w:t>
            </w:r>
          </w:p>
        </w:tc>
      </w:tr>
      <w:tr w:rsidR="00D8645B" w14:paraId="6A5E30DD" w14:textId="77777777" w:rsidTr="00664D46">
        <w:tc>
          <w:tcPr>
            <w:tcW w:w="2965" w:type="dxa"/>
            <w:vAlign w:val="center"/>
          </w:tcPr>
          <w:p w14:paraId="721AFA59" w14:textId="77777777" w:rsidR="00D8645B" w:rsidRDefault="00D8645B" w:rsidP="00664D46">
            <w:pPr>
              <w:spacing w:line="360" w:lineRule="auto"/>
              <w:jc w:val="center"/>
            </w:pPr>
            <w:r>
              <w:t>Unemployment</w:t>
            </w:r>
          </w:p>
        </w:tc>
        <w:tc>
          <w:tcPr>
            <w:tcW w:w="2880" w:type="dxa"/>
            <w:vAlign w:val="center"/>
          </w:tcPr>
          <w:p w14:paraId="100325D7" w14:textId="77777777" w:rsidR="00D8645B" w:rsidRDefault="00D8645B" w:rsidP="00664D46">
            <w:pPr>
              <w:spacing w:line="360" w:lineRule="auto"/>
              <w:jc w:val="center"/>
            </w:pPr>
            <w:r>
              <w:t>Both</w:t>
            </w:r>
          </w:p>
        </w:tc>
        <w:tc>
          <w:tcPr>
            <w:tcW w:w="2070" w:type="dxa"/>
            <w:vAlign w:val="center"/>
          </w:tcPr>
          <w:p w14:paraId="63CF662C" w14:textId="77777777" w:rsidR="00D8645B" w:rsidRDefault="00D8645B" w:rsidP="00664D46">
            <w:pPr>
              <w:spacing w:line="360" w:lineRule="auto"/>
              <w:jc w:val="center"/>
            </w:pPr>
            <w:r>
              <w:t>2</w:t>
            </w:r>
          </w:p>
        </w:tc>
        <w:tc>
          <w:tcPr>
            <w:tcW w:w="1435" w:type="dxa"/>
            <w:vAlign w:val="center"/>
          </w:tcPr>
          <w:p w14:paraId="268F8140" w14:textId="77777777" w:rsidR="00D8645B" w:rsidRDefault="00D8645B" w:rsidP="00664D46">
            <w:pPr>
              <w:spacing w:line="360" w:lineRule="auto"/>
              <w:jc w:val="center"/>
            </w:pPr>
            <w:r>
              <w:t>ppt</w:t>
            </w:r>
          </w:p>
        </w:tc>
      </w:tr>
      <w:tr w:rsidR="00D8645B" w14:paraId="36DB36CA" w14:textId="77777777" w:rsidTr="00664D46">
        <w:tc>
          <w:tcPr>
            <w:tcW w:w="2965" w:type="dxa"/>
            <w:vAlign w:val="center"/>
          </w:tcPr>
          <w:p w14:paraId="3A858C77" w14:textId="77777777" w:rsidR="00D8645B" w:rsidRDefault="00D8645B" w:rsidP="00664D46">
            <w:pPr>
              <w:spacing w:line="360" w:lineRule="auto"/>
              <w:jc w:val="center"/>
            </w:pPr>
            <w:r>
              <w:t>House Prices</w:t>
            </w:r>
          </w:p>
        </w:tc>
        <w:tc>
          <w:tcPr>
            <w:tcW w:w="2880" w:type="dxa"/>
            <w:vAlign w:val="center"/>
          </w:tcPr>
          <w:p w14:paraId="306A8693" w14:textId="77777777" w:rsidR="00D8645B" w:rsidRDefault="00D8645B" w:rsidP="00664D46">
            <w:pPr>
              <w:spacing w:line="360" w:lineRule="auto"/>
              <w:jc w:val="center"/>
            </w:pPr>
            <w:r>
              <w:t>Both</w:t>
            </w:r>
          </w:p>
        </w:tc>
        <w:tc>
          <w:tcPr>
            <w:tcW w:w="2070" w:type="dxa"/>
            <w:vAlign w:val="center"/>
          </w:tcPr>
          <w:p w14:paraId="01B98AF9" w14:textId="77777777" w:rsidR="00D8645B" w:rsidRDefault="00D8645B" w:rsidP="00664D46">
            <w:pPr>
              <w:spacing w:line="360" w:lineRule="auto"/>
              <w:jc w:val="center"/>
            </w:pPr>
            <w:r>
              <w:t>3</w:t>
            </w:r>
          </w:p>
        </w:tc>
        <w:tc>
          <w:tcPr>
            <w:tcW w:w="1435" w:type="dxa"/>
            <w:vAlign w:val="center"/>
          </w:tcPr>
          <w:p w14:paraId="46153691" w14:textId="77777777" w:rsidR="00D8645B" w:rsidRDefault="00D8645B" w:rsidP="00664D46">
            <w:pPr>
              <w:spacing w:line="360" w:lineRule="auto"/>
              <w:jc w:val="center"/>
            </w:pPr>
            <w:proofErr w:type="spellStart"/>
            <w:r>
              <w:t>pct</w:t>
            </w:r>
            <w:proofErr w:type="spellEnd"/>
          </w:p>
        </w:tc>
      </w:tr>
      <w:tr w:rsidR="00D8645B" w14:paraId="491E1C2A" w14:textId="77777777" w:rsidTr="00664D46">
        <w:tc>
          <w:tcPr>
            <w:tcW w:w="2965" w:type="dxa"/>
            <w:vAlign w:val="center"/>
          </w:tcPr>
          <w:p w14:paraId="12D1B342" w14:textId="77777777" w:rsidR="00D8645B" w:rsidRDefault="00D8645B" w:rsidP="00664D46">
            <w:pPr>
              <w:spacing w:line="360" w:lineRule="auto"/>
              <w:jc w:val="center"/>
            </w:pPr>
            <w:r>
              <w:t>IR Level</w:t>
            </w:r>
          </w:p>
        </w:tc>
        <w:tc>
          <w:tcPr>
            <w:tcW w:w="2880" w:type="dxa"/>
            <w:vAlign w:val="center"/>
          </w:tcPr>
          <w:p w14:paraId="11D6B695" w14:textId="77777777" w:rsidR="00D8645B" w:rsidRDefault="00D8645B" w:rsidP="00664D46">
            <w:pPr>
              <w:spacing w:line="360" w:lineRule="auto"/>
              <w:jc w:val="center"/>
            </w:pPr>
            <w:r>
              <w:t>DM/EM Low Vol</w:t>
            </w:r>
          </w:p>
          <w:p w14:paraId="7527302B" w14:textId="77777777" w:rsidR="00D8645B" w:rsidRDefault="00D8645B" w:rsidP="00664D46">
            <w:pPr>
              <w:spacing w:line="360" w:lineRule="auto"/>
              <w:jc w:val="center"/>
            </w:pPr>
            <w:r>
              <w:t>EM High Vol</w:t>
            </w:r>
          </w:p>
        </w:tc>
        <w:tc>
          <w:tcPr>
            <w:tcW w:w="2070" w:type="dxa"/>
            <w:vAlign w:val="center"/>
          </w:tcPr>
          <w:p w14:paraId="7B6FCABE" w14:textId="77777777" w:rsidR="00D8645B" w:rsidRDefault="00D8645B" w:rsidP="00664D46">
            <w:pPr>
              <w:spacing w:line="360" w:lineRule="auto"/>
              <w:jc w:val="center"/>
            </w:pPr>
            <w:r>
              <w:t>4</w:t>
            </w:r>
          </w:p>
        </w:tc>
        <w:tc>
          <w:tcPr>
            <w:tcW w:w="1435" w:type="dxa"/>
            <w:vAlign w:val="center"/>
          </w:tcPr>
          <w:p w14:paraId="0AC1D53C" w14:textId="77777777" w:rsidR="00D8645B" w:rsidRDefault="00D8645B" w:rsidP="00664D46">
            <w:pPr>
              <w:spacing w:line="360" w:lineRule="auto"/>
              <w:jc w:val="center"/>
            </w:pPr>
            <w:r>
              <w:t>bp</w:t>
            </w:r>
          </w:p>
        </w:tc>
      </w:tr>
      <w:tr w:rsidR="00D8645B" w14:paraId="7BACC577" w14:textId="77777777" w:rsidTr="00664D46">
        <w:tc>
          <w:tcPr>
            <w:tcW w:w="2965" w:type="dxa"/>
            <w:vAlign w:val="center"/>
          </w:tcPr>
          <w:p w14:paraId="232B4808" w14:textId="77777777" w:rsidR="00D8645B" w:rsidRDefault="00D8645B" w:rsidP="00664D46">
            <w:pPr>
              <w:spacing w:line="360" w:lineRule="auto"/>
              <w:jc w:val="center"/>
            </w:pPr>
            <w:r>
              <w:t>IR Slope</w:t>
            </w:r>
          </w:p>
        </w:tc>
        <w:tc>
          <w:tcPr>
            <w:tcW w:w="2880" w:type="dxa"/>
            <w:vAlign w:val="center"/>
          </w:tcPr>
          <w:p w14:paraId="4E772D67" w14:textId="77777777" w:rsidR="00D8645B" w:rsidRDefault="00D8645B" w:rsidP="00664D46">
            <w:pPr>
              <w:spacing w:line="360" w:lineRule="auto"/>
              <w:jc w:val="center"/>
            </w:pPr>
            <w:r>
              <w:t>DM/EM Low Vol</w:t>
            </w:r>
          </w:p>
          <w:p w14:paraId="4D15A1BB" w14:textId="77777777" w:rsidR="00D8645B" w:rsidRDefault="00D8645B" w:rsidP="00664D46">
            <w:pPr>
              <w:spacing w:line="360" w:lineRule="auto"/>
              <w:jc w:val="center"/>
            </w:pPr>
            <w:r>
              <w:t>EM High Vol</w:t>
            </w:r>
          </w:p>
        </w:tc>
        <w:tc>
          <w:tcPr>
            <w:tcW w:w="2070" w:type="dxa"/>
            <w:vAlign w:val="center"/>
          </w:tcPr>
          <w:p w14:paraId="51EA708E" w14:textId="77777777" w:rsidR="00D8645B" w:rsidRDefault="00D8645B" w:rsidP="00664D46">
            <w:pPr>
              <w:spacing w:line="360" w:lineRule="auto"/>
              <w:jc w:val="center"/>
            </w:pPr>
            <w:r>
              <w:t>4</w:t>
            </w:r>
          </w:p>
        </w:tc>
        <w:tc>
          <w:tcPr>
            <w:tcW w:w="1435" w:type="dxa"/>
            <w:vAlign w:val="center"/>
          </w:tcPr>
          <w:p w14:paraId="29ECC776" w14:textId="77777777" w:rsidR="00D8645B" w:rsidRDefault="00D8645B" w:rsidP="00664D46">
            <w:pPr>
              <w:spacing w:line="360" w:lineRule="auto"/>
              <w:jc w:val="center"/>
            </w:pPr>
            <w:r>
              <w:t>bp</w:t>
            </w:r>
          </w:p>
        </w:tc>
      </w:tr>
      <w:tr w:rsidR="00D8645B" w14:paraId="65F53758" w14:textId="77777777" w:rsidTr="00664D46">
        <w:tc>
          <w:tcPr>
            <w:tcW w:w="2965" w:type="dxa"/>
            <w:vAlign w:val="center"/>
          </w:tcPr>
          <w:p w14:paraId="2E207100" w14:textId="77777777" w:rsidR="00D8645B" w:rsidRDefault="00D8645B" w:rsidP="00664D46">
            <w:pPr>
              <w:spacing w:line="360" w:lineRule="auto"/>
              <w:jc w:val="center"/>
            </w:pPr>
            <w:r>
              <w:t>Credit Spread</w:t>
            </w:r>
          </w:p>
        </w:tc>
        <w:tc>
          <w:tcPr>
            <w:tcW w:w="2880" w:type="dxa"/>
            <w:vAlign w:val="center"/>
          </w:tcPr>
          <w:p w14:paraId="2D9BCFC3" w14:textId="77777777" w:rsidR="00D8645B" w:rsidRDefault="00D8645B" w:rsidP="00664D46">
            <w:pPr>
              <w:spacing w:line="360" w:lineRule="auto"/>
              <w:jc w:val="center"/>
            </w:pPr>
            <w:r>
              <w:t>Both</w:t>
            </w:r>
          </w:p>
        </w:tc>
        <w:tc>
          <w:tcPr>
            <w:tcW w:w="2070" w:type="dxa"/>
            <w:vAlign w:val="center"/>
          </w:tcPr>
          <w:p w14:paraId="4D7E3F9C" w14:textId="77777777" w:rsidR="00D8645B" w:rsidRDefault="00D8645B" w:rsidP="00664D46">
            <w:pPr>
              <w:spacing w:line="360" w:lineRule="auto"/>
              <w:jc w:val="center"/>
            </w:pPr>
            <w:r>
              <w:t>5</w:t>
            </w:r>
          </w:p>
        </w:tc>
        <w:tc>
          <w:tcPr>
            <w:tcW w:w="1435" w:type="dxa"/>
            <w:vAlign w:val="center"/>
          </w:tcPr>
          <w:p w14:paraId="7F5B205B" w14:textId="77777777" w:rsidR="00D8645B" w:rsidRDefault="00D8645B" w:rsidP="00664D46">
            <w:pPr>
              <w:spacing w:line="360" w:lineRule="auto"/>
              <w:jc w:val="center"/>
            </w:pPr>
            <w:proofErr w:type="spellStart"/>
            <w:r>
              <w:t>pct</w:t>
            </w:r>
            <w:proofErr w:type="spellEnd"/>
          </w:p>
        </w:tc>
      </w:tr>
      <w:tr w:rsidR="00D8645B" w14:paraId="39A1FAFE" w14:textId="77777777" w:rsidTr="00664D46">
        <w:tc>
          <w:tcPr>
            <w:tcW w:w="2965" w:type="dxa"/>
            <w:vAlign w:val="center"/>
          </w:tcPr>
          <w:p w14:paraId="0B592794" w14:textId="77777777" w:rsidR="00D8645B" w:rsidRDefault="00D8645B" w:rsidP="00664D46">
            <w:pPr>
              <w:spacing w:line="360" w:lineRule="auto"/>
              <w:jc w:val="center"/>
            </w:pPr>
            <w:r>
              <w:t>Spot FX</w:t>
            </w:r>
          </w:p>
        </w:tc>
        <w:tc>
          <w:tcPr>
            <w:tcW w:w="2880" w:type="dxa"/>
            <w:vAlign w:val="center"/>
          </w:tcPr>
          <w:p w14:paraId="76500EDC" w14:textId="77777777" w:rsidR="00D8645B" w:rsidRDefault="00D8645B" w:rsidP="00664D46">
            <w:pPr>
              <w:spacing w:line="360" w:lineRule="auto"/>
              <w:jc w:val="center"/>
            </w:pPr>
            <w:r>
              <w:t>DM/EM Low Vol</w:t>
            </w:r>
          </w:p>
          <w:p w14:paraId="785713AA" w14:textId="77777777" w:rsidR="00D8645B" w:rsidRDefault="00D8645B" w:rsidP="00664D46">
            <w:pPr>
              <w:spacing w:line="360" w:lineRule="auto"/>
              <w:jc w:val="center"/>
            </w:pPr>
            <w:r>
              <w:t>EM High Vol</w:t>
            </w:r>
          </w:p>
        </w:tc>
        <w:tc>
          <w:tcPr>
            <w:tcW w:w="2070" w:type="dxa"/>
            <w:vAlign w:val="center"/>
          </w:tcPr>
          <w:p w14:paraId="3F9A69CD" w14:textId="77777777" w:rsidR="00D8645B" w:rsidRDefault="00D8645B" w:rsidP="00664D46">
            <w:pPr>
              <w:spacing w:line="360" w:lineRule="auto"/>
              <w:jc w:val="center"/>
            </w:pPr>
            <w:r>
              <w:t>3</w:t>
            </w:r>
          </w:p>
        </w:tc>
        <w:tc>
          <w:tcPr>
            <w:tcW w:w="1435" w:type="dxa"/>
            <w:vAlign w:val="center"/>
          </w:tcPr>
          <w:p w14:paraId="21D9BFDB" w14:textId="77777777" w:rsidR="00D8645B" w:rsidRDefault="00D8645B" w:rsidP="00664D46">
            <w:pPr>
              <w:spacing w:line="360" w:lineRule="auto"/>
              <w:jc w:val="center"/>
            </w:pPr>
            <w:proofErr w:type="spellStart"/>
            <w:r>
              <w:t>pct</w:t>
            </w:r>
            <w:proofErr w:type="spellEnd"/>
          </w:p>
        </w:tc>
      </w:tr>
      <w:tr w:rsidR="00D8645B" w14:paraId="3558E834" w14:textId="77777777" w:rsidTr="00664D46">
        <w:tc>
          <w:tcPr>
            <w:tcW w:w="2965" w:type="dxa"/>
            <w:vAlign w:val="center"/>
          </w:tcPr>
          <w:p w14:paraId="1626B23A" w14:textId="77777777" w:rsidR="00D8645B" w:rsidRDefault="00D8645B" w:rsidP="00664D46">
            <w:pPr>
              <w:spacing w:line="360" w:lineRule="auto"/>
              <w:jc w:val="center"/>
            </w:pPr>
            <w:r>
              <w:lastRenderedPageBreak/>
              <w:t>Equity</w:t>
            </w:r>
          </w:p>
        </w:tc>
        <w:tc>
          <w:tcPr>
            <w:tcW w:w="2880" w:type="dxa"/>
            <w:vAlign w:val="center"/>
          </w:tcPr>
          <w:p w14:paraId="65900747" w14:textId="77777777" w:rsidR="00D8645B" w:rsidRDefault="00D8645B" w:rsidP="00664D46">
            <w:pPr>
              <w:spacing w:line="360" w:lineRule="auto"/>
              <w:jc w:val="center"/>
            </w:pPr>
            <w:r>
              <w:t>DM</w:t>
            </w:r>
          </w:p>
          <w:p w14:paraId="61740F13" w14:textId="77777777" w:rsidR="00D8645B" w:rsidRDefault="00D8645B" w:rsidP="00664D46">
            <w:pPr>
              <w:spacing w:line="360" w:lineRule="auto"/>
              <w:jc w:val="center"/>
            </w:pPr>
            <w:r>
              <w:t>EM</w:t>
            </w:r>
          </w:p>
        </w:tc>
        <w:tc>
          <w:tcPr>
            <w:tcW w:w="2070" w:type="dxa"/>
            <w:vAlign w:val="center"/>
          </w:tcPr>
          <w:p w14:paraId="3C733567" w14:textId="77777777" w:rsidR="00D8645B" w:rsidRDefault="00D8645B" w:rsidP="00664D46">
            <w:pPr>
              <w:spacing w:line="360" w:lineRule="auto"/>
              <w:jc w:val="center"/>
            </w:pPr>
            <w:r>
              <w:t>3</w:t>
            </w:r>
          </w:p>
        </w:tc>
        <w:tc>
          <w:tcPr>
            <w:tcW w:w="1435" w:type="dxa"/>
            <w:vAlign w:val="center"/>
          </w:tcPr>
          <w:p w14:paraId="2AD480AB" w14:textId="77777777" w:rsidR="00D8645B" w:rsidRDefault="00D8645B" w:rsidP="00664D46">
            <w:pPr>
              <w:spacing w:line="360" w:lineRule="auto"/>
              <w:jc w:val="center"/>
            </w:pPr>
            <w:proofErr w:type="spellStart"/>
            <w:r>
              <w:t>pct</w:t>
            </w:r>
            <w:proofErr w:type="spellEnd"/>
          </w:p>
        </w:tc>
      </w:tr>
      <w:tr w:rsidR="00D8645B" w14:paraId="1F336CAA" w14:textId="77777777" w:rsidTr="00664D46">
        <w:tc>
          <w:tcPr>
            <w:tcW w:w="2965" w:type="dxa"/>
            <w:vAlign w:val="center"/>
          </w:tcPr>
          <w:p w14:paraId="2ED0E2B1" w14:textId="77777777" w:rsidR="00D8645B" w:rsidRDefault="00D8645B" w:rsidP="00664D46">
            <w:pPr>
              <w:spacing w:line="360" w:lineRule="auto"/>
              <w:jc w:val="center"/>
            </w:pPr>
            <w:r>
              <w:t>Private Equity</w:t>
            </w:r>
          </w:p>
        </w:tc>
        <w:tc>
          <w:tcPr>
            <w:tcW w:w="2880" w:type="dxa"/>
            <w:vAlign w:val="center"/>
          </w:tcPr>
          <w:p w14:paraId="1E9564F0" w14:textId="77777777" w:rsidR="00D8645B" w:rsidRDefault="00D8645B" w:rsidP="00664D46">
            <w:pPr>
              <w:spacing w:line="360" w:lineRule="auto"/>
              <w:jc w:val="center"/>
            </w:pPr>
            <w:r>
              <w:t>DM</w:t>
            </w:r>
          </w:p>
          <w:p w14:paraId="644E0D59" w14:textId="77777777" w:rsidR="00D8645B" w:rsidRDefault="00D8645B" w:rsidP="00664D46">
            <w:pPr>
              <w:spacing w:line="360" w:lineRule="auto"/>
              <w:jc w:val="center"/>
            </w:pPr>
            <w:r>
              <w:t>EM</w:t>
            </w:r>
          </w:p>
        </w:tc>
        <w:tc>
          <w:tcPr>
            <w:tcW w:w="2070" w:type="dxa"/>
            <w:vAlign w:val="center"/>
          </w:tcPr>
          <w:p w14:paraId="2162F815" w14:textId="77777777" w:rsidR="00D8645B" w:rsidRDefault="00D8645B" w:rsidP="00664D46">
            <w:pPr>
              <w:spacing w:line="360" w:lineRule="auto"/>
              <w:jc w:val="center"/>
            </w:pPr>
            <w:r>
              <w:t>3</w:t>
            </w:r>
          </w:p>
        </w:tc>
        <w:tc>
          <w:tcPr>
            <w:tcW w:w="1435" w:type="dxa"/>
            <w:vAlign w:val="center"/>
          </w:tcPr>
          <w:p w14:paraId="6CD414EB" w14:textId="77777777" w:rsidR="00D8645B" w:rsidRDefault="00D8645B" w:rsidP="00664D46">
            <w:pPr>
              <w:spacing w:line="360" w:lineRule="auto"/>
              <w:jc w:val="center"/>
            </w:pPr>
            <w:proofErr w:type="spellStart"/>
            <w:r>
              <w:t>pct</w:t>
            </w:r>
            <w:proofErr w:type="spellEnd"/>
          </w:p>
        </w:tc>
      </w:tr>
      <w:tr w:rsidR="00D8645B" w14:paraId="18314DB7" w14:textId="77777777" w:rsidTr="00664D46">
        <w:tc>
          <w:tcPr>
            <w:tcW w:w="2965" w:type="dxa"/>
            <w:vAlign w:val="center"/>
          </w:tcPr>
          <w:p w14:paraId="12DC81D0" w14:textId="77777777" w:rsidR="00D8645B" w:rsidRDefault="00D8645B" w:rsidP="00664D46">
            <w:pPr>
              <w:spacing w:line="360" w:lineRule="auto"/>
              <w:jc w:val="center"/>
            </w:pPr>
            <w:r>
              <w:t>Hedge Funds</w:t>
            </w:r>
          </w:p>
        </w:tc>
        <w:tc>
          <w:tcPr>
            <w:tcW w:w="2880" w:type="dxa"/>
            <w:vAlign w:val="center"/>
          </w:tcPr>
          <w:p w14:paraId="306CCA0D" w14:textId="77777777" w:rsidR="00D8645B" w:rsidRDefault="00D8645B" w:rsidP="00664D46">
            <w:pPr>
              <w:spacing w:line="360" w:lineRule="auto"/>
              <w:jc w:val="center"/>
            </w:pPr>
            <w:r>
              <w:t>Both</w:t>
            </w:r>
          </w:p>
        </w:tc>
        <w:tc>
          <w:tcPr>
            <w:tcW w:w="2070" w:type="dxa"/>
            <w:vAlign w:val="center"/>
          </w:tcPr>
          <w:p w14:paraId="5890251F" w14:textId="77777777" w:rsidR="00D8645B" w:rsidRDefault="00D8645B" w:rsidP="00664D46">
            <w:pPr>
              <w:spacing w:line="360" w:lineRule="auto"/>
              <w:jc w:val="center"/>
            </w:pPr>
            <w:r>
              <w:t>3</w:t>
            </w:r>
          </w:p>
        </w:tc>
        <w:tc>
          <w:tcPr>
            <w:tcW w:w="1435" w:type="dxa"/>
            <w:vAlign w:val="center"/>
          </w:tcPr>
          <w:p w14:paraId="2CECEC48" w14:textId="77777777" w:rsidR="00D8645B" w:rsidRDefault="00D8645B" w:rsidP="00664D46">
            <w:pPr>
              <w:spacing w:line="360" w:lineRule="auto"/>
              <w:jc w:val="center"/>
            </w:pPr>
            <w:proofErr w:type="spellStart"/>
            <w:r>
              <w:t>pct</w:t>
            </w:r>
            <w:proofErr w:type="spellEnd"/>
          </w:p>
        </w:tc>
      </w:tr>
      <w:tr w:rsidR="00D8645B" w14:paraId="026B52E9" w14:textId="77777777" w:rsidTr="00664D46">
        <w:tc>
          <w:tcPr>
            <w:tcW w:w="2965" w:type="dxa"/>
            <w:vAlign w:val="center"/>
          </w:tcPr>
          <w:p w14:paraId="367F2ADD" w14:textId="77777777" w:rsidR="00D8645B" w:rsidRDefault="00D8645B" w:rsidP="00664D46">
            <w:pPr>
              <w:spacing w:line="360" w:lineRule="auto"/>
              <w:jc w:val="center"/>
            </w:pPr>
            <w:r>
              <w:t>ABX</w:t>
            </w:r>
          </w:p>
        </w:tc>
        <w:tc>
          <w:tcPr>
            <w:tcW w:w="2880" w:type="dxa"/>
            <w:vAlign w:val="center"/>
          </w:tcPr>
          <w:p w14:paraId="479C41C4" w14:textId="77777777" w:rsidR="00D8645B" w:rsidRDefault="00D8645B" w:rsidP="00664D46">
            <w:pPr>
              <w:spacing w:line="360" w:lineRule="auto"/>
              <w:jc w:val="center"/>
            </w:pPr>
            <w:r>
              <w:t>Both</w:t>
            </w:r>
          </w:p>
        </w:tc>
        <w:tc>
          <w:tcPr>
            <w:tcW w:w="2070" w:type="dxa"/>
            <w:vAlign w:val="center"/>
          </w:tcPr>
          <w:p w14:paraId="5093E21B" w14:textId="77777777" w:rsidR="00D8645B" w:rsidRDefault="00D8645B" w:rsidP="00664D46">
            <w:pPr>
              <w:spacing w:line="360" w:lineRule="auto"/>
              <w:jc w:val="center"/>
            </w:pPr>
            <w:r>
              <w:t>3</w:t>
            </w:r>
          </w:p>
        </w:tc>
        <w:tc>
          <w:tcPr>
            <w:tcW w:w="1435" w:type="dxa"/>
            <w:vAlign w:val="center"/>
          </w:tcPr>
          <w:p w14:paraId="545600D8" w14:textId="77777777" w:rsidR="00D8645B" w:rsidRDefault="00D8645B" w:rsidP="00664D46">
            <w:pPr>
              <w:spacing w:line="360" w:lineRule="auto"/>
              <w:jc w:val="center"/>
            </w:pPr>
            <w:proofErr w:type="spellStart"/>
            <w:r>
              <w:t>pct</w:t>
            </w:r>
            <w:proofErr w:type="spellEnd"/>
          </w:p>
        </w:tc>
      </w:tr>
      <w:tr w:rsidR="00D8645B" w14:paraId="50EADE5C" w14:textId="77777777" w:rsidTr="00664D46">
        <w:tc>
          <w:tcPr>
            <w:tcW w:w="2965" w:type="dxa"/>
            <w:vAlign w:val="center"/>
          </w:tcPr>
          <w:p w14:paraId="6A587275" w14:textId="77777777" w:rsidR="00D8645B" w:rsidRDefault="00D8645B" w:rsidP="00664D46">
            <w:pPr>
              <w:spacing w:line="360" w:lineRule="auto"/>
              <w:jc w:val="center"/>
            </w:pPr>
            <w:r>
              <w:t>Energy</w:t>
            </w:r>
          </w:p>
        </w:tc>
        <w:tc>
          <w:tcPr>
            <w:tcW w:w="2880" w:type="dxa"/>
            <w:vAlign w:val="center"/>
          </w:tcPr>
          <w:p w14:paraId="5E2BED16" w14:textId="77777777" w:rsidR="00D8645B" w:rsidRDefault="00D8645B" w:rsidP="00664D46">
            <w:pPr>
              <w:spacing w:line="360" w:lineRule="auto"/>
              <w:jc w:val="center"/>
            </w:pPr>
            <w:r>
              <w:t>Both</w:t>
            </w:r>
          </w:p>
        </w:tc>
        <w:tc>
          <w:tcPr>
            <w:tcW w:w="2070" w:type="dxa"/>
            <w:vAlign w:val="center"/>
          </w:tcPr>
          <w:p w14:paraId="56335C21" w14:textId="77777777" w:rsidR="00D8645B" w:rsidRDefault="00D8645B" w:rsidP="00664D46">
            <w:pPr>
              <w:spacing w:line="360" w:lineRule="auto"/>
              <w:jc w:val="center"/>
            </w:pPr>
            <w:r>
              <w:t>3</w:t>
            </w:r>
          </w:p>
        </w:tc>
        <w:tc>
          <w:tcPr>
            <w:tcW w:w="1435" w:type="dxa"/>
            <w:vAlign w:val="center"/>
          </w:tcPr>
          <w:p w14:paraId="0B62307D" w14:textId="77777777" w:rsidR="00D8645B" w:rsidRDefault="00D8645B" w:rsidP="00664D46">
            <w:pPr>
              <w:spacing w:line="360" w:lineRule="auto"/>
              <w:jc w:val="center"/>
            </w:pPr>
            <w:proofErr w:type="spellStart"/>
            <w:r>
              <w:t>pct</w:t>
            </w:r>
            <w:proofErr w:type="spellEnd"/>
          </w:p>
        </w:tc>
      </w:tr>
      <w:tr w:rsidR="00D8645B" w14:paraId="68FC0CAE" w14:textId="77777777" w:rsidTr="00664D46">
        <w:tc>
          <w:tcPr>
            <w:tcW w:w="2965" w:type="dxa"/>
            <w:vAlign w:val="center"/>
          </w:tcPr>
          <w:p w14:paraId="5D615D0A" w14:textId="77777777" w:rsidR="00D8645B" w:rsidRDefault="00D8645B" w:rsidP="00664D46">
            <w:pPr>
              <w:spacing w:line="360" w:lineRule="auto"/>
              <w:jc w:val="center"/>
            </w:pPr>
            <w:r>
              <w:t>Natural Gas</w:t>
            </w:r>
          </w:p>
        </w:tc>
        <w:tc>
          <w:tcPr>
            <w:tcW w:w="2880" w:type="dxa"/>
            <w:vAlign w:val="center"/>
          </w:tcPr>
          <w:p w14:paraId="7B3B3EDE" w14:textId="77777777" w:rsidR="00D8645B" w:rsidRDefault="00D8645B" w:rsidP="00664D46">
            <w:pPr>
              <w:spacing w:line="360" w:lineRule="auto"/>
              <w:jc w:val="center"/>
            </w:pPr>
            <w:r>
              <w:t>Both</w:t>
            </w:r>
          </w:p>
        </w:tc>
        <w:tc>
          <w:tcPr>
            <w:tcW w:w="2070" w:type="dxa"/>
            <w:vAlign w:val="center"/>
          </w:tcPr>
          <w:p w14:paraId="2AE7BC9E" w14:textId="77777777" w:rsidR="00D8645B" w:rsidRDefault="00D8645B" w:rsidP="00664D46">
            <w:pPr>
              <w:spacing w:line="360" w:lineRule="auto"/>
              <w:jc w:val="center"/>
            </w:pPr>
            <w:r>
              <w:t>3</w:t>
            </w:r>
          </w:p>
        </w:tc>
        <w:tc>
          <w:tcPr>
            <w:tcW w:w="1435" w:type="dxa"/>
            <w:vAlign w:val="center"/>
          </w:tcPr>
          <w:p w14:paraId="173BB784" w14:textId="77777777" w:rsidR="00D8645B" w:rsidRDefault="00D8645B" w:rsidP="00664D46">
            <w:pPr>
              <w:spacing w:line="360" w:lineRule="auto"/>
              <w:jc w:val="center"/>
            </w:pPr>
            <w:proofErr w:type="spellStart"/>
            <w:r>
              <w:t>pct</w:t>
            </w:r>
            <w:proofErr w:type="spellEnd"/>
          </w:p>
        </w:tc>
      </w:tr>
      <w:tr w:rsidR="00D8645B" w14:paraId="02FF800F" w14:textId="77777777" w:rsidTr="00664D46">
        <w:tc>
          <w:tcPr>
            <w:tcW w:w="2965" w:type="dxa"/>
            <w:vAlign w:val="center"/>
          </w:tcPr>
          <w:p w14:paraId="287F653A" w14:textId="77777777" w:rsidR="00D8645B" w:rsidRDefault="00D8645B" w:rsidP="00664D46">
            <w:pPr>
              <w:spacing w:line="360" w:lineRule="auto"/>
              <w:jc w:val="center"/>
            </w:pPr>
            <w:r>
              <w:t>Copper</w:t>
            </w:r>
          </w:p>
        </w:tc>
        <w:tc>
          <w:tcPr>
            <w:tcW w:w="2880" w:type="dxa"/>
            <w:vAlign w:val="center"/>
          </w:tcPr>
          <w:p w14:paraId="3A5B18C5" w14:textId="77777777" w:rsidR="00D8645B" w:rsidRDefault="00D8645B" w:rsidP="00664D46">
            <w:pPr>
              <w:spacing w:line="360" w:lineRule="auto"/>
              <w:jc w:val="center"/>
            </w:pPr>
            <w:r>
              <w:t>Both</w:t>
            </w:r>
          </w:p>
        </w:tc>
        <w:tc>
          <w:tcPr>
            <w:tcW w:w="2070" w:type="dxa"/>
            <w:vAlign w:val="center"/>
          </w:tcPr>
          <w:p w14:paraId="53D207F8" w14:textId="77777777" w:rsidR="00D8645B" w:rsidRDefault="00D8645B" w:rsidP="00664D46">
            <w:pPr>
              <w:spacing w:line="360" w:lineRule="auto"/>
              <w:jc w:val="center"/>
            </w:pPr>
            <w:r>
              <w:t>3</w:t>
            </w:r>
          </w:p>
        </w:tc>
        <w:tc>
          <w:tcPr>
            <w:tcW w:w="1435" w:type="dxa"/>
            <w:vAlign w:val="center"/>
          </w:tcPr>
          <w:p w14:paraId="3B889D18" w14:textId="77777777" w:rsidR="00D8645B" w:rsidRDefault="00D8645B" w:rsidP="00664D46">
            <w:pPr>
              <w:spacing w:line="360" w:lineRule="auto"/>
              <w:jc w:val="center"/>
            </w:pPr>
            <w:proofErr w:type="spellStart"/>
            <w:r>
              <w:t>pct</w:t>
            </w:r>
            <w:proofErr w:type="spellEnd"/>
          </w:p>
        </w:tc>
      </w:tr>
      <w:tr w:rsidR="00D8645B" w14:paraId="43390736" w14:textId="77777777" w:rsidTr="00664D46">
        <w:tc>
          <w:tcPr>
            <w:tcW w:w="2965" w:type="dxa"/>
            <w:vAlign w:val="center"/>
          </w:tcPr>
          <w:p w14:paraId="1EE066DD" w14:textId="77777777" w:rsidR="00D8645B" w:rsidRDefault="00D8645B" w:rsidP="00664D46">
            <w:pPr>
              <w:spacing w:line="360" w:lineRule="auto"/>
              <w:jc w:val="center"/>
            </w:pPr>
            <w:r>
              <w:t>Gold</w:t>
            </w:r>
          </w:p>
        </w:tc>
        <w:tc>
          <w:tcPr>
            <w:tcW w:w="2880" w:type="dxa"/>
            <w:vAlign w:val="center"/>
          </w:tcPr>
          <w:p w14:paraId="21D6F498" w14:textId="77777777" w:rsidR="00D8645B" w:rsidRDefault="00D8645B" w:rsidP="00664D46">
            <w:pPr>
              <w:spacing w:line="360" w:lineRule="auto"/>
              <w:jc w:val="center"/>
            </w:pPr>
            <w:r>
              <w:t>Both</w:t>
            </w:r>
          </w:p>
        </w:tc>
        <w:tc>
          <w:tcPr>
            <w:tcW w:w="2070" w:type="dxa"/>
            <w:vAlign w:val="center"/>
          </w:tcPr>
          <w:p w14:paraId="4E724090" w14:textId="77777777" w:rsidR="00D8645B" w:rsidRDefault="00D8645B" w:rsidP="00664D46">
            <w:pPr>
              <w:spacing w:line="360" w:lineRule="auto"/>
              <w:jc w:val="center"/>
            </w:pPr>
            <w:r>
              <w:t>3</w:t>
            </w:r>
          </w:p>
        </w:tc>
        <w:tc>
          <w:tcPr>
            <w:tcW w:w="1435" w:type="dxa"/>
            <w:vAlign w:val="center"/>
          </w:tcPr>
          <w:p w14:paraId="1023A9E2" w14:textId="77777777" w:rsidR="00D8645B" w:rsidRDefault="00D8645B" w:rsidP="00664D46">
            <w:pPr>
              <w:spacing w:line="360" w:lineRule="auto"/>
              <w:jc w:val="center"/>
            </w:pPr>
            <w:proofErr w:type="spellStart"/>
            <w:r>
              <w:t>pct</w:t>
            </w:r>
            <w:proofErr w:type="spellEnd"/>
          </w:p>
        </w:tc>
      </w:tr>
      <w:tr w:rsidR="00D8645B" w14:paraId="51B95B24" w14:textId="77777777" w:rsidTr="00664D46">
        <w:tc>
          <w:tcPr>
            <w:tcW w:w="2965" w:type="dxa"/>
            <w:vAlign w:val="center"/>
          </w:tcPr>
          <w:p w14:paraId="7DD680B9" w14:textId="77777777" w:rsidR="00D8645B" w:rsidRDefault="00D8645B" w:rsidP="00664D46">
            <w:pPr>
              <w:spacing w:line="360" w:lineRule="auto"/>
              <w:jc w:val="center"/>
            </w:pPr>
            <w:r>
              <w:t>Corn</w:t>
            </w:r>
          </w:p>
        </w:tc>
        <w:tc>
          <w:tcPr>
            <w:tcW w:w="2880" w:type="dxa"/>
            <w:vAlign w:val="center"/>
          </w:tcPr>
          <w:p w14:paraId="29153ECE" w14:textId="77777777" w:rsidR="00D8645B" w:rsidRDefault="00D8645B" w:rsidP="00664D46">
            <w:pPr>
              <w:spacing w:line="360" w:lineRule="auto"/>
              <w:jc w:val="center"/>
            </w:pPr>
            <w:r>
              <w:t>Both</w:t>
            </w:r>
          </w:p>
        </w:tc>
        <w:tc>
          <w:tcPr>
            <w:tcW w:w="2070" w:type="dxa"/>
            <w:vAlign w:val="center"/>
          </w:tcPr>
          <w:p w14:paraId="2F173995" w14:textId="77777777" w:rsidR="00D8645B" w:rsidRDefault="00D8645B" w:rsidP="00664D46">
            <w:pPr>
              <w:spacing w:line="360" w:lineRule="auto"/>
              <w:jc w:val="center"/>
            </w:pPr>
            <w:r>
              <w:t>3</w:t>
            </w:r>
          </w:p>
        </w:tc>
        <w:tc>
          <w:tcPr>
            <w:tcW w:w="1435" w:type="dxa"/>
            <w:vAlign w:val="center"/>
          </w:tcPr>
          <w:p w14:paraId="2908CD51" w14:textId="77777777" w:rsidR="00D8645B" w:rsidRDefault="00D8645B" w:rsidP="00664D46">
            <w:pPr>
              <w:spacing w:line="360" w:lineRule="auto"/>
              <w:jc w:val="center"/>
            </w:pPr>
            <w:proofErr w:type="spellStart"/>
            <w:r>
              <w:t>pct</w:t>
            </w:r>
            <w:proofErr w:type="spellEnd"/>
          </w:p>
        </w:tc>
      </w:tr>
      <w:tr w:rsidR="00D8645B" w14:paraId="7E85C5D3" w14:textId="77777777" w:rsidTr="00664D46">
        <w:tc>
          <w:tcPr>
            <w:tcW w:w="2965" w:type="dxa"/>
            <w:vAlign w:val="center"/>
          </w:tcPr>
          <w:p w14:paraId="4EEA4F31" w14:textId="77777777" w:rsidR="00D8645B" w:rsidRDefault="00D8645B" w:rsidP="00664D46">
            <w:pPr>
              <w:spacing w:line="360" w:lineRule="auto"/>
              <w:jc w:val="center"/>
            </w:pPr>
            <w:r>
              <w:t>Other Commodities</w:t>
            </w:r>
          </w:p>
        </w:tc>
        <w:tc>
          <w:tcPr>
            <w:tcW w:w="2880" w:type="dxa"/>
            <w:vAlign w:val="center"/>
          </w:tcPr>
          <w:p w14:paraId="0DECDFD9" w14:textId="77777777" w:rsidR="00D8645B" w:rsidRDefault="00D8645B" w:rsidP="00664D46">
            <w:pPr>
              <w:spacing w:line="360" w:lineRule="auto"/>
              <w:jc w:val="center"/>
            </w:pPr>
            <w:r>
              <w:t>Both</w:t>
            </w:r>
          </w:p>
        </w:tc>
        <w:tc>
          <w:tcPr>
            <w:tcW w:w="2070" w:type="dxa"/>
            <w:vAlign w:val="center"/>
          </w:tcPr>
          <w:p w14:paraId="53544187" w14:textId="77777777" w:rsidR="00D8645B" w:rsidRDefault="00D8645B" w:rsidP="00664D46">
            <w:pPr>
              <w:spacing w:line="360" w:lineRule="auto"/>
              <w:jc w:val="center"/>
            </w:pPr>
            <w:r>
              <w:t>3</w:t>
            </w:r>
          </w:p>
        </w:tc>
        <w:tc>
          <w:tcPr>
            <w:tcW w:w="1435" w:type="dxa"/>
            <w:vAlign w:val="center"/>
          </w:tcPr>
          <w:p w14:paraId="6262ACA3" w14:textId="77777777" w:rsidR="00D8645B" w:rsidRDefault="00D8645B" w:rsidP="00664D46">
            <w:pPr>
              <w:spacing w:line="360" w:lineRule="auto"/>
              <w:jc w:val="center"/>
            </w:pPr>
            <w:proofErr w:type="spellStart"/>
            <w:r>
              <w:t>pct</w:t>
            </w:r>
            <w:proofErr w:type="spellEnd"/>
          </w:p>
        </w:tc>
      </w:tr>
      <w:tr w:rsidR="00D8645B" w14:paraId="444E3699" w14:textId="77777777" w:rsidTr="00664D46">
        <w:tc>
          <w:tcPr>
            <w:tcW w:w="2965" w:type="dxa"/>
            <w:vAlign w:val="center"/>
          </w:tcPr>
          <w:p w14:paraId="6D031CF8" w14:textId="77777777" w:rsidR="00D8645B" w:rsidRDefault="00D8645B" w:rsidP="00664D46">
            <w:pPr>
              <w:spacing w:line="360" w:lineRule="auto"/>
              <w:jc w:val="center"/>
            </w:pPr>
            <w:r>
              <w:t>VIX</w:t>
            </w:r>
          </w:p>
        </w:tc>
        <w:tc>
          <w:tcPr>
            <w:tcW w:w="2880" w:type="dxa"/>
            <w:vAlign w:val="center"/>
          </w:tcPr>
          <w:p w14:paraId="2B7B56E6" w14:textId="77777777" w:rsidR="00D8645B" w:rsidRDefault="00D8645B" w:rsidP="00664D46">
            <w:pPr>
              <w:spacing w:line="360" w:lineRule="auto"/>
              <w:jc w:val="center"/>
            </w:pPr>
            <w:r>
              <w:t>Both</w:t>
            </w:r>
          </w:p>
        </w:tc>
        <w:tc>
          <w:tcPr>
            <w:tcW w:w="2070" w:type="dxa"/>
            <w:vAlign w:val="center"/>
          </w:tcPr>
          <w:p w14:paraId="35C17253" w14:textId="77777777" w:rsidR="00D8645B" w:rsidRDefault="00D8645B" w:rsidP="00664D46">
            <w:pPr>
              <w:spacing w:line="360" w:lineRule="auto"/>
              <w:jc w:val="center"/>
            </w:pPr>
            <w:r>
              <w:t>6</w:t>
            </w:r>
          </w:p>
        </w:tc>
        <w:tc>
          <w:tcPr>
            <w:tcW w:w="1435" w:type="dxa"/>
            <w:vAlign w:val="center"/>
          </w:tcPr>
          <w:p w14:paraId="594B998A" w14:textId="77777777" w:rsidR="00D8645B" w:rsidRDefault="00D8645B" w:rsidP="00664D46">
            <w:pPr>
              <w:spacing w:line="360" w:lineRule="auto"/>
              <w:jc w:val="center"/>
            </w:pPr>
            <w:r>
              <w:t>Vol points</w:t>
            </w:r>
          </w:p>
        </w:tc>
      </w:tr>
      <w:tr w:rsidR="00D8645B" w14:paraId="19D4C545" w14:textId="77777777" w:rsidTr="00664D46">
        <w:tc>
          <w:tcPr>
            <w:tcW w:w="2965" w:type="dxa"/>
            <w:vAlign w:val="center"/>
          </w:tcPr>
          <w:p w14:paraId="079161E7" w14:textId="77777777" w:rsidR="00D8645B" w:rsidRDefault="00D8645B" w:rsidP="00664D46">
            <w:pPr>
              <w:spacing w:line="360" w:lineRule="auto"/>
              <w:jc w:val="center"/>
            </w:pPr>
            <w:r>
              <w:t>Implied Volatilities – Other</w:t>
            </w:r>
          </w:p>
        </w:tc>
        <w:tc>
          <w:tcPr>
            <w:tcW w:w="2880" w:type="dxa"/>
            <w:vAlign w:val="center"/>
          </w:tcPr>
          <w:p w14:paraId="6F6597FB" w14:textId="77777777" w:rsidR="00D8645B" w:rsidRDefault="00D8645B" w:rsidP="00664D46">
            <w:pPr>
              <w:spacing w:line="360" w:lineRule="auto"/>
              <w:jc w:val="center"/>
            </w:pPr>
          </w:p>
        </w:tc>
        <w:tc>
          <w:tcPr>
            <w:tcW w:w="2070" w:type="dxa"/>
            <w:vAlign w:val="center"/>
          </w:tcPr>
          <w:p w14:paraId="278479D0" w14:textId="77777777" w:rsidR="00D8645B" w:rsidRDefault="00D8645B" w:rsidP="00664D46">
            <w:pPr>
              <w:spacing w:line="360" w:lineRule="auto"/>
              <w:jc w:val="center"/>
            </w:pPr>
            <w:r>
              <w:t>3</w:t>
            </w:r>
          </w:p>
        </w:tc>
        <w:tc>
          <w:tcPr>
            <w:tcW w:w="1435" w:type="dxa"/>
            <w:vAlign w:val="center"/>
          </w:tcPr>
          <w:p w14:paraId="2041DD55" w14:textId="77777777" w:rsidR="00D8645B" w:rsidRDefault="00D8645B" w:rsidP="00664D46">
            <w:pPr>
              <w:spacing w:line="360" w:lineRule="auto"/>
              <w:jc w:val="center"/>
            </w:pPr>
            <w:proofErr w:type="spellStart"/>
            <w:r>
              <w:t>pct</w:t>
            </w:r>
            <w:proofErr w:type="spellEnd"/>
          </w:p>
        </w:tc>
      </w:tr>
      <w:tr w:rsidR="00D8645B" w14:paraId="0DC7F061" w14:textId="77777777" w:rsidTr="00664D46">
        <w:tc>
          <w:tcPr>
            <w:tcW w:w="2965" w:type="dxa"/>
            <w:vAlign w:val="center"/>
          </w:tcPr>
          <w:p w14:paraId="12A0B52C" w14:textId="77777777" w:rsidR="00D8645B" w:rsidRDefault="00D8645B" w:rsidP="00664D46">
            <w:pPr>
              <w:spacing w:line="360" w:lineRule="auto"/>
              <w:jc w:val="center"/>
            </w:pPr>
            <w:r>
              <w:t>Wholesale LGD</w:t>
            </w:r>
          </w:p>
        </w:tc>
        <w:tc>
          <w:tcPr>
            <w:tcW w:w="2880" w:type="dxa"/>
            <w:vAlign w:val="center"/>
          </w:tcPr>
          <w:p w14:paraId="3A5308F0" w14:textId="77777777" w:rsidR="00D8645B" w:rsidRDefault="00D8645B" w:rsidP="00664D46">
            <w:pPr>
              <w:spacing w:line="360" w:lineRule="auto"/>
              <w:jc w:val="center"/>
            </w:pPr>
            <w:r>
              <w:t>Both</w:t>
            </w:r>
          </w:p>
        </w:tc>
        <w:tc>
          <w:tcPr>
            <w:tcW w:w="2070" w:type="dxa"/>
            <w:vAlign w:val="center"/>
          </w:tcPr>
          <w:p w14:paraId="1E8AC29F" w14:textId="77777777" w:rsidR="00D8645B" w:rsidRDefault="00D8645B" w:rsidP="00664D46">
            <w:pPr>
              <w:spacing w:line="360" w:lineRule="auto"/>
              <w:jc w:val="center"/>
            </w:pPr>
          </w:p>
        </w:tc>
        <w:tc>
          <w:tcPr>
            <w:tcW w:w="1435" w:type="dxa"/>
            <w:vAlign w:val="center"/>
          </w:tcPr>
          <w:p w14:paraId="4C5902A9" w14:textId="77777777" w:rsidR="00D8645B" w:rsidRDefault="00D8645B" w:rsidP="00664D46">
            <w:pPr>
              <w:spacing w:line="360" w:lineRule="auto"/>
              <w:jc w:val="center"/>
            </w:pPr>
            <w:proofErr w:type="spellStart"/>
            <w:r>
              <w:t>pct</w:t>
            </w:r>
            <w:proofErr w:type="spellEnd"/>
          </w:p>
        </w:tc>
      </w:tr>
      <w:tr w:rsidR="00D8645B" w14:paraId="54C6B9E1" w14:textId="77777777" w:rsidTr="00664D46">
        <w:tc>
          <w:tcPr>
            <w:tcW w:w="2965" w:type="dxa"/>
            <w:vAlign w:val="center"/>
          </w:tcPr>
          <w:p w14:paraId="4A5D6AB1" w14:textId="77777777" w:rsidR="00D8645B" w:rsidRDefault="00D8645B" w:rsidP="00664D46">
            <w:pPr>
              <w:spacing w:line="360" w:lineRule="auto"/>
              <w:jc w:val="center"/>
            </w:pPr>
            <w:r>
              <w:t>Likelihood</w:t>
            </w:r>
          </w:p>
        </w:tc>
        <w:tc>
          <w:tcPr>
            <w:tcW w:w="2880" w:type="dxa"/>
            <w:vAlign w:val="center"/>
          </w:tcPr>
          <w:p w14:paraId="7CD2DDA4" w14:textId="77777777" w:rsidR="00D8645B" w:rsidRDefault="00D8645B" w:rsidP="00664D46">
            <w:pPr>
              <w:spacing w:line="360" w:lineRule="auto"/>
              <w:jc w:val="center"/>
            </w:pPr>
          </w:p>
        </w:tc>
        <w:tc>
          <w:tcPr>
            <w:tcW w:w="2070" w:type="dxa"/>
            <w:vAlign w:val="center"/>
          </w:tcPr>
          <w:p w14:paraId="408DD883" w14:textId="77777777" w:rsidR="00D8645B" w:rsidRDefault="00D8645B" w:rsidP="00664D46">
            <w:pPr>
              <w:spacing w:line="360" w:lineRule="auto"/>
              <w:jc w:val="center"/>
            </w:pPr>
          </w:p>
        </w:tc>
        <w:tc>
          <w:tcPr>
            <w:tcW w:w="1435" w:type="dxa"/>
            <w:vAlign w:val="center"/>
          </w:tcPr>
          <w:p w14:paraId="1CB7DDDA" w14:textId="77777777" w:rsidR="00D8645B" w:rsidRDefault="00D8645B" w:rsidP="00664D46">
            <w:pPr>
              <w:spacing w:line="360" w:lineRule="auto"/>
              <w:jc w:val="center"/>
            </w:pPr>
          </w:p>
        </w:tc>
      </w:tr>
    </w:tbl>
    <w:p w14:paraId="66D5C3BA" w14:textId="77777777" w:rsidR="00D8645B" w:rsidRPr="00B02658" w:rsidRDefault="00D8645B" w:rsidP="00D8645B">
      <w:pPr>
        <w:spacing w:line="360" w:lineRule="auto"/>
      </w:pPr>
    </w:p>
    <w:p w14:paraId="31C2B25A" w14:textId="77777777" w:rsidR="00D8645B" w:rsidRDefault="00D8645B" w:rsidP="0060309E">
      <w:pPr>
        <w:pStyle w:val="ListParagraph"/>
        <w:numPr>
          <w:ilvl w:val="0"/>
          <w:numId w:val="57"/>
        </w:numPr>
        <w:spacing w:after="160" w:line="360" w:lineRule="auto"/>
      </w:pPr>
      <w:r>
        <w:rPr>
          <w:u w:val="single"/>
        </w:rPr>
        <w:t>Definition of Monthly Scenarios - Hypothetical</w:t>
      </w:r>
      <w:r w:rsidRPr="00B02658">
        <w:t>:</w:t>
      </w:r>
    </w:p>
    <w:tbl>
      <w:tblPr>
        <w:tblStyle w:val="TableGrid"/>
        <w:tblW w:w="9355" w:type="dxa"/>
        <w:tblLook w:val="04A0" w:firstRow="1" w:lastRow="0" w:firstColumn="1" w:lastColumn="0" w:noHBand="0" w:noVBand="1"/>
      </w:tblPr>
      <w:tblGrid>
        <w:gridCol w:w="2965"/>
        <w:gridCol w:w="1710"/>
        <w:gridCol w:w="1530"/>
        <w:gridCol w:w="1260"/>
        <w:gridCol w:w="1890"/>
      </w:tblGrid>
      <w:tr w:rsidR="00D8645B" w14:paraId="09B3E25D" w14:textId="77777777" w:rsidTr="00664D46">
        <w:tc>
          <w:tcPr>
            <w:tcW w:w="2965" w:type="dxa"/>
            <w:vAlign w:val="center"/>
          </w:tcPr>
          <w:p w14:paraId="1541033C" w14:textId="77777777" w:rsidR="00D8645B" w:rsidRPr="00B02658" w:rsidRDefault="00D8645B" w:rsidP="00664D46">
            <w:pPr>
              <w:spacing w:line="360" w:lineRule="auto"/>
              <w:jc w:val="center"/>
              <w:rPr>
                <w:b/>
              </w:rPr>
            </w:pPr>
            <w:r>
              <w:rPr>
                <w:b/>
              </w:rPr>
              <w:t>Variable/Market Factor</w:t>
            </w:r>
          </w:p>
        </w:tc>
        <w:tc>
          <w:tcPr>
            <w:tcW w:w="1710" w:type="dxa"/>
            <w:vAlign w:val="center"/>
          </w:tcPr>
          <w:p w14:paraId="7A25D4C8" w14:textId="77777777" w:rsidR="00D8645B" w:rsidRPr="00B02658" w:rsidRDefault="00D8645B" w:rsidP="00664D46">
            <w:pPr>
              <w:spacing w:line="360" w:lineRule="auto"/>
              <w:jc w:val="center"/>
              <w:rPr>
                <w:b/>
              </w:rPr>
            </w:pPr>
            <w:r>
              <w:rPr>
                <w:b/>
              </w:rPr>
              <w:t>Dollar Decline</w:t>
            </w:r>
          </w:p>
        </w:tc>
        <w:tc>
          <w:tcPr>
            <w:tcW w:w="1530" w:type="dxa"/>
            <w:vAlign w:val="center"/>
          </w:tcPr>
          <w:p w14:paraId="18610182" w14:textId="77777777" w:rsidR="00D8645B" w:rsidRPr="00B02658" w:rsidRDefault="00D8645B" w:rsidP="00664D46">
            <w:pPr>
              <w:spacing w:line="360" w:lineRule="auto"/>
              <w:jc w:val="center"/>
              <w:rPr>
                <w:b/>
              </w:rPr>
            </w:pPr>
            <w:r>
              <w:rPr>
                <w:b/>
              </w:rPr>
              <w:t>Lost Decade</w:t>
            </w:r>
          </w:p>
        </w:tc>
        <w:tc>
          <w:tcPr>
            <w:tcW w:w="1260" w:type="dxa"/>
            <w:vAlign w:val="center"/>
          </w:tcPr>
          <w:p w14:paraId="5C838DA6" w14:textId="77777777" w:rsidR="00D8645B" w:rsidRPr="00B02658" w:rsidRDefault="00D8645B" w:rsidP="00664D46">
            <w:pPr>
              <w:spacing w:line="360" w:lineRule="auto"/>
              <w:jc w:val="center"/>
              <w:rPr>
                <w:b/>
              </w:rPr>
            </w:pPr>
            <w:r>
              <w:rPr>
                <w:b/>
              </w:rPr>
              <w:t>IR Shock</w:t>
            </w:r>
          </w:p>
        </w:tc>
        <w:tc>
          <w:tcPr>
            <w:tcW w:w="1890" w:type="dxa"/>
            <w:vAlign w:val="center"/>
          </w:tcPr>
          <w:p w14:paraId="3DDE06B3" w14:textId="77777777" w:rsidR="00D8645B" w:rsidRPr="00B02658" w:rsidRDefault="00D8645B" w:rsidP="00664D46">
            <w:pPr>
              <w:spacing w:line="360" w:lineRule="auto"/>
              <w:jc w:val="center"/>
              <w:rPr>
                <w:b/>
              </w:rPr>
            </w:pPr>
            <w:r>
              <w:rPr>
                <w:b/>
              </w:rPr>
              <w:t>Deep Downturn</w:t>
            </w:r>
          </w:p>
        </w:tc>
      </w:tr>
      <w:tr w:rsidR="00D8645B" w14:paraId="71A8D75E" w14:textId="77777777" w:rsidTr="00664D46">
        <w:tc>
          <w:tcPr>
            <w:tcW w:w="2965" w:type="dxa"/>
            <w:vAlign w:val="center"/>
          </w:tcPr>
          <w:p w14:paraId="54FFBB63" w14:textId="77777777" w:rsidR="00D8645B" w:rsidRDefault="00D8645B" w:rsidP="00664D46">
            <w:pPr>
              <w:spacing w:line="360" w:lineRule="auto"/>
              <w:jc w:val="center"/>
            </w:pPr>
            <w:r>
              <w:t>GDP</w:t>
            </w:r>
          </w:p>
        </w:tc>
        <w:tc>
          <w:tcPr>
            <w:tcW w:w="1710" w:type="dxa"/>
            <w:vAlign w:val="center"/>
          </w:tcPr>
          <w:p w14:paraId="71C4A83E" w14:textId="77777777" w:rsidR="00D8645B" w:rsidRDefault="00D8645B" w:rsidP="00664D46">
            <w:pPr>
              <w:spacing w:line="360" w:lineRule="auto"/>
              <w:jc w:val="center"/>
            </w:pPr>
            <w:r>
              <w:t>-0.8</w:t>
            </w:r>
          </w:p>
        </w:tc>
        <w:tc>
          <w:tcPr>
            <w:tcW w:w="1530" w:type="dxa"/>
            <w:vAlign w:val="center"/>
          </w:tcPr>
          <w:p w14:paraId="20774637" w14:textId="77777777" w:rsidR="00D8645B" w:rsidRDefault="00D8645B" w:rsidP="00664D46">
            <w:pPr>
              <w:spacing w:line="360" w:lineRule="auto"/>
              <w:jc w:val="center"/>
            </w:pPr>
            <w:r>
              <w:t>-0.8</w:t>
            </w:r>
          </w:p>
        </w:tc>
        <w:tc>
          <w:tcPr>
            <w:tcW w:w="1260" w:type="dxa"/>
            <w:vAlign w:val="center"/>
          </w:tcPr>
          <w:p w14:paraId="1ACD70D8" w14:textId="77777777" w:rsidR="00D8645B" w:rsidRDefault="00D8645B" w:rsidP="00664D46">
            <w:pPr>
              <w:spacing w:line="360" w:lineRule="auto"/>
              <w:jc w:val="center"/>
            </w:pPr>
            <w:r>
              <w:t>-1.5</w:t>
            </w:r>
          </w:p>
        </w:tc>
        <w:tc>
          <w:tcPr>
            <w:tcW w:w="1890" w:type="dxa"/>
            <w:vAlign w:val="center"/>
          </w:tcPr>
          <w:p w14:paraId="566EBF2C" w14:textId="77777777" w:rsidR="00D8645B" w:rsidRDefault="00D8645B" w:rsidP="00664D46">
            <w:pPr>
              <w:spacing w:line="360" w:lineRule="auto"/>
              <w:jc w:val="center"/>
            </w:pPr>
            <w:r>
              <w:t>-1.6</w:t>
            </w:r>
          </w:p>
        </w:tc>
      </w:tr>
      <w:tr w:rsidR="00D8645B" w14:paraId="03E8164F" w14:textId="77777777" w:rsidTr="00664D46">
        <w:tc>
          <w:tcPr>
            <w:tcW w:w="2965" w:type="dxa"/>
            <w:vAlign w:val="center"/>
          </w:tcPr>
          <w:p w14:paraId="755B2FED" w14:textId="77777777" w:rsidR="00D8645B" w:rsidRDefault="00D8645B" w:rsidP="00664D46">
            <w:pPr>
              <w:spacing w:line="360" w:lineRule="auto"/>
              <w:jc w:val="center"/>
            </w:pPr>
            <w:r>
              <w:t>Unemployment</w:t>
            </w:r>
          </w:p>
        </w:tc>
        <w:tc>
          <w:tcPr>
            <w:tcW w:w="1710" w:type="dxa"/>
            <w:vAlign w:val="center"/>
          </w:tcPr>
          <w:p w14:paraId="464A7DD3" w14:textId="77777777" w:rsidR="00D8645B" w:rsidRDefault="00D8645B" w:rsidP="00664D46">
            <w:pPr>
              <w:spacing w:line="360" w:lineRule="auto"/>
              <w:jc w:val="center"/>
            </w:pPr>
            <w:r>
              <w:t>1.7</w:t>
            </w:r>
          </w:p>
        </w:tc>
        <w:tc>
          <w:tcPr>
            <w:tcW w:w="1530" w:type="dxa"/>
            <w:vAlign w:val="center"/>
          </w:tcPr>
          <w:p w14:paraId="32C9E2B1" w14:textId="77777777" w:rsidR="00D8645B" w:rsidRDefault="00D8645B" w:rsidP="00664D46">
            <w:pPr>
              <w:spacing w:line="360" w:lineRule="auto"/>
              <w:jc w:val="center"/>
            </w:pPr>
            <w:r>
              <w:t>1.8</w:t>
            </w:r>
          </w:p>
        </w:tc>
        <w:tc>
          <w:tcPr>
            <w:tcW w:w="1260" w:type="dxa"/>
            <w:vAlign w:val="center"/>
          </w:tcPr>
          <w:p w14:paraId="060A6E61" w14:textId="77777777" w:rsidR="00D8645B" w:rsidRDefault="00D8645B" w:rsidP="00664D46">
            <w:pPr>
              <w:spacing w:line="360" w:lineRule="auto"/>
              <w:jc w:val="center"/>
            </w:pPr>
            <w:r>
              <w:t>2.0</w:t>
            </w:r>
          </w:p>
        </w:tc>
        <w:tc>
          <w:tcPr>
            <w:tcW w:w="1890" w:type="dxa"/>
            <w:vAlign w:val="center"/>
          </w:tcPr>
          <w:p w14:paraId="59393D0E" w14:textId="77777777" w:rsidR="00D8645B" w:rsidRDefault="00D8645B" w:rsidP="00664D46">
            <w:pPr>
              <w:spacing w:line="360" w:lineRule="auto"/>
              <w:jc w:val="center"/>
            </w:pPr>
            <w:r>
              <w:t>2.3</w:t>
            </w:r>
          </w:p>
        </w:tc>
      </w:tr>
      <w:tr w:rsidR="00D8645B" w14:paraId="681A1140" w14:textId="77777777" w:rsidTr="00664D46">
        <w:tc>
          <w:tcPr>
            <w:tcW w:w="2965" w:type="dxa"/>
            <w:vAlign w:val="center"/>
          </w:tcPr>
          <w:p w14:paraId="79AC8E77" w14:textId="77777777" w:rsidR="00D8645B" w:rsidRDefault="00D8645B" w:rsidP="00664D46">
            <w:pPr>
              <w:spacing w:line="360" w:lineRule="auto"/>
              <w:jc w:val="center"/>
            </w:pPr>
            <w:r>
              <w:t>House Prices</w:t>
            </w:r>
          </w:p>
        </w:tc>
        <w:tc>
          <w:tcPr>
            <w:tcW w:w="1710" w:type="dxa"/>
            <w:vAlign w:val="center"/>
          </w:tcPr>
          <w:p w14:paraId="6BE26D27" w14:textId="77777777" w:rsidR="00D8645B" w:rsidRDefault="00D8645B" w:rsidP="00664D46">
            <w:pPr>
              <w:spacing w:line="360" w:lineRule="auto"/>
              <w:jc w:val="center"/>
            </w:pPr>
            <w:r>
              <w:t>-7.7</w:t>
            </w:r>
          </w:p>
        </w:tc>
        <w:tc>
          <w:tcPr>
            <w:tcW w:w="1530" w:type="dxa"/>
            <w:vAlign w:val="center"/>
          </w:tcPr>
          <w:p w14:paraId="6882702B" w14:textId="77777777" w:rsidR="00D8645B" w:rsidRDefault="00D8645B" w:rsidP="00664D46">
            <w:pPr>
              <w:spacing w:line="360" w:lineRule="auto"/>
              <w:jc w:val="center"/>
            </w:pPr>
            <w:r>
              <w:t>-13.3</w:t>
            </w:r>
          </w:p>
        </w:tc>
        <w:tc>
          <w:tcPr>
            <w:tcW w:w="1260" w:type="dxa"/>
            <w:vAlign w:val="center"/>
          </w:tcPr>
          <w:p w14:paraId="6F161D53" w14:textId="77777777" w:rsidR="00D8645B" w:rsidRDefault="00D8645B" w:rsidP="00664D46">
            <w:pPr>
              <w:spacing w:line="360" w:lineRule="auto"/>
              <w:jc w:val="center"/>
            </w:pPr>
            <w:r>
              <w:t>-16.0</w:t>
            </w:r>
          </w:p>
        </w:tc>
        <w:tc>
          <w:tcPr>
            <w:tcW w:w="1890" w:type="dxa"/>
            <w:vAlign w:val="center"/>
          </w:tcPr>
          <w:p w14:paraId="3E6FF516" w14:textId="77777777" w:rsidR="00D8645B" w:rsidRDefault="00D8645B" w:rsidP="00664D46">
            <w:pPr>
              <w:spacing w:line="360" w:lineRule="auto"/>
              <w:jc w:val="center"/>
            </w:pPr>
            <w:r>
              <w:t>-17.2</w:t>
            </w:r>
          </w:p>
        </w:tc>
      </w:tr>
      <w:tr w:rsidR="00D8645B" w14:paraId="2A7B4460" w14:textId="77777777" w:rsidTr="00664D46">
        <w:tc>
          <w:tcPr>
            <w:tcW w:w="2965" w:type="dxa"/>
            <w:vAlign w:val="center"/>
          </w:tcPr>
          <w:p w14:paraId="4B14B04C" w14:textId="77777777" w:rsidR="00D8645B" w:rsidRDefault="00D8645B" w:rsidP="00664D46">
            <w:pPr>
              <w:spacing w:line="360" w:lineRule="auto"/>
              <w:jc w:val="center"/>
            </w:pPr>
            <w:r>
              <w:t>IR Level</w:t>
            </w:r>
          </w:p>
        </w:tc>
        <w:tc>
          <w:tcPr>
            <w:tcW w:w="1710" w:type="dxa"/>
            <w:vAlign w:val="center"/>
          </w:tcPr>
          <w:p w14:paraId="73BC2A99" w14:textId="77777777" w:rsidR="00D8645B" w:rsidRDefault="00D8645B" w:rsidP="00664D46">
            <w:pPr>
              <w:spacing w:line="360" w:lineRule="auto"/>
              <w:jc w:val="center"/>
            </w:pPr>
            <w:r>
              <w:t>86</w:t>
            </w:r>
          </w:p>
          <w:p w14:paraId="14BB2B5E" w14:textId="77777777" w:rsidR="00D8645B" w:rsidRDefault="00D8645B" w:rsidP="00664D46">
            <w:pPr>
              <w:spacing w:line="360" w:lineRule="auto"/>
              <w:jc w:val="center"/>
            </w:pPr>
            <w:r>
              <w:t>86</w:t>
            </w:r>
          </w:p>
        </w:tc>
        <w:tc>
          <w:tcPr>
            <w:tcW w:w="1530" w:type="dxa"/>
            <w:vAlign w:val="center"/>
          </w:tcPr>
          <w:p w14:paraId="6B7B6B52" w14:textId="77777777" w:rsidR="00D8645B" w:rsidRDefault="00D8645B" w:rsidP="00664D46">
            <w:pPr>
              <w:spacing w:line="360" w:lineRule="auto"/>
              <w:jc w:val="center"/>
            </w:pPr>
            <w:r>
              <w:t>-64</w:t>
            </w:r>
          </w:p>
          <w:p w14:paraId="78D10F23" w14:textId="77777777" w:rsidR="00D8645B" w:rsidRDefault="00D8645B" w:rsidP="00664D46">
            <w:pPr>
              <w:spacing w:line="360" w:lineRule="auto"/>
              <w:jc w:val="center"/>
            </w:pPr>
            <w:r>
              <w:t>50</w:t>
            </w:r>
          </w:p>
        </w:tc>
        <w:tc>
          <w:tcPr>
            <w:tcW w:w="1260" w:type="dxa"/>
            <w:vAlign w:val="center"/>
          </w:tcPr>
          <w:p w14:paraId="073EB6B7" w14:textId="77777777" w:rsidR="00D8645B" w:rsidRDefault="00D8645B" w:rsidP="00664D46">
            <w:pPr>
              <w:spacing w:line="360" w:lineRule="auto"/>
              <w:jc w:val="center"/>
            </w:pPr>
            <w:r>
              <w:t>175</w:t>
            </w:r>
          </w:p>
          <w:p w14:paraId="0BF44DD8" w14:textId="77777777" w:rsidR="00D8645B" w:rsidRDefault="00D8645B" w:rsidP="00664D46">
            <w:pPr>
              <w:spacing w:line="360" w:lineRule="auto"/>
              <w:jc w:val="center"/>
            </w:pPr>
            <w:r>
              <w:t>275</w:t>
            </w:r>
          </w:p>
        </w:tc>
        <w:tc>
          <w:tcPr>
            <w:tcW w:w="1890" w:type="dxa"/>
            <w:vAlign w:val="center"/>
          </w:tcPr>
          <w:p w14:paraId="365B1642" w14:textId="77777777" w:rsidR="00D8645B" w:rsidRDefault="00D8645B" w:rsidP="00664D46">
            <w:pPr>
              <w:spacing w:line="360" w:lineRule="auto"/>
              <w:jc w:val="center"/>
            </w:pPr>
            <w:r>
              <w:t>-134</w:t>
            </w:r>
          </w:p>
          <w:p w14:paraId="5F71C40E" w14:textId="77777777" w:rsidR="00D8645B" w:rsidRDefault="00D8645B" w:rsidP="00664D46">
            <w:pPr>
              <w:spacing w:line="360" w:lineRule="auto"/>
              <w:jc w:val="center"/>
            </w:pPr>
            <w:r>
              <w:t>100</w:t>
            </w:r>
          </w:p>
        </w:tc>
      </w:tr>
      <w:tr w:rsidR="00D8645B" w14:paraId="64A4DC75" w14:textId="77777777" w:rsidTr="00664D46">
        <w:tc>
          <w:tcPr>
            <w:tcW w:w="2965" w:type="dxa"/>
            <w:vAlign w:val="center"/>
          </w:tcPr>
          <w:p w14:paraId="55FAD0F2" w14:textId="77777777" w:rsidR="00D8645B" w:rsidRDefault="00D8645B" w:rsidP="00664D46">
            <w:pPr>
              <w:spacing w:line="360" w:lineRule="auto"/>
              <w:jc w:val="center"/>
            </w:pPr>
            <w:r>
              <w:t>IR Slope</w:t>
            </w:r>
          </w:p>
        </w:tc>
        <w:tc>
          <w:tcPr>
            <w:tcW w:w="1710" w:type="dxa"/>
            <w:vAlign w:val="center"/>
          </w:tcPr>
          <w:p w14:paraId="122EA4FD" w14:textId="77777777" w:rsidR="00D8645B" w:rsidRDefault="00D8645B" w:rsidP="00664D46">
            <w:pPr>
              <w:spacing w:line="360" w:lineRule="auto"/>
              <w:jc w:val="center"/>
            </w:pPr>
            <w:r>
              <w:t>-124</w:t>
            </w:r>
          </w:p>
          <w:p w14:paraId="227C45EB" w14:textId="77777777" w:rsidR="00D8645B" w:rsidRDefault="00D8645B" w:rsidP="00664D46">
            <w:pPr>
              <w:spacing w:line="360" w:lineRule="auto"/>
              <w:jc w:val="center"/>
            </w:pPr>
            <w:r>
              <w:t>-124</w:t>
            </w:r>
          </w:p>
        </w:tc>
        <w:tc>
          <w:tcPr>
            <w:tcW w:w="1530" w:type="dxa"/>
            <w:vAlign w:val="center"/>
          </w:tcPr>
          <w:p w14:paraId="14931134" w14:textId="77777777" w:rsidR="00D8645B" w:rsidRDefault="00D8645B" w:rsidP="00664D46">
            <w:pPr>
              <w:spacing w:line="360" w:lineRule="auto"/>
              <w:jc w:val="center"/>
            </w:pPr>
            <w:r>
              <w:t>-42</w:t>
            </w:r>
          </w:p>
          <w:p w14:paraId="6907C0A5" w14:textId="77777777" w:rsidR="00D8645B" w:rsidRDefault="00D8645B" w:rsidP="00664D46">
            <w:pPr>
              <w:spacing w:line="360" w:lineRule="auto"/>
              <w:jc w:val="center"/>
            </w:pPr>
            <w:r>
              <w:t>-54</w:t>
            </w:r>
          </w:p>
        </w:tc>
        <w:tc>
          <w:tcPr>
            <w:tcW w:w="1260" w:type="dxa"/>
            <w:vAlign w:val="center"/>
          </w:tcPr>
          <w:p w14:paraId="69766217" w14:textId="77777777" w:rsidR="00D8645B" w:rsidRDefault="00D8645B" w:rsidP="00664D46">
            <w:pPr>
              <w:spacing w:line="360" w:lineRule="auto"/>
              <w:jc w:val="center"/>
            </w:pPr>
            <w:r>
              <w:t>-50</w:t>
            </w:r>
          </w:p>
          <w:p w14:paraId="7D9DF8A0" w14:textId="77777777" w:rsidR="00D8645B" w:rsidRDefault="00D8645B" w:rsidP="00664D46">
            <w:pPr>
              <w:spacing w:line="360" w:lineRule="auto"/>
              <w:jc w:val="center"/>
            </w:pPr>
            <w:r>
              <w:t>-50</w:t>
            </w:r>
          </w:p>
        </w:tc>
        <w:tc>
          <w:tcPr>
            <w:tcW w:w="1890" w:type="dxa"/>
            <w:vAlign w:val="center"/>
          </w:tcPr>
          <w:p w14:paraId="3057FE06" w14:textId="77777777" w:rsidR="00D8645B" w:rsidRDefault="00D8645B" w:rsidP="00664D46">
            <w:pPr>
              <w:spacing w:line="360" w:lineRule="auto"/>
              <w:jc w:val="center"/>
            </w:pPr>
            <w:r>
              <w:t>-102</w:t>
            </w:r>
          </w:p>
          <w:p w14:paraId="3AB8F53C" w14:textId="77777777" w:rsidR="00D8645B" w:rsidRDefault="00D8645B" w:rsidP="00664D46">
            <w:pPr>
              <w:spacing w:line="360" w:lineRule="auto"/>
              <w:jc w:val="center"/>
            </w:pPr>
            <w:r>
              <w:t>-109</w:t>
            </w:r>
          </w:p>
        </w:tc>
      </w:tr>
      <w:tr w:rsidR="00D8645B" w14:paraId="65C7A7C8" w14:textId="77777777" w:rsidTr="00664D46">
        <w:tc>
          <w:tcPr>
            <w:tcW w:w="2965" w:type="dxa"/>
            <w:vAlign w:val="center"/>
          </w:tcPr>
          <w:p w14:paraId="23AA504B" w14:textId="77777777" w:rsidR="00D8645B" w:rsidRDefault="00D8645B" w:rsidP="00664D46">
            <w:pPr>
              <w:spacing w:line="360" w:lineRule="auto"/>
              <w:jc w:val="center"/>
            </w:pPr>
            <w:r>
              <w:t>Credit Spread</w:t>
            </w:r>
          </w:p>
        </w:tc>
        <w:tc>
          <w:tcPr>
            <w:tcW w:w="1710" w:type="dxa"/>
            <w:vAlign w:val="center"/>
          </w:tcPr>
          <w:p w14:paraId="57D71447" w14:textId="77777777" w:rsidR="00D8645B" w:rsidRDefault="00D8645B" w:rsidP="00664D46">
            <w:pPr>
              <w:spacing w:line="360" w:lineRule="auto"/>
              <w:jc w:val="center"/>
            </w:pPr>
            <w:r>
              <w:t>30</w:t>
            </w:r>
          </w:p>
        </w:tc>
        <w:tc>
          <w:tcPr>
            <w:tcW w:w="1530" w:type="dxa"/>
            <w:vAlign w:val="center"/>
          </w:tcPr>
          <w:p w14:paraId="7131C91F" w14:textId="77777777" w:rsidR="00D8645B" w:rsidRDefault="00D8645B" w:rsidP="00664D46">
            <w:pPr>
              <w:spacing w:line="360" w:lineRule="auto"/>
              <w:jc w:val="center"/>
            </w:pPr>
            <w:r>
              <w:t>25</w:t>
            </w:r>
          </w:p>
        </w:tc>
        <w:tc>
          <w:tcPr>
            <w:tcW w:w="1260" w:type="dxa"/>
            <w:vAlign w:val="center"/>
          </w:tcPr>
          <w:p w14:paraId="1DFDA898" w14:textId="77777777" w:rsidR="00D8645B" w:rsidRDefault="00D8645B" w:rsidP="00664D46">
            <w:pPr>
              <w:spacing w:line="360" w:lineRule="auto"/>
              <w:jc w:val="center"/>
            </w:pPr>
            <w:r>
              <w:t>40</w:t>
            </w:r>
          </w:p>
        </w:tc>
        <w:tc>
          <w:tcPr>
            <w:tcW w:w="1890" w:type="dxa"/>
            <w:vAlign w:val="center"/>
          </w:tcPr>
          <w:p w14:paraId="27398C4A" w14:textId="77777777" w:rsidR="00D8645B" w:rsidRDefault="00D8645B" w:rsidP="00664D46">
            <w:pPr>
              <w:spacing w:line="360" w:lineRule="auto"/>
              <w:jc w:val="center"/>
            </w:pPr>
            <w:r>
              <w:t>50</w:t>
            </w:r>
          </w:p>
        </w:tc>
      </w:tr>
      <w:tr w:rsidR="00D8645B" w14:paraId="22ABFB81" w14:textId="77777777" w:rsidTr="00664D46">
        <w:tc>
          <w:tcPr>
            <w:tcW w:w="2965" w:type="dxa"/>
            <w:vAlign w:val="center"/>
          </w:tcPr>
          <w:p w14:paraId="377C86A3" w14:textId="77777777" w:rsidR="00D8645B" w:rsidRDefault="00D8645B" w:rsidP="00664D46">
            <w:pPr>
              <w:spacing w:line="360" w:lineRule="auto"/>
              <w:jc w:val="center"/>
            </w:pPr>
            <w:r>
              <w:t>Spot FX</w:t>
            </w:r>
          </w:p>
        </w:tc>
        <w:tc>
          <w:tcPr>
            <w:tcW w:w="1710" w:type="dxa"/>
            <w:vAlign w:val="center"/>
          </w:tcPr>
          <w:p w14:paraId="3F45F308" w14:textId="77777777" w:rsidR="00D8645B" w:rsidRDefault="00D8645B" w:rsidP="00664D46">
            <w:pPr>
              <w:spacing w:line="360" w:lineRule="auto"/>
              <w:jc w:val="center"/>
            </w:pPr>
            <w:r>
              <w:t>-7</w:t>
            </w:r>
          </w:p>
          <w:p w14:paraId="79894F3F" w14:textId="77777777" w:rsidR="00D8645B" w:rsidRDefault="00D8645B" w:rsidP="00664D46">
            <w:pPr>
              <w:spacing w:line="360" w:lineRule="auto"/>
              <w:jc w:val="center"/>
            </w:pPr>
            <w:r>
              <w:t>-10</w:t>
            </w:r>
          </w:p>
        </w:tc>
        <w:tc>
          <w:tcPr>
            <w:tcW w:w="1530" w:type="dxa"/>
            <w:vAlign w:val="center"/>
          </w:tcPr>
          <w:p w14:paraId="23B21FD2" w14:textId="77777777" w:rsidR="00D8645B" w:rsidRDefault="00D8645B" w:rsidP="00664D46">
            <w:pPr>
              <w:spacing w:line="360" w:lineRule="auto"/>
              <w:jc w:val="center"/>
            </w:pPr>
            <w:r>
              <w:t>4.8</w:t>
            </w:r>
          </w:p>
          <w:p w14:paraId="037B7F8E" w14:textId="77777777" w:rsidR="00D8645B" w:rsidRDefault="00D8645B" w:rsidP="00664D46">
            <w:pPr>
              <w:spacing w:line="360" w:lineRule="auto"/>
              <w:jc w:val="center"/>
            </w:pPr>
            <w:r>
              <w:t>4.8</w:t>
            </w:r>
          </w:p>
        </w:tc>
        <w:tc>
          <w:tcPr>
            <w:tcW w:w="1260" w:type="dxa"/>
            <w:vAlign w:val="center"/>
          </w:tcPr>
          <w:p w14:paraId="33D909E8" w14:textId="77777777" w:rsidR="00D8645B" w:rsidRDefault="00D8645B" w:rsidP="00664D46">
            <w:pPr>
              <w:spacing w:line="360" w:lineRule="auto"/>
              <w:jc w:val="center"/>
            </w:pPr>
            <w:r>
              <w:t>3.0</w:t>
            </w:r>
          </w:p>
          <w:p w14:paraId="285DE046" w14:textId="77777777" w:rsidR="00D8645B" w:rsidRDefault="00D8645B" w:rsidP="00664D46">
            <w:pPr>
              <w:spacing w:line="360" w:lineRule="auto"/>
              <w:jc w:val="center"/>
            </w:pPr>
            <w:r>
              <w:t>6.0</w:t>
            </w:r>
          </w:p>
        </w:tc>
        <w:tc>
          <w:tcPr>
            <w:tcW w:w="1890" w:type="dxa"/>
            <w:vAlign w:val="center"/>
          </w:tcPr>
          <w:p w14:paraId="3471B2D9" w14:textId="77777777" w:rsidR="00D8645B" w:rsidRDefault="00D8645B" w:rsidP="00664D46">
            <w:pPr>
              <w:spacing w:line="360" w:lineRule="auto"/>
              <w:jc w:val="center"/>
            </w:pPr>
            <w:r>
              <w:t>12.0</w:t>
            </w:r>
          </w:p>
          <w:p w14:paraId="08E70B5F" w14:textId="77777777" w:rsidR="00D8645B" w:rsidRDefault="00D8645B" w:rsidP="00664D46">
            <w:pPr>
              <w:spacing w:line="360" w:lineRule="auto"/>
              <w:jc w:val="center"/>
            </w:pPr>
            <w:r>
              <w:t>24.0</w:t>
            </w:r>
          </w:p>
        </w:tc>
      </w:tr>
      <w:tr w:rsidR="00D8645B" w14:paraId="1CB987B6" w14:textId="77777777" w:rsidTr="00664D46">
        <w:tc>
          <w:tcPr>
            <w:tcW w:w="2965" w:type="dxa"/>
            <w:vAlign w:val="center"/>
          </w:tcPr>
          <w:p w14:paraId="3ADC3BFC" w14:textId="77777777" w:rsidR="00D8645B" w:rsidRDefault="00D8645B" w:rsidP="00664D46">
            <w:pPr>
              <w:spacing w:line="360" w:lineRule="auto"/>
              <w:jc w:val="center"/>
            </w:pPr>
            <w:r>
              <w:lastRenderedPageBreak/>
              <w:t>Equity</w:t>
            </w:r>
          </w:p>
        </w:tc>
        <w:tc>
          <w:tcPr>
            <w:tcW w:w="1710" w:type="dxa"/>
            <w:vAlign w:val="center"/>
          </w:tcPr>
          <w:p w14:paraId="2DF60E43" w14:textId="77777777" w:rsidR="00D8645B" w:rsidRDefault="00D8645B" w:rsidP="00664D46">
            <w:pPr>
              <w:spacing w:line="360" w:lineRule="auto"/>
              <w:jc w:val="center"/>
            </w:pPr>
            <w:r>
              <w:t>-15.1</w:t>
            </w:r>
          </w:p>
          <w:p w14:paraId="538DE067" w14:textId="77777777" w:rsidR="00D8645B" w:rsidRDefault="00D8645B" w:rsidP="00664D46">
            <w:pPr>
              <w:spacing w:line="360" w:lineRule="auto"/>
              <w:jc w:val="center"/>
            </w:pPr>
            <w:r>
              <w:t>-18.9</w:t>
            </w:r>
          </w:p>
        </w:tc>
        <w:tc>
          <w:tcPr>
            <w:tcW w:w="1530" w:type="dxa"/>
            <w:vAlign w:val="center"/>
          </w:tcPr>
          <w:p w14:paraId="04E6B4E0" w14:textId="77777777" w:rsidR="00D8645B" w:rsidRDefault="00D8645B" w:rsidP="00664D46">
            <w:pPr>
              <w:spacing w:line="360" w:lineRule="auto"/>
              <w:jc w:val="center"/>
            </w:pPr>
            <w:r>
              <w:t>-17.0</w:t>
            </w:r>
          </w:p>
          <w:p w14:paraId="21B5A69B" w14:textId="77777777" w:rsidR="00D8645B" w:rsidRDefault="00D8645B" w:rsidP="00664D46">
            <w:pPr>
              <w:spacing w:line="360" w:lineRule="auto"/>
              <w:jc w:val="center"/>
            </w:pPr>
            <w:r>
              <w:t>-21.3</w:t>
            </w:r>
          </w:p>
        </w:tc>
        <w:tc>
          <w:tcPr>
            <w:tcW w:w="1260" w:type="dxa"/>
            <w:vAlign w:val="center"/>
          </w:tcPr>
          <w:p w14:paraId="50C548BF" w14:textId="77777777" w:rsidR="00D8645B" w:rsidRDefault="00D8645B" w:rsidP="00664D46">
            <w:pPr>
              <w:spacing w:line="360" w:lineRule="auto"/>
              <w:jc w:val="center"/>
            </w:pPr>
            <w:r>
              <w:t>-25.0</w:t>
            </w:r>
          </w:p>
          <w:p w14:paraId="3B84A952" w14:textId="77777777" w:rsidR="00D8645B" w:rsidRDefault="00D8645B" w:rsidP="00664D46">
            <w:pPr>
              <w:spacing w:line="360" w:lineRule="auto"/>
              <w:jc w:val="center"/>
            </w:pPr>
            <w:r>
              <w:t>-35.0</w:t>
            </w:r>
          </w:p>
        </w:tc>
        <w:tc>
          <w:tcPr>
            <w:tcW w:w="1890" w:type="dxa"/>
            <w:vAlign w:val="center"/>
          </w:tcPr>
          <w:p w14:paraId="6B6071C6" w14:textId="77777777" w:rsidR="00D8645B" w:rsidRDefault="00D8645B" w:rsidP="00664D46">
            <w:pPr>
              <w:spacing w:line="360" w:lineRule="auto"/>
              <w:jc w:val="center"/>
            </w:pPr>
            <w:r>
              <w:t>-30.2</w:t>
            </w:r>
          </w:p>
          <w:p w14:paraId="6DF9A19A" w14:textId="77777777" w:rsidR="00D8645B" w:rsidRDefault="00D8645B" w:rsidP="00664D46">
            <w:pPr>
              <w:spacing w:line="360" w:lineRule="auto"/>
              <w:jc w:val="center"/>
            </w:pPr>
            <w:r>
              <w:t>-37.8</w:t>
            </w:r>
          </w:p>
        </w:tc>
      </w:tr>
      <w:tr w:rsidR="00D8645B" w14:paraId="7AACE332" w14:textId="77777777" w:rsidTr="00664D46">
        <w:tc>
          <w:tcPr>
            <w:tcW w:w="2965" w:type="dxa"/>
            <w:vAlign w:val="center"/>
          </w:tcPr>
          <w:p w14:paraId="149800D9" w14:textId="77777777" w:rsidR="00D8645B" w:rsidRDefault="00D8645B" w:rsidP="00664D46">
            <w:pPr>
              <w:spacing w:line="360" w:lineRule="auto"/>
              <w:jc w:val="center"/>
            </w:pPr>
            <w:r>
              <w:t>Private Equity</w:t>
            </w:r>
          </w:p>
        </w:tc>
        <w:tc>
          <w:tcPr>
            <w:tcW w:w="1710" w:type="dxa"/>
            <w:vAlign w:val="center"/>
          </w:tcPr>
          <w:p w14:paraId="2665535C" w14:textId="77777777" w:rsidR="00D8645B" w:rsidRDefault="00D8645B" w:rsidP="00664D46">
            <w:pPr>
              <w:spacing w:line="360" w:lineRule="auto"/>
              <w:jc w:val="center"/>
            </w:pPr>
            <w:r>
              <w:t>-12.1</w:t>
            </w:r>
          </w:p>
          <w:p w14:paraId="183BB1B0" w14:textId="77777777" w:rsidR="00D8645B" w:rsidRDefault="00D8645B" w:rsidP="00664D46">
            <w:pPr>
              <w:spacing w:line="360" w:lineRule="auto"/>
              <w:jc w:val="center"/>
            </w:pPr>
            <w:r>
              <w:t>-15.1</w:t>
            </w:r>
          </w:p>
        </w:tc>
        <w:tc>
          <w:tcPr>
            <w:tcW w:w="1530" w:type="dxa"/>
            <w:vAlign w:val="center"/>
          </w:tcPr>
          <w:p w14:paraId="451C686E" w14:textId="77777777" w:rsidR="00D8645B" w:rsidRDefault="00D8645B" w:rsidP="00664D46">
            <w:pPr>
              <w:spacing w:line="360" w:lineRule="auto"/>
              <w:jc w:val="center"/>
            </w:pPr>
            <w:r>
              <w:t>-13.6</w:t>
            </w:r>
          </w:p>
          <w:p w14:paraId="6DDF2657" w14:textId="77777777" w:rsidR="00D8645B" w:rsidRDefault="00D8645B" w:rsidP="00664D46">
            <w:pPr>
              <w:spacing w:line="360" w:lineRule="auto"/>
              <w:jc w:val="center"/>
            </w:pPr>
            <w:r>
              <w:t>-17.0</w:t>
            </w:r>
          </w:p>
        </w:tc>
        <w:tc>
          <w:tcPr>
            <w:tcW w:w="1260" w:type="dxa"/>
            <w:vAlign w:val="center"/>
          </w:tcPr>
          <w:p w14:paraId="24CEC467" w14:textId="77777777" w:rsidR="00D8645B" w:rsidRDefault="00D8645B" w:rsidP="00664D46">
            <w:pPr>
              <w:spacing w:line="360" w:lineRule="auto"/>
              <w:jc w:val="center"/>
            </w:pPr>
            <w:r>
              <w:t>-20.0</w:t>
            </w:r>
          </w:p>
          <w:p w14:paraId="2B51735E" w14:textId="77777777" w:rsidR="00D8645B" w:rsidRDefault="00D8645B" w:rsidP="00664D46">
            <w:pPr>
              <w:spacing w:line="360" w:lineRule="auto"/>
              <w:jc w:val="center"/>
            </w:pPr>
            <w:r>
              <w:t>-28.0</w:t>
            </w:r>
          </w:p>
        </w:tc>
        <w:tc>
          <w:tcPr>
            <w:tcW w:w="1890" w:type="dxa"/>
            <w:vAlign w:val="center"/>
          </w:tcPr>
          <w:p w14:paraId="6EC3AFB8" w14:textId="77777777" w:rsidR="00D8645B" w:rsidRDefault="00D8645B" w:rsidP="00664D46">
            <w:pPr>
              <w:spacing w:line="360" w:lineRule="auto"/>
              <w:jc w:val="center"/>
            </w:pPr>
            <w:r>
              <w:t>-24.2</w:t>
            </w:r>
          </w:p>
          <w:p w14:paraId="64390620" w14:textId="77777777" w:rsidR="00D8645B" w:rsidRDefault="00D8645B" w:rsidP="00664D46">
            <w:pPr>
              <w:spacing w:line="360" w:lineRule="auto"/>
              <w:jc w:val="center"/>
            </w:pPr>
            <w:r>
              <w:t>-30.2</w:t>
            </w:r>
          </w:p>
        </w:tc>
      </w:tr>
      <w:tr w:rsidR="00D8645B" w14:paraId="3A5CFF4E" w14:textId="77777777" w:rsidTr="00664D46">
        <w:tc>
          <w:tcPr>
            <w:tcW w:w="2965" w:type="dxa"/>
            <w:vAlign w:val="center"/>
          </w:tcPr>
          <w:p w14:paraId="5594F2BE" w14:textId="77777777" w:rsidR="00D8645B" w:rsidRDefault="00D8645B" w:rsidP="00664D46">
            <w:pPr>
              <w:spacing w:line="360" w:lineRule="auto"/>
              <w:jc w:val="center"/>
            </w:pPr>
            <w:r>
              <w:t>Hedge Funds</w:t>
            </w:r>
          </w:p>
        </w:tc>
        <w:tc>
          <w:tcPr>
            <w:tcW w:w="1710" w:type="dxa"/>
            <w:vAlign w:val="center"/>
          </w:tcPr>
          <w:p w14:paraId="4E314D59" w14:textId="77777777" w:rsidR="00D8645B" w:rsidRDefault="00D8645B" w:rsidP="00664D46">
            <w:pPr>
              <w:spacing w:line="360" w:lineRule="auto"/>
              <w:jc w:val="center"/>
            </w:pPr>
            <w:r>
              <w:t>-6.1</w:t>
            </w:r>
          </w:p>
        </w:tc>
        <w:tc>
          <w:tcPr>
            <w:tcW w:w="1530" w:type="dxa"/>
            <w:vAlign w:val="center"/>
          </w:tcPr>
          <w:p w14:paraId="54711F81" w14:textId="77777777" w:rsidR="00D8645B" w:rsidRDefault="00D8645B" w:rsidP="00664D46">
            <w:pPr>
              <w:spacing w:line="360" w:lineRule="auto"/>
              <w:jc w:val="center"/>
            </w:pPr>
            <w:r>
              <w:t>-6.8</w:t>
            </w:r>
          </w:p>
        </w:tc>
        <w:tc>
          <w:tcPr>
            <w:tcW w:w="1260" w:type="dxa"/>
            <w:vAlign w:val="center"/>
          </w:tcPr>
          <w:p w14:paraId="12D27F58" w14:textId="77777777" w:rsidR="00D8645B" w:rsidRDefault="00D8645B" w:rsidP="00664D46">
            <w:pPr>
              <w:spacing w:line="360" w:lineRule="auto"/>
              <w:jc w:val="center"/>
            </w:pPr>
            <w:r>
              <w:t>-10.0</w:t>
            </w:r>
          </w:p>
        </w:tc>
        <w:tc>
          <w:tcPr>
            <w:tcW w:w="1890" w:type="dxa"/>
            <w:vAlign w:val="center"/>
          </w:tcPr>
          <w:p w14:paraId="306C0087" w14:textId="77777777" w:rsidR="00D8645B" w:rsidRDefault="00D8645B" w:rsidP="00664D46">
            <w:pPr>
              <w:spacing w:line="360" w:lineRule="auto"/>
              <w:jc w:val="center"/>
            </w:pPr>
            <w:r>
              <w:t>-12.1</w:t>
            </w:r>
          </w:p>
        </w:tc>
      </w:tr>
      <w:tr w:rsidR="00D8645B" w14:paraId="79F385D5" w14:textId="77777777" w:rsidTr="00664D46">
        <w:tc>
          <w:tcPr>
            <w:tcW w:w="2965" w:type="dxa"/>
            <w:vAlign w:val="center"/>
          </w:tcPr>
          <w:p w14:paraId="1CBB1906" w14:textId="77777777" w:rsidR="00D8645B" w:rsidRDefault="00D8645B" w:rsidP="00664D46">
            <w:pPr>
              <w:spacing w:line="360" w:lineRule="auto"/>
              <w:jc w:val="center"/>
            </w:pPr>
            <w:r>
              <w:t>ABX</w:t>
            </w:r>
          </w:p>
        </w:tc>
        <w:tc>
          <w:tcPr>
            <w:tcW w:w="1710" w:type="dxa"/>
            <w:vAlign w:val="center"/>
          </w:tcPr>
          <w:p w14:paraId="50BBABCF" w14:textId="77777777" w:rsidR="00D8645B" w:rsidRDefault="00D8645B" w:rsidP="00664D46">
            <w:pPr>
              <w:spacing w:line="360" w:lineRule="auto"/>
              <w:jc w:val="center"/>
            </w:pPr>
            <w:r>
              <w:t>-17.0</w:t>
            </w:r>
          </w:p>
        </w:tc>
        <w:tc>
          <w:tcPr>
            <w:tcW w:w="1530" w:type="dxa"/>
            <w:vAlign w:val="center"/>
          </w:tcPr>
          <w:p w14:paraId="4ABAF99E" w14:textId="77777777" w:rsidR="00D8645B" w:rsidRDefault="00D8645B" w:rsidP="00664D46">
            <w:pPr>
              <w:spacing w:line="360" w:lineRule="auto"/>
              <w:jc w:val="center"/>
            </w:pPr>
            <w:r>
              <w:t>-10.0</w:t>
            </w:r>
          </w:p>
        </w:tc>
        <w:tc>
          <w:tcPr>
            <w:tcW w:w="1260" w:type="dxa"/>
            <w:vAlign w:val="center"/>
          </w:tcPr>
          <w:p w14:paraId="0206FEF0" w14:textId="77777777" w:rsidR="00D8645B" w:rsidRDefault="00D8645B" w:rsidP="00664D46">
            <w:pPr>
              <w:spacing w:line="360" w:lineRule="auto"/>
              <w:jc w:val="center"/>
            </w:pPr>
            <w:r>
              <w:t>-10.8</w:t>
            </w:r>
          </w:p>
        </w:tc>
        <w:tc>
          <w:tcPr>
            <w:tcW w:w="1890" w:type="dxa"/>
            <w:vAlign w:val="center"/>
          </w:tcPr>
          <w:p w14:paraId="616EFD2D" w14:textId="77777777" w:rsidR="00D8645B" w:rsidRDefault="00D8645B" w:rsidP="00664D46">
            <w:pPr>
              <w:spacing w:line="360" w:lineRule="auto"/>
              <w:jc w:val="center"/>
            </w:pPr>
            <w:r>
              <w:t>-25.0</w:t>
            </w:r>
          </w:p>
        </w:tc>
      </w:tr>
      <w:tr w:rsidR="00D8645B" w14:paraId="73CB4327" w14:textId="77777777" w:rsidTr="00664D46">
        <w:tc>
          <w:tcPr>
            <w:tcW w:w="2965" w:type="dxa"/>
            <w:vAlign w:val="center"/>
          </w:tcPr>
          <w:p w14:paraId="0E622F19" w14:textId="77777777" w:rsidR="00D8645B" w:rsidRDefault="00D8645B" w:rsidP="00664D46">
            <w:pPr>
              <w:spacing w:line="360" w:lineRule="auto"/>
              <w:jc w:val="center"/>
            </w:pPr>
            <w:r>
              <w:t>Energy</w:t>
            </w:r>
          </w:p>
        </w:tc>
        <w:tc>
          <w:tcPr>
            <w:tcW w:w="1710" w:type="dxa"/>
            <w:vAlign w:val="center"/>
          </w:tcPr>
          <w:p w14:paraId="67B58927" w14:textId="77777777" w:rsidR="00D8645B" w:rsidRDefault="00D8645B" w:rsidP="00664D46">
            <w:pPr>
              <w:spacing w:line="360" w:lineRule="auto"/>
              <w:jc w:val="center"/>
            </w:pPr>
            <w:r>
              <w:t>59.6</w:t>
            </w:r>
          </w:p>
        </w:tc>
        <w:tc>
          <w:tcPr>
            <w:tcW w:w="1530" w:type="dxa"/>
            <w:vAlign w:val="center"/>
          </w:tcPr>
          <w:p w14:paraId="3A5B8A6A" w14:textId="77777777" w:rsidR="00D8645B" w:rsidRDefault="00D8645B" w:rsidP="00664D46">
            <w:pPr>
              <w:spacing w:line="360" w:lineRule="auto"/>
              <w:jc w:val="center"/>
            </w:pPr>
            <w:r>
              <w:t>-14.9</w:t>
            </w:r>
          </w:p>
        </w:tc>
        <w:tc>
          <w:tcPr>
            <w:tcW w:w="1260" w:type="dxa"/>
            <w:vAlign w:val="center"/>
          </w:tcPr>
          <w:p w14:paraId="64D9D7E7" w14:textId="77777777" w:rsidR="00D8645B" w:rsidRDefault="00D8645B" w:rsidP="00664D46">
            <w:pPr>
              <w:spacing w:line="360" w:lineRule="auto"/>
              <w:jc w:val="center"/>
            </w:pPr>
            <w:r>
              <w:t>20.0</w:t>
            </w:r>
          </w:p>
        </w:tc>
        <w:tc>
          <w:tcPr>
            <w:tcW w:w="1890" w:type="dxa"/>
            <w:vAlign w:val="center"/>
          </w:tcPr>
          <w:p w14:paraId="143C9921" w14:textId="77777777" w:rsidR="00D8645B" w:rsidRDefault="00D8645B" w:rsidP="00664D46">
            <w:pPr>
              <w:spacing w:line="360" w:lineRule="auto"/>
              <w:jc w:val="center"/>
            </w:pPr>
            <w:r>
              <w:t>-36.2</w:t>
            </w:r>
          </w:p>
        </w:tc>
      </w:tr>
      <w:tr w:rsidR="00D8645B" w14:paraId="20A82E86" w14:textId="77777777" w:rsidTr="00664D46">
        <w:tc>
          <w:tcPr>
            <w:tcW w:w="2965" w:type="dxa"/>
            <w:vAlign w:val="center"/>
          </w:tcPr>
          <w:p w14:paraId="57DC29E6" w14:textId="77777777" w:rsidR="00D8645B" w:rsidRDefault="00D8645B" w:rsidP="00664D46">
            <w:pPr>
              <w:spacing w:line="360" w:lineRule="auto"/>
              <w:jc w:val="center"/>
            </w:pPr>
            <w:r>
              <w:t>Natural Gas</w:t>
            </w:r>
          </w:p>
        </w:tc>
        <w:tc>
          <w:tcPr>
            <w:tcW w:w="1710" w:type="dxa"/>
            <w:vAlign w:val="center"/>
          </w:tcPr>
          <w:p w14:paraId="34404AC6" w14:textId="77777777" w:rsidR="00D8645B" w:rsidRDefault="00D8645B" w:rsidP="00664D46">
            <w:pPr>
              <w:spacing w:line="360" w:lineRule="auto"/>
              <w:jc w:val="center"/>
            </w:pPr>
            <w:r>
              <w:t>55.6</w:t>
            </w:r>
          </w:p>
        </w:tc>
        <w:tc>
          <w:tcPr>
            <w:tcW w:w="1530" w:type="dxa"/>
            <w:vAlign w:val="center"/>
          </w:tcPr>
          <w:p w14:paraId="21816F30" w14:textId="77777777" w:rsidR="00D8645B" w:rsidRDefault="00D8645B" w:rsidP="00664D46">
            <w:pPr>
              <w:spacing w:line="360" w:lineRule="auto"/>
              <w:jc w:val="center"/>
            </w:pPr>
            <w:r>
              <w:t>-15.6</w:t>
            </w:r>
          </w:p>
        </w:tc>
        <w:tc>
          <w:tcPr>
            <w:tcW w:w="1260" w:type="dxa"/>
            <w:vAlign w:val="center"/>
          </w:tcPr>
          <w:p w14:paraId="7D93556E" w14:textId="77777777" w:rsidR="00D8645B" w:rsidRDefault="00D8645B" w:rsidP="00664D46">
            <w:pPr>
              <w:spacing w:line="360" w:lineRule="auto"/>
              <w:jc w:val="center"/>
            </w:pPr>
            <w:r>
              <w:t>18.5</w:t>
            </w:r>
          </w:p>
        </w:tc>
        <w:tc>
          <w:tcPr>
            <w:tcW w:w="1890" w:type="dxa"/>
            <w:vAlign w:val="center"/>
          </w:tcPr>
          <w:p w14:paraId="18416ABA" w14:textId="77777777" w:rsidR="00D8645B" w:rsidRDefault="00D8645B" w:rsidP="00664D46">
            <w:pPr>
              <w:spacing w:line="360" w:lineRule="auto"/>
              <w:jc w:val="center"/>
            </w:pPr>
            <w:r>
              <w:t>-31.1</w:t>
            </w:r>
          </w:p>
        </w:tc>
      </w:tr>
      <w:tr w:rsidR="00D8645B" w14:paraId="55B4C506" w14:textId="77777777" w:rsidTr="00664D46">
        <w:tc>
          <w:tcPr>
            <w:tcW w:w="2965" w:type="dxa"/>
            <w:vAlign w:val="center"/>
          </w:tcPr>
          <w:p w14:paraId="6F0D930F" w14:textId="77777777" w:rsidR="00D8645B" w:rsidRDefault="00D8645B" w:rsidP="00664D46">
            <w:pPr>
              <w:spacing w:line="360" w:lineRule="auto"/>
              <w:jc w:val="center"/>
            </w:pPr>
            <w:r>
              <w:t>Copper</w:t>
            </w:r>
          </w:p>
        </w:tc>
        <w:tc>
          <w:tcPr>
            <w:tcW w:w="1710" w:type="dxa"/>
            <w:vAlign w:val="center"/>
          </w:tcPr>
          <w:p w14:paraId="76CF921E" w14:textId="77777777" w:rsidR="00D8645B" w:rsidRDefault="00D8645B" w:rsidP="00664D46">
            <w:pPr>
              <w:spacing w:line="360" w:lineRule="auto"/>
              <w:jc w:val="center"/>
            </w:pPr>
            <w:r>
              <w:t>51.9</w:t>
            </w:r>
          </w:p>
        </w:tc>
        <w:tc>
          <w:tcPr>
            <w:tcW w:w="1530" w:type="dxa"/>
            <w:vAlign w:val="center"/>
          </w:tcPr>
          <w:p w14:paraId="142589DA" w14:textId="77777777" w:rsidR="00D8645B" w:rsidRDefault="00D8645B" w:rsidP="00664D46">
            <w:pPr>
              <w:spacing w:line="360" w:lineRule="auto"/>
              <w:jc w:val="center"/>
            </w:pPr>
            <w:r>
              <w:t>-20.0</w:t>
            </w:r>
          </w:p>
        </w:tc>
        <w:tc>
          <w:tcPr>
            <w:tcW w:w="1260" w:type="dxa"/>
            <w:vAlign w:val="center"/>
          </w:tcPr>
          <w:p w14:paraId="7F263AE5" w14:textId="77777777" w:rsidR="00D8645B" w:rsidRDefault="00D8645B" w:rsidP="00664D46">
            <w:pPr>
              <w:spacing w:line="360" w:lineRule="auto"/>
              <w:jc w:val="center"/>
            </w:pPr>
            <w:r>
              <w:t>17.3</w:t>
            </w:r>
          </w:p>
        </w:tc>
        <w:tc>
          <w:tcPr>
            <w:tcW w:w="1890" w:type="dxa"/>
            <w:vAlign w:val="center"/>
          </w:tcPr>
          <w:p w14:paraId="78AE6710" w14:textId="77777777" w:rsidR="00D8645B" w:rsidRDefault="00D8645B" w:rsidP="00664D46">
            <w:pPr>
              <w:spacing w:line="360" w:lineRule="auto"/>
              <w:jc w:val="center"/>
            </w:pPr>
            <w:r>
              <w:t>-40.0</w:t>
            </w:r>
          </w:p>
        </w:tc>
      </w:tr>
      <w:tr w:rsidR="00D8645B" w14:paraId="16D0DBD5" w14:textId="77777777" w:rsidTr="00664D46">
        <w:tc>
          <w:tcPr>
            <w:tcW w:w="2965" w:type="dxa"/>
            <w:vAlign w:val="center"/>
          </w:tcPr>
          <w:p w14:paraId="12F76CE5" w14:textId="77777777" w:rsidR="00D8645B" w:rsidRDefault="00D8645B" w:rsidP="00664D46">
            <w:pPr>
              <w:spacing w:line="360" w:lineRule="auto"/>
              <w:jc w:val="center"/>
            </w:pPr>
            <w:r>
              <w:t>Gold</w:t>
            </w:r>
          </w:p>
        </w:tc>
        <w:tc>
          <w:tcPr>
            <w:tcW w:w="1710" w:type="dxa"/>
            <w:vAlign w:val="center"/>
          </w:tcPr>
          <w:p w14:paraId="39194E61" w14:textId="77777777" w:rsidR="00D8645B" w:rsidRDefault="00D8645B" w:rsidP="00664D46">
            <w:pPr>
              <w:spacing w:line="360" w:lineRule="auto"/>
              <w:jc w:val="center"/>
            </w:pPr>
            <w:r>
              <w:t>45.6</w:t>
            </w:r>
          </w:p>
        </w:tc>
        <w:tc>
          <w:tcPr>
            <w:tcW w:w="1530" w:type="dxa"/>
            <w:vAlign w:val="center"/>
          </w:tcPr>
          <w:p w14:paraId="1AE0BA21" w14:textId="77777777" w:rsidR="00D8645B" w:rsidRDefault="00D8645B" w:rsidP="00664D46">
            <w:pPr>
              <w:spacing w:line="360" w:lineRule="auto"/>
              <w:jc w:val="center"/>
            </w:pPr>
            <w:r>
              <w:t>-8.3</w:t>
            </w:r>
          </w:p>
        </w:tc>
        <w:tc>
          <w:tcPr>
            <w:tcW w:w="1260" w:type="dxa"/>
            <w:vAlign w:val="center"/>
          </w:tcPr>
          <w:p w14:paraId="3A514421" w14:textId="77777777" w:rsidR="00D8645B" w:rsidRDefault="00D8645B" w:rsidP="00664D46">
            <w:pPr>
              <w:spacing w:line="360" w:lineRule="auto"/>
              <w:jc w:val="center"/>
            </w:pPr>
            <w:r>
              <w:t>20.0</w:t>
            </w:r>
          </w:p>
        </w:tc>
        <w:tc>
          <w:tcPr>
            <w:tcW w:w="1890" w:type="dxa"/>
            <w:vAlign w:val="center"/>
          </w:tcPr>
          <w:p w14:paraId="5AAF6C0C" w14:textId="77777777" w:rsidR="00D8645B" w:rsidRDefault="00D8645B" w:rsidP="00664D46">
            <w:pPr>
              <w:spacing w:line="360" w:lineRule="auto"/>
              <w:jc w:val="center"/>
            </w:pPr>
            <w:r>
              <w:t>-16.7</w:t>
            </w:r>
          </w:p>
        </w:tc>
      </w:tr>
      <w:tr w:rsidR="00D8645B" w14:paraId="689DC218" w14:textId="77777777" w:rsidTr="00664D46">
        <w:tc>
          <w:tcPr>
            <w:tcW w:w="2965" w:type="dxa"/>
            <w:vAlign w:val="center"/>
          </w:tcPr>
          <w:p w14:paraId="658E3B31" w14:textId="77777777" w:rsidR="00D8645B" w:rsidRDefault="00D8645B" w:rsidP="00664D46">
            <w:pPr>
              <w:spacing w:line="360" w:lineRule="auto"/>
              <w:jc w:val="center"/>
            </w:pPr>
            <w:r>
              <w:t>Corn</w:t>
            </w:r>
          </w:p>
        </w:tc>
        <w:tc>
          <w:tcPr>
            <w:tcW w:w="1710" w:type="dxa"/>
            <w:vAlign w:val="center"/>
          </w:tcPr>
          <w:p w14:paraId="1C81A537" w14:textId="77777777" w:rsidR="00D8645B" w:rsidRDefault="00D8645B" w:rsidP="00664D46">
            <w:pPr>
              <w:spacing w:line="360" w:lineRule="auto"/>
              <w:jc w:val="center"/>
            </w:pPr>
            <w:r>
              <w:t>33.1</w:t>
            </w:r>
          </w:p>
        </w:tc>
        <w:tc>
          <w:tcPr>
            <w:tcW w:w="1530" w:type="dxa"/>
            <w:vAlign w:val="center"/>
          </w:tcPr>
          <w:p w14:paraId="34ABDD5D" w14:textId="77777777" w:rsidR="00D8645B" w:rsidRDefault="00D8645B" w:rsidP="00664D46">
            <w:pPr>
              <w:spacing w:line="360" w:lineRule="auto"/>
              <w:jc w:val="center"/>
            </w:pPr>
            <w:r>
              <w:t>-11.7</w:t>
            </w:r>
          </w:p>
        </w:tc>
        <w:tc>
          <w:tcPr>
            <w:tcW w:w="1260" w:type="dxa"/>
            <w:vAlign w:val="center"/>
          </w:tcPr>
          <w:p w14:paraId="4057FCF8" w14:textId="77777777" w:rsidR="00D8645B" w:rsidRDefault="00D8645B" w:rsidP="00664D46">
            <w:pPr>
              <w:spacing w:line="360" w:lineRule="auto"/>
              <w:jc w:val="center"/>
            </w:pPr>
            <w:r>
              <w:t>11.0</w:t>
            </w:r>
          </w:p>
        </w:tc>
        <w:tc>
          <w:tcPr>
            <w:tcW w:w="1890" w:type="dxa"/>
            <w:vAlign w:val="center"/>
          </w:tcPr>
          <w:p w14:paraId="0A909B2D" w14:textId="77777777" w:rsidR="00D8645B" w:rsidRDefault="00D8645B" w:rsidP="00664D46">
            <w:pPr>
              <w:spacing w:line="360" w:lineRule="auto"/>
              <w:jc w:val="center"/>
            </w:pPr>
            <w:r>
              <w:t>-23.3</w:t>
            </w:r>
          </w:p>
        </w:tc>
      </w:tr>
      <w:tr w:rsidR="00D8645B" w14:paraId="0DE60F7B" w14:textId="77777777" w:rsidTr="00664D46">
        <w:tc>
          <w:tcPr>
            <w:tcW w:w="2965" w:type="dxa"/>
            <w:vAlign w:val="center"/>
          </w:tcPr>
          <w:p w14:paraId="072C0E21" w14:textId="77777777" w:rsidR="00D8645B" w:rsidRDefault="00D8645B" w:rsidP="00664D46">
            <w:pPr>
              <w:spacing w:line="360" w:lineRule="auto"/>
              <w:jc w:val="center"/>
            </w:pPr>
            <w:r>
              <w:t>Other Commodities</w:t>
            </w:r>
          </w:p>
        </w:tc>
        <w:tc>
          <w:tcPr>
            <w:tcW w:w="1710" w:type="dxa"/>
            <w:vAlign w:val="center"/>
          </w:tcPr>
          <w:p w14:paraId="4026C1AF" w14:textId="77777777" w:rsidR="00D8645B" w:rsidRDefault="00D8645B" w:rsidP="00664D46">
            <w:pPr>
              <w:spacing w:line="360" w:lineRule="auto"/>
              <w:jc w:val="center"/>
            </w:pPr>
            <w:r>
              <w:t>30</w:t>
            </w:r>
          </w:p>
        </w:tc>
        <w:tc>
          <w:tcPr>
            <w:tcW w:w="1530" w:type="dxa"/>
            <w:vAlign w:val="center"/>
          </w:tcPr>
          <w:p w14:paraId="29E12B2C" w14:textId="77777777" w:rsidR="00D8645B" w:rsidRDefault="00D8645B" w:rsidP="00664D46">
            <w:pPr>
              <w:spacing w:line="360" w:lineRule="auto"/>
              <w:jc w:val="center"/>
            </w:pPr>
            <w:r>
              <w:t>-10</w:t>
            </w:r>
          </w:p>
        </w:tc>
        <w:tc>
          <w:tcPr>
            <w:tcW w:w="1260" w:type="dxa"/>
            <w:vAlign w:val="center"/>
          </w:tcPr>
          <w:p w14:paraId="3E41ED3C" w14:textId="77777777" w:rsidR="00D8645B" w:rsidRDefault="00D8645B" w:rsidP="00664D46">
            <w:pPr>
              <w:spacing w:line="360" w:lineRule="auto"/>
              <w:jc w:val="center"/>
            </w:pPr>
            <w:r>
              <w:t>10</w:t>
            </w:r>
          </w:p>
        </w:tc>
        <w:tc>
          <w:tcPr>
            <w:tcW w:w="1890" w:type="dxa"/>
            <w:vAlign w:val="center"/>
          </w:tcPr>
          <w:p w14:paraId="0236DDC2" w14:textId="77777777" w:rsidR="00D8645B" w:rsidRDefault="00D8645B" w:rsidP="00664D46">
            <w:pPr>
              <w:spacing w:line="360" w:lineRule="auto"/>
              <w:jc w:val="center"/>
            </w:pPr>
            <w:r>
              <w:t>-20</w:t>
            </w:r>
          </w:p>
        </w:tc>
      </w:tr>
      <w:tr w:rsidR="00D8645B" w14:paraId="78A8456F" w14:textId="77777777" w:rsidTr="00664D46">
        <w:tc>
          <w:tcPr>
            <w:tcW w:w="2965" w:type="dxa"/>
            <w:vAlign w:val="center"/>
          </w:tcPr>
          <w:p w14:paraId="4DEC9769" w14:textId="77777777" w:rsidR="00D8645B" w:rsidRDefault="00D8645B" w:rsidP="00664D46">
            <w:pPr>
              <w:spacing w:line="360" w:lineRule="auto"/>
              <w:jc w:val="center"/>
            </w:pPr>
            <w:r>
              <w:t>VIX</w:t>
            </w:r>
          </w:p>
        </w:tc>
        <w:tc>
          <w:tcPr>
            <w:tcW w:w="1710" w:type="dxa"/>
            <w:vAlign w:val="center"/>
          </w:tcPr>
          <w:p w14:paraId="08796AB1" w14:textId="77777777" w:rsidR="00D8645B" w:rsidRDefault="00D8645B" w:rsidP="00664D46">
            <w:pPr>
              <w:spacing w:line="360" w:lineRule="auto"/>
              <w:jc w:val="center"/>
            </w:pPr>
            <w:r>
              <w:t>37.9</w:t>
            </w:r>
          </w:p>
        </w:tc>
        <w:tc>
          <w:tcPr>
            <w:tcW w:w="1530" w:type="dxa"/>
            <w:vAlign w:val="center"/>
          </w:tcPr>
          <w:p w14:paraId="34FED015" w14:textId="77777777" w:rsidR="00D8645B" w:rsidRDefault="00D8645B" w:rsidP="00664D46">
            <w:pPr>
              <w:spacing w:line="360" w:lineRule="auto"/>
              <w:jc w:val="center"/>
            </w:pPr>
            <w:r>
              <w:t>42.6</w:t>
            </w:r>
          </w:p>
        </w:tc>
        <w:tc>
          <w:tcPr>
            <w:tcW w:w="1260" w:type="dxa"/>
            <w:vAlign w:val="center"/>
          </w:tcPr>
          <w:p w14:paraId="2E818FEB" w14:textId="77777777" w:rsidR="00D8645B" w:rsidRDefault="00D8645B" w:rsidP="00664D46">
            <w:pPr>
              <w:spacing w:line="360" w:lineRule="auto"/>
              <w:jc w:val="center"/>
            </w:pPr>
            <w:r>
              <w:t>67.5</w:t>
            </w:r>
          </w:p>
        </w:tc>
        <w:tc>
          <w:tcPr>
            <w:tcW w:w="1890" w:type="dxa"/>
            <w:vAlign w:val="center"/>
          </w:tcPr>
          <w:p w14:paraId="3B7AFF7E" w14:textId="77777777" w:rsidR="00D8645B" w:rsidRDefault="00D8645B" w:rsidP="00664D46">
            <w:pPr>
              <w:spacing w:line="360" w:lineRule="auto"/>
              <w:jc w:val="center"/>
            </w:pPr>
            <w:r>
              <w:t>75.6</w:t>
            </w:r>
          </w:p>
        </w:tc>
      </w:tr>
      <w:tr w:rsidR="00D8645B" w14:paraId="06BA506C" w14:textId="77777777" w:rsidTr="00664D46">
        <w:tc>
          <w:tcPr>
            <w:tcW w:w="2965" w:type="dxa"/>
            <w:vAlign w:val="center"/>
          </w:tcPr>
          <w:p w14:paraId="6A7CAA29" w14:textId="77777777" w:rsidR="00D8645B" w:rsidRDefault="00D8645B" w:rsidP="00664D46">
            <w:pPr>
              <w:spacing w:line="360" w:lineRule="auto"/>
              <w:jc w:val="center"/>
            </w:pPr>
            <w:r>
              <w:t>Implied Volatilities – Other</w:t>
            </w:r>
          </w:p>
        </w:tc>
        <w:tc>
          <w:tcPr>
            <w:tcW w:w="1710" w:type="dxa"/>
            <w:vAlign w:val="center"/>
          </w:tcPr>
          <w:p w14:paraId="4B98C408" w14:textId="77777777" w:rsidR="00D8645B" w:rsidRDefault="00D8645B" w:rsidP="00664D46">
            <w:pPr>
              <w:spacing w:line="360" w:lineRule="auto"/>
              <w:jc w:val="center"/>
            </w:pPr>
            <w:r>
              <w:t>21.5</w:t>
            </w:r>
          </w:p>
        </w:tc>
        <w:tc>
          <w:tcPr>
            <w:tcW w:w="1530" w:type="dxa"/>
            <w:vAlign w:val="center"/>
          </w:tcPr>
          <w:p w14:paraId="3EA53847" w14:textId="77777777" w:rsidR="00D8645B" w:rsidRDefault="00D8645B" w:rsidP="00664D46">
            <w:pPr>
              <w:spacing w:line="360" w:lineRule="auto"/>
              <w:jc w:val="center"/>
            </w:pPr>
            <w:r>
              <w:t>16.0</w:t>
            </w:r>
          </w:p>
        </w:tc>
        <w:tc>
          <w:tcPr>
            <w:tcW w:w="1260" w:type="dxa"/>
            <w:vAlign w:val="center"/>
          </w:tcPr>
          <w:p w14:paraId="636CDFAC" w14:textId="77777777" w:rsidR="00D8645B" w:rsidRDefault="00D8645B" w:rsidP="00664D46">
            <w:pPr>
              <w:spacing w:line="360" w:lineRule="auto"/>
              <w:jc w:val="center"/>
            </w:pPr>
            <w:r>
              <w:t>30.0</w:t>
            </w:r>
          </w:p>
        </w:tc>
        <w:tc>
          <w:tcPr>
            <w:tcW w:w="1890" w:type="dxa"/>
            <w:vAlign w:val="center"/>
          </w:tcPr>
          <w:p w14:paraId="62CDA831" w14:textId="77777777" w:rsidR="00D8645B" w:rsidRDefault="00D8645B" w:rsidP="00664D46">
            <w:pPr>
              <w:spacing w:line="360" w:lineRule="auto"/>
              <w:jc w:val="center"/>
            </w:pPr>
            <w:r>
              <w:t>33.5</w:t>
            </w:r>
          </w:p>
        </w:tc>
      </w:tr>
      <w:tr w:rsidR="00D8645B" w14:paraId="6DB01837" w14:textId="77777777" w:rsidTr="00664D46">
        <w:tc>
          <w:tcPr>
            <w:tcW w:w="2965" w:type="dxa"/>
            <w:vAlign w:val="center"/>
          </w:tcPr>
          <w:p w14:paraId="34ABF2F0" w14:textId="77777777" w:rsidR="00D8645B" w:rsidRDefault="00D8645B" w:rsidP="00664D46">
            <w:pPr>
              <w:spacing w:line="360" w:lineRule="auto"/>
              <w:jc w:val="center"/>
            </w:pPr>
            <w:r>
              <w:t>Wholesale LGD</w:t>
            </w:r>
          </w:p>
        </w:tc>
        <w:tc>
          <w:tcPr>
            <w:tcW w:w="1710" w:type="dxa"/>
            <w:vAlign w:val="center"/>
          </w:tcPr>
          <w:p w14:paraId="4393A167" w14:textId="77777777" w:rsidR="00D8645B" w:rsidRDefault="00D8645B" w:rsidP="00664D46">
            <w:pPr>
              <w:spacing w:line="360" w:lineRule="auto"/>
              <w:jc w:val="center"/>
            </w:pPr>
            <w:r>
              <w:t>35</w:t>
            </w:r>
          </w:p>
        </w:tc>
        <w:tc>
          <w:tcPr>
            <w:tcW w:w="1530" w:type="dxa"/>
            <w:vAlign w:val="center"/>
          </w:tcPr>
          <w:p w14:paraId="11A3B973" w14:textId="77777777" w:rsidR="00D8645B" w:rsidRDefault="00D8645B" w:rsidP="00664D46">
            <w:pPr>
              <w:spacing w:line="360" w:lineRule="auto"/>
              <w:jc w:val="center"/>
            </w:pPr>
            <w:r>
              <w:t>35</w:t>
            </w:r>
          </w:p>
        </w:tc>
        <w:tc>
          <w:tcPr>
            <w:tcW w:w="1260" w:type="dxa"/>
            <w:vAlign w:val="center"/>
          </w:tcPr>
          <w:p w14:paraId="510E19C3" w14:textId="77777777" w:rsidR="00D8645B" w:rsidRDefault="00D8645B" w:rsidP="00664D46">
            <w:pPr>
              <w:spacing w:line="360" w:lineRule="auto"/>
              <w:jc w:val="center"/>
            </w:pPr>
            <w:r>
              <w:t>50</w:t>
            </w:r>
          </w:p>
        </w:tc>
        <w:tc>
          <w:tcPr>
            <w:tcW w:w="1890" w:type="dxa"/>
            <w:vAlign w:val="center"/>
          </w:tcPr>
          <w:p w14:paraId="24FF3565" w14:textId="77777777" w:rsidR="00D8645B" w:rsidRDefault="00D8645B" w:rsidP="00664D46">
            <w:pPr>
              <w:spacing w:line="360" w:lineRule="auto"/>
              <w:jc w:val="center"/>
            </w:pPr>
            <w:r>
              <w:t>50</w:t>
            </w:r>
          </w:p>
        </w:tc>
      </w:tr>
      <w:tr w:rsidR="00D8645B" w14:paraId="7D51BD9B" w14:textId="77777777" w:rsidTr="00664D46">
        <w:tc>
          <w:tcPr>
            <w:tcW w:w="2965" w:type="dxa"/>
            <w:vAlign w:val="center"/>
          </w:tcPr>
          <w:p w14:paraId="179DDC7C" w14:textId="77777777" w:rsidR="00D8645B" w:rsidRDefault="00D8645B" w:rsidP="00664D46">
            <w:pPr>
              <w:spacing w:line="360" w:lineRule="auto"/>
              <w:jc w:val="center"/>
            </w:pPr>
            <w:r>
              <w:t>Likelihood</w:t>
            </w:r>
          </w:p>
        </w:tc>
        <w:tc>
          <w:tcPr>
            <w:tcW w:w="1710" w:type="dxa"/>
            <w:vAlign w:val="center"/>
          </w:tcPr>
          <w:p w14:paraId="1E20471B" w14:textId="77777777" w:rsidR="00D8645B" w:rsidRDefault="00D8645B" w:rsidP="00664D46">
            <w:pPr>
              <w:spacing w:line="360" w:lineRule="auto"/>
              <w:jc w:val="center"/>
            </w:pPr>
            <w:r>
              <w:t>1-in-50</w:t>
            </w:r>
          </w:p>
        </w:tc>
        <w:tc>
          <w:tcPr>
            <w:tcW w:w="1530" w:type="dxa"/>
            <w:vAlign w:val="center"/>
          </w:tcPr>
          <w:p w14:paraId="5754AA47" w14:textId="77777777" w:rsidR="00D8645B" w:rsidRDefault="00D8645B" w:rsidP="00664D46">
            <w:pPr>
              <w:spacing w:line="360" w:lineRule="auto"/>
              <w:jc w:val="center"/>
            </w:pPr>
            <w:r>
              <w:t>1-in-50</w:t>
            </w:r>
          </w:p>
        </w:tc>
        <w:tc>
          <w:tcPr>
            <w:tcW w:w="1260" w:type="dxa"/>
            <w:vAlign w:val="center"/>
          </w:tcPr>
          <w:p w14:paraId="66154CF8" w14:textId="77777777" w:rsidR="00D8645B" w:rsidRDefault="00D8645B" w:rsidP="00664D46">
            <w:pPr>
              <w:spacing w:line="360" w:lineRule="auto"/>
              <w:jc w:val="center"/>
            </w:pPr>
            <w:r>
              <w:t>1-in-50</w:t>
            </w:r>
          </w:p>
        </w:tc>
        <w:tc>
          <w:tcPr>
            <w:tcW w:w="1890" w:type="dxa"/>
            <w:vAlign w:val="center"/>
          </w:tcPr>
          <w:p w14:paraId="5A36A481" w14:textId="77777777" w:rsidR="00D8645B" w:rsidRDefault="00D8645B" w:rsidP="00664D46">
            <w:pPr>
              <w:spacing w:line="360" w:lineRule="auto"/>
              <w:jc w:val="center"/>
            </w:pPr>
            <w:r>
              <w:t>1-in-50</w:t>
            </w:r>
          </w:p>
        </w:tc>
      </w:tr>
    </w:tbl>
    <w:p w14:paraId="43E3CDDB" w14:textId="77777777" w:rsidR="00D8645B" w:rsidRPr="00B02658" w:rsidRDefault="00D8645B" w:rsidP="00D8645B">
      <w:pPr>
        <w:spacing w:line="360" w:lineRule="auto"/>
      </w:pPr>
    </w:p>
    <w:p w14:paraId="155D2FCA" w14:textId="77777777" w:rsidR="00D8645B" w:rsidRDefault="00D8645B" w:rsidP="0060309E">
      <w:pPr>
        <w:pStyle w:val="ListParagraph"/>
        <w:numPr>
          <w:ilvl w:val="0"/>
          <w:numId w:val="57"/>
        </w:numPr>
        <w:spacing w:after="160" w:line="360" w:lineRule="auto"/>
      </w:pPr>
      <w:r>
        <w:rPr>
          <w:u w:val="single"/>
        </w:rPr>
        <w:t>Capital Baseline Scenarios</w:t>
      </w:r>
      <w:r w:rsidRPr="00B02658">
        <w:t>:</w:t>
      </w:r>
    </w:p>
    <w:tbl>
      <w:tblPr>
        <w:tblStyle w:val="TableGrid"/>
        <w:tblW w:w="9355" w:type="dxa"/>
        <w:tblLook w:val="04A0" w:firstRow="1" w:lastRow="0" w:firstColumn="1" w:lastColumn="0" w:noHBand="0" w:noVBand="1"/>
      </w:tblPr>
      <w:tblGrid>
        <w:gridCol w:w="2965"/>
        <w:gridCol w:w="1710"/>
        <w:gridCol w:w="1530"/>
        <w:gridCol w:w="1260"/>
        <w:gridCol w:w="1890"/>
      </w:tblGrid>
      <w:tr w:rsidR="00D8645B" w14:paraId="4A43F00F" w14:textId="77777777" w:rsidTr="00664D46">
        <w:tc>
          <w:tcPr>
            <w:tcW w:w="2965" w:type="dxa"/>
            <w:vMerge w:val="restart"/>
            <w:vAlign w:val="center"/>
          </w:tcPr>
          <w:p w14:paraId="32FF1B12" w14:textId="77777777" w:rsidR="00D8645B" w:rsidRPr="00B02658" w:rsidRDefault="00D8645B" w:rsidP="00664D46">
            <w:pPr>
              <w:spacing w:line="360" w:lineRule="auto"/>
              <w:jc w:val="center"/>
              <w:rPr>
                <w:b/>
              </w:rPr>
            </w:pPr>
            <w:r>
              <w:rPr>
                <w:b/>
              </w:rPr>
              <w:t>Variable/Market Factor</w:t>
            </w:r>
          </w:p>
        </w:tc>
        <w:tc>
          <w:tcPr>
            <w:tcW w:w="3240" w:type="dxa"/>
            <w:gridSpan w:val="2"/>
            <w:vAlign w:val="center"/>
          </w:tcPr>
          <w:p w14:paraId="7FBE4E56" w14:textId="77777777" w:rsidR="00D8645B" w:rsidRPr="00B02658" w:rsidRDefault="00D8645B" w:rsidP="00664D46">
            <w:pPr>
              <w:spacing w:line="360" w:lineRule="auto"/>
              <w:jc w:val="center"/>
              <w:rPr>
                <w:b/>
              </w:rPr>
            </w:pPr>
            <w:r>
              <w:rPr>
                <w:b/>
              </w:rPr>
              <w:t>Historical Scenarios</w:t>
            </w:r>
          </w:p>
        </w:tc>
        <w:tc>
          <w:tcPr>
            <w:tcW w:w="3150" w:type="dxa"/>
            <w:gridSpan w:val="2"/>
            <w:vAlign w:val="center"/>
          </w:tcPr>
          <w:p w14:paraId="42D0406A" w14:textId="77777777" w:rsidR="00D8645B" w:rsidRPr="00B02658" w:rsidRDefault="00D8645B" w:rsidP="00664D46">
            <w:pPr>
              <w:spacing w:line="360" w:lineRule="auto"/>
              <w:jc w:val="center"/>
              <w:rPr>
                <w:b/>
              </w:rPr>
            </w:pPr>
            <w:r>
              <w:rPr>
                <w:b/>
              </w:rPr>
              <w:t>Baseline Scenarios</w:t>
            </w:r>
          </w:p>
        </w:tc>
      </w:tr>
      <w:tr w:rsidR="00D8645B" w14:paraId="5673C38D" w14:textId="77777777" w:rsidTr="00664D46">
        <w:tc>
          <w:tcPr>
            <w:tcW w:w="2965" w:type="dxa"/>
            <w:vMerge/>
            <w:vAlign w:val="center"/>
          </w:tcPr>
          <w:p w14:paraId="2B5D4937" w14:textId="77777777" w:rsidR="00D8645B" w:rsidRPr="00B02658" w:rsidRDefault="00D8645B" w:rsidP="00664D46">
            <w:pPr>
              <w:spacing w:line="360" w:lineRule="auto"/>
              <w:jc w:val="center"/>
              <w:rPr>
                <w:b/>
              </w:rPr>
            </w:pPr>
          </w:p>
        </w:tc>
        <w:tc>
          <w:tcPr>
            <w:tcW w:w="1710" w:type="dxa"/>
            <w:vAlign w:val="center"/>
          </w:tcPr>
          <w:p w14:paraId="34CE8DAF" w14:textId="77777777" w:rsidR="00D8645B" w:rsidRPr="00B02658" w:rsidRDefault="00D8645B" w:rsidP="00664D46">
            <w:pPr>
              <w:spacing w:line="360" w:lineRule="auto"/>
              <w:jc w:val="center"/>
              <w:rPr>
                <w:b/>
              </w:rPr>
            </w:pPr>
            <w:r>
              <w:rPr>
                <w:b/>
              </w:rPr>
              <w:t>1974</w:t>
            </w:r>
          </w:p>
        </w:tc>
        <w:tc>
          <w:tcPr>
            <w:tcW w:w="1530" w:type="dxa"/>
            <w:vAlign w:val="center"/>
          </w:tcPr>
          <w:p w14:paraId="731E5015" w14:textId="77777777" w:rsidR="00D8645B" w:rsidRPr="00B02658" w:rsidRDefault="00D8645B" w:rsidP="00664D46">
            <w:pPr>
              <w:spacing w:line="360" w:lineRule="auto"/>
              <w:jc w:val="center"/>
              <w:rPr>
                <w:b/>
              </w:rPr>
            </w:pPr>
            <w:r>
              <w:rPr>
                <w:b/>
              </w:rPr>
              <w:t>2008</w:t>
            </w:r>
          </w:p>
        </w:tc>
        <w:tc>
          <w:tcPr>
            <w:tcW w:w="1260" w:type="dxa"/>
            <w:vAlign w:val="center"/>
          </w:tcPr>
          <w:p w14:paraId="6CF329D7" w14:textId="77777777" w:rsidR="00D8645B" w:rsidRPr="00B02658" w:rsidRDefault="00D8645B" w:rsidP="00664D46">
            <w:pPr>
              <w:spacing w:line="360" w:lineRule="auto"/>
              <w:jc w:val="center"/>
              <w:rPr>
                <w:b/>
              </w:rPr>
            </w:pPr>
            <w:r>
              <w:rPr>
                <w:b/>
              </w:rPr>
              <w:t>1974</w:t>
            </w:r>
          </w:p>
        </w:tc>
        <w:tc>
          <w:tcPr>
            <w:tcW w:w="1890" w:type="dxa"/>
            <w:vAlign w:val="center"/>
          </w:tcPr>
          <w:p w14:paraId="479912D1" w14:textId="77777777" w:rsidR="00D8645B" w:rsidRPr="00B02658" w:rsidRDefault="00D8645B" w:rsidP="00664D46">
            <w:pPr>
              <w:spacing w:line="360" w:lineRule="auto"/>
              <w:jc w:val="center"/>
              <w:rPr>
                <w:b/>
              </w:rPr>
            </w:pPr>
            <w:r>
              <w:rPr>
                <w:b/>
              </w:rPr>
              <w:t>2008</w:t>
            </w:r>
          </w:p>
        </w:tc>
      </w:tr>
      <w:tr w:rsidR="00D8645B" w14:paraId="368D24CF" w14:textId="77777777" w:rsidTr="00664D46">
        <w:tc>
          <w:tcPr>
            <w:tcW w:w="2965" w:type="dxa"/>
            <w:vAlign w:val="center"/>
          </w:tcPr>
          <w:p w14:paraId="3221DA15" w14:textId="77777777" w:rsidR="00D8645B" w:rsidRDefault="00D8645B" w:rsidP="00664D46">
            <w:pPr>
              <w:spacing w:line="360" w:lineRule="auto"/>
              <w:jc w:val="center"/>
            </w:pPr>
            <w:r>
              <w:t>GDP</w:t>
            </w:r>
          </w:p>
        </w:tc>
        <w:tc>
          <w:tcPr>
            <w:tcW w:w="1710" w:type="dxa"/>
            <w:vAlign w:val="center"/>
          </w:tcPr>
          <w:p w14:paraId="57B813A5" w14:textId="77777777" w:rsidR="00D8645B" w:rsidRDefault="00D8645B" w:rsidP="00664D46">
            <w:pPr>
              <w:spacing w:line="360" w:lineRule="auto"/>
              <w:jc w:val="center"/>
            </w:pPr>
            <w:r>
              <w:t>-2.3</w:t>
            </w:r>
          </w:p>
        </w:tc>
        <w:tc>
          <w:tcPr>
            <w:tcW w:w="1530" w:type="dxa"/>
            <w:vAlign w:val="center"/>
          </w:tcPr>
          <w:p w14:paraId="4BD68DBD" w14:textId="77777777" w:rsidR="00D8645B" w:rsidRDefault="00D8645B" w:rsidP="00664D46">
            <w:pPr>
              <w:spacing w:line="360" w:lineRule="auto"/>
              <w:jc w:val="center"/>
            </w:pPr>
            <w:r>
              <w:t>-5.0</w:t>
            </w:r>
          </w:p>
        </w:tc>
        <w:tc>
          <w:tcPr>
            <w:tcW w:w="1260" w:type="dxa"/>
            <w:vAlign w:val="center"/>
          </w:tcPr>
          <w:p w14:paraId="01085B9D" w14:textId="77777777" w:rsidR="00D8645B" w:rsidRDefault="00D8645B" w:rsidP="00664D46">
            <w:pPr>
              <w:spacing w:line="360" w:lineRule="auto"/>
              <w:jc w:val="center"/>
            </w:pPr>
            <w:r>
              <w:t>N/A</w:t>
            </w:r>
          </w:p>
        </w:tc>
        <w:tc>
          <w:tcPr>
            <w:tcW w:w="1890" w:type="dxa"/>
            <w:vAlign w:val="center"/>
          </w:tcPr>
          <w:p w14:paraId="38AF423E" w14:textId="77777777" w:rsidR="00D8645B" w:rsidRDefault="00D8645B" w:rsidP="00664D46">
            <w:pPr>
              <w:spacing w:line="360" w:lineRule="auto"/>
              <w:jc w:val="center"/>
            </w:pPr>
            <w:r>
              <w:t>N/A</w:t>
            </w:r>
          </w:p>
        </w:tc>
      </w:tr>
      <w:tr w:rsidR="00D8645B" w14:paraId="28AE194C" w14:textId="77777777" w:rsidTr="00664D46">
        <w:tc>
          <w:tcPr>
            <w:tcW w:w="2965" w:type="dxa"/>
            <w:vAlign w:val="center"/>
          </w:tcPr>
          <w:p w14:paraId="5FC9E7CC" w14:textId="77777777" w:rsidR="00D8645B" w:rsidRDefault="00D8645B" w:rsidP="00664D46">
            <w:pPr>
              <w:spacing w:line="360" w:lineRule="auto"/>
              <w:jc w:val="center"/>
            </w:pPr>
            <w:r>
              <w:t>Unemployment</w:t>
            </w:r>
          </w:p>
        </w:tc>
        <w:tc>
          <w:tcPr>
            <w:tcW w:w="1710" w:type="dxa"/>
            <w:vAlign w:val="center"/>
          </w:tcPr>
          <w:p w14:paraId="5FCE6BB4" w14:textId="77777777" w:rsidR="00D8645B" w:rsidRDefault="00D8645B" w:rsidP="00664D46">
            <w:pPr>
              <w:spacing w:line="360" w:lineRule="auto"/>
              <w:jc w:val="center"/>
            </w:pPr>
            <w:r>
              <w:t>3.7</w:t>
            </w:r>
          </w:p>
        </w:tc>
        <w:tc>
          <w:tcPr>
            <w:tcW w:w="1530" w:type="dxa"/>
            <w:vAlign w:val="center"/>
          </w:tcPr>
          <w:p w14:paraId="0D06B621" w14:textId="77777777" w:rsidR="00D8645B" w:rsidRDefault="00D8645B" w:rsidP="00664D46">
            <w:pPr>
              <w:spacing w:line="360" w:lineRule="auto"/>
              <w:jc w:val="center"/>
            </w:pPr>
            <w:r>
              <w:t>4.0</w:t>
            </w:r>
          </w:p>
        </w:tc>
        <w:tc>
          <w:tcPr>
            <w:tcW w:w="1260" w:type="dxa"/>
            <w:vAlign w:val="center"/>
          </w:tcPr>
          <w:p w14:paraId="5585CC61" w14:textId="77777777" w:rsidR="00D8645B" w:rsidRDefault="00D8645B" w:rsidP="00664D46">
            <w:pPr>
              <w:spacing w:line="360" w:lineRule="auto"/>
              <w:jc w:val="center"/>
            </w:pPr>
            <w:r>
              <w:t>N/A</w:t>
            </w:r>
          </w:p>
        </w:tc>
        <w:tc>
          <w:tcPr>
            <w:tcW w:w="1890" w:type="dxa"/>
            <w:vAlign w:val="center"/>
          </w:tcPr>
          <w:p w14:paraId="08FE8E84" w14:textId="77777777" w:rsidR="00D8645B" w:rsidRDefault="00D8645B" w:rsidP="00664D46">
            <w:pPr>
              <w:spacing w:line="360" w:lineRule="auto"/>
              <w:jc w:val="center"/>
            </w:pPr>
            <w:r>
              <w:t>N/A</w:t>
            </w:r>
          </w:p>
        </w:tc>
      </w:tr>
      <w:tr w:rsidR="00D8645B" w14:paraId="44A4EC35" w14:textId="77777777" w:rsidTr="00664D46">
        <w:tc>
          <w:tcPr>
            <w:tcW w:w="2965" w:type="dxa"/>
            <w:vAlign w:val="center"/>
          </w:tcPr>
          <w:p w14:paraId="3A0D4D0E" w14:textId="77777777" w:rsidR="00D8645B" w:rsidRDefault="00D8645B" w:rsidP="00664D46">
            <w:pPr>
              <w:spacing w:line="360" w:lineRule="auto"/>
              <w:jc w:val="center"/>
            </w:pPr>
            <w:r>
              <w:t>House Prices</w:t>
            </w:r>
          </w:p>
        </w:tc>
        <w:tc>
          <w:tcPr>
            <w:tcW w:w="1710" w:type="dxa"/>
            <w:vAlign w:val="center"/>
          </w:tcPr>
          <w:p w14:paraId="2B51E0C3" w14:textId="77777777" w:rsidR="00D8645B" w:rsidRDefault="00D8645B" w:rsidP="00664D46">
            <w:pPr>
              <w:spacing w:line="360" w:lineRule="auto"/>
              <w:jc w:val="center"/>
            </w:pPr>
            <w:r>
              <w:t>-5.0</w:t>
            </w:r>
          </w:p>
        </w:tc>
        <w:tc>
          <w:tcPr>
            <w:tcW w:w="1530" w:type="dxa"/>
            <w:vAlign w:val="center"/>
          </w:tcPr>
          <w:p w14:paraId="7F286809" w14:textId="77777777" w:rsidR="00D8645B" w:rsidRDefault="00D8645B" w:rsidP="00664D46">
            <w:pPr>
              <w:spacing w:line="360" w:lineRule="auto"/>
              <w:jc w:val="center"/>
            </w:pPr>
            <w:r>
              <w:t>-20.0</w:t>
            </w:r>
          </w:p>
        </w:tc>
        <w:tc>
          <w:tcPr>
            <w:tcW w:w="1260" w:type="dxa"/>
            <w:vAlign w:val="center"/>
          </w:tcPr>
          <w:p w14:paraId="4C2C213F" w14:textId="77777777" w:rsidR="00D8645B" w:rsidRDefault="00D8645B" w:rsidP="00664D46">
            <w:pPr>
              <w:spacing w:line="360" w:lineRule="auto"/>
              <w:jc w:val="center"/>
            </w:pPr>
            <w:r>
              <w:t>N/A</w:t>
            </w:r>
          </w:p>
        </w:tc>
        <w:tc>
          <w:tcPr>
            <w:tcW w:w="1890" w:type="dxa"/>
            <w:vAlign w:val="center"/>
          </w:tcPr>
          <w:p w14:paraId="54045104" w14:textId="77777777" w:rsidR="00D8645B" w:rsidRDefault="00D8645B" w:rsidP="00664D46">
            <w:pPr>
              <w:spacing w:line="360" w:lineRule="auto"/>
              <w:jc w:val="center"/>
            </w:pPr>
            <w:r>
              <w:t>N/A</w:t>
            </w:r>
          </w:p>
        </w:tc>
      </w:tr>
      <w:tr w:rsidR="00D8645B" w14:paraId="3EFBF468" w14:textId="77777777" w:rsidTr="00664D46">
        <w:tc>
          <w:tcPr>
            <w:tcW w:w="2965" w:type="dxa"/>
            <w:vAlign w:val="center"/>
          </w:tcPr>
          <w:p w14:paraId="06067A5C" w14:textId="77777777" w:rsidR="00D8645B" w:rsidRDefault="00D8645B" w:rsidP="00664D46">
            <w:pPr>
              <w:spacing w:line="360" w:lineRule="auto"/>
              <w:jc w:val="center"/>
            </w:pPr>
            <w:r>
              <w:t>IR Level</w:t>
            </w:r>
          </w:p>
        </w:tc>
        <w:tc>
          <w:tcPr>
            <w:tcW w:w="1710" w:type="dxa"/>
            <w:vAlign w:val="center"/>
          </w:tcPr>
          <w:p w14:paraId="4190CB60" w14:textId="77777777" w:rsidR="00D8645B" w:rsidRDefault="00D8645B" w:rsidP="00664D46">
            <w:pPr>
              <w:spacing w:line="360" w:lineRule="auto"/>
              <w:jc w:val="center"/>
            </w:pPr>
            <w:r>
              <w:t>183</w:t>
            </w:r>
          </w:p>
          <w:p w14:paraId="6AD7054D" w14:textId="77777777" w:rsidR="00D8645B" w:rsidRDefault="00D8645B" w:rsidP="00664D46">
            <w:pPr>
              <w:spacing w:line="360" w:lineRule="auto"/>
              <w:jc w:val="center"/>
            </w:pPr>
            <w:r>
              <w:t>112</w:t>
            </w:r>
          </w:p>
        </w:tc>
        <w:tc>
          <w:tcPr>
            <w:tcW w:w="1530" w:type="dxa"/>
            <w:vAlign w:val="center"/>
          </w:tcPr>
          <w:p w14:paraId="55F35C99" w14:textId="77777777" w:rsidR="00D8645B" w:rsidRDefault="00D8645B" w:rsidP="00664D46">
            <w:pPr>
              <w:spacing w:line="360" w:lineRule="auto"/>
              <w:jc w:val="center"/>
            </w:pPr>
            <w:r>
              <w:t>-200</w:t>
            </w:r>
          </w:p>
          <w:p w14:paraId="74343CB6" w14:textId="77777777" w:rsidR="00D8645B" w:rsidRDefault="00D8645B" w:rsidP="00664D46">
            <w:pPr>
              <w:spacing w:line="360" w:lineRule="auto"/>
              <w:jc w:val="center"/>
            </w:pPr>
            <w:r>
              <w:t>200</w:t>
            </w:r>
          </w:p>
        </w:tc>
        <w:tc>
          <w:tcPr>
            <w:tcW w:w="1260" w:type="dxa"/>
            <w:vAlign w:val="center"/>
          </w:tcPr>
          <w:p w14:paraId="1309F7DF" w14:textId="77777777" w:rsidR="00D8645B" w:rsidRDefault="00D8645B" w:rsidP="00664D46">
            <w:pPr>
              <w:spacing w:line="360" w:lineRule="auto"/>
              <w:jc w:val="center"/>
            </w:pPr>
            <w:r>
              <w:t>150</w:t>
            </w:r>
          </w:p>
          <w:p w14:paraId="0076F344" w14:textId="77777777" w:rsidR="00D8645B" w:rsidRDefault="00D8645B" w:rsidP="00664D46">
            <w:pPr>
              <w:spacing w:line="360" w:lineRule="auto"/>
              <w:jc w:val="center"/>
            </w:pPr>
            <w:r>
              <w:t>112</w:t>
            </w:r>
          </w:p>
        </w:tc>
        <w:tc>
          <w:tcPr>
            <w:tcW w:w="1890" w:type="dxa"/>
            <w:vAlign w:val="center"/>
          </w:tcPr>
          <w:p w14:paraId="6E5F3597" w14:textId="77777777" w:rsidR="00D8645B" w:rsidRDefault="00D8645B" w:rsidP="00664D46">
            <w:pPr>
              <w:spacing w:line="360" w:lineRule="auto"/>
              <w:jc w:val="center"/>
            </w:pPr>
            <w:r>
              <w:t>-100</w:t>
            </w:r>
          </w:p>
          <w:p w14:paraId="5597E368" w14:textId="77777777" w:rsidR="00D8645B" w:rsidRDefault="00D8645B" w:rsidP="00664D46">
            <w:pPr>
              <w:spacing w:line="360" w:lineRule="auto"/>
              <w:jc w:val="center"/>
            </w:pPr>
            <w:r>
              <w:t>200</w:t>
            </w:r>
          </w:p>
        </w:tc>
      </w:tr>
      <w:tr w:rsidR="00D8645B" w14:paraId="1230A80E" w14:textId="77777777" w:rsidTr="00664D46">
        <w:tc>
          <w:tcPr>
            <w:tcW w:w="2965" w:type="dxa"/>
            <w:vAlign w:val="center"/>
          </w:tcPr>
          <w:p w14:paraId="62DC1BA3" w14:textId="77777777" w:rsidR="00D8645B" w:rsidRDefault="00D8645B" w:rsidP="00664D46">
            <w:pPr>
              <w:spacing w:line="360" w:lineRule="auto"/>
              <w:jc w:val="center"/>
            </w:pPr>
            <w:r>
              <w:t>IR Slope</w:t>
            </w:r>
          </w:p>
        </w:tc>
        <w:tc>
          <w:tcPr>
            <w:tcW w:w="1710" w:type="dxa"/>
            <w:vAlign w:val="center"/>
          </w:tcPr>
          <w:p w14:paraId="311D1E99" w14:textId="77777777" w:rsidR="00D8645B" w:rsidRDefault="00D8645B" w:rsidP="00664D46">
            <w:pPr>
              <w:spacing w:line="360" w:lineRule="auto"/>
              <w:jc w:val="center"/>
            </w:pPr>
            <w:r>
              <w:t>-53</w:t>
            </w:r>
          </w:p>
          <w:p w14:paraId="452B9A04" w14:textId="77777777" w:rsidR="00D8645B" w:rsidRDefault="00D8645B" w:rsidP="00664D46">
            <w:pPr>
              <w:spacing w:line="360" w:lineRule="auto"/>
              <w:jc w:val="center"/>
            </w:pPr>
            <w:r>
              <w:t>-122</w:t>
            </w:r>
          </w:p>
        </w:tc>
        <w:tc>
          <w:tcPr>
            <w:tcW w:w="1530" w:type="dxa"/>
            <w:vAlign w:val="center"/>
          </w:tcPr>
          <w:p w14:paraId="34C05B67" w14:textId="77777777" w:rsidR="00D8645B" w:rsidRDefault="00D8645B" w:rsidP="00664D46">
            <w:pPr>
              <w:spacing w:line="360" w:lineRule="auto"/>
              <w:jc w:val="center"/>
            </w:pPr>
            <w:r>
              <w:t>129</w:t>
            </w:r>
          </w:p>
          <w:p w14:paraId="527F50FD" w14:textId="77777777" w:rsidR="00D8645B" w:rsidRDefault="00D8645B" w:rsidP="00664D46">
            <w:pPr>
              <w:spacing w:line="360" w:lineRule="auto"/>
              <w:jc w:val="center"/>
            </w:pPr>
            <w:r>
              <w:t>-218</w:t>
            </w:r>
          </w:p>
        </w:tc>
        <w:tc>
          <w:tcPr>
            <w:tcW w:w="1260" w:type="dxa"/>
            <w:vAlign w:val="center"/>
          </w:tcPr>
          <w:p w14:paraId="7952DA31" w14:textId="77777777" w:rsidR="00D8645B" w:rsidRDefault="00D8645B" w:rsidP="00664D46">
            <w:pPr>
              <w:spacing w:line="360" w:lineRule="auto"/>
              <w:jc w:val="center"/>
            </w:pPr>
            <w:r>
              <w:t>-100</w:t>
            </w:r>
          </w:p>
          <w:p w14:paraId="7A89734C" w14:textId="77777777" w:rsidR="00D8645B" w:rsidRDefault="00D8645B" w:rsidP="00664D46">
            <w:pPr>
              <w:spacing w:line="360" w:lineRule="auto"/>
              <w:jc w:val="center"/>
            </w:pPr>
            <w:r>
              <w:t>-174</w:t>
            </w:r>
          </w:p>
        </w:tc>
        <w:tc>
          <w:tcPr>
            <w:tcW w:w="1890" w:type="dxa"/>
            <w:vAlign w:val="center"/>
          </w:tcPr>
          <w:p w14:paraId="0619213A" w14:textId="77777777" w:rsidR="00D8645B" w:rsidRDefault="00D8645B" w:rsidP="00664D46">
            <w:pPr>
              <w:spacing w:line="360" w:lineRule="auto"/>
              <w:jc w:val="center"/>
            </w:pPr>
            <w:r>
              <w:t>100</w:t>
            </w:r>
          </w:p>
          <w:p w14:paraId="0D1C4FDE" w14:textId="77777777" w:rsidR="00D8645B" w:rsidRDefault="00D8645B" w:rsidP="00664D46">
            <w:pPr>
              <w:spacing w:line="360" w:lineRule="auto"/>
              <w:jc w:val="center"/>
            </w:pPr>
            <w:r>
              <w:t>-218</w:t>
            </w:r>
          </w:p>
        </w:tc>
      </w:tr>
      <w:tr w:rsidR="00D8645B" w14:paraId="2EEAF81D" w14:textId="77777777" w:rsidTr="00664D46">
        <w:tc>
          <w:tcPr>
            <w:tcW w:w="2965" w:type="dxa"/>
            <w:vAlign w:val="center"/>
          </w:tcPr>
          <w:p w14:paraId="6FABE199" w14:textId="77777777" w:rsidR="00D8645B" w:rsidRDefault="00D8645B" w:rsidP="00664D46">
            <w:pPr>
              <w:spacing w:line="360" w:lineRule="auto"/>
              <w:jc w:val="center"/>
            </w:pPr>
            <w:r>
              <w:t>Credit Spread</w:t>
            </w:r>
          </w:p>
        </w:tc>
        <w:tc>
          <w:tcPr>
            <w:tcW w:w="1710" w:type="dxa"/>
            <w:vAlign w:val="center"/>
          </w:tcPr>
          <w:p w14:paraId="2FFA937C" w14:textId="77777777" w:rsidR="00D8645B" w:rsidRDefault="00D8645B" w:rsidP="00664D46">
            <w:pPr>
              <w:spacing w:line="360" w:lineRule="auto"/>
              <w:jc w:val="center"/>
            </w:pPr>
            <w:r>
              <w:t>56</w:t>
            </w:r>
          </w:p>
        </w:tc>
        <w:tc>
          <w:tcPr>
            <w:tcW w:w="1530" w:type="dxa"/>
            <w:vAlign w:val="center"/>
          </w:tcPr>
          <w:p w14:paraId="3AF8BAEA" w14:textId="77777777" w:rsidR="00D8645B" w:rsidRDefault="00D8645B" w:rsidP="00664D46">
            <w:pPr>
              <w:spacing w:line="360" w:lineRule="auto"/>
              <w:jc w:val="center"/>
            </w:pPr>
            <w:r>
              <w:t>100</w:t>
            </w:r>
          </w:p>
        </w:tc>
        <w:tc>
          <w:tcPr>
            <w:tcW w:w="1260" w:type="dxa"/>
            <w:vAlign w:val="center"/>
          </w:tcPr>
          <w:p w14:paraId="732765B1" w14:textId="77777777" w:rsidR="00D8645B" w:rsidRDefault="00D8645B" w:rsidP="00664D46">
            <w:pPr>
              <w:spacing w:line="360" w:lineRule="auto"/>
              <w:jc w:val="center"/>
            </w:pPr>
            <w:r>
              <w:t>90</w:t>
            </w:r>
          </w:p>
        </w:tc>
        <w:tc>
          <w:tcPr>
            <w:tcW w:w="1890" w:type="dxa"/>
            <w:vAlign w:val="center"/>
          </w:tcPr>
          <w:p w14:paraId="49752A77" w14:textId="77777777" w:rsidR="00D8645B" w:rsidRDefault="00D8645B" w:rsidP="00664D46">
            <w:pPr>
              <w:spacing w:line="360" w:lineRule="auto"/>
              <w:jc w:val="center"/>
            </w:pPr>
            <w:r>
              <w:t>100</w:t>
            </w:r>
          </w:p>
        </w:tc>
      </w:tr>
      <w:tr w:rsidR="00D8645B" w14:paraId="5FEBC394" w14:textId="77777777" w:rsidTr="00664D46">
        <w:tc>
          <w:tcPr>
            <w:tcW w:w="2965" w:type="dxa"/>
            <w:vAlign w:val="center"/>
          </w:tcPr>
          <w:p w14:paraId="073D450F" w14:textId="77777777" w:rsidR="00D8645B" w:rsidRDefault="00D8645B" w:rsidP="00664D46">
            <w:pPr>
              <w:spacing w:line="360" w:lineRule="auto"/>
              <w:jc w:val="center"/>
            </w:pPr>
            <w:r>
              <w:t>Spot FX</w:t>
            </w:r>
          </w:p>
        </w:tc>
        <w:tc>
          <w:tcPr>
            <w:tcW w:w="1710" w:type="dxa"/>
            <w:vAlign w:val="center"/>
          </w:tcPr>
          <w:p w14:paraId="548EFFBA" w14:textId="77777777" w:rsidR="00D8645B" w:rsidRDefault="00D8645B" w:rsidP="00664D46">
            <w:pPr>
              <w:spacing w:line="360" w:lineRule="auto"/>
              <w:jc w:val="center"/>
            </w:pPr>
            <w:r>
              <w:t>-8</w:t>
            </w:r>
          </w:p>
          <w:p w14:paraId="0CF57404" w14:textId="77777777" w:rsidR="00D8645B" w:rsidRDefault="00D8645B" w:rsidP="00664D46">
            <w:pPr>
              <w:spacing w:line="360" w:lineRule="auto"/>
              <w:jc w:val="center"/>
            </w:pPr>
            <w:r>
              <w:lastRenderedPageBreak/>
              <w:t>-8</w:t>
            </w:r>
          </w:p>
        </w:tc>
        <w:tc>
          <w:tcPr>
            <w:tcW w:w="1530" w:type="dxa"/>
            <w:vAlign w:val="center"/>
          </w:tcPr>
          <w:p w14:paraId="3F707114" w14:textId="77777777" w:rsidR="00D8645B" w:rsidRDefault="00D8645B" w:rsidP="00664D46">
            <w:pPr>
              <w:spacing w:line="360" w:lineRule="auto"/>
              <w:jc w:val="center"/>
            </w:pPr>
            <w:r>
              <w:lastRenderedPageBreak/>
              <w:t>8</w:t>
            </w:r>
          </w:p>
          <w:p w14:paraId="57AEEBDF" w14:textId="77777777" w:rsidR="00D8645B" w:rsidRDefault="00D8645B" w:rsidP="00664D46">
            <w:pPr>
              <w:spacing w:line="360" w:lineRule="auto"/>
              <w:jc w:val="center"/>
            </w:pPr>
            <w:r>
              <w:lastRenderedPageBreak/>
              <w:t>24</w:t>
            </w:r>
          </w:p>
        </w:tc>
        <w:tc>
          <w:tcPr>
            <w:tcW w:w="1260" w:type="dxa"/>
            <w:vAlign w:val="center"/>
          </w:tcPr>
          <w:p w14:paraId="6C9BC185" w14:textId="77777777" w:rsidR="00D8645B" w:rsidRDefault="00D8645B" w:rsidP="00664D46">
            <w:pPr>
              <w:spacing w:line="360" w:lineRule="auto"/>
              <w:jc w:val="center"/>
            </w:pPr>
            <w:r>
              <w:lastRenderedPageBreak/>
              <w:t>-8</w:t>
            </w:r>
          </w:p>
          <w:p w14:paraId="2E5C00A8" w14:textId="77777777" w:rsidR="00D8645B" w:rsidRDefault="00D8645B" w:rsidP="00664D46">
            <w:pPr>
              <w:spacing w:line="360" w:lineRule="auto"/>
              <w:jc w:val="center"/>
            </w:pPr>
            <w:r>
              <w:lastRenderedPageBreak/>
              <w:t>-8</w:t>
            </w:r>
          </w:p>
        </w:tc>
        <w:tc>
          <w:tcPr>
            <w:tcW w:w="1890" w:type="dxa"/>
            <w:vAlign w:val="center"/>
          </w:tcPr>
          <w:p w14:paraId="1A91F1E5" w14:textId="77777777" w:rsidR="00D8645B" w:rsidRDefault="00D8645B" w:rsidP="00664D46">
            <w:pPr>
              <w:spacing w:line="360" w:lineRule="auto"/>
              <w:jc w:val="center"/>
            </w:pPr>
            <w:r>
              <w:lastRenderedPageBreak/>
              <w:t>8</w:t>
            </w:r>
          </w:p>
          <w:p w14:paraId="6BF98EE4" w14:textId="77777777" w:rsidR="00D8645B" w:rsidRDefault="00D8645B" w:rsidP="00664D46">
            <w:pPr>
              <w:spacing w:line="360" w:lineRule="auto"/>
              <w:jc w:val="center"/>
            </w:pPr>
            <w:r>
              <w:lastRenderedPageBreak/>
              <w:t>24</w:t>
            </w:r>
          </w:p>
        </w:tc>
      </w:tr>
      <w:tr w:rsidR="00D8645B" w14:paraId="29FDADCE" w14:textId="77777777" w:rsidTr="00664D46">
        <w:tc>
          <w:tcPr>
            <w:tcW w:w="2965" w:type="dxa"/>
            <w:vAlign w:val="center"/>
          </w:tcPr>
          <w:p w14:paraId="72BADD41" w14:textId="77777777" w:rsidR="00D8645B" w:rsidRDefault="00D8645B" w:rsidP="00664D46">
            <w:pPr>
              <w:spacing w:line="360" w:lineRule="auto"/>
              <w:jc w:val="center"/>
            </w:pPr>
            <w:r>
              <w:lastRenderedPageBreak/>
              <w:t>Equity</w:t>
            </w:r>
          </w:p>
        </w:tc>
        <w:tc>
          <w:tcPr>
            <w:tcW w:w="1710" w:type="dxa"/>
            <w:vAlign w:val="center"/>
          </w:tcPr>
          <w:p w14:paraId="05C6F450" w14:textId="77777777" w:rsidR="00D8645B" w:rsidRDefault="00D8645B" w:rsidP="00664D46">
            <w:pPr>
              <w:spacing w:line="360" w:lineRule="auto"/>
              <w:jc w:val="center"/>
            </w:pPr>
            <w:r>
              <w:t>-30</w:t>
            </w:r>
          </w:p>
          <w:p w14:paraId="3C97518B" w14:textId="77777777" w:rsidR="00D8645B" w:rsidRDefault="00D8645B" w:rsidP="00664D46">
            <w:pPr>
              <w:spacing w:line="360" w:lineRule="auto"/>
              <w:jc w:val="center"/>
            </w:pPr>
            <w:r>
              <w:t>-40</w:t>
            </w:r>
          </w:p>
        </w:tc>
        <w:tc>
          <w:tcPr>
            <w:tcW w:w="1530" w:type="dxa"/>
            <w:vAlign w:val="center"/>
          </w:tcPr>
          <w:p w14:paraId="142008FB" w14:textId="77777777" w:rsidR="00D8645B" w:rsidRDefault="00D8645B" w:rsidP="00664D46">
            <w:pPr>
              <w:spacing w:line="360" w:lineRule="auto"/>
              <w:jc w:val="center"/>
            </w:pPr>
            <w:r>
              <w:t>-40</w:t>
            </w:r>
          </w:p>
          <w:p w14:paraId="2C05439A" w14:textId="77777777" w:rsidR="00D8645B" w:rsidRDefault="00D8645B" w:rsidP="00664D46">
            <w:pPr>
              <w:spacing w:line="360" w:lineRule="auto"/>
              <w:jc w:val="center"/>
            </w:pPr>
            <w:r>
              <w:t>-55</w:t>
            </w:r>
          </w:p>
        </w:tc>
        <w:tc>
          <w:tcPr>
            <w:tcW w:w="1260" w:type="dxa"/>
            <w:vAlign w:val="center"/>
          </w:tcPr>
          <w:p w14:paraId="60FF2A2F" w14:textId="77777777" w:rsidR="00D8645B" w:rsidRDefault="00D8645B" w:rsidP="00664D46">
            <w:pPr>
              <w:spacing w:line="360" w:lineRule="auto"/>
              <w:jc w:val="center"/>
            </w:pPr>
            <w:r>
              <w:t>-25.5</w:t>
            </w:r>
          </w:p>
          <w:p w14:paraId="3802329A" w14:textId="77777777" w:rsidR="00D8645B" w:rsidRDefault="00D8645B" w:rsidP="00664D46">
            <w:pPr>
              <w:spacing w:line="360" w:lineRule="auto"/>
              <w:jc w:val="center"/>
            </w:pPr>
            <w:r>
              <w:t>-35.5</w:t>
            </w:r>
          </w:p>
        </w:tc>
        <w:tc>
          <w:tcPr>
            <w:tcW w:w="1890" w:type="dxa"/>
            <w:vAlign w:val="center"/>
          </w:tcPr>
          <w:p w14:paraId="475C1C81" w14:textId="77777777" w:rsidR="00D8645B" w:rsidRDefault="00D8645B" w:rsidP="00664D46">
            <w:pPr>
              <w:spacing w:line="360" w:lineRule="auto"/>
              <w:jc w:val="center"/>
            </w:pPr>
            <w:r>
              <w:t>-32</w:t>
            </w:r>
          </w:p>
          <w:p w14:paraId="33BE638B" w14:textId="77777777" w:rsidR="00D8645B" w:rsidRDefault="00D8645B" w:rsidP="00664D46">
            <w:pPr>
              <w:spacing w:line="360" w:lineRule="auto"/>
              <w:jc w:val="center"/>
            </w:pPr>
            <w:r>
              <w:t>-40</w:t>
            </w:r>
          </w:p>
        </w:tc>
      </w:tr>
      <w:tr w:rsidR="00D8645B" w14:paraId="4C5706E1" w14:textId="77777777" w:rsidTr="00664D46">
        <w:tc>
          <w:tcPr>
            <w:tcW w:w="2965" w:type="dxa"/>
            <w:vAlign w:val="center"/>
          </w:tcPr>
          <w:p w14:paraId="0401774E" w14:textId="77777777" w:rsidR="00D8645B" w:rsidRDefault="00D8645B" w:rsidP="00664D46">
            <w:pPr>
              <w:spacing w:line="360" w:lineRule="auto"/>
              <w:jc w:val="center"/>
            </w:pPr>
            <w:r>
              <w:t>Private Equity</w:t>
            </w:r>
          </w:p>
        </w:tc>
        <w:tc>
          <w:tcPr>
            <w:tcW w:w="1710" w:type="dxa"/>
            <w:vAlign w:val="center"/>
          </w:tcPr>
          <w:p w14:paraId="474A990B" w14:textId="77777777" w:rsidR="00D8645B" w:rsidRDefault="00D8645B" w:rsidP="00664D46">
            <w:pPr>
              <w:spacing w:line="360" w:lineRule="auto"/>
              <w:jc w:val="center"/>
            </w:pPr>
            <w:r>
              <w:t>-24</w:t>
            </w:r>
          </w:p>
          <w:p w14:paraId="13DE0D32" w14:textId="77777777" w:rsidR="00D8645B" w:rsidRDefault="00D8645B" w:rsidP="00664D46">
            <w:pPr>
              <w:spacing w:line="360" w:lineRule="auto"/>
              <w:jc w:val="center"/>
            </w:pPr>
            <w:r>
              <w:t>-32</w:t>
            </w:r>
          </w:p>
        </w:tc>
        <w:tc>
          <w:tcPr>
            <w:tcW w:w="1530" w:type="dxa"/>
            <w:vAlign w:val="center"/>
          </w:tcPr>
          <w:p w14:paraId="48ACF49B" w14:textId="77777777" w:rsidR="00D8645B" w:rsidRDefault="00D8645B" w:rsidP="00664D46">
            <w:pPr>
              <w:spacing w:line="360" w:lineRule="auto"/>
              <w:jc w:val="center"/>
            </w:pPr>
            <w:r>
              <w:t>-32</w:t>
            </w:r>
          </w:p>
          <w:p w14:paraId="2E30B60D" w14:textId="77777777" w:rsidR="00D8645B" w:rsidRDefault="00D8645B" w:rsidP="00664D46">
            <w:pPr>
              <w:spacing w:line="360" w:lineRule="auto"/>
              <w:jc w:val="center"/>
            </w:pPr>
            <w:r>
              <w:t>-44</w:t>
            </w:r>
          </w:p>
        </w:tc>
        <w:tc>
          <w:tcPr>
            <w:tcW w:w="1260" w:type="dxa"/>
            <w:vAlign w:val="center"/>
          </w:tcPr>
          <w:p w14:paraId="1DC4DF1A" w14:textId="77777777" w:rsidR="00D8645B" w:rsidRDefault="00D8645B" w:rsidP="00664D46">
            <w:pPr>
              <w:spacing w:line="360" w:lineRule="auto"/>
              <w:jc w:val="center"/>
            </w:pPr>
            <w:r>
              <w:t>N/A</w:t>
            </w:r>
          </w:p>
          <w:p w14:paraId="24AF9BC6" w14:textId="77777777" w:rsidR="00D8645B" w:rsidRDefault="00D8645B" w:rsidP="00664D46">
            <w:pPr>
              <w:spacing w:line="360" w:lineRule="auto"/>
              <w:jc w:val="center"/>
            </w:pPr>
            <w:r>
              <w:t>N/A</w:t>
            </w:r>
          </w:p>
        </w:tc>
        <w:tc>
          <w:tcPr>
            <w:tcW w:w="1890" w:type="dxa"/>
            <w:vAlign w:val="center"/>
          </w:tcPr>
          <w:p w14:paraId="7FF7BEA9" w14:textId="77777777" w:rsidR="00D8645B" w:rsidRDefault="00D8645B" w:rsidP="00664D46">
            <w:pPr>
              <w:spacing w:line="360" w:lineRule="auto"/>
              <w:jc w:val="center"/>
            </w:pPr>
            <w:r>
              <w:t>N/A</w:t>
            </w:r>
          </w:p>
          <w:p w14:paraId="5E5A6163" w14:textId="77777777" w:rsidR="00D8645B" w:rsidRDefault="00D8645B" w:rsidP="00664D46">
            <w:pPr>
              <w:spacing w:line="360" w:lineRule="auto"/>
              <w:jc w:val="center"/>
            </w:pPr>
            <w:r>
              <w:t>N/A</w:t>
            </w:r>
          </w:p>
        </w:tc>
      </w:tr>
      <w:tr w:rsidR="00D8645B" w14:paraId="3FF2BE1D" w14:textId="77777777" w:rsidTr="00664D46">
        <w:tc>
          <w:tcPr>
            <w:tcW w:w="2965" w:type="dxa"/>
            <w:vAlign w:val="center"/>
          </w:tcPr>
          <w:p w14:paraId="41AFBF81" w14:textId="77777777" w:rsidR="00D8645B" w:rsidRDefault="00D8645B" w:rsidP="00664D46">
            <w:pPr>
              <w:spacing w:line="360" w:lineRule="auto"/>
              <w:jc w:val="center"/>
            </w:pPr>
            <w:r>
              <w:t>Hedge Funds</w:t>
            </w:r>
          </w:p>
        </w:tc>
        <w:tc>
          <w:tcPr>
            <w:tcW w:w="1710" w:type="dxa"/>
            <w:vAlign w:val="center"/>
          </w:tcPr>
          <w:p w14:paraId="0E528292" w14:textId="77777777" w:rsidR="00D8645B" w:rsidRDefault="00D8645B" w:rsidP="00664D46">
            <w:pPr>
              <w:spacing w:line="360" w:lineRule="auto"/>
              <w:jc w:val="center"/>
            </w:pPr>
            <w:r>
              <w:t>-12</w:t>
            </w:r>
          </w:p>
        </w:tc>
        <w:tc>
          <w:tcPr>
            <w:tcW w:w="1530" w:type="dxa"/>
            <w:vAlign w:val="center"/>
          </w:tcPr>
          <w:p w14:paraId="0E67D231" w14:textId="77777777" w:rsidR="00D8645B" w:rsidRDefault="00D8645B" w:rsidP="00664D46">
            <w:pPr>
              <w:spacing w:line="360" w:lineRule="auto"/>
              <w:jc w:val="center"/>
            </w:pPr>
            <w:r>
              <w:t>-16</w:t>
            </w:r>
          </w:p>
        </w:tc>
        <w:tc>
          <w:tcPr>
            <w:tcW w:w="1260" w:type="dxa"/>
            <w:vAlign w:val="center"/>
          </w:tcPr>
          <w:p w14:paraId="3FF7494A" w14:textId="77777777" w:rsidR="00D8645B" w:rsidRDefault="00D8645B" w:rsidP="00664D46">
            <w:pPr>
              <w:spacing w:line="360" w:lineRule="auto"/>
              <w:jc w:val="center"/>
            </w:pPr>
            <w:r>
              <w:t>N/A</w:t>
            </w:r>
          </w:p>
        </w:tc>
        <w:tc>
          <w:tcPr>
            <w:tcW w:w="1890" w:type="dxa"/>
            <w:vAlign w:val="center"/>
          </w:tcPr>
          <w:p w14:paraId="0CC36B29" w14:textId="77777777" w:rsidR="00D8645B" w:rsidRDefault="00D8645B" w:rsidP="00664D46">
            <w:pPr>
              <w:spacing w:line="360" w:lineRule="auto"/>
              <w:jc w:val="center"/>
            </w:pPr>
            <w:r>
              <w:t>N/A</w:t>
            </w:r>
          </w:p>
        </w:tc>
      </w:tr>
      <w:tr w:rsidR="00D8645B" w14:paraId="5D2D8E4B" w14:textId="77777777" w:rsidTr="00664D46">
        <w:tc>
          <w:tcPr>
            <w:tcW w:w="2965" w:type="dxa"/>
            <w:vAlign w:val="center"/>
          </w:tcPr>
          <w:p w14:paraId="5E743D8B" w14:textId="77777777" w:rsidR="00D8645B" w:rsidRDefault="00D8645B" w:rsidP="00664D46">
            <w:pPr>
              <w:spacing w:line="360" w:lineRule="auto"/>
              <w:jc w:val="center"/>
            </w:pPr>
            <w:r>
              <w:t>ABX</w:t>
            </w:r>
          </w:p>
        </w:tc>
        <w:tc>
          <w:tcPr>
            <w:tcW w:w="1710" w:type="dxa"/>
            <w:vAlign w:val="center"/>
          </w:tcPr>
          <w:p w14:paraId="2C69E3A0" w14:textId="77777777" w:rsidR="00D8645B" w:rsidRDefault="00D8645B" w:rsidP="00664D46">
            <w:pPr>
              <w:spacing w:line="360" w:lineRule="auto"/>
              <w:jc w:val="center"/>
            </w:pPr>
            <w:r>
              <w:t>-15</w:t>
            </w:r>
          </w:p>
        </w:tc>
        <w:tc>
          <w:tcPr>
            <w:tcW w:w="1530" w:type="dxa"/>
            <w:vAlign w:val="center"/>
          </w:tcPr>
          <w:p w14:paraId="754E3AB4" w14:textId="77777777" w:rsidR="00D8645B" w:rsidRDefault="00D8645B" w:rsidP="00664D46">
            <w:pPr>
              <w:spacing w:line="360" w:lineRule="auto"/>
              <w:jc w:val="center"/>
            </w:pPr>
            <w:r>
              <w:t>-55</w:t>
            </w:r>
          </w:p>
        </w:tc>
        <w:tc>
          <w:tcPr>
            <w:tcW w:w="1260" w:type="dxa"/>
            <w:vAlign w:val="center"/>
          </w:tcPr>
          <w:p w14:paraId="552EF377" w14:textId="77777777" w:rsidR="00D8645B" w:rsidRDefault="00D8645B" w:rsidP="00664D46">
            <w:pPr>
              <w:spacing w:line="360" w:lineRule="auto"/>
              <w:jc w:val="center"/>
            </w:pPr>
            <w:r>
              <w:t>-20</w:t>
            </w:r>
          </w:p>
        </w:tc>
        <w:tc>
          <w:tcPr>
            <w:tcW w:w="1890" w:type="dxa"/>
            <w:vAlign w:val="center"/>
          </w:tcPr>
          <w:p w14:paraId="053F019D" w14:textId="77777777" w:rsidR="00D8645B" w:rsidRDefault="00D8645B" w:rsidP="00664D46">
            <w:pPr>
              <w:spacing w:line="360" w:lineRule="auto"/>
              <w:jc w:val="center"/>
            </w:pPr>
            <w:r>
              <w:t>-40</w:t>
            </w:r>
          </w:p>
        </w:tc>
      </w:tr>
      <w:tr w:rsidR="00D8645B" w14:paraId="4877F10A" w14:textId="77777777" w:rsidTr="00664D46">
        <w:tc>
          <w:tcPr>
            <w:tcW w:w="2965" w:type="dxa"/>
            <w:vAlign w:val="center"/>
          </w:tcPr>
          <w:p w14:paraId="37B8BE2B" w14:textId="77777777" w:rsidR="00D8645B" w:rsidRDefault="00D8645B" w:rsidP="00664D46">
            <w:pPr>
              <w:spacing w:line="360" w:lineRule="auto"/>
              <w:jc w:val="center"/>
            </w:pPr>
            <w:r>
              <w:t>Energy</w:t>
            </w:r>
          </w:p>
        </w:tc>
        <w:tc>
          <w:tcPr>
            <w:tcW w:w="1710" w:type="dxa"/>
            <w:vAlign w:val="center"/>
          </w:tcPr>
          <w:p w14:paraId="4564592D" w14:textId="77777777" w:rsidR="00D8645B" w:rsidRDefault="00D8645B" w:rsidP="00664D46">
            <w:pPr>
              <w:spacing w:line="360" w:lineRule="auto"/>
              <w:jc w:val="center"/>
            </w:pPr>
            <w:r>
              <w:t>160.0</w:t>
            </w:r>
          </w:p>
        </w:tc>
        <w:tc>
          <w:tcPr>
            <w:tcW w:w="1530" w:type="dxa"/>
            <w:vAlign w:val="center"/>
          </w:tcPr>
          <w:p w14:paraId="35BE0038" w14:textId="77777777" w:rsidR="00D8645B" w:rsidRDefault="00D8645B" w:rsidP="00664D46">
            <w:pPr>
              <w:spacing w:line="360" w:lineRule="auto"/>
              <w:jc w:val="center"/>
            </w:pPr>
            <w:r>
              <w:t>-55.0</w:t>
            </w:r>
          </w:p>
        </w:tc>
        <w:tc>
          <w:tcPr>
            <w:tcW w:w="1260" w:type="dxa"/>
            <w:vAlign w:val="center"/>
          </w:tcPr>
          <w:p w14:paraId="551B3B42" w14:textId="77777777" w:rsidR="00D8645B" w:rsidRDefault="00D8645B" w:rsidP="00664D46">
            <w:pPr>
              <w:spacing w:line="360" w:lineRule="auto"/>
              <w:jc w:val="center"/>
            </w:pPr>
            <w:r>
              <w:t>112.0</w:t>
            </w:r>
          </w:p>
        </w:tc>
        <w:tc>
          <w:tcPr>
            <w:tcW w:w="1890" w:type="dxa"/>
            <w:vAlign w:val="center"/>
          </w:tcPr>
          <w:p w14:paraId="10BD47CB" w14:textId="77777777" w:rsidR="00D8645B" w:rsidRDefault="00D8645B" w:rsidP="00664D46">
            <w:pPr>
              <w:spacing w:line="360" w:lineRule="auto"/>
              <w:jc w:val="center"/>
            </w:pPr>
            <w:r>
              <w:t>-32.0</w:t>
            </w:r>
          </w:p>
        </w:tc>
      </w:tr>
      <w:tr w:rsidR="00D8645B" w14:paraId="09D485DF" w14:textId="77777777" w:rsidTr="00664D46">
        <w:tc>
          <w:tcPr>
            <w:tcW w:w="2965" w:type="dxa"/>
            <w:vAlign w:val="center"/>
          </w:tcPr>
          <w:p w14:paraId="3C66F29C" w14:textId="77777777" w:rsidR="00D8645B" w:rsidRDefault="00D8645B" w:rsidP="00664D46">
            <w:pPr>
              <w:spacing w:line="360" w:lineRule="auto"/>
              <w:jc w:val="center"/>
            </w:pPr>
            <w:r>
              <w:t>Natural Gas</w:t>
            </w:r>
          </w:p>
        </w:tc>
        <w:tc>
          <w:tcPr>
            <w:tcW w:w="1710" w:type="dxa"/>
            <w:vAlign w:val="center"/>
          </w:tcPr>
          <w:p w14:paraId="54762CAD" w14:textId="77777777" w:rsidR="00D8645B" w:rsidRDefault="00D8645B" w:rsidP="00664D46">
            <w:pPr>
              <w:spacing w:line="360" w:lineRule="auto"/>
              <w:jc w:val="center"/>
            </w:pPr>
            <w:r>
              <w:t>90.9</w:t>
            </w:r>
          </w:p>
        </w:tc>
        <w:tc>
          <w:tcPr>
            <w:tcW w:w="1530" w:type="dxa"/>
            <w:vAlign w:val="center"/>
          </w:tcPr>
          <w:p w14:paraId="549CD92A" w14:textId="77777777" w:rsidR="00D8645B" w:rsidRDefault="00D8645B" w:rsidP="00664D46">
            <w:pPr>
              <w:spacing w:line="360" w:lineRule="auto"/>
              <w:jc w:val="center"/>
            </w:pPr>
            <w:r>
              <w:t>-20.0</w:t>
            </w:r>
          </w:p>
        </w:tc>
        <w:tc>
          <w:tcPr>
            <w:tcW w:w="1260" w:type="dxa"/>
            <w:vAlign w:val="center"/>
          </w:tcPr>
          <w:p w14:paraId="204404D0" w14:textId="77777777" w:rsidR="00D8645B" w:rsidRDefault="00D8645B" w:rsidP="00664D46">
            <w:pPr>
              <w:spacing w:line="360" w:lineRule="auto"/>
              <w:jc w:val="center"/>
            </w:pPr>
            <w:r>
              <w:t>89.0</w:t>
            </w:r>
          </w:p>
        </w:tc>
        <w:tc>
          <w:tcPr>
            <w:tcW w:w="1890" w:type="dxa"/>
            <w:vAlign w:val="center"/>
          </w:tcPr>
          <w:p w14:paraId="6C797042" w14:textId="77777777" w:rsidR="00D8645B" w:rsidRDefault="00D8645B" w:rsidP="00664D46">
            <w:pPr>
              <w:spacing w:line="360" w:lineRule="auto"/>
              <w:jc w:val="center"/>
            </w:pPr>
            <w:r>
              <w:t>-28.0</w:t>
            </w:r>
          </w:p>
        </w:tc>
      </w:tr>
      <w:tr w:rsidR="00D8645B" w14:paraId="2965833D" w14:textId="77777777" w:rsidTr="00664D46">
        <w:tc>
          <w:tcPr>
            <w:tcW w:w="2965" w:type="dxa"/>
            <w:vAlign w:val="center"/>
          </w:tcPr>
          <w:p w14:paraId="39207316" w14:textId="77777777" w:rsidR="00D8645B" w:rsidRDefault="00D8645B" w:rsidP="00664D46">
            <w:pPr>
              <w:spacing w:line="360" w:lineRule="auto"/>
              <w:jc w:val="center"/>
            </w:pPr>
            <w:r>
              <w:t>Copper</w:t>
            </w:r>
          </w:p>
        </w:tc>
        <w:tc>
          <w:tcPr>
            <w:tcW w:w="1710" w:type="dxa"/>
            <w:vAlign w:val="center"/>
          </w:tcPr>
          <w:p w14:paraId="2CEBD9E0" w14:textId="77777777" w:rsidR="00D8645B" w:rsidRDefault="00D8645B" w:rsidP="00664D46">
            <w:pPr>
              <w:spacing w:line="360" w:lineRule="auto"/>
              <w:jc w:val="center"/>
            </w:pPr>
            <w:r>
              <w:t>84.7</w:t>
            </w:r>
          </w:p>
        </w:tc>
        <w:tc>
          <w:tcPr>
            <w:tcW w:w="1530" w:type="dxa"/>
            <w:vAlign w:val="center"/>
          </w:tcPr>
          <w:p w14:paraId="6F1239C5" w14:textId="77777777" w:rsidR="00D8645B" w:rsidRDefault="00D8645B" w:rsidP="00664D46">
            <w:pPr>
              <w:spacing w:line="360" w:lineRule="auto"/>
              <w:jc w:val="center"/>
            </w:pPr>
            <w:r>
              <w:t>-53.0</w:t>
            </w:r>
          </w:p>
        </w:tc>
        <w:tc>
          <w:tcPr>
            <w:tcW w:w="1260" w:type="dxa"/>
            <w:vAlign w:val="center"/>
          </w:tcPr>
          <w:p w14:paraId="293F1AC7" w14:textId="77777777" w:rsidR="00D8645B" w:rsidRDefault="00D8645B" w:rsidP="00664D46">
            <w:pPr>
              <w:spacing w:line="360" w:lineRule="auto"/>
              <w:jc w:val="center"/>
            </w:pPr>
            <w:r>
              <w:t>83.0</w:t>
            </w:r>
          </w:p>
        </w:tc>
        <w:tc>
          <w:tcPr>
            <w:tcW w:w="1890" w:type="dxa"/>
            <w:vAlign w:val="center"/>
          </w:tcPr>
          <w:p w14:paraId="74F30075" w14:textId="77777777" w:rsidR="00D8645B" w:rsidRDefault="00D8645B" w:rsidP="00664D46">
            <w:pPr>
              <w:spacing w:line="360" w:lineRule="auto"/>
              <w:jc w:val="center"/>
            </w:pPr>
            <w:r>
              <w:t>-16.0</w:t>
            </w:r>
          </w:p>
        </w:tc>
      </w:tr>
      <w:tr w:rsidR="00D8645B" w14:paraId="6FBB2C75" w14:textId="77777777" w:rsidTr="00664D46">
        <w:tc>
          <w:tcPr>
            <w:tcW w:w="2965" w:type="dxa"/>
            <w:vAlign w:val="center"/>
          </w:tcPr>
          <w:p w14:paraId="36688304" w14:textId="77777777" w:rsidR="00D8645B" w:rsidRDefault="00D8645B" w:rsidP="00664D46">
            <w:pPr>
              <w:spacing w:line="360" w:lineRule="auto"/>
              <w:jc w:val="center"/>
            </w:pPr>
            <w:r>
              <w:t>Gold</w:t>
            </w:r>
          </w:p>
        </w:tc>
        <w:tc>
          <w:tcPr>
            <w:tcW w:w="1710" w:type="dxa"/>
            <w:vAlign w:val="center"/>
          </w:tcPr>
          <w:p w14:paraId="627711B5" w14:textId="77777777" w:rsidR="00D8645B" w:rsidRDefault="00D8645B" w:rsidP="00664D46">
            <w:pPr>
              <w:spacing w:line="360" w:lineRule="auto"/>
              <w:jc w:val="center"/>
            </w:pPr>
            <w:r>
              <w:t>72.0</w:t>
            </w:r>
          </w:p>
        </w:tc>
        <w:tc>
          <w:tcPr>
            <w:tcW w:w="1530" w:type="dxa"/>
            <w:vAlign w:val="center"/>
          </w:tcPr>
          <w:p w14:paraId="0CEF441E" w14:textId="77777777" w:rsidR="00D8645B" w:rsidRDefault="00D8645B" w:rsidP="00664D46">
            <w:pPr>
              <w:spacing w:line="360" w:lineRule="auto"/>
              <w:jc w:val="center"/>
            </w:pPr>
            <w:r>
              <w:t>2.0</w:t>
            </w:r>
          </w:p>
        </w:tc>
        <w:tc>
          <w:tcPr>
            <w:tcW w:w="1260" w:type="dxa"/>
            <w:vAlign w:val="center"/>
          </w:tcPr>
          <w:p w14:paraId="5214F3EF" w14:textId="77777777" w:rsidR="00D8645B" w:rsidRDefault="00D8645B" w:rsidP="00664D46">
            <w:pPr>
              <w:spacing w:line="360" w:lineRule="auto"/>
              <w:jc w:val="center"/>
            </w:pPr>
            <w:r>
              <w:t>73.0</w:t>
            </w:r>
          </w:p>
        </w:tc>
        <w:tc>
          <w:tcPr>
            <w:tcW w:w="1890" w:type="dxa"/>
            <w:vAlign w:val="center"/>
          </w:tcPr>
          <w:p w14:paraId="08DF0B24" w14:textId="77777777" w:rsidR="00D8645B" w:rsidRDefault="00D8645B" w:rsidP="00664D46">
            <w:pPr>
              <w:spacing w:line="360" w:lineRule="auto"/>
              <w:jc w:val="center"/>
            </w:pPr>
            <w:r>
              <w:t>-15.0</w:t>
            </w:r>
          </w:p>
        </w:tc>
      </w:tr>
      <w:tr w:rsidR="00D8645B" w14:paraId="2A8C47C8" w14:textId="77777777" w:rsidTr="00664D46">
        <w:tc>
          <w:tcPr>
            <w:tcW w:w="2965" w:type="dxa"/>
            <w:vAlign w:val="center"/>
          </w:tcPr>
          <w:p w14:paraId="7AA5702C" w14:textId="77777777" w:rsidR="00D8645B" w:rsidRDefault="00D8645B" w:rsidP="00664D46">
            <w:pPr>
              <w:spacing w:line="360" w:lineRule="auto"/>
              <w:jc w:val="center"/>
            </w:pPr>
            <w:r>
              <w:t>Corn</w:t>
            </w:r>
          </w:p>
        </w:tc>
        <w:tc>
          <w:tcPr>
            <w:tcW w:w="1710" w:type="dxa"/>
            <w:vAlign w:val="center"/>
          </w:tcPr>
          <w:p w14:paraId="37CD48F0" w14:textId="77777777" w:rsidR="00D8645B" w:rsidRDefault="00D8645B" w:rsidP="00664D46">
            <w:pPr>
              <w:spacing w:line="360" w:lineRule="auto"/>
              <w:jc w:val="center"/>
            </w:pPr>
            <w:r>
              <w:t>54.1</w:t>
            </w:r>
          </w:p>
        </w:tc>
        <w:tc>
          <w:tcPr>
            <w:tcW w:w="1530" w:type="dxa"/>
            <w:vAlign w:val="center"/>
          </w:tcPr>
          <w:p w14:paraId="5973E9E4" w14:textId="77777777" w:rsidR="00D8645B" w:rsidRDefault="00D8645B" w:rsidP="00664D46">
            <w:pPr>
              <w:spacing w:line="360" w:lineRule="auto"/>
              <w:jc w:val="center"/>
            </w:pPr>
            <w:r>
              <w:t>-14.0</w:t>
            </w:r>
          </w:p>
        </w:tc>
        <w:tc>
          <w:tcPr>
            <w:tcW w:w="1260" w:type="dxa"/>
            <w:vAlign w:val="center"/>
          </w:tcPr>
          <w:p w14:paraId="4EE0AD57" w14:textId="77777777" w:rsidR="00D8645B" w:rsidRDefault="00D8645B" w:rsidP="00664D46">
            <w:pPr>
              <w:spacing w:line="360" w:lineRule="auto"/>
              <w:jc w:val="center"/>
            </w:pPr>
            <w:r>
              <w:t>53.0</w:t>
            </w:r>
          </w:p>
        </w:tc>
        <w:tc>
          <w:tcPr>
            <w:tcW w:w="1890" w:type="dxa"/>
            <w:vAlign w:val="center"/>
          </w:tcPr>
          <w:p w14:paraId="1C66B075" w14:textId="77777777" w:rsidR="00D8645B" w:rsidRDefault="00D8645B" w:rsidP="00664D46">
            <w:pPr>
              <w:spacing w:line="360" w:lineRule="auto"/>
              <w:jc w:val="center"/>
            </w:pPr>
            <w:r>
              <w:t>-21.0</w:t>
            </w:r>
          </w:p>
        </w:tc>
      </w:tr>
      <w:tr w:rsidR="00D8645B" w14:paraId="73BE7CCD" w14:textId="77777777" w:rsidTr="00664D46">
        <w:tc>
          <w:tcPr>
            <w:tcW w:w="2965" w:type="dxa"/>
            <w:vAlign w:val="center"/>
          </w:tcPr>
          <w:p w14:paraId="62AA7DE0" w14:textId="77777777" w:rsidR="00D8645B" w:rsidRDefault="00D8645B" w:rsidP="00664D46">
            <w:pPr>
              <w:spacing w:line="360" w:lineRule="auto"/>
              <w:jc w:val="center"/>
            </w:pPr>
            <w:r>
              <w:t>Other Commodities</w:t>
            </w:r>
          </w:p>
        </w:tc>
        <w:tc>
          <w:tcPr>
            <w:tcW w:w="1710" w:type="dxa"/>
            <w:vAlign w:val="center"/>
          </w:tcPr>
          <w:p w14:paraId="41ABD962" w14:textId="77777777" w:rsidR="00D8645B" w:rsidRDefault="00D8645B" w:rsidP="00664D46">
            <w:pPr>
              <w:spacing w:line="360" w:lineRule="auto"/>
              <w:jc w:val="center"/>
            </w:pPr>
            <w:r>
              <w:t>49.0</w:t>
            </w:r>
          </w:p>
        </w:tc>
        <w:tc>
          <w:tcPr>
            <w:tcW w:w="1530" w:type="dxa"/>
            <w:vAlign w:val="center"/>
          </w:tcPr>
          <w:p w14:paraId="78BF6ABA" w14:textId="77777777" w:rsidR="00D8645B" w:rsidRDefault="00D8645B" w:rsidP="00664D46">
            <w:pPr>
              <w:spacing w:line="360" w:lineRule="auto"/>
              <w:jc w:val="center"/>
            </w:pPr>
            <w:r>
              <w:t>-29.0</w:t>
            </w:r>
          </w:p>
        </w:tc>
        <w:tc>
          <w:tcPr>
            <w:tcW w:w="1260" w:type="dxa"/>
            <w:vAlign w:val="center"/>
          </w:tcPr>
          <w:p w14:paraId="626E5183" w14:textId="77777777" w:rsidR="00D8645B" w:rsidRDefault="00D8645B" w:rsidP="00664D46">
            <w:pPr>
              <w:spacing w:line="360" w:lineRule="auto"/>
              <w:jc w:val="center"/>
            </w:pPr>
            <w:r>
              <w:t>48.0</w:t>
            </w:r>
          </w:p>
        </w:tc>
        <w:tc>
          <w:tcPr>
            <w:tcW w:w="1890" w:type="dxa"/>
            <w:vAlign w:val="center"/>
          </w:tcPr>
          <w:p w14:paraId="3D39F6D1" w14:textId="77777777" w:rsidR="00D8645B" w:rsidRDefault="00D8645B" w:rsidP="00664D46">
            <w:pPr>
              <w:spacing w:line="360" w:lineRule="auto"/>
              <w:jc w:val="center"/>
            </w:pPr>
            <w:r>
              <w:t>-18.0</w:t>
            </w:r>
          </w:p>
        </w:tc>
      </w:tr>
      <w:tr w:rsidR="00D8645B" w14:paraId="576252FF" w14:textId="77777777" w:rsidTr="00664D46">
        <w:tc>
          <w:tcPr>
            <w:tcW w:w="2965" w:type="dxa"/>
            <w:vAlign w:val="center"/>
          </w:tcPr>
          <w:p w14:paraId="6DC6AC3F" w14:textId="77777777" w:rsidR="00D8645B" w:rsidRDefault="00D8645B" w:rsidP="00664D46">
            <w:pPr>
              <w:spacing w:line="360" w:lineRule="auto"/>
              <w:jc w:val="center"/>
            </w:pPr>
            <w:r>
              <w:t>VIX</w:t>
            </w:r>
          </w:p>
        </w:tc>
        <w:tc>
          <w:tcPr>
            <w:tcW w:w="1710" w:type="dxa"/>
            <w:vAlign w:val="center"/>
          </w:tcPr>
          <w:p w14:paraId="79CADCC0" w14:textId="77777777" w:rsidR="00D8645B" w:rsidRDefault="00D8645B" w:rsidP="00664D46">
            <w:pPr>
              <w:spacing w:line="360" w:lineRule="auto"/>
              <w:jc w:val="center"/>
            </w:pPr>
            <w:r>
              <w:t>75.0</w:t>
            </w:r>
          </w:p>
        </w:tc>
        <w:tc>
          <w:tcPr>
            <w:tcW w:w="1530" w:type="dxa"/>
            <w:vAlign w:val="center"/>
          </w:tcPr>
          <w:p w14:paraId="7683B94B" w14:textId="77777777" w:rsidR="00D8645B" w:rsidRDefault="00D8645B" w:rsidP="00664D46">
            <w:pPr>
              <w:spacing w:line="360" w:lineRule="auto"/>
              <w:jc w:val="center"/>
            </w:pPr>
            <w:r>
              <w:t>100.0</w:t>
            </w:r>
          </w:p>
        </w:tc>
        <w:tc>
          <w:tcPr>
            <w:tcW w:w="1260" w:type="dxa"/>
            <w:vAlign w:val="center"/>
          </w:tcPr>
          <w:p w14:paraId="366862B7" w14:textId="77777777" w:rsidR="00D8645B" w:rsidRDefault="00D8645B" w:rsidP="00664D46">
            <w:pPr>
              <w:spacing w:line="360" w:lineRule="auto"/>
              <w:jc w:val="center"/>
            </w:pPr>
            <w:r>
              <w:t>63.8</w:t>
            </w:r>
          </w:p>
        </w:tc>
        <w:tc>
          <w:tcPr>
            <w:tcW w:w="1890" w:type="dxa"/>
            <w:vAlign w:val="center"/>
          </w:tcPr>
          <w:p w14:paraId="5D9FD2AE" w14:textId="77777777" w:rsidR="00D8645B" w:rsidRDefault="00D8645B" w:rsidP="00664D46">
            <w:pPr>
              <w:spacing w:line="360" w:lineRule="auto"/>
              <w:jc w:val="center"/>
            </w:pPr>
            <w:r>
              <w:t>80.0</w:t>
            </w:r>
          </w:p>
        </w:tc>
      </w:tr>
      <w:tr w:rsidR="00D8645B" w14:paraId="4100FC6D" w14:textId="77777777" w:rsidTr="00664D46">
        <w:tc>
          <w:tcPr>
            <w:tcW w:w="2965" w:type="dxa"/>
            <w:vAlign w:val="center"/>
          </w:tcPr>
          <w:p w14:paraId="7216EF27" w14:textId="77777777" w:rsidR="00D8645B" w:rsidRDefault="00D8645B" w:rsidP="00664D46">
            <w:pPr>
              <w:spacing w:line="360" w:lineRule="auto"/>
              <w:jc w:val="center"/>
            </w:pPr>
            <w:r>
              <w:t>Implied Volatilities – Other</w:t>
            </w:r>
          </w:p>
        </w:tc>
        <w:tc>
          <w:tcPr>
            <w:tcW w:w="1710" w:type="dxa"/>
            <w:vAlign w:val="center"/>
          </w:tcPr>
          <w:p w14:paraId="74E1A84C" w14:textId="77777777" w:rsidR="00D8645B" w:rsidRDefault="00D8645B" w:rsidP="00664D46">
            <w:pPr>
              <w:spacing w:line="360" w:lineRule="auto"/>
              <w:jc w:val="center"/>
            </w:pPr>
            <w:r>
              <w:t>45.0</w:t>
            </w:r>
          </w:p>
        </w:tc>
        <w:tc>
          <w:tcPr>
            <w:tcW w:w="1530" w:type="dxa"/>
            <w:vAlign w:val="center"/>
          </w:tcPr>
          <w:p w14:paraId="100252A4" w14:textId="77777777" w:rsidR="00D8645B" w:rsidRDefault="00D8645B" w:rsidP="00664D46">
            <w:pPr>
              <w:spacing w:line="360" w:lineRule="auto"/>
              <w:jc w:val="center"/>
            </w:pPr>
            <w:r>
              <w:t>50.0</w:t>
            </w:r>
          </w:p>
        </w:tc>
        <w:tc>
          <w:tcPr>
            <w:tcW w:w="1260" w:type="dxa"/>
            <w:vAlign w:val="center"/>
          </w:tcPr>
          <w:p w14:paraId="442907C3" w14:textId="77777777" w:rsidR="00D8645B" w:rsidRDefault="00D8645B" w:rsidP="00664D46">
            <w:pPr>
              <w:spacing w:line="360" w:lineRule="auto"/>
              <w:jc w:val="center"/>
            </w:pPr>
            <w:r>
              <w:t>40.0</w:t>
            </w:r>
          </w:p>
        </w:tc>
        <w:tc>
          <w:tcPr>
            <w:tcW w:w="1890" w:type="dxa"/>
            <w:vAlign w:val="center"/>
          </w:tcPr>
          <w:p w14:paraId="751BA7CB" w14:textId="77777777" w:rsidR="00D8645B" w:rsidRDefault="00D8645B" w:rsidP="00664D46">
            <w:pPr>
              <w:spacing w:line="360" w:lineRule="auto"/>
              <w:jc w:val="center"/>
            </w:pPr>
            <w:r>
              <w:t>25.0</w:t>
            </w:r>
          </w:p>
        </w:tc>
      </w:tr>
      <w:tr w:rsidR="00D8645B" w14:paraId="0D874235" w14:textId="77777777" w:rsidTr="00664D46">
        <w:tc>
          <w:tcPr>
            <w:tcW w:w="2965" w:type="dxa"/>
            <w:vAlign w:val="center"/>
          </w:tcPr>
          <w:p w14:paraId="5DE0A7CE" w14:textId="77777777" w:rsidR="00D8645B" w:rsidRDefault="00D8645B" w:rsidP="00664D46">
            <w:pPr>
              <w:spacing w:line="360" w:lineRule="auto"/>
              <w:jc w:val="center"/>
            </w:pPr>
            <w:r>
              <w:t>Wholesale LGD</w:t>
            </w:r>
          </w:p>
        </w:tc>
        <w:tc>
          <w:tcPr>
            <w:tcW w:w="1710" w:type="dxa"/>
            <w:vAlign w:val="center"/>
          </w:tcPr>
          <w:p w14:paraId="0E926B3F" w14:textId="77777777" w:rsidR="00D8645B" w:rsidRDefault="00D8645B" w:rsidP="00664D46">
            <w:pPr>
              <w:spacing w:line="360" w:lineRule="auto"/>
              <w:jc w:val="center"/>
            </w:pPr>
            <w:r>
              <w:t>50.0</w:t>
            </w:r>
          </w:p>
        </w:tc>
        <w:tc>
          <w:tcPr>
            <w:tcW w:w="1530" w:type="dxa"/>
            <w:vAlign w:val="center"/>
          </w:tcPr>
          <w:p w14:paraId="22290876" w14:textId="77777777" w:rsidR="00D8645B" w:rsidRDefault="00D8645B" w:rsidP="00664D46">
            <w:pPr>
              <w:spacing w:line="360" w:lineRule="auto"/>
              <w:jc w:val="center"/>
            </w:pPr>
            <w:r>
              <w:t>50.0</w:t>
            </w:r>
          </w:p>
        </w:tc>
        <w:tc>
          <w:tcPr>
            <w:tcW w:w="1260" w:type="dxa"/>
            <w:vAlign w:val="center"/>
          </w:tcPr>
          <w:p w14:paraId="1B364FAA" w14:textId="77777777" w:rsidR="00D8645B" w:rsidRDefault="00D8645B" w:rsidP="00664D46">
            <w:pPr>
              <w:spacing w:line="360" w:lineRule="auto"/>
              <w:jc w:val="center"/>
            </w:pPr>
            <w:r>
              <w:t>50.0</w:t>
            </w:r>
          </w:p>
        </w:tc>
        <w:tc>
          <w:tcPr>
            <w:tcW w:w="1890" w:type="dxa"/>
            <w:vAlign w:val="center"/>
          </w:tcPr>
          <w:p w14:paraId="0D9AFA76" w14:textId="77777777" w:rsidR="00D8645B" w:rsidRDefault="00D8645B" w:rsidP="00664D46">
            <w:pPr>
              <w:spacing w:line="360" w:lineRule="auto"/>
              <w:jc w:val="center"/>
            </w:pPr>
            <w:r>
              <w:t>50.0</w:t>
            </w:r>
          </w:p>
        </w:tc>
      </w:tr>
      <w:tr w:rsidR="00D8645B" w14:paraId="1C45816B" w14:textId="77777777" w:rsidTr="00664D46">
        <w:tc>
          <w:tcPr>
            <w:tcW w:w="2965" w:type="dxa"/>
            <w:vAlign w:val="center"/>
          </w:tcPr>
          <w:p w14:paraId="1903ADB8" w14:textId="77777777" w:rsidR="00D8645B" w:rsidRDefault="00D8645B" w:rsidP="00664D46">
            <w:pPr>
              <w:spacing w:line="360" w:lineRule="auto"/>
              <w:jc w:val="center"/>
            </w:pPr>
            <w:r>
              <w:t>Likelihood</w:t>
            </w:r>
          </w:p>
        </w:tc>
        <w:tc>
          <w:tcPr>
            <w:tcW w:w="1710" w:type="dxa"/>
            <w:vAlign w:val="center"/>
          </w:tcPr>
          <w:p w14:paraId="3D2C23BE" w14:textId="77777777" w:rsidR="00D8645B" w:rsidRDefault="00D8645B" w:rsidP="00664D46">
            <w:pPr>
              <w:spacing w:line="360" w:lineRule="auto"/>
              <w:jc w:val="center"/>
            </w:pPr>
            <w:r>
              <w:t>1-in-50</w:t>
            </w:r>
          </w:p>
        </w:tc>
        <w:tc>
          <w:tcPr>
            <w:tcW w:w="1530" w:type="dxa"/>
            <w:vAlign w:val="center"/>
          </w:tcPr>
          <w:p w14:paraId="6163F6D4" w14:textId="77777777" w:rsidR="00D8645B" w:rsidRDefault="00D8645B" w:rsidP="00664D46">
            <w:pPr>
              <w:spacing w:line="360" w:lineRule="auto"/>
              <w:jc w:val="center"/>
            </w:pPr>
            <w:r>
              <w:t>1-in-50</w:t>
            </w:r>
          </w:p>
        </w:tc>
        <w:tc>
          <w:tcPr>
            <w:tcW w:w="1260" w:type="dxa"/>
            <w:vAlign w:val="center"/>
          </w:tcPr>
          <w:p w14:paraId="530115CE" w14:textId="77777777" w:rsidR="00D8645B" w:rsidRDefault="00D8645B" w:rsidP="00664D46">
            <w:pPr>
              <w:spacing w:line="360" w:lineRule="auto"/>
              <w:jc w:val="center"/>
            </w:pPr>
            <w:r>
              <w:t>N/A</w:t>
            </w:r>
          </w:p>
        </w:tc>
        <w:tc>
          <w:tcPr>
            <w:tcW w:w="1890" w:type="dxa"/>
            <w:vAlign w:val="center"/>
          </w:tcPr>
          <w:p w14:paraId="6BAE642A" w14:textId="77777777" w:rsidR="00D8645B" w:rsidRDefault="00D8645B" w:rsidP="00664D46">
            <w:pPr>
              <w:spacing w:line="360" w:lineRule="auto"/>
              <w:jc w:val="center"/>
            </w:pPr>
            <w:r>
              <w:t>N/A</w:t>
            </w:r>
          </w:p>
        </w:tc>
      </w:tr>
    </w:tbl>
    <w:p w14:paraId="3182978D" w14:textId="77777777" w:rsidR="00D8645B" w:rsidRPr="00B02658" w:rsidRDefault="00D8645B" w:rsidP="00D8645B">
      <w:pPr>
        <w:spacing w:line="360" w:lineRule="auto"/>
      </w:pPr>
    </w:p>
    <w:p w14:paraId="79FCC01B" w14:textId="77777777" w:rsidR="00D8645B" w:rsidRDefault="00D8645B" w:rsidP="0060309E">
      <w:pPr>
        <w:pStyle w:val="ListParagraph"/>
        <w:numPr>
          <w:ilvl w:val="0"/>
          <w:numId w:val="57"/>
        </w:numPr>
        <w:spacing w:after="160" w:line="360" w:lineRule="auto"/>
      </w:pPr>
      <w:r>
        <w:rPr>
          <w:u w:val="single"/>
        </w:rPr>
        <w:t>Notes on the Listings Above</w:t>
      </w:r>
      <w:r w:rsidRPr="00B02658">
        <w:t>:</w:t>
      </w:r>
    </w:p>
    <w:p w14:paraId="7062BB60" w14:textId="7B62143D" w:rsidR="00D8645B" w:rsidRDefault="00D8645B" w:rsidP="0060309E">
      <w:pPr>
        <w:pStyle w:val="ListParagraph"/>
        <w:numPr>
          <w:ilvl w:val="1"/>
          <w:numId w:val="57"/>
        </w:numPr>
        <w:spacing w:after="160" w:line="360" w:lineRule="auto"/>
      </w:pPr>
      <w:r>
        <w:t>Represents 18</w:t>
      </w:r>
      <w:r w:rsidR="0052618C">
        <w:t>-</w:t>
      </w:r>
      <w:r>
        <w:t>month decline. The peak-to-trough would be significantly greater.</w:t>
      </w:r>
    </w:p>
    <w:p w14:paraId="16BB3D8D" w14:textId="77777777" w:rsidR="00D8645B" w:rsidRDefault="00D8645B" w:rsidP="0060309E">
      <w:pPr>
        <w:pStyle w:val="ListParagraph"/>
        <w:numPr>
          <w:ilvl w:val="1"/>
          <w:numId w:val="57"/>
        </w:numPr>
        <w:spacing w:after="160" w:line="360" w:lineRule="auto"/>
      </w:pPr>
      <w:r>
        <w:t>The yield curve is based off of the local currency sovereign. The level refers to the parallel shift to the entire curve.</w:t>
      </w:r>
    </w:p>
    <w:p w14:paraId="2834FE73" w14:textId="77777777" w:rsidR="00D8645B" w:rsidRDefault="00D8645B" w:rsidP="0060309E">
      <w:pPr>
        <w:pStyle w:val="ListParagraph"/>
        <w:numPr>
          <w:ilvl w:val="1"/>
          <w:numId w:val="57"/>
        </w:numPr>
        <w:spacing w:after="160" w:line="360" w:lineRule="auto"/>
      </w:pPr>
      <w:r>
        <w:t>The slope pivots at the 5Y tenor. There is an interest rate floor at 0 bp for the short term, 25 bp for 5Y, and 50 p for 10Y to avoid negative rates.</w:t>
      </w:r>
    </w:p>
    <w:p w14:paraId="14124C69" w14:textId="77777777" w:rsidR="00D8645B" w:rsidRDefault="00D8645B" w:rsidP="0060309E">
      <w:pPr>
        <w:pStyle w:val="ListParagraph"/>
        <w:numPr>
          <w:ilvl w:val="1"/>
          <w:numId w:val="57"/>
        </w:numPr>
        <w:spacing w:after="160" w:line="360" w:lineRule="auto"/>
      </w:pPr>
      <w:r>
        <w:t>The percentage change in the credit spread ids against a fixed baseline.</w:t>
      </w:r>
    </w:p>
    <w:p w14:paraId="1D0A0853" w14:textId="77777777" w:rsidR="00D8645B" w:rsidRDefault="00D8645B" w:rsidP="0060309E">
      <w:pPr>
        <w:pStyle w:val="ListParagraph"/>
        <w:numPr>
          <w:ilvl w:val="1"/>
          <w:numId w:val="57"/>
        </w:numPr>
        <w:spacing w:after="160" w:line="360" w:lineRule="auto"/>
      </w:pPr>
      <w:r>
        <w:t>Negative FX % implies a USD depreciation.</w:t>
      </w:r>
    </w:p>
    <w:p w14:paraId="24EE2A20" w14:textId="77777777" w:rsidR="00D8645B" w:rsidRDefault="00D8645B" w:rsidP="0060309E">
      <w:pPr>
        <w:pStyle w:val="ListParagraph"/>
        <w:numPr>
          <w:ilvl w:val="1"/>
          <w:numId w:val="57"/>
        </w:numPr>
        <w:spacing w:after="160" w:line="360" w:lineRule="auto"/>
      </w:pPr>
      <w:r>
        <w:t>PE risk capital is already defined and therefore no capital baseline stress is provided.</w:t>
      </w:r>
    </w:p>
    <w:p w14:paraId="5FD2DC86" w14:textId="77777777" w:rsidR="00D8645B" w:rsidRDefault="00D8645B" w:rsidP="0060309E">
      <w:pPr>
        <w:pStyle w:val="ListParagraph"/>
        <w:numPr>
          <w:ilvl w:val="1"/>
          <w:numId w:val="57"/>
        </w:numPr>
        <w:spacing w:after="160" w:line="360" w:lineRule="auto"/>
      </w:pPr>
      <w:r>
        <w:t>Volatility shock applies to Commodities, FX, and Rates.</w:t>
      </w:r>
    </w:p>
    <w:p w14:paraId="3762E4C9" w14:textId="77777777" w:rsidR="00D8645B" w:rsidRDefault="00D8645B" w:rsidP="0060309E">
      <w:pPr>
        <w:pStyle w:val="ListParagraph"/>
        <w:numPr>
          <w:ilvl w:val="1"/>
          <w:numId w:val="57"/>
        </w:numPr>
        <w:spacing w:after="160" w:line="360" w:lineRule="auto"/>
      </w:pPr>
      <w:r>
        <w:t>Capital baseline shocks are usually set using baselines determined by an Alternate Asset Investment Team, say -35%.</w:t>
      </w:r>
    </w:p>
    <w:p w14:paraId="67EFC045" w14:textId="77777777" w:rsidR="00D8645B" w:rsidRDefault="00D8645B" w:rsidP="0060309E">
      <w:pPr>
        <w:pStyle w:val="ListParagraph"/>
        <w:numPr>
          <w:ilvl w:val="1"/>
          <w:numId w:val="57"/>
        </w:numPr>
        <w:spacing w:after="160" w:line="360" w:lineRule="auto"/>
      </w:pPr>
      <w:r>
        <w:lastRenderedPageBreak/>
        <w:t>The baseline scenarios are the ones usually driving the risk capital.</w:t>
      </w:r>
    </w:p>
    <w:p w14:paraId="73AFFB51" w14:textId="77777777" w:rsidR="00D8645B" w:rsidRDefault="00D8645B" w:rsidP="0060309E">
      <w:pPr>
        <w:pStyle w:val="ListParagraph"/>
        <w:numPr>
          <w:ilvl w:val="0"/>
          <w:numId w:val="57"/>
        </w:numPr>
        <w:spacing w:after="160" w:line="360" w:lineRule="auto"/>
      </w:pPr>
      <w:r w:rsidRPr="00B27115">
        <w:rPr>
          <w:u w:val="single"/>
        </w:rPr>
        <w:t>Details on Types of Change</w:t>
      </w:r>
      <w:r>
        <w:t>:</w:t>
      </w:r>
    </w:p>
    <w:p w14:paraId="414953FA" w14:textId="77777777" w:rsidR="00D8645B" w:rsidRDefault="00D8645B" w:rsidP="0060309E">
      <w:pPr>
        <w:pStyle w:val="ListParagraph"/>
        <w:numPr>
          <w:ilvl w:val="1"/>
          <w:numId w:val="57"/>
        </w:numPr>
        <w:spacing w:after="160" w:line="360" w:lineRule="auto"/>
      </w:pPr>
      <w:r>
        <w:t>1 =&gt; Scenario GDP growth – Q/Q – 4</w:t>
      </w:r>
    </w:p>
    <w:p w14:paraId="352779E8" w14:textId="77777777" w:rsidR="00D8645B" w:rsidRDefault="00D8645B" w:rsidP="0060309E">
      <w:pPr>
        <w:pStyle w:val="ListParagraph"/>
        <w:numPr>
          <w:ilvl w:val="1"/>
          <w:numId w:val="57"/>
        </w:numPr>
        <w:spacing w:after="160" w:line="360" w:lineRule="auto"/>
      </w:pPr>
      <w:r>
        <w:t>2 =&gt; Peak vs Current Level</w:t>
      </w:r>
    </w:p>
    <w:p w14:paraId="467C9C30" w14:textId="77777777" w:rsidR="00D8645B" w:rsidRDefault="00D8645B" w:rsidP="0060309E">
      <w:pPr>
        <w:pStyle w:val="ListParagraph"/>
        <w:numPr>
          <w:ilvl w:val="1"/>
          <w:numId w:val="57"/>
        </w:numPr>
        <w:spacing w:after="160" w:line="360" w:lineRule="auto"/>
      </w:pPr>
      <w:r>
        <w:t>3 =&gt; Change vs Current – Q/Q – 4</w:t>
      </w:r>
    </w:p>
    <w:p w14:paraId="3580AE49" w14:textId="77777777" w:rsidR="00D8645B" w:rsidRDefault="00D8645B" w:rsidP="0060309E">
      <w:pPr>
        <w:pStyle w:val="ListParagraph"/>
        <w:numPr>
          <w:ilvl w:val="1"/>
          <w:numId w:val="57"/>
        </w:numPr>
        <w:spacing w:after="160" w:line="360" w:lineRule="auto"/>
      </w:pPr>
      <w:r>
        <w:t>4 =&gt; Change vs. 4Q forward</w:t>
      </w:r>
    </w:p>
    <w:p w14:paraId="24AAFFFC" w14:textId="77777777" w:rsidR="00D8645B" w:rsidRDefault="00D8645B" w:rsidP="0060309E">
      <w:pPr>
        <w:pStyle w:val="ListParagraph"/>
        <w:numPr>
          <w:ilvl w:val="1"/>
          <w:numId w:val="57"/>
        </w:numPr>
        <w:spacing w:after="160" w:line="360" w:lineRule="auto"/>
      </w:pPr>
      <w:r>
        <w:t>5 =&gt; Change as a % of calendar 2008 spread widening</w:t>
      </w:r>
    </w:p>
    <w:p w14:paraId="4F2B3BBD" w14:textId="77777777" w:rsidR="00D8645B" w:rsidRDefault="00D8645B" w:rsidP="0060309E">
      <w:pPr>
        <w:pStyle w:val="ListParagraph"/>
        <w:numPr>
          <w:ilvl w:val="1"/>
          <w:numId w:val="57"/>
        </w:numPr>
        <w:spacing w:after="160" w:line="360" w:lineRule="auto"/>
      </w:pPr>
      <w:r>
        <w:t>6 =&gt; Volatility point change as % change of calendar 2008 volatility point change – 39 volatility points for 1M ATM</w:t>
      </w:r>
    </w:p>
    <w:p w14:paraId="489FAFA8" w14:textId="77777777" w:rsidR="00D8645B" w:rsidRPr="005B4691" w:rsidRDefault="00D8645B" w:rsidP="00D8645B">
      <w:pPr>
        <w:spacing w:line="360" w:lineRule="auto"/>
      </w:pPr>
      <w:r w:rsidRPr="005B4691">
        <w:br w:type="page"/>
      </w:r>
    </w:p>
    <w:p w14:paraId="31228C62" w14:textId="77777777" w:rsidR="00D8645B" w:rsidRPr="00E84977" w:rsidRDefault="00D8645B" w:rsidP="00D8645B">
      <w:pPr>
        <w:spacing w:line="360" w:lineRule="auto"/>
      </w:pPr>
    </w:p>
    <w:p w14:paraId="157068F7" w14:textId="748B16EC" w:rsidR="00D8645B" w:rsidRPr="00E644AB" w:rsidRDefault="00D8645B" w:rsidP="00D8645B">
      <w:pPr>
        <w:spacing w:line="360" w:lineRule="auto"/>
        <w:jc w:val="center"/>
        <w:rPr>
          <w:b/>
          <w:sz w:val="32"/>
          <w:szCs w:val="32"/>
        </w:rPr>
      </w:pPr>
      <w:r w:rsidRPr="00E644AB">
        <w:rPr>
          <w:b/>
          <w:sz w:val="32"/>
          <w:szCs w:val="32"/>
        </w:rPr>
        <w:t>Integrated VaR and Stress Testing Risk Capital Methodology</w:t>
      </w:r>
    </w:p>
    <w:p w14:paraId="14778BA6" w14:textId="77777777" w:rsidR="00D8645B" w:rsidRDefault="00D8645B" w:rsidP="00D8645B">
      <w:pPr>
        <w:spacing w:line="360" w:lineRule="auto"/>
      </w:pPr>
    </w:p>
    <w:p w14:paraId="49351075" w14:textId="77777777" w:rsidR="00D8645B" w:rsidRDefault="00D8645B" w:rsidP="00D8645B">
      <w:pPr>
        <w:spacing w:line="360" w:lineRule="auto"/>
      </w:pPr>
    </w:p>
    <w:p w14:paraId="13C53857" w14:textId="77777777" w:rsidR="00D8645B" w:rsidRPr="00E644AB" w:rsidRDefault="00D8645B" w:rsidP="00D8645B">
      <w:pPr>
        <w:spacing w:line="360" w:lineRule="auto"/>
        <w:rPr>
          <w:b/>
          <w:sz w:val="28"/>
          <w:szCs w:val="28"/>
        </w:rPr>
      </w:pPr>
      <w:r w:rsidRPr="00E644AB">
        <w:rPr>
          <w:b/>
          <w:sz w:val="28"/>
          <w:szCs w:val="28"/>
        </w:rPr>
        <w:t>Executive Summary</w:t>
      </w:r>
    </w:p>
    <w:p w14:paraId="100F214C" w14:textId="77777777" w:rsidR="00D8645B" w:rsidRDefault="00D8645B" w:rsidP="00D8645B">
      <w:pPr>
        <w:spacing w:line="360" w:lineRule="auto"/>
      </w:pPr>
    </w:p>
    <w:p w14:paraId="2F7D2339" w14:textId="77777777" w:rsidR="00D8645B" w:rsidRDefault="00D8645B" w:rsidP="0060309E">
      <w:pPr>
        <w:pStyle w:val="ListParagraph"/>
        <w:numPr>
          <w:ilvl w:val="0"/>
          <w:numId w:val="19"/>
        </w:numPr>
        <w:spacing w:after="160" w:line="360" w:lineRule="auto"/>
      </w:pPr>
      <w:r w:rsidRPr="00E644AB">
        <w:rPr>
          <w:u w:val="single"/>
        </w:rPr>
        <w:t>Integrated VaR and Stress Testing Model</w:t>
      </w:r>
      <w:r w:rsidRPr="00E644AB">
        <w:t>: The integrated VaR and Stress Testing (iVAST) model is designed to estimate the amount of risk-adjusted capital (Risk Capital) needed to support the BHC’s trading and mark-to-market (MTM) exposures and spread risk associated with AFS, CVA, and Pensions, at a high confidence level.</w:t>
      </w:r>
    </w:p>
    <w:p w14:paraId="6EBD078A" w14:textId="77777777" w:rsidR="00D8645B" w:rsidRDefault="00D8645B" w:rsidP="0060309E">
      <w:pPr>
        <w:pStyle w:val="ListParagraph"/>
        <w:numPr>
          <w:ilvl w:val="0"/>
          <w:numId w:val="19"/>
        </w:numPr>
        <w:spacing w:after="160" w:line="360" w:lineRule="auto"/>
      </w:pPr>
      <w:r>
        <w:rPr>
          <w:u w:val="single"/>
        </w:rPr>
        <w:t>Major Objectives of the Model</w:t>
      </w:r>
      <w:r w:rsidRPr="00E644AB">
        <w:t>:</w:t>
      </w:r>
      <w:r>
        <w:t xml:space="preserve"> The model intends to satisfy the following criteria as much as possible. First, it measures potential losses over </w:t>
      </w:r>
      <w:proofErr w:type="gramStart"/>
      <w:r>
        <w:t>one year</w:t>
      </w:r>
      <w:proofErr w:type="gramEnd"/>
      <w:r>
        <w:t xml:space="preserve"> period in a severely adverse scenario, notionally equivalent to 99.97</w:t>
      </w:r>
      <w:r w:rsidRPr="00E644AB">
        <w:rPr>
          <w:vertAlign w:val="superscript"/>
        </w:rPr>
        <w:t>th</w:t>
      </w:r>
      <w:r>
        <w:t xml:space="preserve"> percentile of the model loss distribution.</w:t>
      </w:r>
    </w:p>
    <w:p w14:paraId="64D71E0F" w14:textId="77777777" w:rsidR="00D8645B" w:rsidRDefault="00D8645B" w:rsidP="0060309E">
      <w:pPr>
        <w:pStyle w:val="ListParagraph"/>
        <w:numPr>
          <w:ilvl w:val="0"/>
          <w:numId w:val="19"/>
        </w:numPr>
        <w:spacing w:after="160" w:line="360" w:lineRule="auto"/>
      </w:pPr>
      <w:r>
        <w:rPr>
          <w:u w:val="single"/>
        </w:rPr>
        <w:t>Constant Level of Risk Assumption</w:t>
      </w:r>
      <w:r>
        <w:t>: It is consistent with a constant level of risk assumption, i.e., assumes that the businesses will maintain the same risk exposure over a one-year period, and will not materially increase or reduce their risk-taking as market conditions change.</w:t>
      </w:r>
    </w:p>
    <w:p w14:paraId="2BA91911" w14:textId="77777777" w:rsidR="00D8645B" w:rsidRDefault="00D8645B" w:rsidP="0060309E">
      <w:pPr>
        <w:pStyle w:val="ListParagraph"/>
        <w:numPr>
          <w:ilvl w:val="0"/>
          <w:numId w:val="19"/>
        </w:numPr>
        <w:spacing w:after="160" w:line="360" w:lineRule="auto"/>
      </w:pPr>
      <w:r>
        <w:rPr>
          <w:u w:val="single"/>
        </w:rPr>
        <w:t>Full Inclusion of “Tail Events”</w:t>
      </w:r>
      <w:r w:rsidRPr="00E644AB">
        <w:t>:</w:t>
      </w:r>
      <w:r>
        <w:t xml:space="preserve"> It is fully inclusive of </w:t>
      </w:r>
      <w:r>
        <w:rPr>
          <w:i/>
        </w:rPr>
        <w:t>tail events</w:t>
      </w:r>
      <w:r>
        <w:t>, including the non-normal behavior of the individual market factors, high correlation during the stress periods, and illiquidity as the markets crash.</w:t>
      </w:r>
    </w:p>
    <w:p w14:paraId="11335F12" w14:textId="77777777" w:rsidR="00D8645B" w:rsidRDefault="00D8645B" w:rsidP="0060309E">
      <w:pPr>
        <w:pStyle w:val="ListParagraph"/>
        <w:numPr>
          <w:ilvl w:val="0"/>
          <w:numId w:val="19"/>
        </w:numPr>
        <w:spacing w:after="160" w:line="360" w:lineRule="auto"/>
      </w:pPr>
      <w:r>
        <w:rPr>
          <w:u w:val="single"/>
        </w:rPr>
        <w:t>Stable Level of Risk Capital</w:t>
      </w:r>
      <w:r w:rsidRPr="00125290">
        <w:t>:</w:t>
      </w:r>
      <w:r>
        <w:t xml:space="preserve"> It aims to provide an approximately stable level of risk capital over the economic cycle, avoiding the potentially volatile capital associated with, for example, a VaR model calibrated to recent data.</w:t>
      </w:r>
    </w:p>
    <w:p w14:paraId="7AD2EA5C" w14:textId="77777777" w:rsidR="00D8645B" w:rsidRDefault="00D8645B" w:rsidP="0060309E">
      <w:pPr>
        <w:pStyle w:val="ListParagraph"/>
        <w:numPr>
          <w:ilvl w:val="0"/>
          <w:numId w:val="19"/>
        </w:numPr>
        <w:spacing w:after="160" w:line="360" w:lineRule="auto"/>
      </w:pPr>
      <w:r>
        <w:rPr>
          <w:u w:val="single"/>
        </w:rPr>
        <w:t>Drawbacks of a Purely Statistical Model</w:t>
      </w:r>
      <w:r w:rsidRPr="00125290">
        <w:t>:</w:t>
      </w:r>
      <w:r>
        <w:t xml:space="preserve"> Before iVAST, BHC’s had often relied on a purely statistical (VaR-based) model for estimating Risk Capital (RC).</w:t>
      </w:r>
    </w:p>
    <w:p w14:paraId="0875CDCD" w14:textId="77777777" w:rsidR="00D8645B" w:rsidRDefault="00D8645B" w:rsidP="0060309E">
      <w:pPr>
        <w:pStyle w:val="ListParagraph"/>
        <w:numPr>
          <w:ilvl w:val="0"/>
          <w:numId w:val="19"/>
        </w:numPr>
        <w:spacing w:after="160" w:line="360" w:lineRule="auto"/>
      </w:pPr>
      <w:r>
        <w:rPr>
          <w:u w:val="single"/>
        </w:rPr>
        <w:t>Need for Enhanced Capital Models</w:t>
      </w:r>
      <w:r w:rsidRPr="00125290">
        <w:t>:</w:t>
      </w:r>
      <w:r>
        <w:t xml:space="preserve"> During the 2007/2008 financial crisis, typical BHC losses well exceeded the RC levels estimated by the statistical models and it became necessary to develop and enhanced method for estimating Market Risk Capital.</w:t>
      </w:r>
    </w:p>
    <w:p w14:paraId="2A64E70C" w14:textId="77777777" w:rsidR="00D8645B" w:rsidRDefault="00D8645B" w:rsidP="0060309E">
      <w:pPr>
        <w:pStyle w:val="ListParagraph"/>
        <w:numPr>
          <w:ilvl w:val="0"/>
          <w:numId w:val="19"/>
        </w:numPr>
        <w:spacing w:after="160" w:line="360" w:lineRule="auto"/>
      </w:pPr>
      <w:r>
        <w:rPr>
          <w:u w:val="single"/>
        </w:rPr>
        <w:t>Combining VaR and Stress Outputs</w:t>
      </w:r>
      <w:r w:rsidRPr="00125290">
        <w:t>:</w:t>
      </w:r>
      <w:r>
        <w:t xml:space="preserve"> iVAST was developed to address this limitation by combining outputs from VaR with those from stress tests generating scenario dependent losses.</w:t>
      </w:r>
    </w:p>
    <w:p w14:paraId="7C008C53" w14:textId="77777777" w:rsidR="00D8645B" w:rsidRDefault="00D8645B" w:rsidP="0060309E">
      <w:pPr>
        <w:pStyle w:val="ListParagraph"/>
        <w:numPr>
          <w:ilvl w:val="0"/>
          <w:numId w:val="19"/>
        </w:numPr>
        <w:spacing w:after="160" w:line="360" w:lineRule="auto"/>
      </w:pPr>
      <w:r>
        <w:rPr>
          <w:u w:val="single"/>
        </w:rPr>
        <w:lastRenderedPageBreak/>
        <w:t>Components of the Stress P&amp;L</w:t>
      </w:r>
      <w:r w:rsidRPr="00CB1EA2">
        <w:t>:</w:t>
      </w:r>
      <w:r>
        <w:t xml:space="preserve"> The stress P&amp;L’s consists of the Global Systemic Stress Test (GSST) P&amp;L, correlated Business Specific Stress Test (cBSST) P&amp;L, and idiosyncratic Business Specific Stress Test (iBSST) P&amp;L.</w:t>
      </w:r>
    </w:p>
    <w:p w14:paraId="3C144B9B" w14:textId="77777777" w:rsidR="00D8645B" w:rsidRDefault="00D8645B" w:rsidP="0060309E">
      <w:pPr>
        <w:pStyle w:val="ListParagraph"/>
        <w:numPr>
          <w:ilvl w:val="0"/>
          <w:numId w:val="19"/>
        </w:numPr>
        <w:spacing w:after="160" w:line="360" w:lineRule="auto"/>
      </w:pPr>
      <w:r>
        <w:rPr>
          <w:u w:val="single"/>
        </w:rPr>
        <w:t>Correlation Assumption Among the Components</w:t>
      </w:r>
      <w:r w:rsidRPr="00CB1EA2">
        <w:t>:</w:t>
      </w:r>
      <w:r>
        <w:t xml:space="preserve"> Illustration of the P&amp;L aggregation is shown below representing the perfect correlation assumption between the GSST and the cBSST P&amp;L’s, and the independence assumption of iBSST P&amp;L’s.</w:t>
      </w:r>
    </w:p>
    <w:p w14:paraId="71A55219" w14:textId="77777777" w:rsidR="00D8645B" w:rsidRDefault="00D8645B" w:rsidP="0060309E">
      <w:pPr>
        <w:pStyle w:val="ListParagraph"/>
        <w:numPr>
          <w:ilvl w:val="0"/>
          <w:numId w:val="19"/>
        </w:numPr>
        <w:spacing w:after="160" w:line="360" w:lineRule="auto"/>
        <w:jc w:val="both"/>
      </w:pPr>
      <w:r>
        <w:rPr>
          <w:u w:val="single"/>
        </w:rPr>
        <w:t>Illustration of the Aggregation Logic</w:t>
      </w:r>
      <w:r w:rsidRPr="00CB1EA2">
        <w:t>:</w:t>
      </w:r>
    </w:p>
    <w:tbl>
      <w:tblPr>
        <w:tblStyle w:val="TableGrid"/>
        <w:tblW w:w="10705" w:type="dxa"/>
        <w:tblLook w:val="04A0" w:firstRow="1" w:lastRow="0" w:firstColumn="1" w:lastColumn="0" w:noHBand="0" w:noVBand="1"/>
      </w:tblPr>
      <w:tblGrid>
        <w:gridCol w:w="935"/>
        <w:gridCol w:w="934"/>
        <w:gridCol w:w="934"/>
        <w:gridCol w:w="932"/>
        <w:gridCol w:w="934"/>
        <w:gridCol w:w="933"/>
        <w:gridCol w:w="934"/>
        <w:gridCol w:w="932"/>
        <w:gridCol w:w="816"/>
        <w:gridCol w:w="2421"/>
      </w:tblGrid>
      <w:tr w:rsidR="00D8645B" w14:paraId="5B6ED4FF" w14:textId="77777777" w:rsidTr="00664D46">
        <w:tc>
          <w:tcPr>
            <w:tcW w:w="1869" w:type="dxa"/>
            <w:gridSpan w:val="2"/>
            <w:vAlign w:val="center"/>
          </w:tcPr>
          <w:p w14:paraId="6E4B6C49" w14:textId="77777777" w:rsidR="00D8645B" w:rsidRPr="00CB1EA2" w:rsidRDefault="00D8645B" w:rsidP="00664D46">
            <w:pPr>
              <w:spacing w:line="360" w:lineRule="auto"/>
              <w:jc w:val="center"/>
              <w:rPr>
                <w:b/>
              </w:rPr>
            </w:pPr>
            <w:r w:rsidRPr="00CB1EA2">
              <w:rPr>
                <w:b/>
              </w:rPr>
              <w:t>VaR P&amp;L</w:t>
            </w:r>
          </w:p>
        </w:tc>
        <w:tc>
          <w:tcPr>
            <w:tcW w:w="1866" w:type="dxa"/>
            <w:gridSpan w:val="2"/>
            <w:vAlign w:val="center"/>
          </w:tcPr>
          <w:p w14:paraId="5E86193D" w14:textId="77777777" w:rsidR="00D8645B" w:rsidRPr="00CB1EA2" w:rsidRDefault="00D8645B" w:rsidP="00664D46">
            <w:pPr>
              <w:spacing w:line="360" w:lineRule="auto"/>
              <w:jc w:val="center"/>
              <w:rPr>
                <w:b/>
              </w:rPr>
            </w:pPr>
            <w:r w:rsidRPr="00CB1EA2">
              <w:rPr>
                <w:b/>
              </w:rPr>
              <w:t>GSST P&amp;L</w:t>
            </w:r>
          </w:p>
        </w:tc>
        <w:tc>
          <w:tcPr>
            <w:tcW w:w="1867" w:type="dxa"/>
            <w:gridSpan w:val="2"/>
            <w:vAlign w:val="center"/>
          </w:tcPr>
          <w:p w14:paraId="59832894" w14:textId="77777777" w:rsidR="00D8645B" w:rsidRPr="00CB1EA2" w:rsidRDefault="00D8645B" w:rsidP="00664D46">
            <w:pPr>
              <w:spacing w:line="360" w:lineRule="auto"/>
              <w:jc w:val="center"/>
              <w:rPr>
                <w:b/>
              </w:rPr>
            </w:pPr>
            <w:r w:rsidRPr="00CB1EA2">
              <w:rPr>
                <w:b/>
              </w:rPr>
              <w:t>cBSST P&amp;L</w:t>
            </w:r>
          </w:p>
        </w:tc>
        <w:tc>
          <w:tcPr>
            <w:tcW w:w="1866" w:type="dxa"/>
            <w:gridSpan w:val="2"/>
            <w:vAlign w:val="center"/>
          </w:tcPr>
          <w:p w14:paraId="17B8936E" w14:textId="77777777" w:rsidR="00D8645B" w:rsidRPr="00CB1EA2" w:rsidRDefault="00D8645B" w:rsidP="00664D46">
            <w:pPr>
              <w:spacing w:line="360" w:lineRule="auto"/>
              <w:jc w:val="center"/>
              <w:rPr>
                <w:b/>
              </w:rPr>
            </w:pPr>
            <w:r w:rsidRPr="00CB1EA2">
              <w:rPr>
                <w:b/>
              </w:rPr>
              <w:t>iBSST P&amp;L</w:t>
            </w:r>
          </w:p>
        </w:tc>
        <w:tc>
          <w:tcPr>
            <w:tcW w:w="3237" w:type="dxa"/>
            <w:gridSpan w:val="2"/>
            <w:vAlign w:val="center"/>
          </w:tcPr>
          <w:p w14:paraId="1EFC9863" w14:textId="77777777" w:rsidR="00D8645B" w:rsidRPr="00CB1EA2" w:rsidRDefault="00D8645B" w:rsidP="00664D46">
            <w:pPr>
              <w:spacing w:line="360" w:lineRule="auto"/>
              <w:jc w:val="center"/>
              <w:rPr>
                <w:b/>
              </w:rPr>
            </w:pPr>
            <w:r w:rsidRPr="00CB1EA2">
              <w:rPr>
                <w:b/>
              </w:rPr>
              <w:t>Aggregated P&amp;L</w:t>
            </w:r>
          </w:p>
        </w:tc>
      </w:tr>
      <w:tr w:rsidR="00D8645B" w14:paraId="3738437E" w14:textId="77777777" w:rsidTr="00664D46">
        <w:tc>
          <w:tcPr>
            <w:tcW w:w="935" w:type="dxa"/>
            <w:vAlign w:val="center"/>
          </w:tcPr>
          <w:p w14:paraId="45EE1BF8" w14:textId="77777777" w:rsidR="00D8645B" w:rsidRDefault="00D8645B" w:rsidP="00664D46">
            <w:pPr>
              <w:spacing w:line="360" w:lineRule="auto"/>
              <w:jc w:val="center"/>
            </w:pPr>
            <m:oMathPara>
              <m:oMath>
                <m:r>
                  <w:rPr>
                    <w:rFonts w:ascii="Cambria Math" w:hAnsi="Cambria Math"/>
                  </w:rPr>
                  <m:t>1</m:t>
                </m:r>
              </m:oMath>
            </m:oMathPara>
          </w:p>
        </w:tc>
        <w:tc>
          <w:tcPr>
            <w:tcW w:w="934" w:type="dxa"/>
            <w:vAlign w:val="center"/>
          </w:tcPr>
          <w:p w14:paraId="5AB3D10F"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c>
          <w:tcPr>
            <w:tcW w:w="934" w:type="dxa"/>
            <w:vAlign w:val="center"/>
          </w:tcPr>
          <w:p w14:paraId="3F680FBB" w14:textId="77777777" w:rsidR="00D8645B" w:rsidRDefault="00D8645B" w:rsidP="00664D46">
            <w:pPr>
              <w:spacing w:line="360" w:lineRule="auto"/>
              <w:jc w:val="center"/>
            </w:pPr>
            <m:oMathPara>
              <m:oMath>
                <m:r>
                  <w:rPr>
                    <w:rFonts w:ascii="Cambria Math" w:hAnsi="Cambria Math"/>
                  </w:rPr>
                  <m:t>1</m:t>
                </m:r>
              </m:oMath>
            </m:oMathPara>
          </w:p>
        </w:tc>
        <w:tc>
          <w:tcPr>
            <w:tcW w:w="932" w:type="dxa"/>
            <w:vAlign w:val="center"/>
          </w:tcPr>
          <w:p w14:paraId="16304643"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934" w:type="dxa"/>
            <w:vAlign w:val="center"/>
          </w:tcPr>
          <w:p w14:paraId="55043D33" w14:textId="77777777" w:rsidR="00D8645B" w:rsidRDefault="00D8645B" w:rsidP="00664D46">
            <w:pPr>
              <w:spacing w:line="360" w:lineRule="auto"/>
              <w:jc w:val="center"/>
            </w:pPr>
            <m:oMathPara>
              <m:oMath>
                <m:r>
                  <w:rPr>
                    <w:rFonts w:ascii="Cambria Math" w:hAnsi="Cambria Math"/>
                  </w:rPr>
                  <m:t>1</m:t>
                </m:r>
              </m:oMath>
            </m:oMathPara>
          </w:p>
        </w:tc>
        <w:tc>
          <w:tcPr>
            <w:tcW w:w="933" w:type="dxa"/>
            <w:vAlign w:val="center"/>
          </w:tcPr>
          <w:p w14:paraId="1EACA499"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cB</m:t>
                    </m:r>
                  </m:e>
                  <m:sub>
                    <m:r>
                      <w:rPr>
                        <w:rFonts w:ascii="Cambria Math" w:hAnsi="Cambria Math"/>
                      </w:rPr>
                      <m:t>1</m:t>
                    </m:r>
                  </m:sub>
                </m:sSub>
              </m:oMath>
            </m:oMathPara>
          </w:p>
        </w:tc>
        <w:tc>
          <w:tcPr>
            <w:tcW w:w="934" w:type="dxa"/>
            <w:vAlign w:val="center"/>
          </w:tcPr>
          <w:p w14:paraId="6033379B" w14:textId="77777777" w:rsidR="00D8645B" w:rsidRDefault="00D8645B" w:rsidP="00664D46">
            <w:pPr>
              <w:spacing w:line="360" w:lineRule="auto"/>
              <w:jc w:val="center"/>
            </w:pPr>
            <m:oMathPara>
              <m:oMath>
                <m:r>
                  <w:rPr>
                    <w:rFonts w:ascii="Cambria Math" w:hAnsi="Cambria Math"/>
                  </w:rPr>
                  <m:t>1</m:t>
                </m:r>
              </m:oMath>
            </m:oMathPara>
          </w:p>
        </w:tc>
        <w:tc>
          <w:tcPr>
            <w:tcW w:w="932" w:type="dxa"/>
            <w:vAlign w:val="center"/>
          </w:tcPr>
          <w:p w14:paraId="27E90DBA" w14:textId="77777777" w:rsidR="00D8645B" w:rsidRDefault="00D8645B" w:rsidP="00664D46">
            <w:pPr>
              <w:spacing w:line="360" w:lineRule="auto"/>
              <w:jc w:val="center"/>
            </w:pPr>
            <w:r>
              <w:t>0</w:t>
            </w:r>
          </w:p>
        </w:tc>
        <w:tc>
          <w:tcPr>
            <w:tcW w:w="816" w:type="dxa"/>
            <w:vAlign w:val="center"/>
          </w:tcPr>
          <w:p w14:paraId="32C058EF" w14:textId="77777777" w:rsidR="00D8645B" w:rsidRDefault="00D8645B" w:rsidP="00664D46">
            <w:pPr>
              <w:spacing w:line="360" w:lineRule="auto"/>
              <w:jc w:val="center"/>
            </w:pPr>
            <m:oMathPara>
              <m:oMath>
                <m:r>
                  <w:rPr>
                    <w:rFonts w:ascii="Cambria Math" w:hAnsi="Cambria Math"/>
                  </w:rPr>
                  <m:t>1</m:t>
                </m:r>
              </m:oMath>
            </m:oMathPara>
          </w:p>
        </w:tc>
        <w:tc>
          <w:tcPr>
            <w:tcW w:w="2421" w:type="dxa"/>
            <w:vAlign w:val="center"/>
          </w:tcPr>
          <w:p w14:paraId="1820A3CA"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cB</m:t>
                    </m:r>
                  </m:e>
                  <m:sub>
                    <m:r>
                      <w:rPr>
                        <w:rFonts w:ascii="Cambria Math" w:hAnsi="Cambria Math"/>
                      </w:rPr>
                      <m:t>1</m:t>
                    </m:r>
                  </m:sub>
                </m:sSub>
              </m:oMath>
            </m:oMathPara>
          </w:p>
        </w:tc>
      </w:tr>
      <w:tr w:rsidR="00D8645B" w14:paraId="17F8CB6E" w14:textId="77777777" w:rsidTr="00664D46">
        <w:tc>
          <w:tcPr>
            <w:tcW w:w="935" w:type="dxa"/>
            <w:vAlign w:val="center"/>
          </w:tcPr>
          <w:p w14:paraId="0481FAB7" w14:textId="77777777" w:rsidR="00D8645B" w:rsidRDefault="00D8645B" w:rsidP="00664D46">
            <w:pPr>
              <w:spacing w:line="360" w:lineRule="auto"/>
              <w:jc w:val="center"/>
            </w:pPr>
            <m:oMathPara>
              <m:oMath>
                <m:r>
                  <w:rPr>
                    <w:rFonts w:ascii="Cambria Math" w:hAnsi="Cambria Math"/>
                  </w:rPr>
                  <m:t>2</m:t>
                </m:r>
              </m:oMath>
            </m:oMathPara>
          </w:p>
        </w:tc>
        <w:tc>
          <w:tcPr>
            <w:tcW w:w="934" w:type="dxa"/>
            <w:vAlign w:val="center"/>
          </w:tcPr>
          <w:p w14:paraId="097BEBF7"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c>
          <w:tcPr>
            <w:tcW w:w="934" w:type="dxa"/>
            <w:vAlign w:val="center"/>
          </w:tcPr>
          <w:p w14:paraId="72182005" w14:textId="77777777" w:rsidR="00D8645B" w:rsidRDefault="00D8645B" w:rsidP="00664D46">
            <w:pPr>
              <w:spacing w:line="360" w:lineRule="auto"/>
              <w:jc w:val="center"/>
            </w:pPr>
            <m:oMathPara>
              <m:oMath>
                <m:r>
                  <w:rPr>
                    <w:rFonts w:ascii="Cambria Math" w:hAnsi="Cambria Math"/>
                  </w:rPr>
                  <m:t>2</m:t>
                </m:r>
              </m:oMath>
            </m:oMathPara>
          </w:p>
        </w:tc>
        <w:tc>
          <w:tcPr>
            <w:tcW w:w="932" w:type="dxa"/>
            <w:vAlign w:val="center"/>
          </w:tcPr>
          <w:p w14:paraId="22914FFC"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934" w:type="dxa"/>
            <w:vAlign w:val="center"/>
          </w:tcPr>
          <w:p w14:paraId="3BB64D3D" w14:textId="77777777" w:rsidR="00D8645B" w:rsidRDefault="00D8645B" w:rsidP="00664D46">
            <w:pPr>
              <w:spacing w:line="360" w:lineRule="auto"/>
              <w:jc w:val="center"/>
            </w:pPr>
            <m:oMathPara>
              <m:oMath>
                <m:r>
                  <w:rPr>
                    <w:rFonts w:ascii="Cambria Math" w:hAnsi="Cambria Math"/>
                  </w:rPr>
                  <m:t>2</m:t>
                </m:r>
              </m:oMath>
            </m:oMathPara>
          </w:p>
        </w:tc>
        <w:tc>
          <w:tcPr>
            <w:tcW w:w="933" w:type="dxa"/>
            <w:vAlign w:val="center"/>
          </w:tcPr>
          <w:p w14:paraId="5BBDFD11"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cB</m:t>
                    </m:r>
                  </m:e>
                  <m:sub>
                    <m:r>
                      <w:rPr>
                        <w:rFonts w:ascii="Cambria Math" w:hAnsi="Cambria Math"/>
                      </w:rPr>
                      <m:t>1</m:t>
                    </m:r>
                  </m:sub>
                </m:sSub>
              </m:oMath>
            </m:oMathPara>
          </w:p>
        </w:tc>
        <w:tc>
          <w:tcPr>
            <w:tcW w:w="934" w:type="dxa"/>
            <w:vAlign w:val="center"/>
          </w:tcPr>
          <w:p w14:paraId="22A26233" w14:textId="77777777" w:rsidR="00D8645B" w:rsidRDefault="00D8645B" w:rsidP="00664D46">
            <w:pPr>
              <w:spacing w:line="360" w:lineRule="auto"/>
              <w:jc w:val="center"/>
            </w:pPr>
            <m:oMathPara>
              <m:oMath>
                <m:r>
                  <w:rPr>
                    <w:rFonts w:ascii="Cambria Math" w:hAnsi="Cambria Math"/>
                  </w:rPr>
                  <m:t>2</m:t>
                </m:r>
              </m:oMath>
            </m:oMathPara>
          </w:p>
        </w:tc>
        <w:tc>
          <w:tcPr>
            <w:tcW w:w="932" w:type="dxa"/>
            <w:vAlign w:val="center"/>
          </w:tcPr>
          <w:p w14:paraId="4A9DFD04" w14:textId="77777777" w:rsidR="00D8645B" w:rsidRDefault="00D8645B" w:rsidP="00664D46">
            <w:pPr>
              <w:spacing w:line="360" w:lineRule="auto"/>
              <w:jc w:val="center"/>
            </w:pPr>
            <w:r>
              <w:t>0</w:t>
            </w:r>
          </w:p>
        </w:tc>
        <w:tc>
          <w:tcPr>
            <w:tcW w:w="816" w:type="dxa"/>
            <w:vAlign w:val="center"/>
          </w:tcPr>
          <w:p w14:paraId="2A006F07" w14:textId="77777777" w:rsidR="00D8645B" w:rsidRDefault="00D8645B" w:rsidP="00664D46">
            <w:pPr>
              <w:spacing w:line="360" w:lineRule="auto"/>
              <w:jc w:val="center"/>
            </w:pPr>
            <m:oMathPara>
              <m:oMath>
                <m:r>
                  <w:rPr>
                    <w:rFonts w:ascii="Cambria Math" w:hAnsi="Cambria Math"/>
                  </w:rPr>
                  <m:t>2</m:t>
                </m:r>
              </m:oMath>
            </m:oMathPara>
          </w:p>
        </w:tc>
        <w:tc>
          <w:tcPr>
            <w:tcW w:w="2421" w:type="dxa"/>
            <w:vAlign w:val="center"/>
          </w:tcPr>
          <w:p w14:paraId="6DB01A96"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cB</m:t>
                    </m:r>
                  </m:e>
                  <m:sub>
                    <m:r>
                      <w:rPr>
                        <w:rFonts w:ascii="Cambria Math" w:hAnsi="Cambria Math"/>
                      </w:rPr>
                      <m:t>1</m:t>
                    </m:r>
                  </m:sub>
                </m:sSub>
              </m:oMath>
            </m:oMathPara>
          </w:p>
        </w:tc>
      </w:tr>
      <w:tr w:rsidR="00D8645B" w14:paraId="4050B233" w14:textId="77777777" w:rsidTr="00664D46">
        <w:tc>
          <w:tcPr>
            <w:tcW w:w="935" w:type="dxa"/>
            <w:vAlign w:val="center"/>
          </w:tcPr>
          <w:p w14:paraId="3EA0F3D5" w14:textId="77777777" w:rsidR="00D8645B" w:rsidRDefault="00D8645B" w:rsidP="00664D46">
            <w:pPr>
              <w:spacing w:line="360" w:lineRule="auto"/>
              <w:jc w:val="center"/>
            </w:pPr>
            <m:oMathPara>
              <m:oMath>
                <m:r>
                  <w:rPr>
                    <w:rFonts w:ascii="Cambria Math" w:hAnsi="Cambria Math"/>
                  </w:rPr>
                  <m:t>3</m:t>
                </m:r>
              </m:oMath>
            </m:oMathPara>
          </w:p>
        </w:tc>
        <w:tc>
          <w:tcPr>
            <w:tcW w:w="934" w:type="dxa"/>
            <w:vAlign w:val="center"/>
          </w:tcPr>
          <w:p w14:paraId="3FB7070C"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c>
          <w:tcPr>
            <w:tcW w:w="934" w:type="dxa"/>
            <w:vAlign w:val="center"/>
          </w:tcPr>
          <w:p w14:paraId="6B963AF0" w14:textId="77777777" w:rsidR="00D8645B" w:rsidRDefault="00D8645B" w:rsidP="00664D46">
            <w:pPr>
              <w:spacing w:line="360" w:lineRule="auto"/>
              <w:jc w:val="center"/>
            </w:pPr>
            <m:oMathPara>
              <m:oMath>
                <m:r>
                  <w:rPr>
                    <w:rFonts w:ascii="Cambria Math" w:hAnsi="Cambria Math"/>
                  </w:rPr>
                  <m:t>3</m:t>
                </m:r>
              </m:oMath>
            </m:oMathPara>
          </w:p>
        </w:tc>
        <w:tc>
          <w:tcPr>
            <w:tcW w:w="932" w:type="dxa"/>
            <w:vAlign w:val="center"/>
          </w:tcPr>
          <w:p w14:paraId="7D5FF262"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934" w:type="dxa"/>
            <w:vAlign w:val="center"/>
          </w:tcPr>
          <w:p w14:paraId="64E29AB3" w14:textId="77777777" w:rsidR="00D8645B" w:rsidRDefault="00D8645B" w:rsidP="00664D46">
            <w:pPr>
              <w:spacing w:line="360" w:lineRule="auto"/>
              <w:jc w:val="center"/>
            </w:pPr>
            <m:oMathPara>
              <m:oMath>
                <m:r>
                  <w:rPr>
                    <w:rFonts w:ascii="Cambria Math" w:hAnsi="Cambria Math"/>
                  </w:rPr>
                  <m:t>3</m:t>
                </m:r>
              </m:oMath>
            </m:oMathPara>
          </w:p>
        </w:tc>
        <w:tc>
          <w:tcPr>
            <w:tcW w:w="933" w:type="dxa"/>
            <w:vAlign w:val="center"/>
          </w:tcPr>
          <w:p w14:paraId="6455C407"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cB</m:t>
                    </m:r>
                  </m:e>
                  <m:sub>
                    <m:r>
                      <w:rPr>
                        <w:rFonts w:ascii="Cambria Math" w:hAnsi="Cambria Math"/>
                      </w:rPr>
                      <m:t>1</m:t>
                    </m:r>
                  </m:sub>
                </m:sSub>
              </m:oMath>
            </m:oMathPara>
          </w:p>
        </w:tc>
        <w:tc>
          <w:tcPr>
            <w:tcW w:w="934" w:type="dxa"/>
            <w:vAlign w:val="center"/>
          </w:tcPr>
          <w:p w14:paraId="494E3C2D" w14:textId="77777777" w:rsidR="00D8645B" w:rsidRDefault="00D8645B" w:rsidP="00664D46">
            <w:pPr>
              <w:spacing w:line="360" w:lineRule="auto"/>
              <w:jc w:val="center"/>
            </w:pPr>
            <m:oMathPara>
              <m:oMath>
                <m:r>
                  <w:rPr>
                    <w:rFonts w:ascii="Cambria Math" w:hAnsi="Cambria Math"/>
                  </w:rPr>
                  <m:t>3</m:t>
                </m:r>
              </m:oMath>
            </m:oMathPara>
          </w:p>
        </w:tc>
        <w:tc>
          <w:tcPr>
            <w:tcW w:w="932" w:type="dxa"/>
            <w:vAlign w:val="center"/>
          </w:tcPr>
          <w:p w14:paraId="596758F2" w14:textId="77777777" w:rsidR="00D8645B" w:rsidRDefault="00D8645B" w:rsidP="00664D46">
            <w:pPr>
              <w:spacing w:line="360" w:lineRule="auto"/>
              <w:jc w:val="center"/>
            </w:pPr>
            <m:oMathPara>
              <m:oMath>
                <m:r>
                  <w:rPr>
                    <w:rFonts w:ascii="Cambria Math" w:hAnsi="Cambria Math"/>
                  </w:rPr>
                  <m:t>iB</m:t>
                </m:r>
              </m:oMath>
            </m:oMathPara>
          </w:p>
        </w:tc>
        <w:tc>
          <w:tcPr>
            <w:tcW w:w="816" w:type="dxa"/>
            <w:vAlign w:val="center"/>
          </w:tcPr>
          <w:p w14:paraId="6CCC2A81" w14:textId="77777777" w:rsidR="00D8645B" w:rsidRDefault="00D8645B" w:rsidP="00664D46">
            <w:pPr>
              <w:spacing w:line="360" w:lineRule="auto"/>
              <w:jc w:val="center"/>
            </w:pPr>
            <m:oMathPara>
              <m:oMath>
                <m:r>
                  <w:rPr>
                    <w:rFonts w:ascii="Cambria Math" w:hAnsi="Cambria Math"/>
                  </w:rPr>
                  <m:t>3</m:t>
                </m:r>
              </m:oMath>
            </m:oMathPara>
          </w:p>
        </w:tc>
        <w:tc>
          <w:tcPr>
            <w:tcW w:w="2421" w:type="dxa"/>
            <w:vAlign w:val="center"/>
          </w:tcPr>
          <w:p w14:paraId="6F879AF6"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cB</m:t>
                    </m:r>
                  </m:e>
                  <m:sub>
                    <m:r>
                      <w:rPr>
                        <w:rFonts w:ascii="Cambria Math" w:hAnsi="Cambria Math"/>
                      </w:rPr>
                      <m:t>1</m:t>
                    </m:r>
                  </m:sub>
                </m:sSub>
                <m:r>
                  <w:rPr>
                    <w:rFonts w:ascii="Cambria Math" w:hAnsi="Cambria Math"/>
                  </w:rPr>
                  <m:t>+iB</m:t>
                </m:r>
              </m:oMath>
            </m:oMathPara>
          </w:p>
        </w:tc>
      </w:tr>
      <w:tr w:rsidR="00D8645B" w14:paraId="30C943F6" w14:textId="77777777" w:rsidTr="00664D46">
        <w:tc>
          <w:tcPr>
            <w:tcW w:w="935" w:type="dxa"/>
            <w:vAlign w:val="center"/>
          </w:tcPr>
          <w:p w14:paraId="72D1187B"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5AA50B3C"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08ACF403"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6E19CA30"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6E6E8EFE" w14:textId="77777777" w:rsidR="00D8645B" w:rsidRDefault="00D8645B" w:rsidP="00664D46">
            <w:pPr>
              <w:spacing w:line="360" w:lineRule="auto"/>
              <w:jc w:val="center"/>
            </w:pPr>
            <m:oMathPara>
              <m:oMath>
                <m:r>
                  <w:rPr>
                    <w:rFonts w:ascii="Cambria Math" w:hAnsi="Cambria Math"/>
                  </w:rPr>
                  <m:t>⋯</m:t>
                </m:r>
              </m:oMath>
            </m:oMathPara>
          </w:p>
        </w:tc>
        <w:tc>
          <w:tcPr>
            <w:tcW w:w="933" w:type="dxa"/>
            <w:vAlign w:val="center"/>
          </w:tcPr>
          <w:p w14:paraId="22709458"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53F7C75D"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63A81AFE" w14:textId="77777777" w:rsidR="00D8645B" w:rsidRDefault="00D8645B" w:rsidP="00664D46">
            <w:pPr>
              <w:spacing w:line="360" w:lineRule="auto"/>
              <w:jc w:val="center"/>
            </w:pPr>
            <m:oMathPara>
              <m:oMath>
                <m:r>
                  <w:rPr>
                    <w:rFonts w:ascii="Cambria Math" w:hAnsi="Cambria Math"/>
                  </w:rPr>
                  <m:t>⋯</m:t>
                </m:r>
              </m:oMath>
            </m:oMathPara>
          </w:p>
        </w:tc>
        <w:tc>
          <w:tcPr>
            <w:tcW w:w="816" w:type="dxa"/>
            <w:vAlign w:val="center"/>
          </w:tcPr>
          <w:p w14:paraId="432064CE" w14:textId="77777777" w:rsidR="00D8645B" w:rsidRDefault="00D8645B" w:rsidP="00664D46">
            <w:pPr>
              <w:spacing w:line="360" w:lineRule="auto"/>
              <w:jc w:val="center"/>
            </w:pPr>
            <m:oMathPara>
              <m:oMath>
                <m:r>
                  <w:rPr>
                    <w:rFonts w:ascii="Cambria Math" w:hAnsi="Cambria Math"/>
                  </w:rPr>
                  <m:t>⋯</m:t>
                </m:r>
              </m:oMath>
            </m:oMathPara>
          </w:p>
        </w:tc>
        <w:tc>
          <w:tcPr>
            <w:tcW w:w="2421" w:type="dxa"/>
            <w:vAlign w:val="center"/>
          </w:tcPr>
          <w:p w14:paraId="4CC80734" w14:textId="77777777" w:rsidR="00D8645B" w:rsidRDefault="00D8645B" w:rsidP="00664D46">
            <w:pPr>
              <w:spacing w:line="360" w:lineRule="auto"/>
              <w:jc w:val="center"/>
            </w:pPr>
            <m:oMathPara>
              <m:oMath>
                <m:r>
                  <w:rPr>
                    <w:rFonts w:ascii="Cambria Math" w:hAnsi="Cambria Math"/>
                  </w:rPr>
                  <m:t>⋯</m:t>
                </m:r>
              </m:oMath>
            </m:oMathPara>
          </w:p>
        </w:tc>
      </w:tr>
      <w:tr w:rsidR="00D8645B" w14:paraId="7A1997EE" w14:textId="77777777" w:rsidTr="00664D46">
        <w:tc>
          <w:tcPr>
            <w:tcW w:w="935" w:type="dxa"/>
            <w:vAlign w:val="center"/>
          </w:tcPr>
          <w:p w14:paraId="344107B0" w14:textId="77777777" w:rsidR="00D8645B" w:rsidRDefault="00D8645B" w:rsidP="00664D46">
            <w:pPr>
              <w:spacing w:line="360" w:lineRule="auto"/>
              <w:jc w:val="center"/>
            </w:pPr>
            <w:r>
              <w:t>200</w:t>
            </w:r>
          </w:p>
        </w:tc>
        <w:tc>
          <w:tcPr>
            <w:tcW w:w="934" w:type="dxa"/>
            <w:vAlign w:val="center"/>
          </w:tcPr>
          <w:p w14:paraId="3DD0C42D"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200</m:t>
                    </m:r>
                  </m:sub>
                </m:sSub>
              </m:oMath>
            </m:oMathPara>
          </w:p>
        </w:tc>
        <w:tc>
          <w:tcPr>
            <w:tcW w:w="934" w:type="dxa"/>
            <w:vAlign w:val="center"/>
          </w:tcPr>
          <w:p w14:paraId="0D02D901" w14:textId="77777777" w:rsidR="00D8645B" w:rsidRDefault="00D8645B" w:rsidP="00664D46">
            <w:pPr>
              <w:spacing w:line="360" w:lineRule="auto"/>
              <w:jc w:val="center"/>
            </w:pPr>
            <w:r>
              <w:t>200</w:t>
            </w:r>
          </w:p>
        </w:tc>
        <w:tc>
          <w:tcPr>
            <w:tcW w:w="932" w:type="dxa"/>
            <w:vAlign w:val="center"/>
          </w:tcPr>
          <w:p w14:paraId="414BA8FF"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934" w:type="dxa"/>
            <w:vAlign w:val="center"/>
          </w:tcPr>
          <w:p w14:paraId="0E9F09DE" w14:textId="77777777" w:rsidR="00D8645B" w:rsidRDefault="00D8645B" w:rsidP="00664D46">
            <w:pPr>
              <w:spacing w:line="360" w:lineRule="auto"/>
              <w:jc w:val="center"/>
            </w:pPr>
            <w:r>
              <w:t>200</w:t>
            </w:r>
          </w:p>
        </w:tc>
        <w:tc>
          <w:tcPr>
            <w:tcW w:w="933" w:type="dxa"/>
            <w:vAlign w:val="center"/>
          </w:tcPr>
          <w:p w14:paraId="064A4B37"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cB</m:t>
                    </m:r>
                  </m:e>
                  <m:sub>
                    <m:r>
                      <w:rPr>
                        <w:rFonts w:ascii="Cambria Math" w:hAnsi="Cambria Math"/>
                      </w:rPr>
                      <m:t>1</m:t>
                    </m:r>
                  </m:sub>
                </m:sSub>
              </m:oMath>
            </m:oMathPara>
          </w:p>
        </w:tc>
        <w:tc>
          <w:tcPr>
            <w:tcW w:w="934" w:type="dxa"/>
            <w:vAlign w:val="center"/>
          </w:tcPr>
          <w:p w14:paraId="6B342DFB" w14:textId="77777777" w:rsidR="00D8645B" w:rsidRDefault="00D8645B" w:rsidP="00664D46">
            <w:pPr>
              <w:spacing w:line="360" w:lineRule="auto"/>
              <w:jc w:val="center"/>
            </w:pPr>
            <w:r>
              <w:t>200</w:t>
            </w:r>
          </w:p>
        </w:tc>
        <w:tc>
          <w:tcPr>
            <w:tcW w:w="932" w:type="dxa"/>
            <w:vAlign w:val="center"/>
          </w:tcPr>
          <w:p w14:paraId="4BD4EE71" w14:textId="77777777" w:rsidR="00D8645B" w:rsidRDefault="00D8645B" w:rsidP="00664D46">
            <w:pPr>
              <w:spacing w:line="360" w:lineRule="auto"/>
              <w:jc w:val="center"/>
            </w:pPr>
            <w:r>
              <w:t>0</w:t>
            </w:r>
          </w:p>
        </w:tc>
        <w:tc>
          <w:tcPr>
            <w:tcW w:w="816" w:type="dxa"/>
            <w:vAlign w:val="center"/>
          </w:tcPr>
          <w:p w14:paraId="42CC536C" w14:textId="77777777" w:rsidR="00D8645B" w:rsidRDefault="00D8645B" w:rsidP="00664D46">
            <w:pPr>
              <w:spacing w:line="360" w:lineRule="auto"/>
              <w:jc w:val="center"/>
            </w:pPr>
            <w:r>
              <w:t>200</w:t>
            </w:r>
          </w:p>
        </w:tc>
        <w:tc>
          <w:tcPr>
            <w:tcW w:w="2421" w:type="dxa"/>
            <w:vAlign w:val="center"/>
          </w:tcPr>
          <w:p w14:paraId="33A91F11"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200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cB</m:t>
                    </m:r>
                  </m:e>
                  <m:sub>
                    <m:r>
                      <w:rPr>
                        <w:rFonts w:ascii="Cambria Math" w:hAnsi="Cambria Math"/>
                      </w:rPr>
                      <m:t>1</m:t>
                    </m:r>
                  </m:sub>
                </m:sSub>
              </m:oMath>
            </m:oMathPara>
          </w:p>
        </w:tc>
      </w:tr>
      <w:tr w:rsidR="00D8645B" w14:paraId="2155798B" w14:textId="77777777" w:rsidTr="00664D46">
        <w:tc>
          <w:tcPr>
            <w:tcW w:w="935" w:type="dxa"/>
            <w:vAlign w:val="center"/>
          </w:tcPr>
          <w:p w14:paraId="42E66D9D" w14:textId="77777777" w:rsidR="00D8645B" w:rsidRDefault="00D8645B" w:rsidP="00664D46">
            <w:pPr>
              <w:spacing w:line="360" w:lineRule="auto"/>
              <w:jc w:val="center"/>
              <w:rPr>
                <w:rFonts w:eastAsia="Calibri"/>
              </w:rPr>
            </w:pPr>
            <w:r>
              <w:rPr>
                <w:rFonts w:eastAsia="Calibri"/>
              </w:rPr>
              <w:t>201</w:t>
            </w:r>
          </w:p>
        </w:tc>
        <w:tc>
          <w:tcPr>
            <w:tcW w:w="934" w:type="dxa"/>
            <w:vAlign w:val="center"/>
          </w:tcPr>
          <w:p w14:paraId="1D07E618"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201</m:t>
                    </m:r>
                  </m:sub>
                </m:sSub>
              </m:oMath>
            </m:oMathPara>
          </w:p>
        </w:tc>
        <w:tc>
          <w:tcPr>
            <w:tcW w:w="934" w:type="dxa"/>
            <w:vAlign w:val="center"/>
          </w:tcPr>
          <w:p w14:paraId="5312FA30" w14:textId="77777777" w:rsidR="00D8645B" w:rsidRDefault="00D8645B" w:rsidP="00664D46">
            <w:pPr>
              <w:spacing w:line="360" w:lineRule="auto"/>
              <w:jc w:val="center"/>
              <w:rPr>
                <w:rFonts w:eastAsia="Calibri"/>
              </w:rPr>
            </w:pPr>
            <w:r>
              <w:rPr>
                <w:rFonts w:eastAsia="Calibri"/>
              </w:rPr>
              <w:t>201</w:t>
            </w:r>
          </w:p>
        </w:tc>
        <w:tc>
          <w:tcPr>
            <w:tcW w:w="932" w:type="dxa"/>
            <w:vAlign w:val="center"/>
          </w:tcPr>
          <w:p w14:paraId="1A14EA9E"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c>
        <w:tc>
          <w:tcPr>
            <w:tcW w:w="934" w:type="dxa"/>
            <w:vAlign w:val="center"/>
          </w:tcPr>
          <w:p w14:paraId="2F796772" w14:textId="77777777" w:rsidR="00D8645B" w:rsidRDefault="00D8645B" w:rsidP="00664D46">
            <w:pPr>
              <w:spacing w:line="360" w:lineRule="auto"/>
              <w:jc w:val="center"/>
              <w:rPr>
                <w:rFonts w:eastAsia="Calibri"/>
              </w:rPr>
            </w:pPr>
            <w:r>
              <w:rPr>
                <w:rFonts w:eastAsia="Calibri"/>
              </w:rPr>
              <w:t>201</w:t>
            </w:r>
          </w:p>
        </w:tc>
        <w:tc>
          <w:tcPr>
            <w:tcW w:w="933" w:type="dxa"/>
            <w:vAlign w:val="center"/>
          </w:tcPr>
          <w:p w14:paraId="5F825528"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cB</m:t>
                    </m:r>
                  </m:e>
                  <m:sub>
                    <m:r>
                      <w:rPr>
                        <w:rFonts w:ascii="Cambria Math" w:hAnsi="Cambria Math"/>
                      </w:rPr>
                      <m:t>1</m:t>
                    </m:r>
                  </m:sub>
                </m:sSub>
              </m:oMath>
            </m:oMathPara>
          </w:p>
        </w:tc>
        <w:tc>
          <w:tcPr>
            <w:tcW w:w="934" w:type="dxa"/>
            <w:vAlign w:val="center"/>
          </w:tcPr>
          <w:p w14:paraId="2609CA15" w14:textId="77777777" w:rsidR="00D8645B" w:rsidRDefault="00D8645B" w:rsidP="00664D46">
            <w:pPr>
              <w:spacing w:line="360" w:lineRule="auto"/>
              <w:jc w:val="center"/>
              <w:rPr>
                <w:rFonts w:eastAsia="Calibri"/>
              </w:rPr>
            </w:pPr>
            <w:r>
              <w:rPr>
                <w:rFonts w:eastAsia="Calibri"/>
              </w:rPr>
              <w:t>201</w:t>
            </w:r>
          </w:p>
        </w:tc>
        <w:tc>
          <w:tcPr>
            <w:tcW w:w="932" w:type="dxa"/>
            <w:vAlign w:val="center"/>
          </w:tcPr>
          <w:p w14:paraId="609A4658" w14:textId="77777777" w:rsidR="00D8645B" w:rsidRDefault="00D8645B" w:rsidP="00664D46">
            <w:pPr>
              <w:spacing w:line="360" w:lineRule="auto"/>
              <w:jc w:val="center"/>
            </w:pPr>
            <m:oMathPara>
              <m:oMath>
                <m:r>
                  <w:rPr>
                    <w:rFonts w:ascii="Cambria Math" w:hAnsi="Cambria Math"/>
                  </w:rPr>
                  <m:t>iB</m:t>
                </m:r>
              </m:oMath>
            </m:oMathPara>
          </w:p>
        </w:tc>
        <w:tc>
          <w:tcPr>
            <w:tcW w:w="816" w:type="dxa"/>
            <w:vAlign w:val="center"/>
          </w:tcPr>
          <w:p w14:paraId="19897916" w14:textId="77777777" w:rsidR="00D8645B" w:rsidRDefault="00D8645B" w:rsidP="00664D46">
            <w:pPr>
              <w:spacing w:line="360" w:lineRule="auto"/>
              <w:jc w:val="center"/>
              <w:rPr>
                <w:rFonts w:eastAsia="Calibri"/>
              </w:rPr>
            </w:pPr>
            <w:r>
              <w:rPr>
                <w:rFonts w:eastAsia="Calibri"/>
              </w:rPr>
              <w:t>201</w:t>
            </w:r>
          </w:p>
        </w:tc>
        <w:tc>
          <w:tcPr>
            <w:tcW w:w="2421" w:type="dxa"/>
            <w:vAlign w:val="center"/>
          </w:tcPr>
          <w:p w14:paraId="49F6EFAC"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201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cB</m:t>
                    </m:r>
                  </m:e>
                  <m:sub>
                    <m:r>
                      <w:rPr>
                        <w:rFonts w:ascii="Cambria Math" w:hAnsi="Cambria Math"/>
                      </w:rPr>
                      <m:t>2</m:t>
                    </m:r>
                  </m:sub>
                </m:sSub>
                <m:r>
                  <w:rPr>
                    <w:rFonts w:ascii="Cambria Math" w:hAnsi="Cambria Math"/>
                  </w:rPr>
                  <m:t>+iB</m:t>
                </m:r>
              </m:oMath>
            </m:oMathPara>
          </w:p>
        </w:tc>
      </w:tr>
      <w:tr w:rsidR="00D8645B" w14:paraId="36E64DDC" w14:textId="77777777" w:rsidTr="00664D46">
        <w:tc>
          <w:tcPr>
            <w:tcW w:w="935" w:type="dxa"/>
            <w:vAlign w:val="center"/>
          </w:tcPr>
          <w:p w14:paraId="67249E17"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02D1B4F9"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4218550D"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3A83AE17"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68BA7514" w14:textId="77777777" w:rsidR="00D8645B" w:rsidRDefault="00D8645B" w:rsidP="00664D46">
            <w:pPr>
              <w:spacing w:line="360" w:lineRule="auto"/>
              <w:jc w:val="center"/>
            </w:pPr>
            <m:oMathPara>
              <m:oMath>
                <m:r>
                  <w:rPr>
                    <w:rFonts w:ascii="Cambria Math" w:hAnsi="Cambria Math"/>
                  </w:rPr>
                  <m:t>⋯</m:t>
                </m:r>
              </m:oMath>
            </m:oMathPara>
          </w:p>
        </w:tc>
        <w:tc>
          <w:tcPr>
            <w:tcW w:w="933" w:type="dxa"/>
            <w:vAlign w:val="center"/>
          </w:tcPr>
          <w:p w14:paraId="542A8078"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7D8F4D43"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7D940317" w14:textId="77777777" w:rsidR="00D8645B" w:rsidRDefault="00D8645B" w:rsidP="00664D46">
            <w:pPr>
              <w:spacing w:line="360" w:lineRule="auto"/>
              <w:jc w:val="center"/>
            </w:pPr>
            <m:oMathPara>
              <m:oMath>
                <m:r>
                  <w:rPr>
                    <w:rFonts w:ascii="Cambria Math" w:hAnsi="Cambria Math"/>
                  </w:rPr>
                  <m:t>⋯</m:t>
                </m:r>
              </m:oMath>
            </m:oMathPara>
          </w:p>
        </w:tc>
        <w:tc>
          <w:tcPr>
            <w:tcW w:w="816" w:type="dxa"/>
            <w:vAlign w:val="center"/>
          </w:tcPr>
          <w:p w14:paraId="32477E05" w14:textId="77777777" w:rsidR="00D8645B" w:rsidRDefault="00D8645B" w:rsidP="00664D46">
            <w:pPr>
              <w:spacing w:line="360" w:lineRule="auto"/>
              <w:jc w:val="center"/>
            </w:pPr>
            <m:oMathPara>
              <m:oMath>
                <m:r>
                  <w:rPr>
                    <w:rFonts w:ascii="Cambria Math" w:hAnsi="Cambria Math"/>
                  </w:rPr>
                  <m:t>⋯</m:t>
                </m:r>
              </m:oMath>
            </m:oMathPara>
          </w:p>
        </w:tc>
        <w:tc>
          <w:tcPr>
            <w:tcW w:w="2421" w:type="dxa"/>
            <w:vAlign w:val="center"/>
          </w:tcPr>
          <w:p w14:paraId="7BBA589C" w14:textId="77777777" w:rsidR="00D8645B" w:rsidRDefault="00D8645B" w:rsidP="00664D46">
            <w:pPr>
              <w:spacing w:line="360" w:lineRule="auto"/>
              <w:jc w:val="center"/>
            </w:pPr>
            <m:oMathPara>
              <m:oMath>
                <m:r>
                  <w:rPr>
                    <w:rFonts w:ascii="Cambria Math" w:hAnsi="Cambria Math"/>
                  </w:rPr>
                  <m:t>⋯</m:t>
                </m:r>
              </m:oMath>
            </m:oMathPara>
          </w:p>
        </w:tc>
      </w:tr>
      <w:tr w:rsidR="00D8645B" w14:paraId="5A55DA16" w14:textId="77777777" w:rsidTr="00664D46">
        <w:tc>
          <w:tcPr>
            <w:tcW w:w="935" w:type="dxa"/>
            <w:vAlign w:val="center"/>
          </w:tcPr>
          <w:p w14:paraId="3C45CE0F" w14:textId="77777777" w:rsidR="00D8645B" w:rsidRDefault="00D8645B" w:rsidP="00664D46">
            <w:pPr>
              <w:spacing w:line="360" w:lineRule="auto"/>
              <w:jc w:val="center"/>
            </w:pPr>
            <w:r>
              <w:t>400</w:t>
            </w:r>
          </w:p>
        </w:tc>
        <w:tc>
          <w:tcPr>
            <w:tcW w:w="934" w:type="dxa"/>
            <w:vAlign w:val="center"/>
          </w:tcPr>
          <w:p w14:paraId="5CFEE6D2"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400</m:t>
                    </m:r>
                  </m:sub>
                </m:sSub>
              </m:oMath>
            </m:oMathPara>
          </w:p>
        </w:tc>
        <w:tc>
          <w:tcPr>
            <w:tcW w:w="934" w:type="dxa"/>
            <w:vAlign w:val="center"/>
          </w:tcPr>
          <w:p w14:paraId="39E9EA2B" w14:textId="77777777" w:rsidR="00D8645B" w:rsidRDefault="00D8645B" w:rsidP="00664D46">
            <w:pPr>
              <w:spacing w:line="360" w:lineRule="auto"/>
              <w:jc w:val="center"/>
            </w:pPr>
            <w:r>
              <w:t>400</w:t>
            </w:r>
          </w:p>
        </w:tc>
        <w:tc>
          <w:tcPr>
            <w:tcW w:w="932" w:type="dxa"/>
            <w:vAlign w:val="center"/>
          </w:tcPr>
          <w:p w14:paraId="5DC95254"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c>
        <w:tc>
          <w:tcPr>
            <w:tcW w:w="934" w:type="dxa"/>
            <w:vAlign w:val="center"/>
          </w:tcPr>
          <w:p w14:paraId="0F685123" w14:textId="77777777" w:rsidR="00D8645B" w:rsidRDefault="00D8645B" w:rsidP="00664D46">
            <w:pPr>
              <w:spacing w:line="360" w:lineRule="auto"/>
              <w:jc w:val="center"/>
            </w:pPr>
            <w:r>
              <w:t>400</w:t>
            </w:r>
          </w:p>
        </w:tc>
        <w:tc>
          <w:tcPr>
            <w:tcW w:w="933" w:type="dxa"/>
            <w:vAlign w:val="center"/>
          </w:tcPr>
          <w:p w14:paraId="2FFD5F6B"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cB</m:t>
                    </m:r>
                  </m:e>
                  <m:sub>
                    <m:r>
                      <w:rPr>
                        <w:rFonts w:ascii="Cambria Math" w:hAnsi="Cambria Math"/>
                      </w:rPr>
                      <m:t>2</m:t>
                    </m:r>
                  </m:sub>
                </m:sSub>
              </m:oMath>
            </m:oMathPara>
          </w:p>
        </w:tc>
        <w:tc>
          <w:tcPr>
            <w:tcW w:w="934" w:type="dxa"/>
            <w:vAlign w:val="center"/>
          </w:tcPr>
          <w:p w14:paraId="26424C16" w14:textId="77777777" w:rsidR="00D8645B" w:rsidRDefault="00D8645B" w:rsidP="00664D46">
            <w:pPr>
              <w:spacing w:line="360" w:lineRule="auto"/>
              <w:jc w:val="center"/>
            </w:pPr>
            <w:r>
              <w:t>400</w:t>
            </w:r>
          </w:p>
        </w:tc>
        <w:tc>
          <w:tcPr>
            <w:tcW w:w="932" w:type="dxa"/>
            <w:vAlign w:val="center"/>
          </w:tcPr>
          <w:p w14:paraId="586DB504" w14:textId="77777777" w:rsidR="00D8645B" w:rsidRDefault="00D8645B" w:rsidP="00664D46">
            <w:pPr>
              <w:spacing w:line="360" w:lineRule="auto"/>
              <w:jc w:val="center"/>
            </w:pPr>
            <w:r>
              <w:t>0</w:t>
            </w:r>
          </w:p>
        </w:tc>
        <w:tc>
          <w:tcPr>
            <w:tcW w:w="816" w:type="dxa"/>
            <w:vAlign w:val="center"/>
          </w:tcPr>
          <w:p w14:paraId="03C6502B" w14:textId="77777777" w:rsidR="00D8645B" w:rsidRDefault="00D8645B" w:rsidP="00664D46">
            <w:pPr>
              <w:spacing w:line="360" w:lineRule="auto"/>
              <w:jc w:val="center"/>
            </w:pPr>
            <w:r>
              <w:t>400</w:t>
            </w:r>
          </w:p>
        </w:tc>
        <w:tc>
          <w:tcPr>
            <w:tcW w:w="2421" w:type="dxa"/>
            <w:vAlign w:val="center"/>
          </w:tcPr>
          <w:p w14:paraId="69FE42CE"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400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cB</m:t>
                    </m:r>
                  </m:e>
                  <m:sub>
                    <m:r>
                      <w:rPr>
                        <w:rFonts w:ascii="Cambria Math" w:hAnsi="Cambria Math"/>
                      </w:rPr>
                      <m:t>2</m:t>
                    </m:r>
                  </m:sub>
                </m:sSub>
              </m:oMath>
            </m:oMathPara>
          </w:p>
        </w:tc>
      </w:tr>
      <w:tr w:rsidR="00D8645B" w14:paraId="76C6AC20" w14:textId="77777777" w:rsidTr="00664D46">
        <w:tc>
          <w:tcPr>
            <w:tcW w:w="935" w:type="dxa"/>
            <w:vAlign w:val="center"/>
          </w:tcPr>
          <w:p w14:paraId="2A9C647F"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4CC82232"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34D4ABA3"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5DC94D07"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0E9CE3F5" w14:textId="77777777" w:rsidR="00D8645B" w:rsidRDefault="00D8645B" w:rsidP="00664D46">
            <w:pPr>
              <w:spacing w:line="360" w:lineRule="auto"/>
              <w:jc w:val="center"/>
            </w:pPr>
            <m:oMathPara>
              <m:oMath>
                <m:r>
                  <w:rPr>
                    <w:rFonts w:ascii="Cambria Math" w:hAnsi="Cambria Math"/>
                  </w:rPr>
                  <m:t>⋯</m:t>
                </m:r>
              </m:oMath>
            </m:oMathPara>
          </w:p>
        </w:tc>
        <w:tc>
          <w:tcPr>
            <w:tcW w:w="933" w:type="dxa"/>
            <w:vAlign w:val="center"/>
          </w:tcPr>
          <w:p w14:paraId="33E1DC63"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7AD08625"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2CB744E2" w14:textId="77777777" w:rsidR="00D8645B" w:rsidRDefault="00D8645B" w:rsidP="00664D46">
            <w:pPr>
              <w:spacing w:line="360" w:lineRule="auto"/>
              <w:jc w:val="center"/>
            </w:pPr>
            <m:oMathPara>
              <m:oMath>
                <m:r>
                  <w:rPr>
                    <w:rFonts w:ascii="Cambria Math" w:hAnsi="Cambria Math"/>
                  </w:rPr>
                  <m:t>⋯</m:t>
                </m:r>
              </m:oMath>
            </m:oMathPara>
          </w:p>
        </w:tc>
        <w:tc>
          <w:tcPr>
            <w:tcW w:w="816" w:type="dxa"/>
            <w:vAlign w:val="center"/>
          </w:tcPr>
          <w:p w14:paraId="0DDA6D4B" w14:textId="77777777" w:rsidR="00D8645B" w:rsidRDefault="00D8645B" w:rsidP="00664D46">
            <w:pPr>
              <w:spacing w:line="360" w:lineRule="auto"/>
              <w:jc w:val="center"/>
            </w:pPr>
            <m:oMathPara>
              <m:oMath>
                <m:r>
                  <w:rPr>
                    <w:rFonts w:ascii="Cambria Math" w:hAnsi="Cambria Math"/>
                  </w:rPr>
                  <m:t>⋯</m:t>
                </m:r>
              </m:oMath>
            </m:oMathPara>
          </w:p>
        </w:tc>
        <w:tc>
          <w:tcPr>
            <w:tcW w:w="2421" w:type="dxa"/>
            <w:vAlign w:val="center"/>
          </w:tcPr>
          <w:p w14:paraId="0F9F8BE6" w14:textId="77777777" w:rsidR="00D8645B" w:rsidRDefault="00D8645B" w:rsidP="00664D46">
            <w:pPr>
              <w:spacing w:line="360" w:lineRule="auto"/>
              <w:jc w:val="center"/>
            </w:pPr>
            <m:oMathPara>
              <m:oMath>
                <m:r>
                  <w:rPr>
                    <w:rFonts w:ascii="Cambria Math" w:hAnsi="Cambria Math"/>
                  </w:rPr>
                  <m:t>⋯</m:t>
                </m:r>
              </m:oMath>
            </m:oMathPara>
          </w:p>
        </w:tc>
      </w:tr>
      <w:tr w:rsidR="00D8645B" w14:paraId="45FC461A" w14:textId="77777777" w:rsidTr="00664D46">
        <w:tc>
          <w:tcPr>
            <w:tcW w:w="935" w:type="dxa"/>
            <w:vAlign w:val="center"/>
          </w:tcPr>
          <w:p w14:paraId="3EC642F5" w14:textId="77777777" w:rsidR="00D8645B" w:rsidRDefault="00D8645B" w:rsidP="00664D46">
            <w:pPr>
              <w:spacing w:line="360" w:lineRule="auto"/>
              <w:jc w:val="center"/>
            </w:pPr>
            <w:r>
              <w:t>1000</w:t>
            </w:r>
          </w:p>
        </w:tc>
        <w:tc>
          <w:tcPr>
            <w:tcW w:w="934" w:type="dxa"/>
            <w:vAlign w:val="center"/>
          </w:tcPr>
          <w:p w14:paraId="57038A3E"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1000</m:t>
                    </m:r>
                  </m:sub>
                </m:sSub>
              </m:oMath>
            </m:oMathPara>
          </w:p>
        </w:tc>
        <w:tc>
          <w:tcPr>
            <w:tcW w:w="934" w:type="dxa"/>
            <w:vAlign w:val="center"/>
          </w:tcPr>
          <w:p w14:paraId="3DDB532D" w14:textId="77777777" w:rsidR="00D8645B" w:rsidRDefault="00D8645B" w:rsidP="00664D46">
            <w:pPr>
              <w:spacing w:line="360" w:lineRule="auto"/>
              <w:jc w:val="center"/>
            </w:pPr>
            <w:r>
              <w:t>1000</w:t>
            </w:r>
          </w:p>
        </w:tc>
        <w:tc>
          <w:tcPr>
            <w:tcW w:w="932" w:type="dxa"/>
            <w:vAlign w:val="center"/>
          </w:tcPr>
          <w:p w14:paraId="2212B958"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5</m:t>
                    </m:r>
                  </m:sub>
                </m:sSub>
              </m:oMath>
            </m:oMathPara>
          </w:p>
        </w:tc>
        <w:tc>
          <w:tcPr>
            <w:tcW w:w="934" w:type="dxa"/>
            <w:vAlign w:val="center"/>
          </w:tcPr>
          <w:p w14:paraId="435D3032" w14:textId="77777777" w:rsidR="00D8645B" w:rsidRDefault="00D8645B" w:rsidP="00664D46">
            <w:pPr>
              <w:spacing w:line="360" w:lineRule="auto"/>
              <w:jc w:val="center"/>
            </w:pPr>
            <w:r>
              <w:t>1000</w:t>
            </w:r>
          </w:p>
        </w:tc>
        <w:tc>
          <w:tcPr>
            <w:tcW w:w="933" w:type="dxa"/>
            <w:vAlign w:val="center"/>
          </w:tcPr>
          <w:p w14:paraId="690ED616"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cB</m:t>
                    </m:r>
                  </m:e>
                  <m:sub>
                    <m:r>
                      <w:rPr>
                        <w:rFonts w:ascii="Cambria Math" w:hAnsi="Cambria Math"/>
                      </w:rPr>
                      <m:t>5</m:t>
                    </m:r>
                  </m:sub>
                </m:sSub>
              </m:oMath>
            </m:oMathPara>
          </w:p>
        </w:tc>
        <w:tc>
          <w:tcPr>
            <w:tcW w:w="934" w:type="dxa"/>
            <w:vAlign w:val="center"/>
          </w:tcPr>
          <w:p w14:paraId="793807B8" w14:textId="77777777" w:rsidR="00D8645B" w:rsidRDefault="00D8645B" w:rsidP="00664D46">
            <w:pPr>
              <w:spacing w:line="360" w:lineRule="auto"/>
              <w:jc w:val="center"/>
            </w:pPr>
            <w:r>
              <w:t>1000</w:t>
            </w:r>
          </w:p>
        </w:tc>
        <w:tc>
          <w:tcPr>
            <w:tcW w:w="932" w:type="dxa"/>
            <w:vAlign w:val="center"/>
          </w:tcPr>
          <w:p w14:paraId="758D161A" w14:textId="77777777" w:rsidR="00D8645B" w:rsidRDefault="00D8645B" w:rsidP="00664D46">
            <w:pPr>
              <w:spacing w:line="360" w:lineRule="auto"/>
              <w:jc w:val="center"/>
            </w:pPr>
            <w:r>
              <w:t>0</w:t>
            </w:r>
          </w:p>
        </w:tc>
        <w:tc>
          <w:tcPr>
            <w:tcW w:w="816" w:type="dxa"/>
            <w:vAlign w:val="center"/>
          </w:tcPr>
          <w:p w14:paraId="4095D1D1" w14:textId="77777777" w:rsidR="00D8645B" w:rsidRDefault="00D8645B" w:rsidP="00664D46">
            <w:pPr>
              <w:spacing w:line="360" w:lineRule="auto"/>
              <w:jc w:val="center"/>
            </w:pPr>
            <w:r>
              <w:t>1000</w:t>
            </w:r>
          </w:p>
        </w:tc>
        <w:tc>
          <w:tcPr>
            <w:tcW w:w="2421" w:type="dxa"/>
            <w:vAlign w:val="center"/>
          </w:tcPr>
          <w:p w14:paraId="4E9F07D5"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1000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cB</m:t>
                    </m:r>
                  </m:e>
                  <m:sub>
                    <m:r>
                      <w:rPr>
                        <w:rFonts w:ascii="Cambria Math" w:hAnsi="Cambria Math"/>
                      </w:rPr>
                      <m:t>5</m:t>
                    </m:r>
                  </m:sub>
                </m:sSub>
              </m:oMath>
            </m:oMathPara>
          </w:p>
        </w:tc>
      </w:tr>
      <w:tr w:rsidR="00D8645B" w14:paraId="66297494" w14:textId="77777777" w:rsidTr="00664D46">
        <w:tc>
          <w:tcPr>
            <w:tcW w:w="935" w:type="dxa"/>
            <w:vAlign w:val="center"/>
          </w:tcPr>
          <w:p w14:paraId="7A1A3779" w14:textId="77777777" w:rsidR="00D8645B" w:rsidRDefault="00D8645B" w:rsidP="00664D46">
            <w:pPr>
              <w:spacing w:line="360" w:lineRule="auto"/>
              <w:jc w:val="center"/>
            </w:pPr>
            <w:r>
              <w:t>1001</w:t>
            </w:r>
          </w:p>
        </w:tc>
        <w:tc>
          <w:tcPr>
            <w:tcW w:w="934" w:type="dxa"/>
            <w:vAlign w:val="center"/>
          </w:tcPr>
          <w:p w14:paraId="5ACF099A"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1001</m:t>
                    </m:r>
                  </m:sub>
                </m:sSub>
              </m:oMath>
            </m:oMathPara>
          </w:p>
        </w:tc>
        <w:tc>
          <w:tcPr>
            <w:tcW w:w="934" w:type="dxa"/>
            <w:vAlign w:val="center"/>
          </w:tcPr>
          <w:p w14:paraId="53B04178" w14:textId="77777777" w:rsidR="00D8645B" w:rsidRDefault="00D8645B" w:rsidP="00664D46">
            <w:pPr>
              <w:spacing w:line="360" w:lineRule="auto"/>
              <w:jc w:val="center"/>
            </w:pPr>
            <w:r>
              <w:t>1001</w:t>
            </w:r>
          </w:p>
        </w:tc>
        <w:tc>
          <w:tcPr>
            <w:tcW w:w="932" w:type="dxa"/>
            <w:vAlign w:val="center"/>
          </w:tcPr>
          <w:p w14:paraId="2BCC8158" w14:textId="77777777" w:rsidR="00D8645B" w:rsidRDefault="00D8645B" w:rsidP="00664D46">
            <w:pPr>
              <w:spacing w:line="360" w:lineRule="auto"/>
              <w:jc w:val="center"/>
            </w:pPr>
            <w:r>
              <w:t>0</w:t>
            </w:r>
          </w:p>
        </w:tc>
        <w:tc>
          <w:tcPr>
            <w:tcW w:w="934" w:type="dxa"/>
            <w:vAlign w:val="center"/>
          </w:tcPr>
          <w:p w14:paraId="5F8AE442" w14:textId="77777777" w:rsidR="00D8645B" w:rsidRDefault="00D8645B" w:rsidP="00664D46">
            <w:pPr>
              <w:spacing w:line="360" w:lineRule="auto"/>
              <w:jc w:val="center"/>
            </w:pPr>
            <w:r>
              <w:t>1001</w:t>
            </w:r>
          </w:p>
        </w:tc>
        <w:tc>
          <w:tcPr>
            <w:tcW w:w="933" w:type="dxa"/>
            <w:vAlign w:val="center"/>
          </w:tcPr>
          <w:p w14:paraId="6E63A944" w14:textId="77777777" w:rsidR="00D8645B" w:rsidRDefault="00D8645B" w:rsidP="00664D46">
            <w:pPr>
              <w:spacing w:line="360" w:lineRule="auto"/>
              <w:jc w:val="center"/>
            </w:pPr>
            <w:r>
              <w:t>0</w:t>
            </w:r>
          </w:p>
        </w:tc>
        <w:tc>
          <w:tcPr>
            <w:tcW w:w="934" w:type="dxa"/>
            <w:vAlign w:val="center"/>
          </w:tcPr>
          <w:p w14:paraId="0061881F" w14:textId="77777777" w:rsidR="00D8645B" w:rsidRDefault="00D8645B" w:rsidP="00664D46">
            <w:pPr>
              <w:spacing w:line="360" w:lineRule="auto"/>
              <w:jc w:val="center"/>
            </w:pPr>
            <w:r>
              <w:t>1001</w:t>
            </w:r>
          </w:p>
        </w:tc>
        <w:tc>
          <w:tcPr>
            <w:tcW w:w="932" w:type="dxa"/>
            <w:vAlign w:val="center"/>
          </w:tcPr>
          <w:p w14:paraId="38AFCED3" w14:textId="77777777" w:rsidR="00D8645B" w:rsidRDefault="00D8645B" w:rsidP="00664D46">
            <w:pPr>
              <w:spacing w:line="360" w:lineRule="auto"/>
              <w:jc w:val="center"/>
            </w:pPr>
            <w:r>
              <w:t>0</w:t>
            </w:r>
          </w:p>
        </w:tc>
        <w:tc>
          <w:tcPr>
            <w:tcW w:w="816" w:type="dxa"/>
            <w:vAlign w:val="center"/>
          </w:tcPr>
          <w:p w14:paraId="4B9E4C05" w14:textId="77777777" w:rsidR="00D8645B" w:rsidRDefault="00D8645B" w:rsidP="00664D46">
            <w:pPr>
              <w:spacing w:line="360" w:lineRule="auto"/>
              <w:jc w:val="center"/>
            </w:pPr>
            <w:r>
              <w:t>1001</w:t>
            </w:r>
          </w:p>
        </w:tc>
        <w:tc>
          <w:tcPr>
            <w:tcW w:w="2421" w:type="dxa"/>
            <w:vAlign w:val="center"/>
          </w:tcPr>
          <w:p w14:paraId="12D73C1A"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1001</m:t>
                    </m:r>
                  </m:sub>
                </m:sSub>
              </m:oMath>
            </m:oMathPara>
          </w:p>
        </w:tc>
      </w:tr>
      <w:tr w:rsidR="00D8645B" w14:paraId="51E27F82" w14:textId="77777777" w:rsidTr="00664D46">
        <w:tc>
          <w:tcPr>
            <w:tcW w:w="935" w:type="dxa"/>
            <w:vAlign w:val="center"/>
          </w:tcPr>
          <w:p w14:paraId="5F6A4860"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0B677953"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1BA60E97"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4C8A7B7D"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77B052EF" w14:textId="77777777" w:rsidR="00D8645B" w:rsidRDefault="00D8645B" w:rsidP="00664D46">
            <w:pPr>
              <w:spacing w:line="360" w:lineRule="auto"/>
              <w:jc w:val="center"/>
            </w:pPr>
            <m:oMathPara>
              <m:oMath>
                <m:r>
                  <w:rPr>
                    <w:rFonts w:ascii="Cambria Math" w:hAnsi="Cambria Math"/>
                  </w:rPr>
                  <m:t>⋯</m:t>
                </m:r>
              </m:oMath>
            </m:oMathPara>
          </w:p>
        </w:tc>
        <w:tc>
          <w:tcPr>
            <w:tcW w:w="933" w:type="dxa"/>
            <w:vAlign w:val="center"/>
          </w:tcPr>
          <w:p w14:paraId="426A8393"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0B4675D9"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2923B856" w14:textId="77777777" w:rsidR="00D8645B" w:rsidRDefault="00D8645B" w:rsidP="00664D46">
            <w:pPr>
              <w:spacing w:line="360" w:lineRule="auto"/>
              <w:jc w:val="center"/>
            </w:pPr>
            <m:oMathPara>
              <m:oMath>
                <m:r>
                  <w:rPr>
                    <w:rFonts w:ascii="Cambria Math" w:hAnsi="Cambria Math"/>
                  </w:rPr>
                  <m:t>⋯</m:t>
                </m:r>
              </m:oMath>
            </m:oMathPara>
          </w:p>
        </w:tc>
        <w:tc>
          <w:tcPr>
            <w:tcW w:w="816" w:type="dxa"/>
            <w:vAlign w:val="center"/>
          </w:tcPr>
          <w:p w14:paraId="5A637F0D" w14:textId="77777777" w:rsidR="00D8645B" w:rsidRDefault="00D8645B" w:rsidP="00664D46">
            <w:pPr>
              <w:spacing w:line="360" w:lineRule="auto"/>
              <w:jc w:val="center"/>
            </w:pPr>
            <m:oMathPara>
              <m:oMath>
                <m:r>
                  <w:rPr>
                    <w:rFonts w:ascii="Cambria Math" w:hAnsi="Cambria Math"/>
                  </w:rPr>
                  <m:t>⋯</m:t>
                </m:r>
              </m:oMath>
            </m:oMathPara>
          </w:p>
        </w:tc>
        <w:tc>
          <w:tcPr>
            <w:tcW w:w="2421" w:type="dxa"/>
            <w:vAlign w:val="center"/>
          </w:tcPr>
          <w:p w14:paraId="360DFE53" w14:textId="77777777" w:rsidR="00D8645B" w:rsidRDefault="00D8645B" w:rsidP="00664D46">
            <w:pPr>
              <w:spacing w:line="360" w:lineRule="auto"/>
              <w:jc w:val="center"/>
            </w:pPr>
            <m:oMathPara>
              <m:oMath>
                <m:r>
                  <w:rPr>
                    <w:rFonts w:ascii="Cambria Math" w:hAnsi="Cambria Math"/>
                  </w:rPr>
                  <m:t>⋯</m:t>
                </m:r>
              </m:oMath>
            </m:oMathPara>
          </w:p>
        </w:tc>
      </w:tr>
      <w:tr w:rsidR="00D8645B" w14:paraId="1979A110" w14:textId="77777777" w:rsidTr="00664D46">
        <w:tc>
          <w:tcPr>
            <w:tcW w:w="935" w:type="dxa"/>
            <w:vAlign w:val="center"/>
          </w:tcPr>
          <w:p w14:paraId="79427165" w14:textId="77777777" w:rsidR="00D8645B" w:rsidRDefault="00D8645B" w:rsidP="00664D46">
            <w:pPr>
              <w:spacing w:line="360" w:lineRule="auto"/>
              <w:jc w:val="center"/>
            </w:pPr>
            <w:r>
              <w:t>5893</w:t>
            </w:r>
          </w:p>
        </w:tc>
        <w:tc>
          <w:tcPr>
            <w:tcW w:w="934" w:type="dxa"/>
            <w:vAlign w:val="center"/>
          </w:tcPr>
          <w:p w14:paraId="0505215D"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5893</m:t>
                    </m:r>
                  </m:sub>
                </m:sSub>
              </m:oMath>
            </m:oMathPara>
          </w:p>
        </w:tc>
        <w:tc>
          <w:tcPr>
            <w:tcW w:w="934" w:type="dxa"/>
            <w:vAlign w:val="center"/>
          </w:tcPr>
          <w:p w14:paraId="30DD8F07" w14:textId="77777777" w:rsidR="00D8645B" w:rsidRDefault="00D8645B" w:rsidP="00664D46">
            <w:pPr>
              <w:spacing w:line="360" w:lineRule="auto"/>
              <w:jc w:val="center"/>
            </w:pPr>
            <w:r>
              <w:t>5893</w:t>
            </w:r>
          </w:p>
        </w:tc>
        <w:tc>
          <w:tcPr>
            <w:tcW w:w="932" w:type="dxa"/>
            <w:vAlign w:val="center"/>
          </w:tcPr>
          <w:p w14:paraId="3EC4D9C2" w14:textId="77777777" w:rsidR="00D8645B" w:rsidRDefault="00D8645B" w:rsidP="00664D46">
            <w:pPr>
              <w:spacing w:line="360" w:lineRule="auto"/>
              <w:jc w:val="center"/>
            </w:pPr>
            <w:r>
              <w:t>0</w:t>
            </w:r>
          </w:p>
        </w:tc>
        <w:tc>
          <w:tcPr>
            <w:tcW w:w="934" w:type="dxa"/>
            <w:vAlign w:val="center"/>
          </w:tcPr>
          <w:p w14:paraId="20E2B5A1" w14:textId="77777777" w:rsidR="00D8645B" w:rsidRDefault="00D8645B" w:rsidP="00664D46">
            <w:pPr>
              <w:spacing w:line="360" w:lineRule="auto"/>
              <w:jc w:val="center"/>
            </w:pPr>
            <w:r>
              <w:t>5893</w:t>
            </w:r>
          </w:p>
        </w:tc>
        <w:tc>
          <w:tcPr>
            <w:tcW w:w="933" w:type="dxa"/>
            <w:vAlign w:val="center"/>
          </w:tcPr>
          <w:p w14:paraId="345EA646" w14:textId="77777777" w:rsidR="00D8645B" w:rsidRDefault="00D8645B" w:rsidP="00664D46">
            <w:pPr>
              <w:spacing w:line="360" w:lineRule="auto"/>
              <w:jc w:val="center"/>
            </w:pPr>
            <w:r>
              <w:t>0</w:t>
            </w:r>
          </w:p>
        </w:tc>
        <w:tc>
          <w:tcPr>
            <w:tcW w:w="934" w:type="dxa"/>
            <w:vAlign w:val="center"/>
          </w:tcPr>
          <w:p w14:paraId="2E1D9B88" w14:textId="77777777" w:rsidR="00D8645B" w:rsidRDefault="00D8645B" w:rsidP="00664D46">
            <w:pPr>
              <w:spacing w:line="360" w:lineRule="auto"/>
              <w:jc w:val="center"/>
            </w:pPr>
            <w:r>
              <w:t>5893</w:t>
            </w:r>
          </w:p>
        </w:tc>
        <w:tc>
          <w:tcPr>
            <w:tcW w:w="932" w:type="dxa"/>
            <w:vAlign w:val="center"/>
          </w:tcPr>
          <w:p w14:paraId="40E46A8D" w14:textId="77777777" w:rsidR="00D8645B" w:rsidRDefault="00D8645B" w:rsidP="00664D46">
            <w:pPr>
              <w:spacing w:line="360" w:lineRule="auto"/>
              <w:jc w:val="center"/>
            </w:pPr>
            <m:oMathPara>
              <m:oMath>
                <m:r>
                  <w:rPr>
                    <w:rFonts w:ascii="Cambria Math" w:hAnsi="Cambria Math"/>
                  </w:rPr>
                  <m:t>iB</m:t>
                </m:r>
              </m:oMath>
            </m:oMathPara>
          </w:p>
        </w:tc>
        <w:tc>
          <w:tcPr>
            <w:tcW w:w="816" w:type="dxa"/>
            <w:vAlign w:val="center"/>
          </w:tcPr>
          <w:p w14:paraId="15D87B44" w14:textId="77777777" w:rsidR="00D8645B" w:rsidRDefault="00D8645B" w:rsidP="00664D46">
            <w:pPr>
              <w:spacing w:line="360" w:lineRule="auto"/>
              <w:jc w:val="center"/>
            </w:pPr>
            <w:r>
              <w:t>5893</w:t>
            </w:r>
          </w:p>
        </w:tc>
        <w:tc>
          <w:tcPr>
            <w:tcW w:w="2421" w:type="dxa"/>
            <w:vAlign w:val="center"/>
          </w:tcPr>
          <w:p w14:paraId="2CFDA397"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5893</m:t>
                    </m:r>
                  </m:sub>
                </m:sSub>
                <m:r>
                  <w:rPr>
                    <w:rFonts w:ascii="Cambria Math" w:hAnsi="Cambria Math"/>
                  </w:rPr>
                  <m:t>+iB</m:t>
                </m:r>
              </m:oMath>
            </m:oMathPara>
          </w:p>
        </w:tc>
      </w:tr>
      <w:tr w:rsidR="00D8645B" w14:paraId="0497121A" w14:textId="77777777" w:rsidTr="00664D46">
        <w:tc>
          <w:tcPr>
            <w:tcW w:w="935" w:type="dxa"/>
            <w:vAlign w:val="center"/>
          </w:tcPr>
          <w:p w14:paraId="6A24A80B"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1B4FA7E8"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59E93710"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62F23B19"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01D22991" w14:textId="77777777" w:rsidR="00D8645B" w:rsidRDefault="00D8645B" w:rsidP="00664D46">
            <w:pPr>
              <w:spacing w:line="360" w:lineRule="auto"/>
              <w:jc w:val="center"/>
            </w:pPr>
            <m:oMathPara>
              <m:oMath>
                <m:r>
                  <w:rPr>
                    <w:rFonts w:ascii="Cambria Math" w:hAnsi="Cambria Math"/>
                  </w:rPr>
                  <m:t>⋯</m:t>
                </m:r>
              </m:oMath>
            </m:oMathPara>
          </w:p>
        </w:tc>
        <w:tc>
          <w:tcPr>
            <w:tcW w:w="933" w:type="dxa"/>
            <w:vAlign w:val="center"/>
          </w:tcPr>
          <w:p w14:paraId="76916056" w14:textId="77777777" w:rsidR="00D8645B" w:rsidRDefault="00D8645B" w:rsidP="00664D46">
            <w:pPr>
              <w:spacing w:line="360" w:lineRule="auto"/>
              <w:jc w:val="center"/>
            </w:pPr>
            <m:oMathPara>
              <m:oMath>
                <m:r>
                  <w:rPr>
                    <w:rFonts w:ascii="Cambria Math" w:hAnsi="Cambria Math"/>
                  </w:rPr>
                  <m:t>⋯</m:t>
                </m:r>
              </m:oMath>
            </m:oMathPara>
          </w:p>
        </w:tc>
        <w:tc>
          <w:tcPr>
            <w:tcW w:w="934" w:type="dxa"/>
            <w:vAlign w:val="center"/>
          </w:tcPr>
          <w:p w14:paraId="4229BA15" w14:textId="77777777" w:rsidR="00D8645B" w:rsidRDefault="00D8645B" w:rsidP="00664D46">
            <w:pPr>
              <w:spacing w:line="360" w:lineRule="auto"/>
              <w:jc w:val="center"/>
            </w:pPr>
            <m:oMathPara>
              <m:oMath>
                <m:r>
                  <w:rPr>
                    <w:rFonts w:ascii="Cambria Math" w:hAnsi="Cambria Math"/>
                  </w:rPr>
                  <m:t>⋯</m:t>
                </m:r>
              </m:oMath>
            </m:oMathPara>
          </w:p>
        </w:tc>
        <w:tc>
          <w:tcPr>
            <w:tcW w:w="932" w:type="dxa"/>
            <w:vAlign w:val="center"/>
          </w:tcPr>
          <w:p w14:paraId="55D48554" w14:textId="77777777" w:rsidR="00D8645B" w:rsidRDefault="00D8645B" w:rsidP="00664D46">
            <w:pPr>
              <w:spacing w:line="360" w:lineRule="auto"/>
              <w:jc w:val="center"/>
            </w:pPr>
            <m:oMathPara>
              <m:oMath>
                <m:r>
                  <w:rPr>
                    <w:rFonts w:ascii="Cambria Math" w:hAnsi="Cambria Math"/>
                  </w:rPr>
                  <m:t>⋯</m:t>
                </m:r>
              </m:oMath>
            </m:oMathPara>
          </w:p>
        </w:tc>
        <w:tc>
          <w:tcPr>
            <w:tcW w:w="816" w:type="dxa"/>
            <w:vAlign w:val="center"/>
          </w:tcPr>
          <w:p w14:paraId="550BCF37" w14:textId="77777777" w:rsidR="00D8645B" w:rsidRDefault="00D8645B" w:rsidP="00664D46">
            <w:pPr>
              <w:spacing w:line="360" w:lineRule="auto"/>
              <w:jc w:val="center"/>
            </w:pPr>
            <m:oMathPara>
              <m:oMath>
                <m:r>
                  <w:rPr>
                    <w:rFonts w:ascii="Cambria Math" w:hAnsi="Cambria Math"/>
                  </w:rPr>
                  <m:t>⋯</m:t>
                </m:r>
              </m:oMath>
            </m:oMathPara>
          </w:p>
        </w:tc>
        <w:tc>
          <w:tcPr>
            <w:tcW w:w="2421" w:type="dxa"/>
            <w:vAlign w:val="center"/>
          </w:tcPr>
          <w:p w14:paraId="411959CE" w14:textId="77777777" w:rsidR="00D8645B" w:rsidRDefault="00D8645B" w:rsidP="00664D46">
            <w:pPr>
              <w:spacing w:line="360" w:lineRule="auto"/>
              <w:jc w:val="center"/>
            </w:pPr>
            <m:oMathPara>
              <m:oMath>
                <m:r>
                  <w:rPr>
                    <w:rFonts w:ascii="Cambria Math" w:hAnsi="Cambria Math"/>
                  </w:rPr>
                  <m:t>⋯</m:t>
                </m:r>
              </m:oMath>
            </m:oMathPara>
          </w:p>
        </w:tc>
      </w:tr>
      <w:tr w:rsidR="00D8645B" w14:paraId="28533C20" w14:textId="77777777" w:rsidTr="00664D46">
        <w:tc>
          <w:tcPr>
            <w:tcW w:w="935" w:type="dxa"/>
            <w:vAlign w:val="center"/>
          </w:tcPr>
          <w:p w14:paraId="329E0FE4" w14:textId="77777777" w:rsidR="00D8645B" w:rsidRDefault="00D8645B" w:rsidP="00664D46">
            <w:pPr>
              <w:spacing w:line="360" w:lineRule="auto"/>
              <w:jc w:val="center"/>
            </w:pPr>
            <w:r>
              <w:t>10000</w:t>
            </w:r>
          </w:p>
        </w:tc>
        <w:tc>
          <w:tcPr>
            <w:tcW w:w="934" w:type="dxa"/>
            <w:vAlign w:val="center"/>
          </w:tcPr>
          <w:p w14:paraId="74D46A41"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10000</m:t>
                    </m:r>
                  </m:sub>
                </m:sSub>
              </m:oMath>
            </m:oMathPara>
          </w:p>
        </w:tc>
        <w:tc>
          <w:tcPr>
            <w:tcW w:w="934" w:type="dxa"/>
            <w:vAlign w:val="center"/>
          </w:tcPr>
          <w:p w14:paraId="13FD23F2" w14:textId="77777777" w:rsidR="00D8645B" w:rsidRDefault="00D8645B" w:rsidP="00664D46">
            <w:pPr>
              <w:spacing w:line="360" w:lineRule="auto"/>
              <w:jc w:val="center"/>
            </w:pPr>
            <w:r>
              <w:t>10000</w:t>
            </w:r>
          </w:p>
        </w:tc>
        <w:tc>
          <w:tcPr>
            <w:tcW w:w="932" w:type="dxa"/>
            <w:vAlign w:val="center"/>
          </w:tcPr>
          <w:p w14:paraId="7158B6C7" w14:textId="77777777" w:rsidR="00D8645B" w:rsidRDefault="00D8645B" w:rsidP="00664D46">
            <w:pPr>
              <w:spacing w:line="360" w:lineRule="auto"/>
              <w:jc w:val="center"/>
            </w:pPr>
            <w:r>
              <w:t>0</w:t>
            </w:r>
          </w:p>
        </w:tc>
        <w:tc>
          <w:tcPr>
            <w:tcW w:w="934" w:type="dxa"/>
            <w:vAlign w:val="center"/>
          </w:tcPr>
          <w:p w14:paraId="7368F583" w14:textId="77777777" w:rsidR="00D8645B" w:rsidRDefault="00D8645B" w:rsidP="00664D46">
            <w:pPr>
              <w:spacing w:line="360" w:lineRule="auto"/>
              <w:jc w:val="center"/>
            </w:pPr>
            <w:r>
              <w:t>10000</w:t>
            </w:r>
          </w:p>
        </w:tc>
        <w:tc>
          <w:tcPr>
            <w:tcW w:w="933" w:type="dxa"/>
            <w:vAlign w:val="center"/>
          </w:tcPr>
          <w:p w14:paraId="1C9FA14C" w14:textId="77777777" w:rsidR="00D8645B" w:rsidRDefault="00D8645B" w:rsidP="00664D46">
            <w:pPr>
              <w:spacing w:line="360" w:lineRule="auto"/>
              <w:jc w:val="center"/>
            </w:pPr>
            <w:r>
              <w:t>0</w:t>
            </w:r>
          </w:p>
        </w:tc>
        <w:tc>
          <w:tcPr>
            <w:tcW w:w="934" w:type="dxa"/>
            <w:vAlign w:val="center"/>
          </w:tcPr>
          <w:p w14:paraId="32FB9A15" w14:textId="77777777" w:rsidR="00D8645B" w:rsidRDefault="00D8645B" w:rsidP="00664D46">
            <w:pPr>
              <w:spacing w:line="360" w:lineRule="auto"/>
              <w:jc w:val="center"/>
            </w:pPr>
            <w:r>
              <w:t>10000</w:t>
            </w:r>
          </w:p>
        </w:tc>
        <w:tc>
          <w:tcPr>
            <w:tcW w:w="932" w:type="dxa"/>
            <w:vAlign w:val="center"/>
          </w:tcPr>
          <w:p w14:paraId="7952D751" w14:textId="77777777" w:rsidR="00D8645B" w:rsidRDefault="00D8645B" w:rsidP="00664D46">
            <w:pPr>
              <w:spacing w:line="360" w:lineRule="auto"/>
              <w:jc w:val="center"/>
            </w:pPr>
            <w:r>
              <w:t>0</w:t>
            </w:r>
          </w:p>
        </w:tc>
        <w:tc>
          <w:tcPr>
            <w:tcW w:w="816" w:type="dxa"/>
            <w:vAlign w:val="center"/>
          </w:tcPr>
          <w:p w14:paraId="7A1B2766" w14:textId="77777777" w:rsidR="00D8645B" w:rsidRDefault="00D8645B" w:rsidP="00664D46">
            <w:pPr>
              <w:spacing w:line="360" w:lineRule="auto"/>
              <w:jc w:val="center"/>
            </w:pPr>
            <w:r>
              <w:t>10000</w:t>
            </w:r>
          </w:p>
        </w:tc>
        <w:tc>
          <w:tcPr>
            <w:tcW w:w="2421" w:type="dxa"/>
            <w:vAlign w:val="center"/>
          </w:tcPr>
          <w:p w14:paraId="7EC36053"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10000</m:t>
                    </m:r>
                  </m:sub>
                </m:sSub>
              </m:oMath>
            </m:oMathPara>
          </w:p>
        </w:tc>
      </w:tr>
    </w:tbl>
    <w:p w14:paraId="1C3667BA" w14:textId="77777777" w:rsidR="00D8645B" w:rsidRDefault="00D8645B" w:rsidP="00D8645B">
      <w:pPr>
        <w:spacing w:line="360" w:lineRule="auto"/>
        <w:jc w:val="both"/>
      </w:pPr>
    </w:p>
    <w:p w14:paraId="6E3604B6" w14:textId="77777777" w:rsidR="00D8645B" w:rsidRDefault="00D8645B" w:rsidP="00D8645B">
      <w:pPr>
        <w:spacing w:line="360" w:lineRule="auto"/>
        <w:jc w:val="both"/>
      </w:pPr>
    </w:p>
    <w:p w14:paraId="295FB886" w14:textId="77777777" w:rsidR="00D8645B" w:rsidRPr="000077F9" w:rsidRDefault="00D8645B" w:rsidP="00D8645B">
      <w:pPr>
        <w:spacing w:line="360" w:lineRule="auto"/>
        <w:jc w:val="both"/>
        <w:rPr>
          <w:b/>
          <w:sz w:val="28"/>
          <w:szCs w:val="28"/>
        </w:rPr>
      </w:pPr>
      <w:r w:rsidRPr="000077F9">
        <w:rPr>
          <w:b/>
          <w:sz w:val="28"/>
          <w:szCs w:val="28"/>
        </w:rPr>
        <w:t>Model Scope, Purpose, and Functional Soundness</w:t>
      </w:r>
    </w:p>
    <w:p w14:paraId="5836B0A3" w14:textId="77777777" w:rsidR="00D8645B" w:rsidRDefault="00D8645B" w:rsidP="00D8645B">
      <w:pPr>
        <w:spacing w:line="360" w:lineRule="auto"/>
        <w:jc w:val="both"/>
      </w:pPr>
    </w:p>
    <w:p w14:paraId="452353C0" w14:textId="1CC332EC" w:rsidR="00D8645B" w:rsidRDefault="00D8645B" w:rsidP="0060309E">
      <w:pPr>
        <w:pStyle w:val="ListParagraph"/>
        <w:numPr>
          <w:ilvl w:val="0"/>
          <w:numId w:val="20"/>
        </w:numPr>
        <w:spacing w:after="160" w:line="360" w:lineRule="auto"/>
      </w:pPr>
      <w:r w:rsidRPr="000077F9">
        <w:rPr>
          <w:u w:val="single"/>
        </w:rPr>
        <w:t>Model Purpose</w:t>
      </w:r>
      <w:r w:rsidRPr="000077F9">
        <w:t>: The intended use of the model is to calculate the Risk Capital with one</w:t>
      </w:r>
      <w:r w:rsidR="00C84A93">
        <w:t>-</w:t>
      </w:r>
      <w:r w:rsidRPr="000077F9">
        <w:t>year time horizon, through-the-cycle view, and at 99.97 percentile confidence level.</w:t>
      </w:r>
    </w:p>
    <w:p w14:paraId="7750D439" w14:textId="77777777" w:rsidR="00D8645B" w:rsidRDefault="00D8645B" w:rsidP="0060309E">
      <w:pPr>
        <w:pStyle w:val="ListParagraph"/>
        <w:numPr>
          <w:ilvl w:val="0"/>
          <w:numId w:val="20"/>
        </w:numPr>
        <w:spacing w:after="160" w:line="360" w:lineRule="auto"/>
      </w:pPr>
      <w:r>
        <w:rPr>
          <w:u w:val="single"/>
        </w:rPr>
        <w:lastRenderedPageBreak/>
        <w:t>Requirements</w:t>
      </w:r>
      <w:r>
        <w:t>: This meets the usage requirements that the model must be capable of calculating stand-alone and marginal RC at a level defined by, for e.g., group, product, business, and risk type.</w:t>
      </w:r>
    </w:p>
    <w:p w14:paraId="72EA88FD" w14:textId="77777777" w:rsidR="00D8645B" w:rsidRDefault="00D8645B" w:rsidP="0060309E">
      <w:pPr>
        <w:pStyle w:val="ListParagraph"/>
        <w:numPr>
          <w:ilvl w:val="0"/>
          <w:numId w:val="20"/>
        </w:numPr>
        <w:spacing w:after="160" w:line="360" w:lineRule="auto"/>
      </w:pPr>
      <w:r>
        <w:rPr>
          <w:u w:val="single"/>
        </w:rPr>
        <w:t>Scope of the Model</w:t>
      </w:r>
      <w:r w:rsidRPr="000077F9">
        <w:t>:</w:t>
      </w:r>
      <w:r>
        <w:t xml:space="preserve"> The scope of the model is defined by the characteristics of the assets covered.</w:t>
      </w:r>
    </w:p>
    <w:p w14:paraId="2A963C89" w14:textId="77777777" w:rsidR="00D8645B" w:rsidRDefault="00D8645B" w:rsidP="0060309E">
      <w:pPr>
        <w:pStyle w:val="ListParagraph"/>
        <w:numPr>
          <w:ilvl w:val="0"/>
          <w:numId w:val="20"/>
        </w:numPr>
        <w:spacing w:after="160" w:line="360" w:lineRule="auto"/>
      </w:pPr>
      <w:r>
        <w:rPr>
          <w:u w:val="single"/>
        </w:rPr>
        <w:t>Nature of the Assets Covered</w:t>
      </w:r>
      <w:r w:rsidRPr="000077F9">
        <w:t>:</w:t>
      </w:r>
      <w:r>
        <w:t xml:space="preserve"> That is, the model intends to cover all the assets that have price risk, which is defined as meeting one of the following criteria:</w:t>
      </w:r>
    </w:p>
    <w:p w14:paraId="609D1987" w14:textId="77777777" w:rsidR="00D8645B" w:rsidRDefault="00D8645B" w:rsidP="0060309E">
      <w:pPr>
        <w:pStyle w:val="ListParagraph"/>
        <w:numPr>
          <w:ilvl w:val="1"/>
          <w:numId w:val="20"/>
        </w:numPr>
        <w:spacing w:after="160" w:line="360" w:lineRule="auto"/>
      </w:pPr>
      <w:r>
        <w:t>BHC intends to sell the asset prior to maturity, i.e., most trading assets.</w:t>
      </w:r>
    </w:p>
    <w:p w14:paraId="05E92E02" w14:textId="77777777" w:rsidR="00D8645B" w:rsidRDefault="00D8645B" w:rsidP="0060309E">
      <w:pPr>
        <w:pStyle w:val="ListParagraph"/>
        <w:numPr>
          <w:ilvl w:val="1"/>
          <w:numId w:val="20"/>
        </w:numPr>
        <w:spacing w:after="160" w:line="360" w:lineRule="auto"/>
      </w:pPr>
      <w:r>
        <w:t>Asset is funded by short-term debt, and hence will be market-to-market.</w:t>
      </w:r>
    </w:p>
    <w:p w14:paraId="5D96ADA9" w14:textId="77777777" w:rsidR="00D8645B" w:rsidRDefault="00D8645B" w:rsidP="0060309E">
      <w:pPr>
        <w:pStyle w:val="ListParagraph"/>
        <w:numPr>
          <w:ilvl w:val="1"/>
          <w:numId w:val="20"/>
        </w:numPr>
        <w:spacing w:after="160" w:line="360" w:lineRule="auto"/>
      </w:pPr>
      <w:r>
        <w:t>Losses would impact equity due to accounting treatment.</w:t>
      </w:r>
    </w:p>
    <w:p w14:paraId="7891094D" w14:textId="77777777" w:rsidR="00D8645B" w:rsidRDefault="00D8645B" w:rsidP="0060309E">
      <w:pPr>
        <w:pStyle w:val="ListParagraph"/>
        <w:numPr>
          <w:ilvl w:val="0"/>
          <w:numId w:val="20"/>
        </w:numPr>
        <w:spacing w:after="160" w:line="360" w:lineRule="auto"/>
      </w:pPr>
      <w:r w:rsidRPr="0083638B">
        <w:rPr>
          <w:u w:val="single"/>
        </w:rPr>
        <w:t>Model Inputs and Test Data</w:t>
      </w:r>
      <w:r>
        <w:t>: The model inputs and the data used for testing in the later sections of this chapter are deemed to be sufficient for establishing the functional soundness of the model.</w:t>
      </w:r>
    </w:p>
    <w:p w14:paraId="6F1ED82A" w14:textId="77777777" w:rsidR="00D8645B" w:rsidRDefault="00D8645B" w:rsidP="0060309E">
      <w:pPr>
        <w:pStyle w:val="ListParagraph"/>
        <w:numPr>
          <w:ilvl w:val="0"/>
          <w:numId w:val="20"/>
        </w:numPr>
        <w:spacing w:after="160" w:line="360" w:lineRule="auto"/>
      </w:pPr>
      <w:r>
        <w:rPr>
          <w:u w:val="single"/>
        </w:rPr>
        <w:t>Model Assumptions and Framework</w:t>
      </w:r>
      <w:r w:rsidRPr="0083638B">
        <w:t>:</w:t>
      </w:r>
      <w:r>
        <w:t xml:space="preserve"> The model calculates the risk capital based on the assumption that the businesses maintain their asset composition during the one-year time horizon, which is a common assumption in Risk – or Economic – Capital Calculation Framework in the industry.</w:t>
      </w:r>
    </w:p>
    <w:p w14:paraId="0D57B394" w14:textId="77777777" w:rsidR="00D8645B" w:rsidRDefault="00D8645B" w:rsidP="0060309E">
      <w:pPr>
        <w:pStyle w:val="ListParagraph"/>
        <w:numPr>
          <w:ilvl w:val="0"/>
          <w:numId w:val="20"/>
        </w:numPr>
        <w:spacing w:after="160" w:line="360" w:lineRule="auto"/>
      </w:pPr>
      <w:r>
        <w:rPr>
          <w:u w:val="single"/>
        </w:rPr>
        <w:t>Model Outputs</w:t>
      </w:r>
      <w:r w:rsidRPr="0083638B">
        <w:t>:</w:t>
      </w:r>
      <w:r>
        <w:t xml:space="preserve"> The model generates outputs in three different perspectives.</w:t>
      </w:r>
    </w:p>
    <w:p w14:paraId="7890F307" w14:textId="77777777" w:rsidR="00D8645B" w:rsidRDefault="00D8645B" w:rsidP="0060309E">
      <w:pPr>
        <w:pStyle w:val="ListParagraph"/>
        <w:numPr>
          <w:ilvl w:val="0"/>
          <w:numId w:val="20"/>
        </w:numPr>
        <w:spacing w:after="160" w:line="360" w:lineRule="auto"/>
      </w:pPr>
      <w:r>
        <w:rPr>
          <w:u w:val="single"/>
        </w:rPr>
        <w:t>Standalone Perspective</w:t>
      </w:r>
      <w:r w:rsidRPr="0083638B">
        <w:t>:</w:t>
      </w:r>
      <w:r>
        <w:t xml:space="preserve"> Under the standalone perspective, RC is calculated for each entity (Business, for example) without any diversification benefit. This approach ignores any off-setting correlation between the businesses. For this reason, the sum of the stand-alone RC for all BHC businesses is higher than the RC of Citi on a standalone basis.</w:t>
      </w:r>
    </w:p>
    <w:p w14:paraId="6BC85192" w14:textId="77777777" w:rsidR="00D8645B" w:rsidRDefault="00D8645B" w:rsidP="0060309E">
      <w:pPr>
        <w:pStyle w:val="ListParagraph"/>
        <w:numPr>
          <w:ilvl w:val="0"/>
          <w:numId w:val="20"/>
        </w:numPr>
        <w:spacing w:after="160" w:line="360" w:lineRule="auto"/>
      </w:pPr>
      <w:r>
        <w:rPr>
          <w:u w:val="single"/>
        </w:rPr>
        <w:t>Marginal-To-Firm Perspective</w:t>
      </w:r>
      <w:r w:rsidRPr="00222CBB">
        <w:t>:</w:t>
      </w:r>
      <w:r>
        <w:t xml:space="preserve"> Under the marginal-to-firm perspective, the sum of all the BHC businesses will be equal to the standalone RC of the BHC. This view provides details on which businesses contribute or off-set firm-level RC.</w:t>
      </w:r>
    </w:p>
    <w:p w14:paraId="7EEE3BF5" w14:textId="77777777" w:rsidR="00D8645B" w:rsidRDefault="00D8645B" w:rsidP="0060309E">
      <w:pPr>
        <w:pStyle w:val="ListParagraph"/>
        <w:numPr>
          <w:ilvl w:val="0"/>
          <w:numId w:val="20"/>
        </w:numPr>
        <w:spacing w:after="160" w:line="360" w:lineRule="auto"/>
      </w:pPr>
      <w:r>
        <w:rPr>
          <w:u w:val="single"/>
        </w:rPr>
        <w:t>Importance of the Marginal-To-Firm Perspective</w:t>
      </w:r>
      <w:r w:rsidRPr="00222CBB">
        <w:t>:</w:t>
      </w:r>
      <w:r>
        <w:t xml:space="preserve"> given that the current audience for the model outputs being group-level or business-level managers, this perspective may not be used extensively. However, this has an important theoretical meaning because it is computed from a contributory perspective – similar to CVaR – including the diversification of each business’ risk against other businesses.</w:t>
      </w:r>
    </w:p>
    <w:p w14:paraId="147F11D4" w14:textId="77777777" w:rsidR="00D8645B" w:rsidRDefault="00D8645B" w:rsidP="0060309E">
      <w:pPr>
        <w:pStyle w:val="ListParagraph"/>
        <w:numPr>
          <w:ilvl w:val="0"/>
          <w:numId w:val="20"/>
        </w:numPr>
        <w:spacing w:after="160" w:line="360" w:lineRule="auto"/>
      </w:pPr>
      <w:r>
        <w:rPr>
          <w:u w:val="single"/>
        </w:rPr>
        <w:lastRenderedPageBreak/>
        <w:t>Marginal-To-Group Perspective</w:t>
      </w:r>
      <w:r w:rsidRPr="00222CBB">
        <w:t>:</w:t>
      </w:r>
      <w:r>
        <w:t xml:space="preserve"> Under the marginal-to-group perspective, the sum of the individual RC’s of the businesses of the group will be equal to the standalone RC for the group. This view provides details on which businesses contribute to or offset group-level RC.</w:t>
      </w:r>
    </w:p>
    <w:p w14:paraId="69DBB42D" w14:textId="77777777" w:rsidR="00D8645B" w:rsidRDefault="00D8645B" w:rsidP="0060309E">
      <w:pPr>
        <w:pStyle w:val="ListParagraph"/>
        <w:numPr>
          <w:ilvl w:val="0"/>
          <w:numId w:val="20"/>
        </w:numPr>
        <w:spacing w:after="160" w:line="360" w:lineRule="auto"/>
      </w:pPr>
      <w:r>
        <w:rPr>
          <w:u w:val="single"/>
        </w:rPr>
        <w:t>Downstream Consumers of the RC</w:t>
      </w:r>
      <w:r w:rsidRPr="00222CBB">
        <w:t>:</w:t>
      </w:r>
      <w:r>
        <w:t xml:space="preserve"> There are two downstream usages of the outputs – which are the desk – or sub-business – level allocation and the country level allocation.</w:t>
      </w:r>
    </w:p>
    <w:p w14:paraId="2C9C0B19" w14:textId="77777777" w:rsidR="00D8645B" w:rsidRDefault="00D8645B" w:rsidP="0060309E">
      <w:pPr>
        <w:pStyle w:val="ListParagraph"/>
        <w:numPr>
          <w:ilvl w:val="0"/>
          <w:numId w:val="20"/>
        </w:numPr>
        <w:spacing w:after="160" w:line="360" w:lineRule="auto"/>
      </w:pPr>
      <w:r>
        <w:rPr>
          <w:u w:val="single"/>
        </w:rPr>
        <w:t>Desk Level Allocation of RC</w:t>
      </w:r>
      <w:r w:rsidRPr="00222CBB">
        <w:t>:</w:t>
      </w:r>
      <w:r>
        <w:t xml:space="preserve"> For the desk – or the sub-business – level allocation, the model outputs at the business level are allocated to the desk – or the sub-business – level by multiplying the business-level number by a constant assigned to each desk or sub-business.</w:t>
      </w:r>
    </w:p>
    <w:p w14:paraId="7962955F" w14:textId="77777777" w:rsidR="00D8645B" w:rsidRDefault="00D8645B" w:rsidP="0060309E">
      <w:pPr>
        <w:pStyle w:val="ListParagraph"/>
        <w:numPr>
          <w:ilvl w:val="0"/>
          <w:numId w:val="20"/>
        </w:numPr>
        <w:spacing w:after="160" w:line="360" w:lineRule="auto"/>
      </w:pPr>
      <w:r>
        <w:rPr>
          <w:u w:val="single"/>
        </w:rPr>
        <w:t>Country-Level Allocation of RC</w:t>
      </w:r>
      <w:r w:rsidRPr="00302AE1">
        <w:t>:</w:t>
      </w:r>
      <w:r>
        <w:t xml:space="preserve"> For the country-level allocation, the model outputs at the regional level are allocated at the country level based on a distribution of the VaR.</w:t>
      </w:r>
    </w:p>
    <w:p w14:paraId="56094ECD" w14:textId="77777777" w:rsidR="00D8645B" w:rsidRDefault="00D8645B" w:rsidP="00D8645B">
      <w:pPr>
        <w:spacing w:line="360" w:lineRule="auto"/>
        <w:jc w:val="both"/>
      </w:pPr>
    </w:p>
    <w:p w14:paraId="3E2100E3" w14:textId="77777777" w:rsidR="00D8645B" w:rsidRDefault="00D8645B" w:rsidP="00D8645B">
      <w:pPr>
        <w:spacing w:line="360" w:lineRule="auto"/>
        <w:jc w:val="both"/>
      </w:pPr>
    </w:p>
    <w:p w14:paraId="132BEC52" w14:textId="77777777" w:rsidR="00D8645B" w:rsidRPr="00302AE1" w:rsidRDefault="00D8645B" w:rsidP="00D8645B">
      <w:pPr>
        <w:spacing w:line="360" w:lineRule="auto"/>
        <w:jc w:val="both"/>
        <w:rPr>
          <w:b/>
          <w:sz w:val="28"/>
          <w:szCs w:val="28"/>
        </w:rPr>
      </w:pPr>
      <w:r w:rsidRPr="00302AE1">
        <w:rPr>
          <w:b/>
          <w:sz w:val="28"/>
          <w:szCs w:val="28"/>
        </w:rPr>
        <w:t>Functional Soundness Governance</w:t>
      </w:r>
    </w:p>
    <w:p w14:paraId="1715AFD4" w14:textId="77777777" w:rsidR="00D8645B" w:rsidRDefault="00D8645B" w:rsidP="00D8645B">
      <w:pPr>
        <w:spacing w:line="360" w:lineRule="auto"/>
        <w:jc w:val="both"/>
      </w:pPr>
    </w:p>
    <w:p w14:paraId="360707AC" w14:textId="77777777" w:rsidR="00D8645B" w:rsidRDefault="00D8645B" w:rsidP="0060309E">
      <w:pPr>
        <w:pStyle w:val="ListParagraph"/>
        <w:numPr>
          <w:ilvl w:val="0"/>
          <w:numId w:val="21"/>
        </w:numPr>
        <w:spacing w:after="160" w:line="360" w:lineRule="auto"/>
      </w:pPr>
      <w:r w:rsidRPr="00302AE1">
        <w:rPr>
          <w:u w:val="single"/>
        </w:rPr>
        <w:t>Model Design/Development Stakeholders</w:t>
      </w:r>
      <w:r w:rsidRPr="00302AE1">
        <w:t>: Typical contributions of the stakeholders during the design/development of the model include the following:</w:t>
      </w:r>
    </w:p>
    <w:p w14:paraId="46BE190A" w14:textId="77777777" w:rsidR="00D8645B" w:rsidRDefault="00D8645B" w:rsidP="0060309E">
      <w:pPr>
        <w:pStyle w:val="ListParagraph"/>
        <w:numPr>
          <w:ilvl w:val="1"/>
          <w:numId w:val="21"/>
        </w:numPr>
        <w:spacing w:after="160" w:line="360" w:lineRule="auto"/>
      </w:pPr>
      <w:r>
        <w:t>Market Risk Management defines the scope and the requirement</w:t>
      </w:r>
    </w:p>
    <w:p w14:paraId="05D38062" w14:textId="77777777" w:rsidR="00D8645B" w:rsidRDefault="00D8645B" w:rsidP="0060309E">
      <w:pPr>
        <w:pStyle w:val="ListParagraph"/>
        <w:numPr>
          <w:ilvl w:val="1"/>
          <w:numId w:val="21"/>
        </w:numPr>
        <w:spacing w:after="160" w:line="360" w:lineRule="auto"/>
      </w:pPr>
      <w:r>
        <w:t>Risk Analytics develops and implements the model incorporating inputs such as VaR, GSST, and BSST.</w:t>
      </w:r>
    </w:p>
    <w:p w14:paraId="1DF0EAB9" w14:textId="77777777" w:rsidR="00D8645B" w:rsidRDefault="00D8645B" w:rsidP="0060309E">
      <w:pPr>
        <w:pStyle w:val="ListParagraph"/>
        <w:numPr>
          <w:ilvl w:val="1"/>
          <w:numId w:val="21"/>
        </w:numPr>
        <w:spacing w:after="160" w:line="360" w:lineRule="auto"/>
      </w:pPr>
      <w:r>
        <w:t>Model Risk Management validated the model.</w:t>
      </w:r>
    </w:p>
    <w:p w14:paraId="3E697ABF" w14:textId="77777777" w:rsidR="00D8645B" w:rsidRDefault="00D8645B" w:rsidP="0060309E">
      <w:pPr>
        <w:pStyle w:val="ListParagraph"/>
        <w:numPr>
          <w:ilvl w:val="0"/>
          <w:numId w:val="21"/>
        </w:numPr>
        <w:spacing w:after="160" w:line="360" w:lineRule="auto"/>
      </w:pPr>
      <w:r w:rsidRPr="00302AE1">
        <w:rPr>
          <w:u w:val="single"/>
        </w:rPr>
        <w:t>Model Operation/Maintenance Stakeholders</w:t>
      </w:r>
      <w:r>
        <w:t>: Contributions of the stakeholders during the operation/maintenance of the model include the following:</w:t>
      </w:r>
    </w:p>
    <w:p w14:paraId="6F96CC6C" w14:textId="77777777" w:rsidR="00D8645B" w:rsidRDefault="00D8645B" w:rsidP="0060309E">
      <w:pPr>
        <w:pStyle w:val="ListParagraph"/>
        <w:numPr>
          <w:ilvl w:val="1"/>
          <w:numId w:val="21"/>
        </w:numPr>
        <w:spacing w:after="160" w:line="360" w:lineRule="auto"/>
      </w:pPr>
      <w:r>
        <w:t>Risk Analytics calibrates the model parameters periodically and provides it to Risk IT</w:t>
      </w:r>
    </w:p>
    <w:p w14:paraId="072D3FAD" w14:textId="77777777" w:rsidR="00D8645B" w:rsidRDefault="00D8645B" w:rsidP="0060309E">
      <w:pPr>
        <w:pStyle w:val="ListParagraph"/>
        <w:numPr>
          <w:ilvl w:val="1"/>
          <w:numId w:val="21"/>
        </w:numPr>
        <w:spacing w:after="160" w:line="360" w:lineRule="auto"/>
      </w:pPr>
      <w:r>
        <w:t>Risk IT generates the model inputs</w:t>
      </w:r>
    </w:p>
    <w:p w14:paraId="6DF08DD0" w14:textId="77777777" w:rsidR="00D8645B" w:rsidRDefault="00D8645B" w:rsidP="0060309E">
      <w:pPr>
        <w:pStyle w:val="ListParagraph"/>
        <w:numPr>
          <w:ilvl w:val="1"/>
          <w:numId w:val="21"/>
        </w:numPr>
        <w:spacing w:after="160" w:line="360" w:lineRule="auto"/>
      </w:pPr>
      <w:r>
        <w:t>Risk Reporting/Finance distribute/monitor the model output</w:t>
      </w:r>
    </w:p>
    <w:p w14:paraId="407D46B8" w14:textId="77777777" w:rsidR="00D8645B" w:rsidRDefault="00D8645B" w:rsidP="0060309E">
      <w:pPr>
        <w:pStyle w:val="ListParagraph"/>
        <w:numPr>
          <w:ilvl w:val="1"/>
          <w:numId w:val="21"/>
        </w:numPr>
        <w:spacing w:after="160" w:line="360" w:lineRule="auto"/>
      </w:pPr>
      <w:r>
        <w:t>Model Risk Management conducts an on-going performance assessment on a regular basis</w:t>
      </w:r>
    </w:p>
    <w:p w14:paraId="210ED8E3" w14:textId="77777777" w:rsidR="00D8645B" w:rsidRDefault="00D8645B" w:rsidP="0060309E">
      <w:pPr>
        <w:pStyle w:val="ListParagraph"/>
        <w:numPr>
          <w:ilvl w:val="0"/>
          <w:numId w:val="21"/>
        </w:numPr>
        <w:spacing w:after="160" w:line="360" w:lineRule="auto"/>
      </w:pPr>
      <w:r w:rsidRPr="00302AE1">
        <w:rPr>
          <w:u w:val="single"/>
        </w:rPr>
        <w:t>Monthly Model Review and Reporting</w:t>
      </w:r>
      <w:r>
        <w:t xml:space="preserve">: Trading Book Metrics holds the following two monthly meetings to review the iVAST model and its inputs. Attendees include Risk </w:t>
      </w:r>
      <w:r>
        <w:lastRenderedPageBreak/>
        <w:t>Analytics, Risk Architecture including Risk Capital and Stress Testing Methodology, Business Line Risk Management, Model Risk Management, and Risk Reporting, with:</w:t>
      </w:r>
    </w:p>
    <w:p w14:paraId="51A34059" w14:textId="77777777" w:rsidR="00D8645B" w:rsidRDefault="00D8645B" w:rsidP="0060309E">
      <w:pPr>
        <w:pStyle w:val="ListParagraph"/>
        <w:numPr>
          <w:ilvl w:val="1"/>
          <w:numId w:val="21"/>
        </w:numPr>
        <w:spacing w:after="160" w:line="360" w:lineRule="auto"/>
      </w:pPr>
      <w:r>
        <w:t>Top Risk/BSST/Risk not-in-VaR reviews covering the risk identification, documentation, and historical trend to cover these risks and their contributions to risk capital</w:t>
      </w:r>
    </w:p>
    <w:p w14:paraId="7EE885E6" w14:textId="77777777" w:rsidR="00D8645B" w:rsidRDefault="00D8645B" w:rsidP="0060309E">
      <w:pPr>
        <w:pStyle w:val="ListParagraph"/>
        <w:numPr>
          <w:ilvl w:val="1"/>
          <w:numId w:val="21"/>
        </w:numPr>
        <w:spacing w:after="160" w:line="360" w:lineRule="auto"/>
      </w:pPr>
      <w:r>
        <w:t>GSST, BSST, and iVAST discussions</w:t>
      </w:r>
    </w:p>
    <w:p w14:paraId="3965B427" w14:textId="77777777" w:rsidR="00D8645B" w:rsidRDefault="00D8645B" w:rsidP="00D8645B">
      <w:pPr>
        <w:pStyle w:val="ListParagraph"/>
        <w:spacing w:line="360" w:lineRule="auto"/>
        <w:ind w:left="360"/>
      </w:pPr>
      <w:r>
        <w:t>On a monthly basis the iVAST results are published in the Addendum of the ICG Risk Management Committee Package distributed to the business and the regulators.</w:t>
      </w:r>
    </w:p>
    <w:p w14:paraId="0DBD0FB7" w14:textId="77777777" w:rsidR="00D8645B" w:rsidRDefault="00D8645B" w:rsidP="0060309E">
      <w:pPr>
        <w:pStyle w:val="ListParagraph"/>
        <w:numPr>
          <w:ilvl w:val="0"/>
          <w:numId w:val="21"/>
        </w:numPr>
        <w:spacing w:after="160" w:line="360" w:lineRule="auto"/>
      </w:pPr>
      <w:r w:rsidRPr="00BA2DD5">
        <w:rPr>
          <w:u w:val="single"/>
        </w:rPr>
        <w:t>Working Group for Methodology Enhancements</w:t>
      </w:r>
      <w:r>
        <w:t>: A working group is formed involving Capital Optimization and Finance to discuss enhancements and re-calibration of the iVAST desk or sub-business level allocation – beta allocation – methodology, in preparation for rolling out the Corporate Capital Allocation Framework.</w:t>
      </w:r>
    </w:p>
    <w:p w14:paraId="2910A743" w14:textId="77777777" w:rsidR="00D8645B" w:rsidRDefault="00D8645B" w:rsidP="00D8645B">
      <w:pPr>
        <w:spacing w:line="360" w:lineRule="auto"/>
      </w:pPr>
    </w:p>
    <w:p w14:paraId="7EED8FA0" w14:textId="77777777" w:rsidR="00D8645B" w:rsidRDefault="00D8645B" w:rsidP="00D8645B">
      <w:pPr>
        <w:spacing w:line="360" w:lineRule="auto"/>
      </w:pPr>
    </w:p>
    <w:p w14:paraId="7AABE89B" w14:textId="77777777" w:rsidR="00D8645B" w:rsidRPr="009B556D" w:rsidRDefault="00D8645B" w:rsidP="00D8645B">
      <w:pPr>
        <w:spacing w:line="360" w:lineRule="auto"/>
        <w:rPr>
          <w:b/>
          <w:sz w:val="28"/>
          <w:szCs w:val="28"/>
        </w:rPr>
      </w:pPr>
      <w:r w:rsidRPr="009B556D">
        <w:rPr>
          <w:b/>
          <w:sz w:val="28"/>
          <w:szCs w:val="28"/>
        </w:rPr>
        <w:t>Basis behind the Modeling Approach</w:t>
      </w:r>
    </w:p>
    <w:p w14:paraId="30076956" w14:textId="77777777" w:rsidR="00D8645B" w:rsidRDefault="00D8645B" w:rsidP="00D8645B">
      <w:pPr>
        <w:spacing w:line="360" w:lineRule="auto"/>
      </w:pPr>
    </w:p>
    <w:p w14:paraId="2760D8CB" w14:textId="77777777" w:rsidR="00D8645B" w:rsidRDefault="00D8645B" w:rsidP="0060309E">
      <w:pPr>
        <w:pStyle w:val="ListParagraph"/>
        <w:numPr>
          <w:ilvl w:val="0"/>
          <w:numId w:val="22"/>
        </w:numPr>
        <w:spacing w:after="160" w:line="360" w:lineRule="auto"/>
      </w:pPr>
      <w:r w:rsidRPr="009B556D">
        <w:rPr>
          <w:u w:val="single"/>
        </w:rPr>
        <w:t>Description of the Applicable Modeling Approaches (MA)</w:t>
      </w:r>
      <w:r w:rsidRPr="009B556D">
        <w:t>: As stated, the model’s objective is to calculate the RC over a one-year time horizon at 99.97% confidence level. Assuming no data restrictions, the preferred approach modeling would be to estimate the market factors’ possible movements over one-year time horizon and use a VaR type P&amp;L simulation approach to estimate the 99.97% loss number.</w:t>
      </w:r>
    </w:p>
    <w:p w14:paraId="4969A156" w14:textId="11AF96AD" w:rsidR="00D8645B" w:rsidRDefault="00D8645B" w:rsidP="0060309E">
      <w:pPr>
        <w:pStyle w:val="ListParagraph"/>
        <w:numPr>
          <w:ilvl w:val="0"/>
          <w:numId w:val="22"/>
        </w:numPr>
        <w:spacing w:after="160" w:line="360" w:lineRule="auto"/>
      </w:pPr>
      <w:r>
        <w:rPr>
          <w:u w:val="single"/>
        </w:rPr>
        <w:t>Approach Modifications under Data Limitations</w:t>
      </w:r>
      <w:r w:rsidRPr="009B556D">
        <w:t>:</w:t>
      </w:r>
      <w:r>
        <w:t xml:space="preserve"> With data limitations, one alternative is to utilize the VaR by scaling the results considering time horizon difference, confidence level difference, etc. Another approach is to combine scenario</w:t>
      </w:r>
      <w:r w:rsidR="009522E8">
        <w:t>-</w:t>
      </w:r>
      <w:r>
        <w:t>based approach with a VaR-type simulation approach.</w:t>
      </w:r>
    </w:p>
    <w:p w14:paraId="745F45EB" w14:textId="77777777" w:rsidR="00D8645B" w:rsidRDefault="00D8645B" w:rsidP="0060309E">
      <w:pPr>
        <w:pStyle w:val="ListParagraph"/>
        <w:numPr>
          <w:ilvl w:val="0"/>
          <w:numId w:val="22"/>
        </w:numPr>
        <w:spacing w:after="160" w:line="360" w:lineRule="auto"/>
      </w:pPr>
      <w:r>
        <w:rPr>
          <w:u w:val="single"/>
        </w:rPr>
        <w:t>Preferred Modeling Approach</w:t>
      </w:r>
      <w:r w:rsidRPr="009B556D">
        <w:t>:</w:t>
      </w:r>
      <w:r>
        <w:t xml:space="preserve"> Estimating potential loss for a portfolio at 99.97% confidence level in one-year time horizon is tantamount to estimating the third worst-case scenario in a </w:t>
      </w:r>
      <w:proofErr w:type="gramStart"/>
      <w:r>
        <w:t>10,000 year</w:t>
      </w:r>
      <w:proofErr w:type="gramEnd"/>
      <w:r>
        <w:t xml:space="preserve"> history. One of the main challenges with the preferred approach like the VaR simulation approach is the availability of data to capture extreme tail events with sufficient fidelity.</w:t>
      </w:r>
    </w:p>
    <w:p w14:paraId="060A34DF" w14:textId="77777777" w:rsidR="00D8645B" w:rsidRDefault="00D8645B" w:rsidP="0060309E">
      <w:pPr>
        <w:pStyle w:val="ListParagraph"/>
        <w:numPr>
          <w:ilvl w:val="0"/>
          <w:numId w:val="22"/>
        </w:numPr>
        <w:spacing w:after="160" w:line="360" w:lineRule="auto"/>
      </w:pPr>
      <w:r>
        <w:rPr>
          <w:u w:val="single"/>
        </w:rPr>
        <w:lastRenderedPageBreak/>
        <w:t>Phase 1 Risk Capital Model</w:t>
      </w:r>
      <w:r w:rsidRPr="009B556D">
        <w:t>:</w:t>
      </w:r>
      <w:r>
        <w:t xml:space="preserve"> Previously, RC was typically estimated by extrapolating the one-day 99% confidence-level VaR results:</w:t>
      </w:r>
    </w:p>
    <w:p w14:paraId="509B0316" w14:textId="77777777" w:rsidR="00D8645B" w:rsidRDefault="00D8645B" w:rsidP="0060309E">
      <w:pPr>
        <w:pStyle w:val="ListParagraph"/>
        <w:numPr>
          <w:ilvl w:val="1"/>
          <w:numId w:val="22"/>
        </w:numPr>
        <w:spacing w:after="160" w:line="360" w:lineRule="auto"/>
      </w:pPr>
      <w:r>
        <w:t>The 99% daily VaR was extrapolated to 99.97% assuming a normal distribution;</w:t>
      </w:r>
    </w:p>
    <w:p w14:paraId="65D2460C" w14:textId="51FFF91A" w:rsidR="00D8645B" w:rsidRDefault="00D8645B" w:rsidP="0060309E">
      <w:pPr>
        <w:pStyle w:val="ListParagraph"/>
        <w:numPr>
          <w:ilvl w:val="1"/>
          <w:numId w:val="22"/>
        </w:numPr>
        <w:spacing w:after="160" w:line="360" w:lineRule="auto"/>
      </w:pPr>
      <w:r>
        <w:t>The one</w:t>
      </w:r>
      <w:r w:rsidR="009522E8">
        <w:t>-</w:t>
      </w:r>
      <w:r>
        <w:t>day VaR was extrapolated to one-year, assuming that the P&amp;L each day was an independent random draw from an identical distribution, i.e., i.i.d. assumption.</w:t>
      </w:r>
    </w:p>
    <w:p w14:paraId="4ED61925" w14:textId="77777777" w:rsidR="00D8645B" w:rsidRDefault="00D8645B" w:rsidP="0060309E">
      <w:pPr>
        <w:pStyle w:val="ListParagraph"/>
        <w:numPr>
          <w:ilvl w:val="0"/>
          <w:numId w:val="22"/>
        </w:numPr>
        <w:spacing w:after="160" w:line="360" w:lineRule="auto"/>
      </w:pPr>
      <w:r w:rsidRPr="00934E78">
        <w:rPr>
          <w:u w:val="single"/>
        </w:rPr>
        <w:t xml:space="preserve">Lack of </w:t>
      </w:r>
      <w:r>
        <w:rPr>
          <w:u w:val="single"/>
        </w:rPr>
        <w:t>Liquidity</w:t>
      </w:r>
      <w:r w:rsidRPr="00934E78">
        <w:rPr>
          <w:u w:val="single"/>
        </w:rPr>
        <w:t xml:space="preserve"> in the Credit Markets</w:t>
      </w:r>
      <w:r>
        <w:t>: Neither of these assumptions was valid during the 2008 crisis. For example, during that year market liquidity for some credit-sensitive assets materially decreased, and instead of the credit spreads following a random walk during that year, they widened almost every day as leveraged firms sold credit-sensitive assets to meet margin calls and/or minimum capital requirements.</w:t>
      </w:r>
    </w:p>
    <w:p w14:paraId="068F71AB" w14:textId="77777777" w:rsidR="00D8645B" w:rsidRDefault="00D8645B" w:rsidP="0060309E">
      <w:pPr>
        <w:pStyle w:val="ListParagraph"/>
        <w:numPr>
          <w:ilvl w:val="0"/>
          <w:numId w:val="22"/>
        </w:numPr>
        <w:spacing w:after="160" w:line="360" w:lineRule="auto"/>
      </w:pPr>
      <w:r>
        <w:rPr>
          <w:u w:val="single"/>
        </w:rPr>
        <w:t>Phase 2 Risk Capital Model</w:t>
      </w:r>
      <w:r w:rsidRPr="007C41D2">
        <w:t>:</w:t>
      </w:r>
      <w:r>
        <w:t xml:space="preserve"> To address the data limitations and the issue of extrapolating the VaR model results, the methodology of combining the </w:t>
      </w:r>
      <w:proofErr w:type="gramStart"/>
      <w:r>
        <w:t>scenario based</w:t>
      </w:r>
      <w:proofErr w:type="gramEnd"/>
      <w:r>
        <w:t xml:space="preserve"> approach with the simulation based approach was devised and has been adopted in the model.</w:t>
      </w:r>
    </w:p>
    <w:p w14:paraId="48085CB3" w14:textId="77777777" w:rsidR="00D8645B" w:rsidRDefault="00D8645B" w:rsidP="0060309E">
      <w:pPr>
        <w:pStyle w:val="ListParagraph"/>
        <w:numPr>
          <w:ilvl w:val="0"/>
          <w:numId w:val="22"/>
        </w:numPr>
        <w:spacing w:after="160" w:line="360" w:lineRule="auto"/>
      </w:pPr>
      <w:r>
        <w:rPr>
          <w:u w:val="single"/>
        </w:rPr>
        <w:t>Advantages of the Approach</w:t>
      </w:r>
      <w:r w:rsidRPr="007C41D2">
        <w:t>:</w:t>
      </w:r>
      <w:r>
        <w:t xml:space="preserve"> The approach takes the strengths of the two models such as the ability to evaluate a wide range of loss cases of the </w:t>
      </w:r>
      <w:proofErr w:type="gramStart"/>
      <w:r>
        <w:t>simulation based</w:t>
      </w:r>
      <w:proofErr w:type="gramEnd"/>
      <w:r>
        <w:t xml:space="preserve"> approach and to incorporate specific severe market events of the scenario based approach. Details of the modeling approach are described in the later sections.</w:t>
      </w:r>
    </w:p>
    <w:p w14:paraId="03D925FC" w14:textId="77777777" w:rsidR="00D8645B" w:rsidRDefault="00D8645B" w:rsidP="00D8645B">
      <w:pPr>
        <w:spacing w:line="360" w:lineRule="auto"/>
      </w:pPr>
    </w:p>
    <w:p w14:paraId="3C92D7B0" w14:textId="77777777" w:rsidR="00D8645B" w:rsidRDefault="00D8645B" w:rsidP="00D8645B">
      <w:pPr>
        <w:spacing w:line="360" w:lineRule="auto"/>
      </w:pPr>
    </w:p>
    <w:p w14:paraId="68695C0B" w14:textId="77777777" w:rsidR="00D8645B" w:rsidRPr="007C41D2" w:rsidRDefault="00D8645B" w:rsidP="00D8645B">
      <w:pPr>
        <w:spacing w:line="360" w:lineRule="auto"/>
        <w:rPr>
          <w:b/>
          <w:sz w:val="28"/>
          <w:szCs w:val="28"/>
        </w:rPr>
      </w:pPr>
      <w:r w:rsidRPr="007C41D2">
        <w:rPr>
          <w:b/>
          <w:sz w:val="28"/>
          <w:szCs w:val="28"/>
        </w:rPr>
        <w:t>Technical Soundness Considerations</w:t>
      </w:r>
    </w:p>
    <w:p w14:paraId="2CFCFB6C" w14:textId="77777777" w:rsidR="00D8645B" w:rsidRDefault="00D8645B" w:rsidP="00D8645B">
      <w:pPr>
        <w:spacing w:line="360" w:lineRule="auto"/>
      </w:pPr>
    </w:p>
    <w:p w14:paraId="00462785" w14:textId="77777777" w:rsidR="00D8645B" w:rsidRDefault="00D8645B" w:rsidP="0060309E">
      <w:pPr>
        <w:pStyle w:val="ListParagraph"/>
        <w:numPr>
          <w:ilvl w:val="0"/>
          <w:numId w:val="23"/>
        </w:numPr>
        <w:spacing w:after="160" w:line="360" w:lineRule="auto"/>
      </w:pPr>
      <w:r w:rsidRPr="007C41D2">
        <w:rPr>
          <w:u w:val="single"/>
        </w:rPr>
        <w:t>Model Data, Development, and Specification</w:t>
      </w:r>
      <w:r w:rsidRPr="007C41D2">
        <w:t xml:space="preserve">: In this section the details of the technical specifications and </w:t>
      </w:r>
      <w:r>
        <w:t>the model implementation are des</w:t>
      </w:r>
      <w:r w:rsidRPr="007C41D2">
        <w:t>cribed.</w:t>
      </w:r>
    </w:p>
    <w:p w14:paraId="1E66BF28" w14:textId="77777777" w:rsidR="00D8645B" w:rsidRDefault="00D8645B" w:rsidP="0060309E">
      <w:pPr>
        <w:pStyle w:val="ListParagraph"/>
        <w:numPr>
          <w:ilvl w:val="0"/>
          <w:numId w:val="23"/>
        </w:numPr>
        <w:spacing w:after="160" w:line="360" w:lineRule="auto"/>
      </w:pPr>
      <w:r>
        <w:rPr>
          <w:u w:val="single"/>
        </w:rPr>
        <w:t>Model Objective</w:t>
      </w:r>
      <w:r w:rsidRPr="007C41D2">
        <w:t>:</w:t>
      </w:r>
      <w:r>
        <w:t xml:space="preserve"> The technical objectives of the model are as follows.</w:t>
      </w:r>
    </w:p>
    <w:p w14:paraId="66C030F4" w14:textId="77777777" w:rsidR="00D8645B" w:rsidRDefault="00D8645B" w:rsidP="0060309E">
      <w:pPr>
        <w:pStyle w:val="ListParagraph"/>
        <w:numPr>
          <w:ilvl w:val="0"/>
          <w:numId w:val="23"/>
        </w:numPr>
        <w:spacing w:after="160" w:line="360" w:lineRule="auto"/>
      </w:pPr>
      <w:r>
        <w:rPr>
          <w:u w:val="single"/>
        </w:rPr>
        <w:t>Pro-cyclical GSST and BSST Loss Distributions</w:t>
      </w:r>
      <w:r w:rsidRPr="007C41D2">
        <w:t>:</w:t>
      </w:r>
      <w:r>
        <w:t xml:space="preserve"> Combine VaR adjusted for through-the-cycle view, GSST, and BSST to produce the P&amp;L distribution.</w:t>
      </w:r>
    </w:p>
    <w:p w14:paraId="7622FD8B" w14:textId="77777777" w:rsidR="00D8645B" w:rsidRDefault="00D8645B" w:rsidP="0060309E">
      <w:pPr>
        <w:pStyle w:val="ListParagraph"/>
        <w:numPr>
          <w:ilvl w:val="0"/>
          <w:numId w:val="23"/>
        </w:numPr>
        <w:spacing w:after="160" w:line="360" w:lineRule="auto"/>
      </w:pPr>
      <w:r>
        <w:rPr>
          <w:u w:val="single"/>
        </w:rPr>
        <w:t>Conditional Business Tail Expected Shortfall</w:t>
      </w:r>
      <w:r>
        <w:t>: Calculate the expected shortfall defined as a conditional expectation of the loss distribution at its tail region.</w:t>
      </w:r>
    </w:p>
    <w:p w14:paraId="3765B5D5" w14:textId="77777777" w:rsidR="00D8645B" w:rsidRDefault="00D8645B" w:rsidP="0060309E">
      <w:pPr>
        <w:pStyle w:val="ListParagraph"/>
        <w:numPr>
          <w:ilvl w:val="0"/>
          <w:numId w:val="23"/>
        </w:numPr>
        <w:spacing w:after="160" w:line="360" w:lineRule="auto"/>
      </w:pPr>
      <w:r>
        <w:rPr>
          <w:u w:val="single"/>
        </w:rPr>
        <w:t>Firm-Conditional Business Tail Loss</w:t>
      </w:r>
      <w:r w:rsidRPr="00726C70">
        <w:t>:</w:t>
      </w:r>
      <w:r>
        <w:t xml:space="preserve"> Calculate the expected shortfall of a business conditional on the tail region loss cases of the firm.</w:t>
      </w:r>
    </w:p>
    <w:p w14:paraId="53FD7B6D" w14:textId="77777777" w:rsidR="00D8645B" w:rsidRDefault="00D8645B" w:rsidP="0060309E">
      <w:pPr>
        <w:pStyle w:val="ListParagraph"/>
        <w:numPr>
          <w:ilvl w:val="0"/>
          <w:numId w:val="23"/>
        </w:numPr>
        <w:spacing w:after="160" w:line="360" w:lineRule="auto"/>
      </w:pPr>
      <w:r>
        <w:rPr>
          <w:u w:val="single"/>
        </w:rPr>
        <w:lastRenderedPageBreak/>
        <w:t>Group-Conditional Business Tail Loss</w:t>
      </w:r>
      <w:r w:rsidRPr="00726C70">
        <w:t>:</w:t>
      </w:r>
      <w:r>
        <w:t xml:space="preserve"> Calculate the expected shortfall of a business conditional on the tail region loss cases of the group the business belongs to.</w:t>
      </w:r>
    </w:p>
    <w:p w14:paraId="3E74F6A4" w14:textId="77777777" w:rsidR="00D8645B" w:rsidRDefault="00D8645B" w:rsidP="0060309E">
      <w:pPr>
        <w:pStyle w:val="ListParagraph"/>
        <w:numPr>
          <w:ilvl w:val="0"/>
          <w:numId w:val="23"/>
        </w:numPr>
        <w:spacing w:after="160" w:line="360" w:lineRule="auto"/>
      </w:pPr>
      <w:r w:rsidRPr="00D343F5">
        <w:rPr>
          <w:u w:val="single"/>
        </w:rPr>
        <w:t>Rationale behind the Model Objectives</w:t>
      </w:r>
      <w:r>
        <w:t>: The first technical objective serves as the functional requirement of producing a through-the-cycle P&amp;L distribution while capturing extreme loss events. The second technical objective is to calculate the standalone RC. The third and the fourth technical objectives are to calculate the marginal RC’s of a business to the firm and the group it belongs to, respectively.</w:t>
      </w:r>
    </w:p>
    <w:p w14:paraId="2826B697" w14:textId="77777777" w:rsidR="00D8645B" w:rsidRDefault="00D8645B" w:rsidP="0060309E">
      <w:pPr>
        <w:pStyle w:val="ListParagraph"/>
        <w:numPr>
          <w:ilvl w:val="0"/>
          <w:numId w:val="23"/>
        </w:numPr>
        <w:spacing w:after="160" w:line="360" w:lineRule="auto"/>
      </w:pPr>
      <w:r>
        <w:rPr>
          <w:u w:val="single"/>
        </w:rPr>
        <w:t>Model Inputs</w:t>
      </w:r>
      <w:r w:rsidRPr="00D343F5">
        <w:t>:</w:t>
      </w:r>
      <w:r>
        <w:t xml:space="preserve"> The model inputs fall into three categories – VaR P&amp;L, Stress P&amp;L, and grouping/mapping. The abstract data structures of the model inputs are described below.</w:t>
      </w:r>
    </w:p>
    <w:p w14:paraId="70377D7E" w14:textId="77777777" w:rsidR="00D8645B" w:rsidRDefault="00D8645B" w:rsidP="0060309E">
      <w:pPr>
        <w:pStyle w:val="ListParagraph"/>
        <w:numPr>
          <w:ilvl w:val="0"/>
          <w:numId w:val="23"/>
        </w:numPr>
        <w:spacing w:after="160" w:line="360" w:lineRule="auto"/>
      </w:pPr>
      <w:r w:rsidRPr="00D343F5">
        <w:rPr>
          <w:u w:val="single"/>
        </w:rPr>
        <w:t>VaR P&amp;L</w:t>
      </w:r>
      <w:r>
        <w:t>: VaR P&amp;L input has 10,000 P&amp;L’s by Account Level, Factor Sensitivity (FS) type, Region, and Risk Type.</w:t>
      </w:r>
    </w:p>
    <w:p w14:paraId="1BD64549" w14:textId="77777777" w:rsidR="00D8645B" w:rsidRDefault="00D8645B" w:rsidP="0060309E">
      <w:pPr>
        <w:pStyle w:val="ListParagraph"/>
        <w:numPr>
          <w:ilvl w:val="0"/>
          <w:numId w:val="23"/>
        </w:numPr>
        <w:spacing w:after="160" w:line="360" w:lineRule="auto"/>
      </w:pPr>
      <w:r>
        <w:rPr>
          <w:u w:val="single"/>
        </w:rPr>
        <w:t>Spot to Through-the-Cycle Volatilities</w:t>
      </w:r>
      <w:r w:rsidRPr="001F13EE">
        <w:t>:</w:t>
      </w:r>
      <w:r>
        <w:t xml:space="preserve"> As the VaR P&amp;L’s are based on the volatilities measured from the recent three years data, they are considered as point-in-time measures. To convert them into through-the-cycle ones, the P&amp;L’s are scaled by volatility adjustments.</w:t>
      </w:r>
    </w:p>
    <w:p w14:paraId="062CB466" w14:textId="77777777" w:rsidR="00D8645B" w:rsidRDefault="00D8645B" w:rsidP="0060309E">
      <w:pPr>
        <w:pStyle w:val="ListParagraph"/>
        <w:numPr>
          <w:ilvl w:val="0"/>
          <w:numId w:val="23"/>
        </w:numPr>
        <w:spacing w:after="160" w:line="360" w:lineRule="auto"/>
      </w:pPr>
      <w:r>
        <w:rPr>
          <w:u w:val="single"/>
        </w:rPr>
        <w:t>Updating Through-the-Cycle Volatilities</w:t>
      </w:r>
      <w:r w:rsidRPr="001F13EE">
        <w:t>:</w:t>
      </w:r>
      <w:r>
        <w:t xml:space="preserve"> The volatility adjustments are provided to the model as input and defined at the individual FS types. The adjustment is calculated as the ratio of long-term volatility to the volatility used in VaR for the representative market factor in each FS type. The </w:t>
      </w:r>
      <w:proofErr w:type="gramStart"/>
      <w:r>
        <w:t>long term</w:t>
      </w:r>
      <w:proofErr w:type="gramEnd"/>
      <w:r>
        <w:t xml:space="preserve"> volatilities are update typically quarterly using the entire history available.</w:t>
      </w:r>
    </w:p>
    <w:p w14:paraId="7C116D57" w14:textId="77777777" w:rsidR="00D8645B" w:rsidRDefault="00D8645B" w:rsidP="0060309E">
      <w:pPr>
        <w:pStyle w:val="ListParagraph"/>
        <w:numPr>
          <w:ilvl w:val="0"/>
          <w:numId w:val="23"/>
        </w:numPr>
        <w:spacing w:after="160" w:line="360" w:lineRule="auto"/>
      </w:pPr>
      <w:r w:rsidRPr="001F13EE">
        <w:rPr>
          <w:u w:val="single"/>
        </w:rPr>
        <w:t>Stress P&amp;L’s</w:t>
      </w:r>
      <w:r>
        <w:t>: Stress P&amp;L’s have 3 components: GSST P&amp;L, cBSST P&amp;L, and iBSST P&amp;L.</w:t>
      </w:r>
    </w:p>
    <w:p w14:paraId="439C9CF7" w14:textId="77777777" w:rsidR="00D8645B" w:rsidRDefault="00D8645B" w:rsidP="0060309E">
      <w:pPr>
        <w:pStyle w:val="ListParagraph"/>
        <w:numPr>
          <w:ilvl w:val="0"/>
          <w:numId w:val="23"/>
        </w:numPr>
        <w:spacing w:after="160" w:line="360" w:lineRule="auto"/>
      </w:pPr>
      <w:r w:rsidRPr="001F13EE">
        <w:rPr>
          <w:u w:val="single"/>
        </w:rPr>
        <w:t>GSST Scenario Sequence P&amp;L Treatment</w:t>
      </w:r>
      <w:r>
        <w:t>: GSST P&amp;L input has P&amp;L by business (e.g., Consumer Cards, Consumer Other, etc.), Region (e.g., ASIA, EMEA, etc.), Risk Type (AFS, Trading, etc.), and GSST scenario with probability assigned at each scenario. GSST is expected to measure unexpected financial impact under various historical and hypothetical systemic stress scenarios.</w:t>
      </w:r>
    </w:p>
    <w:p w14:paraId="6A3E7B08" w14:textId="77777777" w:rsidR="00D8645B" w:rsidRDefault="00D8645B" w:rsidP="0060309E">
      <w:pPr>
        <w:pStyle w:val="ListParagraph"/>
        <w:numPr>
          <w:ilvl w:val="0"/>
          <w:numId w:val="23"/>
        </w:numPr>
        <w:spacing w:after="160" w:line="360" w:lineRule="auto"/>
      </w:pPr>
      <w:r>
        <w:rPr>
          <w:u w:val="single"/>
        </w:rPr>
        <w:t>Determination of the GSST Scenarios</w:t>
      </w:r>
      <w:r w:rsidRPr="00CC2302">
        <w:t>:</w:t>
      </w:r>
      <w:r>
        <w:t xml:space="preserve"> GSST scenarios are defined as a specific combination of the market and the macro-economic shocks designed to adversely impact the firm’s financials. GSST scenarios are assumed to be mutually exclusive.</w:t>
      </w:r>
    </w:p>
    <w:p w14:paraId="7A02D0CC" w14:textId="77777777" w:rsidR="00D8645B" w:rsidRDefault="00D8645B" w:rsidP="0060309E">
      <w:pPr>
        <w:pStyle w:val="ListParagraph"/>
        <w:numPr>
          <w:ilvl w:val="0"/>
          <w:numId w:val="23"/>
        </w:numPr>
        <w:spacing w:after="160" w:line="360" w:lineRule="auto"/>
      </w:pPr>
      <w:r>
        <w:rPr>
          <w:u w:val="single"/>
        </w:rPr>
        <w:t xml:space="preserve">Correlated BSST Scenario </w:t>
      </w:r>
      <w:r w:rsidRPr="00CC2302">
        <w:rPr>
          <w:u w:val="single"/>
        </w:rPr>
        <w:t>P&amp;L</w:t>
      </w:r>
      <w:r>
        <w:rPr>
          <w:u w:val="single"/>
        </w:rPr>
        <w:t xml:space="preserve"> Treatment</w:t>
      </w:r>
      <w:r w:rsidRPr="00CC2302">
        <w:t>:</w:t>
      </w:r>
      <w:r>
        <w:t xml:space="preserve"> cBSST P&amp;L input has P&amp;L by Business, Region, Risk Type, GSST scenario, and cBSST scenario. cBSST for each of the specific portfolio is </w:t>
      </w:r>
      <w:r>
        <w:lastRenderedPageBreak/>
        <w:t>deigned to capture the risks that are assumed to be perfectly correlated to one of the GSST scenarios but are not captured by GSST due to lack of granularity or insufficient large stress moves.</w:t>
      </w:r>
    </w:p>
    <w:p w14:paraId="59111BB7" w14:textId="77777777" w:rsidR="00D8645B" w:rsidRDefault="00D8645B" w:rsidP="0060309E">
      <w:pPr>
        <w:pStyle w:val="ListParagraph"/>
        <w:numPr>
          <w:ilvl w:val="0"/>
          <w:numId w:val="23"/>
        </w:numPr>
        <w:spacing w:after="160" w:line="360" w:lineRule="auto"/>
      </w:pPr>
      <w:r w:rsidRPr="00CC2302">
        <w:rPr>
          <w:u w:val="single"/>
        </w:rPr>
        <w:t>Independent BSST Scenario P&amp;L Treatment</w:t>
      </w:r>
      <w:r>
        <w:t>: iBSST P&amp;L input has P&amp;L by Business, Region, Risk Type, and the corresponding iBSST scenario with the associated probability. iBSST is designed to capture the effects of risks with low correlation to the GSST scenarios and missing from the VaR scenarios. An iBSST scenario is assumed to be independent from the other iBSST scenarios as well as the other GSST/cBSST scenarios.</w:t>
      </w:r>
    </w:p>
    <w:p w14:paraId="00613432" w14:textId="77777777" w:rsidR="00D8645B" w:rsidRDefault="00D8645B" w:rsidP="0060309E">
      <w:pPr>
        <w:pStyle w:val="ListParagraph"/>
        <w:numPr>
          <w:ilvl w:val="0"/>
          <w:numId w:val="23"/>
        </w:numPr>
        <w:spacing w:after="160" w:line="360" w:lineRule="auto"/>
      </w:pPr>
      <w:r>
        <w:rPr>
          <w:u w:val="single"/>
        </w:rPr>
        <w:t>Grouping/Mapping</w:t>
      </w:r>
      <w:r w:rsidRPr="00CC2302">
        <w:t>:</w:t>
      </w:r>
      <w:r>
        <w:t xml:space="preserve"> As the model produces RC numbers at the bucket level defined by Group (BHC-GCG, BHC-ICG, etc.), Product (Consumer, Advisory, etc.), Business, Region, and Risk Type, there are several grouping/mapping inputs:</w:t>
      </w:r>
    </w:p>
    <w:p w14:paraId="2C1C072E" w14:textId="77777777" w:rsidR="00D8645B" w:rsidRDefault="00D8645B" w:rsidP="0060309E">
      <w:pPr>
        <w:pStyle w:val="ListParagraph"/>
        <w:numPr>
          <w:ilvl w:val="1"/>
          <w:numId w:val="23"/>
        </w:numPr>
        <w:spacing w:after="160" w:line="360" w:lineRule="auto"/>
      </w:pPr>
      <w:r>
        <w:t>Business to Account-level mapping</w:t>
      </w:r>
    </w:p>
    <w:p w14:paraId="4A4C3F36" w14:textId="77777777" w:rsidR="00D8645B" w:rsidRDefault="00D8645B" w:rsidP="0060309E">
      <w:pPr>
        <w:pStyle w:val="ListParagraph"/>
        <w:numPr>
          <w:ilvl w:val="1"/>
          <w:numId w:val="23"/>
        </w:numPr>
        <w:spacing w:after="160" w:line="360" w:lineRule="auto"/>
      </w:pPr>
      <w:r>
        <w:t>Group, Product, and Business grouping</w:t>
      </w:r>
    </w:p>
    <w:p w14:paraId="6A21D820" w14:textId="77777777" w:rsidR="00D8645B" w:rsidRDefault="00D8645B" w:rsidP="0060309E">
      <w:pPr>
        <w:pStyle w:val="ListParagraph"/>
        <w:numPr>
          <w:ilvl w:val="1"/>
          <w:numId w:val="23"/>
        </w:numPr>
        <w:spacing w:after="160" w:line="360" w:lineRule="auto"/>
      </w:pPr>
      <w:r>
        <w:t>RBC code to Risk Type mapping to map VaR</w:t>
      </w:r>
      <w:r w:rsidRPr="00A00F0B">
        <w:t xml:space="preserve"> </w:t>
      </w:r>
      <w:r>
        <w:t>P&amp;L to one of the Risk Types</w:t>
      </w:r>
    </w:p>
    <w:p w14:paraId="2F6D37D7" w14:textId="77777777" w:rsidR="00D8645B" w:rsidRDefault="00D8645B" w:rsidP="0060309E">
      <w:pPr>
        <w:pStyle w:val="ListParagraph"/>
        <w:numPr>
          <w:ilvl w:val="1"/>
          <w:numId w:val="23"/>
        </w:numPr>
        <w:spacing w:after="160" w:line="360" w:lineRule="auto"/>
      </w:pPr>
      <w:r>
        <w:t>Region in VaR P&amp;L to Region in iVAST mapping</w:t>
      </w:r>
    </w:p>
    <w:p w14:paraId="0C040262" w14:textId="77777777" w:rsidR="00D8645B" w:rsidRDefault="00D8645B" w:rsidP="0060309E">
      <w:pPr>
        <w:pStyle w:val="ListParagraph"/>
        <w:numPr>
          <w:ilvl w:val="0"/>
          <w:numId w:val="23"/>
        </w:numPr>
        <w:spacing w:after="160" w:line="360" w:lineRule="auto"/>
      </w:pPr>
      <w:r w:rsidRPr="00A00F0B">
        <w:rPr>
          <w:u w:val="single"/>
        </w:rPr>
        <w:t>Model Outputs</w:t>
      </w:r>
      <w:r>
        <w:t>: The model generates RC for each business and its various aggregates. The outputs are reported in three different perspectives.</w:t>
      </w:r>
    </w:p>
    <w:p w14:paraId="10DC23D3" w14:textId="77777777" w:rsidR="00D8645B" w:rsidRDefault="00D8645B" w:rsidP="0060309E">
      <w:pPr>
        <w:pStyle w:val="ListParagraph"/>
        <w:numPr>
          <w:ilvl w:val="0"/>
          <w:numId w:val="23"/>
        </w:numPr>
        <w:spacing w:after="160" w:line="360" w:lineRule="auto"/>
      </w:pPr>
      <w:r>
        <w:rPr>
          <w:u w:val="single"/>
        </w:rPr>
        <w:t>Standalone versus Marginal Risk Capital</w:t>
      </w:r>
      <w:r w:rsidRPr="000E7972">
        <w:t>:</w:t>
      </w:r>
      <w:r>
        <w:t xml:space="preserve"> First, in the standalone perspective, the RC is calculated without the diversification benefit. Second, in the marginal-to-firm perspective, RC at a business is the contribution to the firm-level RC. Marginal-to-group is the last perspective, in which the RC at the business level is the contribution to the group level RC.</w:t>
      </w:r>
    </w:p>
    <w:p w14:paraId="68570E4C" w14:textId="77777777" w:rsidR="00D8645B" w:rsidRDefault="00D8645B" w:rsidP="0060309E">
      <w:pPr>
        <w:pStyle w:val="ListParagraph"/>
        <w:numPr>
          <w:ilvl w:val="0"/>
          <w:numId w:val="23"/>
        </w:numPr>
        <w:spacing w:after="160" w:line="360" w:lineRule="auto"/>
      </w:pPr>
      <w:r>
        <w:rPr>
          <w:u w:val="single"/>
        </w:rPr>
        <w:t>Marginal to Higher Aggregation Granularities</w:t>
      </w:r>
      <w:r w:rsidRPr="000E7972">
        <w:t>:</w:t>
      </w:r>
      <w:r>
        <w:t xml:space="preserve"> Additionally, details such as Marginal-to-Regional BHC, contributory VaR to RC by business, region (ASIA, EMEA, GLOBAL, and NA), and risk type (AFS, ALL, CVA, IDR, Pension, Trading, etc.) are produced.</w:t>
      </w:r>
    </w:p>
    <w:p w14:paraId="6ECC5FBC" w14:textId="77777777" w:rsidR="00D8645B" w:rsidRDefault="00D8645B" w:rsidP="0060309E">
      <w:pPr>
        <w:pStyle w:val="ListParagraph"/>
        <w:numPr>
          <w:ilvl w:val="0"/>
          <w:numId w:val="23"/>
        </w:numPr>
        <w:spacing w:after="160" w:line="360" w:lineRule="auto"/>
      </w:pPr>
      <w:r>
        <w:rPr>
          <w:u w:val="single"/>
        </w:rPr>
        <w:t>Additional RC-Related Outputs</w:t>
      </w:r>
      <w:r w:rsidRPr="000E7972">
        <w:t>:</w:t>
      </w:r>
      <w:r>
        <w:t xml:space="preserve"> The model produces details such as:</w:t>
      </w:r>
    </w:p>
    <w:p w14:paraId="31819F3E" w14:textId="77777777" w:rsidR="00D8645B" w:rsidRDefault="00D8645B" w:rsidP="0060309E">
      <w:pPr>
        <w:pStyle w:val="ListParagraph"/>
        <w:numPr>
          <w:ilvl w:val="1"/>
          <w:numId w:val="23"/>
        </w:numPr>
        <w:spacing w:after="160" w:line="360" w:lineRule="auto"/>
      </w:pPr>
      <w:r>
        <w:t>Marginal to Global BHC</w:t>
      </w:r>
    </w:p>
    <w:p w14:paraId="54C6CF62" w14:textId="77777777" w:rsidR="00D8645B" w:rsidRDefault="00D8645B" w:rsidP="0060309E">
      <w:pPr>
        <w:pStyle w:val="ListParagraph"/>
        <w:numPr>
          <w:ilvl w:val="1"/>
          <w:numId w:val="23"/>
        </w:numPr>
        <w:spacing w:after="160" w:line="360" w:lineRule="auto"/>
      </w:pPr>
      <w:r>
        <w:t>Marginal to Regional BHC</w:t>
      </w:r>
    </w:p>
    <w:p w14:paraId="6A0ED5D7" w14:textId="77777777" w:rsidR="00D8645B" w:rsidRDefault="00D8645B" w:rsidP="0060309E">
      <w:pPr>
        <w:pStyle w:val="ListParagraph"/>
        <w:numPr>
          <w:ilvl w:val="1"/>
          <w:numId w:val="23"/>
        </w:numPr>
        <w:spacing w:after="160" w:line="360" w:lineRule="auto"/>
      </w:pPr>
      <w:r>
        <w:t>Marginal to Global Group</w:t>
      </w:r>
    </w:p>
    <w:p w14:paraId="562E80E1" w14:textId="77777777" w:rsidR="00D8645B" w:rsidRDefault="00D8645B" w:rsidP="0060309E">
      <w:pPr>
        <w:pStyle w:val="ListParagraph"/>
        <w:numPr>
          <w:ilvl w:val="1"/>
          <w:numId w:val="23"/>
        </w:numPr>
        <w:spacing w:after="160" w:line="360" w:lineRule="auto"/>
      </w:pPr>
      <w:r>
        <w:t>Marginal to Regional Group Standalone</w:t>
      </w:r>
    </w:p>
    <w:p w14:paraId="51132788" w14:textId="77777777" w:rsidR="00D8645B" w:rsidRDefault="00D8645B" w:rsidP="0060309E">
      <w:pPr>
        <w:pStyle w:val="ListParagraph"/>
        <w:numPr>
          <w:ilvl w:val="1"/>
          <w:numId w:val="23"/>
        </w:numPr>
        <w:spacing w:after="160" w:line="360" w:lineRule="auto"/>
      </w:pPr>
      <w:r>
        <w:t>Contributory VaR to Standalone</w:t>
      </w:r>
    </w:p>
    <w:p w14:paraId="66E0668B" w14:textId="77777777" w:rsidR="00D8645B" w:rsidRDefault="00D8645B" w:rsidP="0060309E">
      <w:pPr>
        <w:pStyle w:val="ListParagraph"/>
        <w:numPr>
          <w:ilvl w:val="1"/>
          <w:numId w:val="23"/>
        </w:numPr>
        <w:spacing w:after="160" w:line="360" w:lineRule="auto"/>
      </w:pPr>
      <w:r>
        <w:lastRenderedPageBreak/>
        <w:t>Contributory GSST to Standalone</w:t>
      </w:r>
    </w:p>
    <w:p w14:paraId="49CAD00A" w14:textId="77777777" w:rsidR="00D8645B" w:rsidRDefault="00D8645B" w:rsidP="0060309E">
      <w:pPr>
        <w:pStyle w:val="ListParagraph"/>
        <w:numPr>
          <w:ilvl w:val="1"/>
          <w:numId w:val="23"/>
        </w:numPr>
        <w:spacing w:after="160" w:line="360" w:lineRule="auto"/>
      </w:pPr>
      <w:r>
        <w:t>Contributory BSST to Standalone</w:t>
      </w:r>
    </w:p>
    <w:p w14:paraId="049BFEE8" w14:textId="77777777" w:rsidR="00D8645B" w:rsidRDefault="00D8645B" w:rsidP="0060309E">
      <w:pPr>
        <w:pStyle w:val="ListParagraph"/>
        <w:numPr>
          <w:ilvl w:val="1"/>
          <w:numId w:val="23"/>
        </w:numPr>
        <w:spacing w:after="160" w:line="360" w:lineRule="auto"/>
      </w:pPr>
      <w:r>
        <w:t>1-day VaR</w:t>
      </w:r>
    </w:p>
    <w:p w14:paraId="6F8EB3A4" w14:textId="77777777" w:rsidR="00D8645B" w:rsidRDefault="00D8645B" w:rsidP="0060309E">
      <w:pPr>
        <w:pStyle w:val="ListParagraph"/>
        <w:numPr>
          <w:ilvl w:val="1"/>
          <w:numId w:val="23"/>
        </w:numPr>
        <w:spacing w:after="160" w:line="360" w:lineRule="auto"/>
      </w:pPr>
      <w:r>
        <w:t>1974 Baseline – Total</w:t>
      </w:r>
    </w:p>
    <w:p w14:paraId="508E7E9B" w14:textId="77777777" w:rsidR="00D8645B" w:rsidRDefault="00D8645B" w:rsidP="0060309E">
      <w:pPr>
        <w:pStyle w:val="ListParagraph"/>
        <w:numPr>
          <w:ilvl w:val="1"/>
          <w:numId w:val="23"/>
        </w:numPr>
        <w:spacing w:after="160" w:line="360" w:lineRule="auto"/>
      </w:pPr>
      <w:r>
        <w:t>2008 Baseline – Total</w:t>
      </w:r>
    </w:p>
    <w:p w14:paraId="059BED09" w14:textId="77777777" w:rsidR="00D8645B" w:rsidRDefault="00D8645B" w:rsidP="0060309E">
      <w:pPr>
        <w:pStyle w:val="ListParagraph"/>
        <w:numPr>
          <w:ilvl w:val="1"/>
          <w:numId w:val="23"/>
        </w:numPr>
        <w:spacing w:after="160" w:line="360" w:lineRule="auto"/>
      </w:pPr>
      <w:r>
        <w:t>Deep Downturn – Total</w:t>
      </w:r>
    </w:p>
    <w:p w14:paraId="49E114E3" w14:textId="77777777" w:rsidR="00D8645B" w:rsidRDefault="00D8645B" w:rsidP="0060309E">
      <w:pPr>
        <w:pStyle w:val="ListParagraph"/>
        <w:numPr>
          <w:ilvl w:val="1"/>
          <w:numId w:val="23"/>
        </w:numPr>
        <w:spacing w:after="160" w:line="360" w:lineRule="auto"/>
      </w:pPr>
      <w:r>
        <w:t>Interest Rate Shock – Total</w:t>
      </w:r>
    </w:p>
    <w:p w14:paraId="5AEB1F28" w14:textId="77777777" w:rsidR="00D8645B" w:rsidRDefault="00D8645B" w:rsidP="0060309E">
      <w:pPr>
        <w:pStyle w:val="ListParagraph"/>
        <w:numPr>
          <w:ilvl w:val="1"/>
          <w:numId w:val="23"/>
        </w:numPr>
        <w:spacing w:after="160" w:line="360" w:lineRule="auto"/>
      </w:pPr>
      <w:r>
        <w:t>Lost Decade – Total</w:t>
      </w:r>
    </w:p>
    <w:p w14:paraId="09172171" w14:textId="77777777" w:rsidR="00D8645B" w:rsidRDefault="00D8645B" w:rsidP="0060309E">
      <w:pPr>
        <w:pStyle w:val="ListParagraph"/>
        <w:numPr>
          <w:ilvl w:val="1"/>
          <w:numId w:val="23"/>
        </w:numPr>
        <w:spacing w:after="160" w:line="360" w:lineRule="auto"/>
      </w:pPr>
      <w:r>
        <w:t>Worst iBSST</w:t>
      </w:r>
    </w:p>
    <w:p w14:paraId="576AB2B5" w14:textId="77777777" w:rsidR="00D8645B" w:rsidRDefault="00D8645B" w:rsidP="0060309E">
      <w:pPr>
        <w:pStyle w:val="ListParagraph"/>
        <w:numPr>
          <w:ilvl w:val="1"/>
          <w:numId w:val="23"/>
        </w:numPr>
        <w:spacing w:after="160" w:line="360" w:lineRule="auto"/>
      </w:pPr>
      <w:r>
        <w:t>1974 Baseline – GSST</w:t>
      </w:r>
    </w:p>
    <w:p w14:paraId="3356AE9C" w14:textId="77777777" w:rsidR="00D8645B" w:rsidRDefault="00D8645B" w:rsidP="0060309E">
      <w:pPr>
        <w:pStyle w:val="ListParagraph"/>
        <w:numPr>
          <w:ilvl w:val="1"/>
          <w:numId w:val="23"/>
        </w:numPr>
        <w:spacing w:after="160" w:line="360" w:lineRule="auto"/>
      </w:pPr>
      <w:r>
        <w:t>2008 Baseline – GSST</w:t>
      </w:r>
    </w:p>
    <w:p w14:paraId="1F755CE2" w14:textId="77777777" w:rsidR="00D8645B" w:rsidRDefault="00D8645B" w:rsidP="0060309E">
      <w:pPr>
        <w:pStyle w:val="ListParagraph"/>
        <w:numPr>
          <w:ilvl w:val="1"/>
          <w:numId w:val="23"/>
        </w:numPr>
        <w:spacing w:after="160" w:line="360" w:lineRule="auto"/>
      </w:pPr>
      <w:r>
        <w:t>Deep Downturn – GSST</w:t>
      </w:r>
    </w:p>
    <w:p w14:paraId="74790524" w14:textId="77777777" w:rsidR="00D8645B" w:rsidRDefault="00D8645B" w:rsidP="0060309E">
      <w:pPr>
        <w:pStyle w:val="ListParagraph"/>
        <w:numPr>
          <w:ilvl w:val="1"/>
          <w:numId w:val="23"/>
        </w:numPr>
        <w:spacing w:after="160" w:line="360" w:lineRule="auto"/>
      </w:pPr>
      <w:r>
        <w:t>Interest Rate Shock – GSST</w:t>
      </w:r>
    </w:p>
    <w:p w14:paraId="61C73B60" w14:textId="77777777" w:rsidR="00D8645B" w:rsidRDefault="00D8645B" w:rsidP="0060309E">
      <w:pPr>
        <w:pStyle w:val="ListParagraph"/>
        <w:numPr>
          <w:ilvl w:val="1"/>
          <w:numId w:val="23"/>
        </w:numPr>
        <w:spacing w:after="160" w:line="360" w:lineRule="auto"/>
      </w:pPr>
      <w:r>
        <w:t>Lost Decade – GSST</w:t>
      </w:r>
    </w:p>
    <w:p w14:paraId="333DB11C" w14:textId="77777777" w:rsidR="00D8645B" w:rsidRDefault="00D8645B" w:rsidP="0060309E">
      <w:pPr>
        <w:pStyle w:val="ListParagraph"/>
        <w:numPr>
          <w:ilvl w:val="1"/>
          <w:numId w:val="23"/>
        </w:numPr>
        <w:spacing w:after="160" w:line="360" w:lineRule="auto"/>
      </w:pPr>
      <w:r>
        <w:t>1974 Baseline – cBSST</w:t>
      </w:r>
    </w:p>
    <w:p w14:paraId="60C053D7" w14:textId="77777777" w:rsidR="00D8645B" w:rsidRDefault="00D8645B" w:rsidP="0060309E">
      <w:pPr>
        <w:pStyle w:val="ListParagraph"/>
        <w:numPr>
          <w:ilvl w:val="1"/>
          <w:numId w:val="23"/>
        </w:numPr>
        <w:spacing w:after="160" w:line="360" w:lineRule="auto"/>
      </w:pPr>
      <w:r>
        <w:t>2008 Baseline – cBSST</w:t>
      </w:r>
    </w:p>
    <w:p w14:paraId="4D5D42AF" w14:textId="77777777" w:rsidR="00D8645B" w:rsidRDefault="00D8645B" w:rsidP="0060309E">
      <w:pPr>
        <w:pStyle w:val="ListParagraph"/>
        <w:numPr>
          <w:ilvl w:val="1"/>
          <w:numId w:val="23"/>
        </w:numPr>
        <w:spacing w:after="160" w:line="360" w:lineRule="auto"/>
      </w:pPr>
      <w:r>
        <w:t>Deep Downturn – cBSST</w:t>
      </w:r>
    </w:p>
    <w:p w14:paraId="0DD41CC7" w14:textId="77777777" w:rsidR="00D8645B" w:rsidRDefault="00D8645B" w:rsidP="0060309E">
      <w:pPr>
        <w:pStyle w:val="ListParagraph"/>
        <w:numPr>
          <w:ilvl w:val="1"/>
          <w:numId w:val="23"/>
        </w:numPr>
        <w:spacing w:after="160" w:line="360" w:lineRule="auto"/>
      </w:pPr>
      <w:r>
        <w:t>Interest Rate Shock – cBSST</w:t>
      </w:r>
    </w:p>
    <w:p w14:paraId="1D60B2AC" w14:textId="77777777" w:rsidR="00D8645B" w:rsidRDefault="00D8645B" w:rsidP="0060309E">
      <w:pPr>
        <w:pStyle w:val="ListParagraph"/>
        <w:numPr>
          <w:ilvl w:val="1"/>
          <w:numId w:val="23"/>
        </w:numPr>
        <w:spacing w:after="160" w:line="360" w:lineRule="auto"/>
      </w:pPr>
      <w:r>
        <w:t>Lost Decade – cBSST</w:t>
      </w:r>
    </w:p>
    <w:p w14:paraId="21B322B0" w14:textId="77777777" w:rsidR="00D8645B" w:rsidRDefault="00D8645B" w:rsidP="0060309E">
      <w:pPr>
        <w:pStyle w:val="ListParagraph"/>
        <w:numPr>
          <w:ilvl w:val="1"/>
          <w:numId w:val="23"/>
        </w:numPr>
        <w:spacing w:after="160" w:line="360" w:lineRule="auto"/>
      </w:pPr>
      <w:r>
        <w:t>Contributory cBSST to Standalone</w:t>
      </w:r>
    </w:p>
    <w:p w14:paraId="7046883C" w14:textId="77777777" w:rsidR="00D8645B" w:rsidRDefault="00D8645B" w:rsidP="0060309E">
      <w:pPr>
        <w:pStyle w:val="ListParagraph"/>
        <w:numPr>
          <w:ilvl w:val="1"/>
          <w:numId w:val="23"/>
        </w:numPr>
        <w:spacing w:after="160" w:line="360" w:lineRule="auto"/>
      </w:pPr>
      <w:r>
        <w:t>Contributory iBSST to Standalone</w:t>
      </w:r>
    </w:p>
    <w:p w14:paraId="5CE55EE1" w14:textId="77777777" w:rsidR="00D8645B" w:rsidRDefault="00D8645B" w:rsidP="0060309E">
      <w:pPr>
        <w:pStyle w:val="ListParagraph"/>
        <w:numPr>
          <w:ilvl w:val="0"/>
          <w:numId w:val="23"/>
        </w:numPr>
        <w:spacing w:after="160" w:line="360" w:lineRule="auto"/>
      </w:pPr>
      <w:r w:rsidRPr="005F2507">
        <w:rPr>
          <w:u w:val="single"/>
        </w:rPr>
        <w:t>3M Average versus 1M Snapshot</w:t>
      </w:r>
      <w:r>
        <w:t xml:space="preserve">: A set of outputs can be either a </w:t>
      </w:r>
      <w:proofErr w:type="gramStart"/>
      <w:r>
        <w:t>three month</w:t>
      </w:r>
      <w:proofErr w:type="gramEnd"/>
      <w:r>
        <w:t xml:space="preserve"> average (“regular”) view or a single month snapshot.</w:t>
      </w:r>
    </w:p>
    <w:p w14:paraId="6675CBF5" w14:textId="77777777" w:rsidR="00D8645B" w:rsidRDefault="00D8645B" w:rsidP="0060309E">
      <w:pPr>
        <w:pStyle w:val="ListParagraph"/>
        <w:numPr>
          <w:ilvl w:val="0"/>
          <w:numId w:val="23"/>
        </w:numPr>
        <w:spacing w:after="160" w:line="360" w:lineRule="auto"/>
      </w:pPr>
      <w:r>
        <w:rPr>
          <w:u w:val="single"/>
        </w:rPr>
        <w:t>Aggregating VaR and Stress P&amp;L</w:t>
      </w:r>
      <w:r w:rsidRPr="005F2507">
        <w:t>:</w:t>
      </w:r>
      <w:r>
        <w:t xml:space="preserve"> The model generates P&amp;L distribution by aggregating the P&amp;L’s from VaR </w:t>
      </w:r>
      <m:oMath>
        <m:sSub>
          <m:sSubPr>
            <m:ctrlPr>
              <w:rPr>
                <w:rFonts w:ascii="Cambria Math" w:hAnsi="Cambria Math"/>
                <w:i/>
              </w:rPr>
            </m:ctrlPr>
          </m:sSubPr>
          <m:e>
            <m:r>
              <w:rPr>
                <w:rFonts w:ascii="Cambria Math" w:hAnsi="Cambria Math"/>
              </w:rPr>
              <m:t>L</m:t>
            </m:r>
          </m:e>
          <m:sub>
            <m:r>
              <w:rPr>
                <w:rFonts w:ascii="Cambria Math" w:hAnsi="Cambria Math"/>
              </w:rPr>
              <m:t>VaR</m:t>
            </m:r>
          </m:sub>
        </m:sSub>
      </m:oMath>
      <w:r>
        <w:rPr>
          <w:rFonts w:eastAsiaTheme="minorEastAsia"/>
        </w:rPr>
        <w:t xml:space="preserve"> </w:t>
      </w:r>
      <w:r>
        <w:t xml:space="preserve">with stress P&amp;L’s of GSST </w:t>
      </w:r>
      <m:oMath>
        <m:sSub>
          <m:sSubPr>
            <m:ctrlPr>
              <w:rPr>
                <w:rFonts w:ascii="Cambria Math" w:hAnsi="Cambria Math"/>
                <w:i/>
              </w:rPr>
            </m:ctrlPr>
          </m:sSubPr>
          <m:e>
            <m:r>
              <w:rPr>
                <w:rFonts w:ascii="Cambria Math" w:hAnsi="Cambria Math"/>
              </w:rPr>
              <m:t>L</m:t>
            </m:r>
          </m:e>
          <m:sub>
            <m:r>
              <w:rPr>
                <w:rFonts w:ascii="Cambria Math" w:hAnsi="Cambria Math"/>
              </w:rPr>
              <m:t>GSST</m:t>
            </m:r>
          </m:sub>
        </m:sSub>
      </m:oMath>
      <w:r>
        <w:t xml:space="preserve">, cBSST </w:t>
      </w:r>
      <m:oMath>
        <m:sSub>
          <m:sSubPr>
            <m:ctrlPr>
              <w:rPr>
                <w:rFonts w:ascii="Cambria Math" w:hAnsi="Cambria Math"/>
                <w:i/>
              </w:rPr>
            </m:ctrlPr>
          </m:sSubPr>
          <m:e>
            <m:r>
              <w:rPr>
                <w:rFonts w:ascii="Cambria Math" w:hAnsi="Cambria Math"/>
              </w:rPr>
              <m:t>L</m:t>
            </m:r>
          </m:e>
          <m:sub>
            <m:r>
              <w:rPr>
                <w:rFonts w:ascii="Cambria Math" w:hAnsi="Cambria Math"/>
              </w:rPr>
              <m:t>cBSST</m:t>
            </m:r>
          </m:sub>
        </m:sSub>
      </m:oMath>
      <w:r>
        <w:t xml:space="preserve">, and iBSST </w:t>
      </w:r>
      <m:oMath>
        <m:sSub>
          <m:sSubPr>
            <m:ctrlPr>
              <w:rPr>
                <w:rFonts w:ascii="Cambria Math" w:hAnsi="Cambria Math"/>
                <w:i/>
              </w:rPr>
            </m:ctrlPr>
          </m:sSubPr>
          <m:e>
            <m:r>
              <w:rPr>
                <w:rFonts w:ascii="Cambria Math" w:hAnsi="Cambria Math"/>
              </w:rPr>
              <m:t>L</m:t>
            </m:r>
          </m:e>
          <m:sub>
            <m:r>
              <w:rPr>
                <w:rFonts w:ascii="Cambria Math" w:hAnsi="Cambria Math"/>
              </w:rPr>
              <m:t>iBSST</m:t>
            </m:r>
          </m:sub>
        </m:sSub>
      </m:oMath>
      <w:r>
        <w:t xml:space="preserve">. That is, the aggregated P&amp;L </w:t>
      </w:r>
      <m:oMath>
        <m:sSub>
          <m:sSubPr>
            <m:ctrlPr>
              <w:rPr>
                <w:rFonts w:ascii="Cambria Math" w:hAnsi="Cambria Math"/>
                <w:i/>
              </w:rPr>
            </m:ctrlPr>
          </m:sSubPr>
          <m:e>
            <m:r>
              <w:rPr>
                <w:rFonts w:ascii="Cambria Math" w:hAnsi="Cambria Math"/>
              </w:rPr>
              <m:t>L</m:t>
            </m:r>
          </m:e>
          <m:sub>
            <m:r>
              <w:rPr>
                <w:rFonts w:ascii="Cambria Math" w:hAnsi="Cambria Math"/>
              </w:rPr>
              <m:t>iVAST</m:t>
            </m:r>
          </m:sub>
        </m:sSub>
      </m:oMath>
      <w:r>
        <w:t xml:space="preserve"> is the scaled sum as shown below.</w:t>
      </w:r>
    </w:p>
    <w:p w14:paraId="501E5743" w14:textId="77777777" w:rsidR="00D8645B" w:rsidRDefault="00D8645B" w:rsidP="0060309E">
      <w:pPr>
        <w:pStyle w:val="ListParagraph"/>
        <w:numPr>
          <w:ilvl w:val="0"/>
          <w:numId w:val="23"/>
        </w:numPr>
        <w:spacing w:after="160" w:line="360" w:lineRule="auto"/>
      </w:pPr>
      <w:r w:rsidRPr="00920106">
        <w:rPr>
          <w:u w:val="single"/>
        </w:rPr>
        <w:t>Master VaR and Stress Combiner</w:t>
      </w:r>
      <w:r>
        <w:t>:</w:t>
      </w:r>
    </w:p>
    <w:p w14:paraId="37067657" w14:textId="77777777" w:rsidR="00D8645B" w:rsidRPr="00DE443F" w:rsidRDefault="00D8645B" w:rsidP="00D8645B">
      <w:pPr>
        <w:spacing w:line="360" w:lineRule="auto"/>
        <w:rPr>
          <w:u w:val="single"/>
        </w:rPr>
      </w:pPr>
    </w:p>
    <w:p w14:paraId="0DF6A8A6" w14:textId="77777777" w:rsidR="00D8645B" w:rsidRPr="00DE443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iVAST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STRESS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STRESS</m:t>
              </m:r>
            </m:sub>
          </m:sSub>
        </m:oMath>
      </m:oMathPara>
    </w:p>
    <w:p w14:paraId="4AB08EE4" w14:textId="77777777" w:rsidR="00D8645B" w:rsidRPr="00DE443F" w:rsidRDefault="00D8645B" w:rsidP="00D8645B">
      <w:pPr>
        <w:spacing w:line="360" w:lineRule="auto"/>
        <w:rPr>
          <w:rFonts w:eastAsiaTheme="minorEastAsia"/>
        </w:rPr>
      </w:pPr>
    </w:p>
    <w:p w14:paraId="7266AF92" w14:textId="77777777" w:rsidR="00D8645B" w:rsidRDefault="00D8645B" w:rsidP="00D8645B">
      <w:pPr>
        <w:pStyle w:val="ListParagraph"/>
        <w:spacing w:line="360" w:lineRule="auto"/>
        <w:ind w:left="360"/>
        <w:rPr>
          <w:rFonts w:eastAsiaTheme="minorEastAsia"/>
        </w:rPr>
      </w:pPr>
      <w:r>
        <w:rPr>
          <w:rFonts w:eastAsiaTheme="minorEastAsia"/>
        </w:rPr>
        <w:t>where</w:t>
      </w:r>
    </w:p>
    <w:p w14:paraId="686A5FB5" w14:textId="77777777" w:rsidR="00D8645B" w:rsidRPr="00DE443F" w:rsidRDefault="00D8645B" w:rsidP="00D8645B">
      <w:pPr>
        <w:spacing w:line="360" w:lineRule="auto"/>
        <w:rPr>
          <w:rFonts w:eastAsiaTheme="minorEastAsia"/>
        </w:rPr>
      </w:pPr>
    </w:p>
    <w:p w14:paraId="53E6A3B4" w14:textId="77777777" w:rsidR="00D8645B" w:rsidRPr="00DE443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STRESS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GSST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cBSST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iBSST</m:t>
              </m:r>
            </m:sub>
          </m:sSub>
        </m:oMath>
      </m:oMathPara>
    </w:p>
    <w:p w14:paraId="52232162" w14:textId="77777777" w:rsidR="00D8645B" w:rsidRPr="00DE443F" w:rsidRDefault="00D8645B" w:rsidP="00D8645B">
      <w:pPr>
        <w:spacing w:line="360" w:lineRule="auto"/>
      </w:pPr>
    </w:p>
    <w:p w14:paraId="28C48325" w14:textId="77777777" w:rsidR="00D8645B" w:rsidRPr="00920106" w:rsidRDefault="00D8645B" w:rsidP="0060309E">
      <w:pPr>
        <w:pStyle w:val="ListParagraph"/>
        <w:numPr>
          <w:ilvl w:val="0"/>
          <w:numId w:val="23"/>
        </w:numPr>
        <w:spacing w:after="160" w:line="360" w:lineRule="auto"/>
      </w:pPr>
      <w:r>
        <w:rPr>
          <w:u w:val="single"/>
        </w:rPr>
        <w:t>The Correlation and the Scale Parameters</w:t>
      </w:r>
      <w:r>
        <w:t xml:space="preserve">: Scaling factors </w:t>
      </w:r>
      <m:oMath>
        <m:sSub>
          <m:sSubPr>
            <m:ctrlPr>
              <w:rPr>
                <w:rFonts w:ascii="Cambria Math" w:hAnsi="Cambria Math"/>
                <w:i/>
              </w:rPr>
            </m:ctrlPr>
          </m:sSubPr>
          <m:e>
            <m:r>
              <w:rPr>
                <w:rFonts w:ascii="Cambria Math" w:hAnsi="Cambria Math"/>
              </w:rPr>
              <m:t>k</m:t>
            </m:r>
          </m:e>
          <m:sub>
            <m:r>
              <w:rPr>
                <w:rFonts w:ascii="Cambria Math" w:hAnsi="Cambria Math"/>
              </w:rPr>
              <m:t>VaR</m:t>
            </m:r>
          </m:sub>
        </m:sSub>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rPr>
          <w:rFonts w:eastAsiaTheme="minorEastAsia"/>
        </w:rPr>
        <w:t xml:space="preserve"> and the correlation assumptions are used in addition to the above equations, as explained later.</w:t>
      </w:r>
    </w:p>
    <w:p w14:paraId="15E7F46A" w14:textId="77777777" w:rsidR="00D8645B" w:rsidRDefault="00D8645B" w:rsidP="0060309E">
      <w:pPr>
        <w:pStyle w:val="ListParagraph"/>
        <w:numPr>
          <w:ilvl w:val="0"/>
          <w:numId w:val="23"/>
        </w:numPr>
        <w:spacing w:after="160" w:line="360" w:lineRule="auto"/>
      </w:pPr>
      <w:r>
        <w:rPr>
          <w:u w:val="single"/>
        </w:rPr>
        <w:t>VaR P&amp;L per Market Factor</w:t>
      </w:r>
      <w:r>
        <w:t>: The VaR model generates P&amp;L’s for each Factor Sensitivity (FS) type by simulating the underlying market factors.</w:t>
      </w:r>
    </w:p>
    <w:p w14:paraId="7E985567" w14:textId="77777777" w:rsidR="00D8645B" w:rsidRPr="00920106" w:rsidRDefault="00D8645B" w:rsidP="0060309E">
      <w:pPr>
        <w:pStyle w:val="ListParagraph"/>
        <w:numPr>
          <w:ilvl w:val="0"/>
          <w:numId w:val="23"/>
        </w:numPr>
        <w:spacing w:after="160" w:line="360" w:lineRule="auto"/>
      </w:pPr>
      <w:r>
        <w:rPr>
          <w:u w:val="single"/>
        </w:rPr>
        <w:t>Through-the-Cycle P&amp;L Conversion</w:t>
      </w:r>
      <w:r w:rsidRPr="00920106">
        <w:t>:</w:t>
      </w:r>
      <w:r>
        <w:t xml:space="preserve"> As the VaR calculation is based on the point-in-time market factor volatilities at time </w:t>
      </w:r>
      <m:oMath>
        <m:r>
          <w:rPr>
            <w:rFonts w:ascii="Cambria Math" w:hAnsi="Cambria Math"/>
          </w:rPr>
          <m:t>t</m:t>
        </m:r>
      </m:oMath>
      <w:r>
        <w:rPr>
          <w:rFonts w:eastAsiaTheme="minorEastAsia"/>
        </w:rPr>
        <w:t xml:space="preserve">, the simulated P&amp;L’s from factor </w:t>
      </w:r>
      <m:oMath>
        <m:r>
          <w:rPr>
            <w:rFonts w:ascii="Cambria Math" w:hAnsi="Cambria Math"/>
          </w:rPr>
          <m:t>i</m:t>
        </m:r>
      </m:oMath>
      <w:r>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VaR, i</m:t>
            </m:r>
          </m:sub>
        </m:sSub>
        <m:d>
          <m:dPr>
            <m:ctrlPr>
              <w:rPr>
                <w:rFonts w:ascii="Cambria Math" w:hAnsi="Cambria Math"/>
                <w:i/>
              </w:rPr>
            </m:ctrlPr>
          </m:dPr>
          <m:e>
            <m:r>
              <w:rPr>
                <w:rFonts w:ascii="Cambria Math" w:hAnsi="Cambria Math"/>
              </w:rPr>
              <m:t>t</m:t>
            </m:r>
          </m:e>
        </m:d>
      </m:oMath>
      <w:r>
        <w:rPr>
          <w:rFonts w:eastAsiaTheme="minorEastAsia"/>
        </w:rPr>
        <w:t xml:space="preserve"> are multiplied by the volatility adjustment </w:t>
      </w:r>
      <m:oMath>
        <m:sSub>
          <m:sSubPr>
            <m:ctrlPr>
              <w:rPr>
                <w:rFonts w:ascii="Cambria Math" w:hAnsi="Cambria Math"/>
                <w:i/>
              </w:rPr>
            </m:ctrlPr>
          </m:sSubPr>
          <m:e>
            <m:r>
              <w:rPr>
                <w:rFonts w:ascii="Cambria Math" w:hAnsi="Cambria Math"/>
              </w:rPr>
              <m:t>vol_adj</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to be converted into the through-the-cycle values.</w:t>
      </w:r>
    </w:p>
    <w:p w14:paraId="35115AE3" w14:textId="77777777" w:rsidR="00D8645B" w:rsidRPr="00DE443F" w:rsidRDefault="00D8645B" w:rsidP="0060309E">
      <w:pPr>
        <w:pStyle w:val="ListParagraph"/>
        <w:numPr>
          <w:ilvl w:val="0"/>
          <w:numId w:val="23"/>
        </w:numPr>
        <w:spacing w:after="160" w:line="360" w:lineRule="auto"/>
      </w:pPr>
      <w:r>
        <w:rPr>
          <w:u w:val="single"/>
        </w:rPr>
        <w:t>Snapshot P&amp;L across Market Factors</w:t>
      </w:r>
      <w:r>
        <w:t xml:space="preserve">: </w:t>
      </w:r>
      <m:oMath>
        <m:sSub>
          <m:sSubPr>
            <m:ctrlPr>
              <w:rPr>
                <w:rFonts w:ascii="Cambria Math" w:hAnsi="Cambria Math"/>
                <w:i/>
              </w:rPr>
            </m:ctrlPr>
          </m:sSubPr>
          <m:e>
            <m:r>
              <w:rPr>
                <w:rFonts w:ascii="Cambria Math" w:hAnsi="Cambria Math"/>
              </w:rPr>
              <m:t>vol_adj</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is estimated using the ratio of long-term volatility used in the VaR calculation at time </w:t>
      </w:r>
      <m:oMath>
        <m:r>
          <w:rPr>
            <w:rFonts w:ascii="Cambria Math" w:hAnsi="Cambria Math"/>
          </w:rPr>
          <m:t>t</m:t>
        </m:r>
      </m:oMath>
      <w:r>
        <w:rPr>
          <w:rFonts w:eastAsiaTheme="minorEastAsia"/>
        </w:rPr>
        <w:t xml:space="preserve"> and the VaR P&amp;L’s are adjusted and aggregated as shown below:</w:t>
      </w:r>
    </w:p>
    <w:p w14:paraId="75D883B7" w14:textId="77777777" w:rsidR="00D8645B" w:rsidRPr="00DE443F" w:rsidRDefault="00D8645B" w:rsidP="00D8645B">
      <w:pPr>
        <w:spacing w:line="360" w:lineRule="auto"/>
        <w:rPr>
          <w:u w:val="single"/>
        </w:rPr>
      </w:pPr>
    </w:p>
    <w:p w14:paraId="0E41E7BD" w14:textId="77777777" w:rsidR="00D8645B" w:rsidRPr="00DE443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FS type i</m:t>
              </m:r>
            </m:sub>
            <m:sup/>
            <m:e>
              <m:sSub>
                <m:sSubPr>
                  <m:ctrlPr>
                    <w:rPr>
                      <w:rFonts w:ascii="Cambria Math" w:hAnsi="Cambria Math"/>
                      <w:i/>
                    </w:rPr>
                  </m:ctrlPr>
                </m:sSubPr>
                <m:e>
                  <m:r>
                    <w:rPr>
                      <w:rFonts w:ascii="Cambria Math" w:hAnsi="Cambria Math"/>
                    </w:rPr>
                    <m:t>vol_adj</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 i</m:t>
                  </m:r>
                </m:sub>
              </m:sSub>
              <m:d>
                <m:dPr>
                  <m:ctrlPr>
                    <w:rPr>
                      <w:rFonts w:ascii="Cambria Math" w:hAnsi="Cambria Math"/>
                      <w:i/>
                    </w:rPr>
                  </m:ctrlPr>
                </m:dPr>
                <m:e>
                  <m:r>
                    <w:rPr>
                      <w:rFonts w:ascii="Cambria Math" w:hAnsi="Cambria Math"/>
                    </w:rPr>
                    <m:t>t</m:t>
                  </m:r>
                </m:e>
              </m:d>
            </m:e>
          </m:nary>
        </m:oMath>
      </m:oMathPara>
    </w:p>
    <w:p w14:paraId="1163F2A3" w14:textId="77777777" w:rsidR="00D8645B" w:rsidRPr="00DE443F" w:rsidRDefault="00D8645B" w:rsidP="00D8645B">
      <w:pPr>
        <w:spacing w:line="360" w:lineRule="auto"/>
      </w:pPr>
    </w:p>
    <w:p w14:paraId="42601ACD" w14:textId="77777777" w:rsidR="00D8645B" w:rsidRPr="00DE443F" w:rsidRDefault="00D8645B" w:rsidP="0060309E">
      <w:pPr>
        <w:pStyle w:val="ListParagraph"/>
        <w:numPr>
          <w:ilvl w:val="0"/>
          <w:numId w:val="23"/>
        </w:numPr>
        <w:spacing w:after="160" w:line="360" w:lineRule="auto"/>
      </w:pPr>
      <w:r>
        <w:rPr>
          <w:u w:val="single"/>
        </w:rPr>
        <w:t>Smoothening of the Consolidated P&amp;L’s</w:t>
      </w:r>
      <w:r>
        <w:t xml:space="preserve">: To reduce the fluctuation in the RC from portfolio change over time, </w:t>
      </w:r>
      <m:oMath>
        <m:sSub>
          <m:sSubPr>
            <m:ctrlPr>
              <w:rPr>
                <w:rFonts w:ascii="Cambria Math" w:hAnsi="Cambria Math"/>
                <w:i/>
              </w:rPr>
            </m:ctrlPr>
          </m:sSubPr>
          <m:e>
            <m:r>
              <w:rPr>
                <w:rFonts w:ascii="Cambria Math" w:hAnsi="Cambria Math"/>
              </w:rPr>
              <m:t>L</m:t>
            </m:r>
          </m:e>
          <m:sub>
            <m:r>
              <w:rPr>
                <w:rFonts w:ascii="Cambria Math" w:hAnsi="Cambria Math"/>
              </w:rPr>
              <m:t>VaR</m:t>
            </m:r>
          </m:sub>
        </m:sSub>
      </m:oMath>
      <w:r>
        <w:t xml:space="preserve"> as of time </w:t>
      </w:r>
      <m:oMath>
        <m:r>
          <w:rPr>
            <w:rFonts w:ascii="Cambria Math" w:hAnsi="Cambria Math"/>
          </w:rPr>
          <m:t>t</m:t>
        </m:r>
      </m:oMath>
      <w:r>
        <w:t xml:space="preserve"> is defined as the sum of the current </w:t>
      </w:r>
      <m:oMath>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m:t>
            </m:r>
          </m:e>
        </m:d>
      </m:oMath>
      <w:r>
        <w:rPr>
          <w:rFonts w:eastAsiaTheme="minorEastAsia"/>
        </w:rPr>
        <w:t xml:space="preserve"> and two previous month end </w:t>
      </w:r>
      <m:oMath>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t-1</m:t>
            </m:r>
          </m:e>
        </m:d>
      </m:oMath>
      <w:r>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t-2</m:t>
            </m:r>
          </m:e>
        </m:d>
      </m:oMath>
      <w:r>
        <w:rPr>
          <w:rFonts w:eastAsiaTheme="minorEastAsia"/>
        </w:rPr>
        <w:t xml:space="preserve"> divided by </w:t>
      </w:r>
      <m:oMath>
        <m:rad>
          <m:radPr>
            <m:degHide m:val="1"/>
            <m:ctrlPr>
              <w:rPr>
                <w:rFonts w:ascii="Cambria Math" w:hAnsi="Cambria Math"/>
                <w:i/>
              </w:rPr>
            </m:ctrlPr>
          </m:radPr>
          <m:deg/>
          <m:e>
            <m:r>
              <w:rPr>
                <w:rFonts w:ascii="Cambria Math" w:hAnsi="Cambria Math"/>
              </w:rPr>
              <m:t>3</m:t>
            </m:r>
          </m:e>
        </m:rad>
      </m:oMath>
      <w:r>
        <w:rPr>
          <w:rFonts w:eastAsiaTheme="minorEastAsia"/>
        </w:rPr>
        <w:t xml:space="preserve"> as shown below.</w:t>
      </w:r>
    </w:p>
    <w:p w14:paraId="7BF0FE2A" w14:textId="77777777" w:rsidR="00D8645B" w:rsidRPr="00DE443F" w:rsidRDefault="00D8645B" w:rsidP="00D8645B">
      <w:pPr>
        <w:spacing w:line="360" w:lineRule="auto"/>
        <w:rPr>
          <w:u w:val="single"/>
        </w:rPr>
      </w:pPr>
    </w:p>
    <w:p w14:paraId="67538D56" w14:textId="77777777" w:rsidR="00D8645B" w:rsidRPr="00DE443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VaR</m:t>
              </m:r>
            </m:sub>
          </m:sSub>
          <m:box>
            <m:boxPr>
              <m:opEmu m:val="1"/>
              <m:ctrlPr>
                <w:rPr>
                  <w:rFonts w:ascii="Cambria Math" w:hAnsi="Cambria Math"/>
                  <w:i/>
                </w:rPr>
              </m:ctrlPr>
            </m:box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e>
          </m:box>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t-2</m:t>
                  </m:r>
                </m:e>
              </m:d>
            </m:e>
          </m:d>
        </m:oMath>
      </m:oMathPara>
    </w:p>
    <w:p w14:paraId="0B6214A8" w14:textId="77777777" w:rsidR="00D8645B" w:rsidRPr="00DE443F" w:rsidRDefault="00D8645B" w:rsidP="00D8645B">
      <w:pPr>
        <w:spacing w:line="360" w:lineRule="auto"/>
      </w:pPr>
    </w:p>
    <w:p w14:paraId="4CBF2089" w14:textId="77777777" w:rsidR="00D8645B" w:rsidRPr="00AB7E5A" w:rsidRDefault="00D8645B" w:rsidP="0060309E">
      <w:pPr>
        <w:pStyle w:val="ListParagraph"/>
        <w:numPr>
          <w:ilvl w:val="0"/>
          <w:numId w:val="23"/>
        </w:numPr>
        <w:spacing w:after="160" w:line="360" w:lineRule="auto"/>
      </w:pPr>
      <w:r w:rsidRPr="00AB7E5A">
        <w:rPr>
          <w:u w:val="single"/>
        </w:rPr>
        <w:t xml:space="preserve">One day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VaR</m:t>
            </m:r>
          </m:sub>
        </m:sSub>
        <m:d>
          <m:dPr>
            <m:ctrlPr>
              <w:rPr>
                <w:rFonts w:ascii="Cambria Math" w:hAnsi="Cambria Math"/>
                <w:i/>
                <w:u w:val="single"/>
              </w:rPr>
            </m:ctrlPr>
          </m:dPr>
          <m:e>
            <m:r>
              <w:rPr>
                <w:rFonts w:ascii="Cambria Math" w:hAnsi="Cambria Math"/>
                <w:u w:val="single"/>
              </w:rPr>
              <m:t>t</m:t>
            </m:r>
          </m:e>
        </m:d>
      </m:oMath>
      <w:r w:rsidRPr="00AB7E5A">
        <w:rPr>
          <w:rFonts w:eastAsiaTheme="minorEastAsia"/>
          <w:u w:val="single"/>
        </w:rPr>
        <w:t xml:space="preserve"> Snapshot</w:t>
      </w:r>
      <w:r>
        <w:rPr>
          <w:rFonts w:eastAsiaTheme="minorEastAsia"/>
        </w:rPr>
        <w:t xml:space="preserve">: The summation in the above equation is done by assuming that the random variables are independent. Note that the </w:t>
      </w:r>
      <m:oMath>
        <m:sSub>
          <m:sSubPr>
            <m:ctrlPr>
              <w:rPr>
                <w:rFonts w:ascii="Cambria Math" w:hAnsi="Cambria Math"/>
                <w:i/>
              </w:rPr>
            </m:ctrlPr>
          </m:sSubPr>
          <m:e>
            <m:r>
              <w:rPr>
                <w:rFonts w:ascii="Cambria Math" w:hAnsi="Cambria Math"/>
              </w:rPr>
              <m:t>L</m:t>
            </m:r>
          </m:e>
          <m:sub>
            <m:r>
              <w:rPr>
                <w:rFonts w:ascii="Cambria Math" w:hAnsi="Cambria Math"/>
              </w:rPr>
              <m:t>VaR</m:t>
            </m:r>
          </m:sub>
        </m:sSub>
      </m:oMath>
      <w:r>
        <w:rPr>
          <w:rFonts w:eastAsiaTheme="minorEastAsia"/>
        </w:rPr>
        <w:t xml:space="preserve"> defined above represents one day P&amp;L. Further adjustment of one-day to one-year time horizon is done in </w:t>
      </w:r>
      <m:oMath>
        <m:sSub>
          <m:sSubPr>
            <m:ctrlPr>
              <w:rPr>
                <w:rFonts w:ascii="Cambria Math" w:hAnsi="Cambria Math"/>
                <w:i/>
              </w:rPr>
            </m:ctrlPr>
          </m:sSubPr>
          <m:e>
            <m:r>
              <w:rPr>
                <w:rFonts w:ascii="Cambria Math" w:hAnsi="Cambria Math"/>
              </w:rPr>
              <m:t>k</m:t>
            </m:r>
          </m:e>
          <m:sub>
            <m:r>
              <w:rPr>
                <w:rFonts w:ascii="Cambria Math" w:hAnsi="Cambria Math"/>
              </w:rPr>
              <m:t>VaR</m:t>
            </m:r>
          </m:sub>
        </m:sSub>
      </m:oMath>
      <w:r>
        <w:rPr>
          <w:rFonts w:eastAsiaTheme="minorEastAsia"/>
        </w:rPr>
        <w:t>.</w:t>
      </w:r>
    </w:p>
    <w:p w14:paraId="5B5007C0" w14:textId="77777777" w:rsidR="00D8645B" w:rsidRPr="00DE443F" w:rsidRDefault="00D8645B" w:rsidP="0060309E">
      <w:pPr>
        <w:pStyle w:val="ListParagraph"/>
        <w:numPr>
          <w:ilvl w:val="0"/>
          <w:numId w:val="23"/>
        </w:numPr>
        <w:spacing w:after="160" w:line="360" w:lineRule="auto"/>
      </w:pPr>
      <w:r w:rsidRPr="00AB7E5A">
        <w:rPr>
          <w:u w:val="single"/>
        </w:rPr>
        <w:lastRenderedPageBreak/>
        <w:t xml:space="preserve">One Month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VaR</m:t>
            </m:r>
          </m:sub>
        </m:sSub>
        <m:d>
          <m:dPr>
            <m:ctrlPr>
              <w:rPr>
                <w:rFonts w:ascii="Cambria Math" w:hAnsi="Cambria Math"/>
                <w:i/>
                <w:u w:val="single"/>
              </w:rPr>
            </m:ctrlPr>
          </m:dPr>
          <m:e>
            <m:r>
              <w:rPr>
                <w:rFonts w:ascii="Cambria Math" w:hAnsi="Cambria Math"/>
                <w:u w:val="single"/>
              </w:rPr>
              <m:t>t</m:t>
            </m:r>
          </m:e>
        </m:d>
      </m:oMath>
      <w:r w:rsidRPr="00AB7E5A">
        <w:rPr>
          <w:rFonts w:eastAsiaTheme="minorEastAsia"/>
          <w:u w:val="single"/>
        </w:rPr>
        <w:t xml:space="preserve"> Snapshot</w:t>
      </w:r>
      <w:r>
        <w:rPr>
          <w:rFonts w:eastAsiaTheme="minorEastAsia"/>
        </w:rPr>
        <w:t xml:space="preserve">: For a single-month snapshot, </w:t>
      </w:r>
      <m:oMath>
        <m:sSub>
          <m:sSubPr>
            <m:ctrlPr>
              <w:rPr>
                <w:rFonts w:ascii="Cambria Math" w:hAnsi="Cambria Math"/>
                <w:i/>
              </w:rPr>
            </m:ctrlPr>
          </m:sSubPr>
          <m:e>
            <m:r>
              <w:rPr>
                <w:rFonts w:ascii="Cambria Math" w:hAnsi="Cambria Math"/>
              </w:rPr>
              <m:t>L</m:t>
            </m:r>
          </m:e>
          <m:sub>
            <m:r>
              <w:rPr>
                <w:rFonts w:ascii="Cambria Math" w:hAnsi="Cambria Math"/>
              </w:rPr>
              <m:t>VaR</m:t>
            </m:r>
          </m:sub>
        </m:sSub>
      </m:oMath>
      <w:r>
        <w:rPr>
          <w:rFonts w:eastAsiaTheme="minorEastAsia"/>
        </w:rPr>
        <w:t xml:space="preserve"> is defined alternatively as</w:t>
      </w:r>
    </w:p>
    <w:p w14:paraId="284644BE" w14:textId="77777777" w:rsidR="00D8645B" w:rsidRPr="00DE443F" w:rsidRDefault="00D8645B" w:rsidP="00D8645B">
      <w:pPr>
        <w:spacing w:line="360" w:lineRule="auto"/>
        <w:rPr>
          <w:u w:val="single"/>
        </w:rPr>
      </w:pPr>
    </w:p>
    <w:p w14:paraId="2AC7E765" w14:textId="77777777" w:rsidR="00D8645B" w:rsidRPr="00DE443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VaR</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m:t>
              </m:r>
            </m:e>
          </m:d>
        </m:oMath>
      </m:oMathPara>
    </w:p>
    <w:p w14:paraId="5204D446" w14:textId="77777777" w:rsidR="00D8645B" w:rsidRPr="00DE443F" w:rsidRDefault="00D8645B" w:rsidP="00D8645B">
      <w:pPr>
        <w:spacing w:line="360" w:lineRule="auto"/>
      </w:pPr>
    </w:p>
    <w:p w14:paraId="1E505F51" w14:textId="77777777" w:rsidR="00D8645B" w:rsidRDefault="00D8645B" w:rsidP="0060309E">
      <w:pPr>
        <w:pStyle w:val="ListParagraph"/>
        <w:numPr>
          <w:ilvl w:val="0"/>
          <w:numId w:val="23"/>
        </w:numPr>
        <w:spacing w:after="160" w:line="360" w:lineRule="auto"/>
      </w:pPr>
      <w:r>
        <w:rPr>
          <w:u w:val="single"/>
        </w:rPr>
        <w:t>3M Annual Stress P&amp;L Snapshot</w:t>
      </w:r>
      <w:r>
        <w:t>: Similar to the VaR P&amp;L, the stress P&amp;L’s except iBSST P&amp;L are defined as the average of the recent 3 month’s values to reduce the time varying portfolio effect:</w:t>
      </w:r>
    </w:p>
    <w:p w14:paraId="0C6570C2" w14:textId="77777777" w:rsidR="00D8645B" w:rsidRPr="00DE443F" w:rsidRDefault="00D8645B" w:rsidP="00D8645B">
      <w:pPr>
        <w:spacing w:line="360" w:lineRule="auto"/>
        <w:rPr>
          <w:u w:val="single"/>
        </w:rPr>
      </w:pPr>
    </w:p>
    <w:p w14:paraId="2AA37D26"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GSST</m:t>
              </m:r>
            </m:sub>
          </m:sSub>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GSST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GSST</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GSST</m:t>
                  </m:r>
                </m:sub>
              </m:sSub>
              <m:d>
                <m:dPr>
                  <m:ctrlPr>
                    <w:rPr>
                      <w:rFonts w:ascii="Cambria Math" w:hAnsi="Cambria Math"/>
                      <w:i/>
                    </w:rPr>
                  </m:ctrlPr>
                </m:dPr>
                <m:e>
                  <m:r>
                    <w:rPr>
                      <w:rFonts w:ascii="Cambria Math" w:hAnsi="Cambria Math"/>
                    </w:rPr>
                    <m:t>t-2</m:t>
                  </m:r>
                </m:e>
              </m:d>
            </m:e>
          </m:d>
        </m:oMath>
      </m:oMathPara>
    </w:p>
    <w:p w14:paraId="5D04D6E5" w14:textId="77777777" w:rsidR="00D8645B" w:rsidRPr="00DE443F" w:rsidRDefault="00D8645B" w:rsidP="00D8645B">
      <w:pPr>
        <w:spacing w:line="360" w:lineRule="auto"/>
        <w:rPr>
          <w:rFonts w:eastAsiaTheme="minorEastAsia"/>
        </w:rPr>
      </w:pPr>
    </w:p>
    <w:p w14:paraId="1DB502F5" w14:textId="77777777" w:rsidR="00D8645B" w:rsidRPr="00DE443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cBSST</m:t>
              </m:r>
            </m:sub>
          </m:sSub>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cBSST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cBSST</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cBSST</m:t>
                  </m:r>
                </m:sub>
              </m:sSub>
              <m:d>
                <m:dPr>
                  <m:ctrlPr>
                    <w:rPr>
                      <w:rFonts w:ascii="Cambria Math" w:hAnsi="Cambria Math"/>
                      <w:i/>
                    </w:rPr>
                  </m:ctrlPr>
                </m:dPr>
                <m:e>
                  <m:r>
                    <w:rPr>
                      <w:rFonts w:ascii="Cambria Math" w:hAnsi="Cambria Math"/>
                    </w:rPr>
                    <m:t>t-2</m:t>
                  </m:r>
                </m:e>
              </m:d>
            </m:e>
          </m:d>
        </m:oMath>
      </m:oMathPara>
    </w:p>
    <w:p w14:paraId="443F3CD5" w14:textId="77777777" w:rsidR="00D8645B" w:rsidRPr="00DE443F" w:rsidRDefault="00D8645B" w:rsidP="00D8645B">
      <w:pPr>
        <w:spacing w:line="360" w:lineRule="auto"/>
        <w:rPr>
          <w:rFonts w:eastAsiaTheme="minorEastAsia"/>
        </w:rPr>
      </w:pPr>
    </w:p>
    <w:p w14:paraId="490D8A53" w14:textId="77777777" w:rsidR="00D8645B" w:rsidRPr="00DE443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iBSST</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L</m:t>
              </m:r>
            </m:e>
            <m:sub>
              <m:r>
                <w:rPr>
                  <w:rFonts w:ascii="Cambria Math" w:hAnsi="Cambria Math"/>
                </w:rPr>
                <m:t>iBSST</m:t>
              </m:r>
            </m:sub>
          </m:sSub>
          <m:d>
            <m:dPr>
              <m:ctrlPr>
                <w:rPr>
                  <w:rFonts w:ascii="Cambria Math" w:hAnsi="Cambria Math"/>
                  <w:i/>
                </w:rPr>
              </m:ctrlPr>
            </m:dPr>
            <m:e>
              <m:r>
                <w:rPr>
                  <w:rFonts w:ascii="Cambria Math" w:hAnsi="Cambria Math"/>
                </w:rPr>
                <m:t>t</m:t>
              </m:r>
            </m:e>
          </m:d>
        </m:oMath>
      </m:oMathPara>
    </w:p>
    <w:p w14:paraId="27806EEA" w14:textId="77777777" w:rsidR="00D8645B" w:rsidRPr="00DE443F" w:rsidRDefault="00D8645B" w:rsidP="00D8645B">
      <w:pPr>
        <w:spacing w:line="360" w:lineRule="auto"/>
      </w:pPr>
    </w:p>
    <w:p w14:paraId="052BDBE8" w14:textId="77777777" w:rsidR="00D8645B" w:rsidRPr="00906104" w:rsidRDefault="00D8645B" w:rsidP="0060309E">
      <w:pPr>
        <w:pStyle w:val="ListParagraph"/>
        <w:numPr>
          <w:ilvl w:val="0"/>
          <w:numId w:val="23"/>
        </w:numPr>
        <w:spacing w:after="160" w:line="360" w:lineRule="auto"/>
      </w:pPr>
      <w:r>
        <w:rPr>
          <w:u w:val="single"/>
        </w:rPr>
        <w:t>Time Horizon for Stress P&amp;L</w:t>
      </w:r>
      <w:r>
        <w:t xml:space="preserve">: Note that the stress P&amp;L’s are already estimated for a one-year time horizon. As a result, average rather than the summation divided by </w:t>
      </w:r>
      <m:oMath>
        <m:rad>
          <m:radPr>
            <m:degHide m:val="1"/>
            <m:ctrlPr>
              <w:rPr>
                <w:rFonts w:ascii="Cambria Math" w:hAnsi="Cambria Math"/>
                <w:i/>
              </w:rPr>
            </m:ctrlPr>
          </m:radPr>
          <m:deg/>
          <m:e>
            <m:r>
              <w:rPr>
                <w:rFonts w:ascii="Cambria Math" w:hAnsi="Cambria Math"/>
              </w:rPr>
              <m:t>3</m:t>
            </m:r>
          </m:e>
        </m:rad>
      </m:oMath>
      <w:r>
        <w:rPr>
          <w:rFonts w:eastAsiaTheme="minorEastAsia"/>
        </w:rPr>
        <w:t xml:space="preserve"> is used.</w:t>
      </w:r>
    </w:p>
    <w:p w14:paraId="7E9FFF09" w14:textId="77777777" w:rsidR="00D8645B" w:rsidRDefault="00D8645B" w:rsidP="0060309E">
      <w:pPr>
        <w:pStyle w:val="ListParagraph"/>
        <w:numPr>
          <w:ilvl w:val="0"/>
          <w:numId w:val="23"/>
        </w:numPr>
        <w:spacing w:after="160" w:line="360" w:lineRule="auto"/>
      </w:pPr>
      <w:r>
        <w:rPr>
          <w:u w:val="single"/>
        </w:rPr>
        <w:t>Single Month Annual Stress P&amp;L Snapshot</w:t>
      </w:r>
      <w:r>
        <w:t>: For a single month snapshot, the stress losses are defined alternatively as:</w:t>
      </w:r>
    </w:p>
    <w:p w14:paraId="5B07FF78" w14:textId="77777777" w:rsidR="00D8645B" w:rsidRPr="00DE443F" w:rsidRDefault="00D8645B" w:rsidP="00D8645B">
      <w:pPr>
        <w:spacing w:line="360" w:lineRule="auto"/>
        <w:rPr>
          <w:u w:val="single"/>
        </w:rPr>
      </w:pPr>
    </w:p>
    <w:p w14:paraId="5CE07A88"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GSST</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L</m:t>
              </m:r>
            </m:e>
            <m:sub>
              <m:r>
                <w:rPr>
                  <w:rFonts w:ascii="Cambria Math" w:hAnsi="Cambria Math"/>
                </w:rPr>
                <m:t>GSST</m:t>
              </m:r>
            </m:sub>
          </m:sSub>
          <m:d>
            <m:dPr>
              <m:ctrlPr>
                <w:rPr>
                  <w:rFonts w:ascii="Cambria Math" w:hAnsi="Cambria Math"/>
                  <w:i/>
                </w:rPr>
              </m:ctrlPr>
            </m:dPr>
            <m:e>
              <m:r>
                <w:rPr>
                  <w:rFonts w:ascii="Cambria Math" w:hAnsi="Cambria Math"/>
                </w:rPr>
                <m:t>t</m:t>
              </m:r>
            </m:e>
          </m:d>
        </m:oMath>
      </m:oMathPara>
    </w:p>
    <w:p w14:paraId="2AC98860" w14:textId="77777777" w:rsidR="00D8645B" w:rsidRPr="00DE443F" w:rsidRDefault="00D8645B" w:rsidP="00D8645B">
      <w:pPr>
        <w:spacing w:line="360" w:lineRule="auto"/>
        <w:rPr>
          <w:rFonts w:eastAsiaTheme="minorEastAsia"/>
        </w:rPr>
      </w:pPr>
    </w:p>
    <w:p w14:paraId="1081A3F8" w14:textId="77777777" w:rsidR="00D8645B" w:rsidRPr="00DE443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cBSST</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L</m:t>
              </m:r>
            </m:e>
            <m:sub>
              <m:r>
                <w:rPr>
                  <w:rFonts w:ascii="Cambria Math" w:hAnsi="Cambria Math"/>
                </w:rPr>
                <m:t>cBSST</m:t>
              </m:r>
            </m:sub>
          </m:sSub>
          <m:d>
            <m:dPr>
              <m:ctrlPr>
                <w:rPr>
                  <w:rFonts w:ascii="Cambria Math" w:hAnsi="Cambria Math"/>
                  <w:i/>
                </w:rPr>
              </m:ctrlPr>
            </m:dPr>
            <m:e>
              <m:r>
                <w:rPr>
                  <w:rFonts w:ascii="Cambria Math" w:hAnsi="Cambria Math"/>
                </w:rPr>
                <m:t>t</m:t>
              </m:r>
            </m:e>
          </m:d>
        </m:oMath>
      </m:oMathPara>
    </w:p>
    <w:p w14:paraId="587C1372" w14:textId="77777777" w:rsidR="00D8645B" w:rsidRPr="00DE443F" w:rsidRDefault="00D8645B" w:rsidP="00D8645B">
      <w:pPr>
        <w:spacing w:line="360" w:lineRule="auto"/>
        <w:rPr>
          <w:rFonts w:eastAsiaTheme="minorEastAsia"/>
        </w:rPr>
      </w:pPr>
    </w:p>
    <w:p w14:paraId="2B02D8A7" w14:textId="77777777" w:rsidR="00D8645B" w:rsidRPr="00DE443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iBSST</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L</m:t>
              </m:r>
            </m:e>
            <m:sub>
              <m:r>
                <w:rPr>
                  <w:rFonts w:ascii="Cambria Math" w:hAnsi="Cambria Math"/>
                </w:rPr>
                <m:t>iBSST</m:t>
              </m:r>
            </m:sub>
          </m:sSub>
          <m:d>
            <m:dPr>
              <m:ctrlPr>
                <w:rPr>
                  <w:rFonts w:ascii="Cambria Math" w:hAnsi="Cambria Math"/>
                  <w:i/>
                </w:rPr>
              </m:ctrlPr>
            </m:dPr>
            <m:e>
              <m:r>
                <w:rPr>
                  <w:rFonts w:ascii="Cambria Math" w:hAnsi="Cambria Math"/>
                </w:rPr>
                <m:t>t</m:t>
              </m:r>
            </m:e>
          </m:d>
        </m:oMath>
      </m:oMathPara>
    </w:p>
    <w:p w14:paraId="273E4926" w14:textId="77777777" w:rsidR="00D8645B" w:rsidRPr="00DE443F" w:rsidRDefault="00D8645B" w:rsidP="00D8645B">
      <w:pPr>
        <w:spacing w:line="360" w:lineRule="auto"/>
      </w:pPr>
    </w:p>
    <w:p w14:paraId="1B88FF6A" w14:textId="77777777" w:rsidR="00D8645B" w:rsidRPr="00906104" w:rsidRDefault="00D8645B" w:rsidP="0060309E">
      <w:pPr>
        <w:pStyle w:val="ListParagraph"/>
        <w:numPr>
          <w:ilvl w:val="0"/>
          <w:numId w:val="23"/>
        </w:numPr>
        <w:spacing w:after="160" w:line="360" w:lineRule="auto"/>
      </w:pPr>
      <w:r>
        <w:rPr>
          <w:u w:val="single"/>
        </w:rPr>
        <w:t xml:space="preserve">Rationale behind the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VaR</m:t>
            </m:r>
          </m:sub>
        </m:sSub>
      </m:oMath>
      <w:r>
        <w:rPr>
          <w:u w:val="single"/>
        </w:rPr>
        <w:t xml:space="preserve"> Estimation</w:t>
      </w:r>
      <w:r>
        <w:t xml:space="preserve">: The role of </w:t>
      </w:r>
      <m:oMath>
        <m:sSub>
          <m:sSubPr>
            <m:ctrlPr>
              <w:rPr>
                <w:rFonts w:ascii="Cambria Math" w:hAnsi="Cambria Math"/>
                <w:i/>
              </w:rPr>
            </m:ctrlPr>
          </m:sSubPr>
          <m:e>
            <m:r>
              <w:rPr>
                <w:rFonts w:ascii="Cambria Math" w:hAnsi="Cambria Math"/>
              </w:rPr>
              <m:t>k</m:t>
            </m:r>
          </m:e>
          <m:sub>
            <m:r>
              <w:rPr>
                <w:rFonts w:ascii="Cambria Math" w:hAnsi="Cambria Math"/>
              </w:rPr>
              <m:t>VaR</m:t>
            </m:r>
          </m:sub>
        </m:sSub>
      </m:oMath>
      <w:r>
        <w:rPr>
          <w:rFonts w:eastAsiaTheme="minorEastAsia"/>
        </w:rPr>
        <w:t xml:space="preserve"> is to adjust for the time horizon mismatch and make the expected shortfall at </w:t>
      </w:r>
      <m:oMath>
        <m:r>
          <w:rPr>
            <w:rFonts w:ascii="Cambria Math" w:hAnsi="Cambria Math"/>
          </w:rPr>
          <m:t>2%</m:t>
        </m:r>
      </m:oMath>
      <w:r>
        <w:rPr>
          <w:rFonts w:eastAsiaTheme="minorEastAsia"/>
        </w:rPr>
        <w:t xml:space="preserve"> comparable to the P&amp;L at </w:t>
      </w:r>
      <m:oMath>
        <m:r>
          <w:rPr>
            <w:rFonts w:ascii="Cambria Math" w:hAnsi="Cambria Math"/>
          </w:rPr>
          <m:t>0.03%</m:t>
        </m:r>
      </m:oMath>
      <w:r>
        <w:rPr>
          <w:rFonts w:eastAsiaTheme="minorEastAsia"/>
        </w:rPr>
        <w:t xml:space="preserve"> confidence level.</w:t>
      </w:r>
    </w:p>
    <w:p w14:paraId="71BB395B" w14:textId="77777777" w:rsidR="00D8645B" w:rsidRPr="00906104" w:rsidRDefault="00D8645B" w:rsidP="0060309E">
      <w:pPr>
        <w:pStyle w:val="ListParagraph"/>
        <w:numPr>
          <w:ilvl w:val="0"/>
          <w:numId w:val="23"/>
        </w:numPr>
        <w:spacing w:after="160" w:line="360" w:lineRule="auto"/>
      </w:pPr>
      <w:r>
        <w:rPr>
          <w:u w:val="single"/>
        </w:rPr>
        <w:lastRenderedPageBreak/>
        <w:t xml:space="preserve">Definition of, and Expression for,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VaR</m:t>
            </m:r>
          </m:sub>
        </m:sSub>
      </m:oMath>
      <w:r>
        <w:rPr>
          <w:rFonts w:eastAsiaTheme="minorEastAsia"/>
        </w:rPr>
        <w:t xml:space="preserve">: Denoting the value of a random variable </w:t>
      </w:r>
      <m:oMath>
        <m:r>
          <w:rPr>
            <w:rFonts w:ascii="Cambria Math" w:hAnsi="Cambria Math"/>
          </w:rPr>
          <m:t>x</m:t>
        </m:r>
      </m:oMath>
      <w:r>
        <w:rPr>
          <w:rFonts w:eastAsiaTheme="minorEastAsia"/>
        </w:rPr>
        <w:t xml:space="preserve"> and a confidence </w:t>
      </w:r>
      <m:oMath>
        <m:r>
          <w:rPr>
            <w:rFonts w:ascii="Cambria Math" w:hAnsi="Cambria Math"/>
          </w:rPr>
          <m:t>p</m:t>
        </m:r>
      </m:oMath>
      <w:r>
        <w:rPr>
          <w:rFonts w:eastAsiaTheme="minorEastAsia"/>
        </w:rPr>
        <w:t xml:space="preserve"> as </w:t>
      </w:r>
      <m:oMath>
        <m:r>
          <w:rPr>
            <w:rFonts w:ascii="Cambria Math" w:hAnsi="Cambria Math"/>
          </w:rPr>
          <m:t xml:space="preserve">percentile </m:t>
        </m:r>
        <m:d>
          <m:dPr>
            <m:ctrlPr>
              <w:rPr>
                <w:rFonts w:ascii="Cambria Math" w:hAnsi="Cambria Math"/>
                <w:i/>
              </w:rPr>
            </m:ctrlPr>
          </m:dPr>
          <m:e>
            <m:r>
              <w:rPr>
                <w:rFonts w:ascii="Cambria Math" w:hAnsi="Cambria Math"/>
              </w:rPr>
              <m:t>x, p</m:t>
            </m:r>
          </m:e>
        </m:d>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VaR</m:t>
            </m:r>
          </m:sub>
        </m:sSub>
      </m:oMath>
      <w:r>
        <w:rPr>
          <w:rFonts w:eastAsiaTheme="minorEastAsia"/>
        </w:rPr>
        <w:t xml:space="preserve"> is derived using the equation below.</w:t>
      </w:r>
    </w:p>
    <w:p w14:paraId="36944C93" w14:textId="77777777" w:rsidR="00D8645B" w:rsidRDefault="00D8645B" w:rsidP="0060309E">
      <w:pPr>
        <w:pStyle w:val="ListParagraph"/>
        <w:numPr>
          <w:ilvl w:val="0"/>
          <w:numId w:val="23"/>
        </w:numPr>
        <w:spacing w:after="160" w:line="360" w:lineRule="auto"/>
      </w:pPr>
      <w:r>
        <w:rPr>
          <w:u w:val="single"/>
        </w:rPr>
        <w:t xml:space="preserve">EDS and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VaR</m:t>
            </m:r>
          </m:sub>
        </m:sSub>
      </m:oMath>
      <w:r>
        <w:rPr>
          <w:rFonts w:eastAsiaTheme="minorEastAsia"/>
          <w:u w:val="single"/>
        </w:rPr>
        <w:t xml:space="preserve"> </w:t>
      </w:r>
      <w:r>
        <w:rPr>
          <w:u w:val="single"/>
        </w:rPr>
        <w:t>Horizon Scaling</w:t>
      </w:r>
      <w:r w:rsidRPr="00906104">
        <w:t>:</w:t>
      </w:r>
    </w:p>
    <w:p w14:paraId="724A6842" w14:textId="77777777" w:rsidR="00D8645B" w:rsidRPr="00C04AC4" w:rsidRDefault="00D8645B" w:rsidP="00D8645B">
      <w:pPr>
        <w:spacing w:line="360" w:lineRule="auto"/>
        <w:rPr>
          <w:u w:val="single"/>
        </w:rPr>
      </w:pPr>
    </w:p>
    <w:p w14:paraId="2B8EA968"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VaR</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VaR, 1D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 1D</m:t>
                  </m:r>
                </m:sub>
              </m:sSub>
              <m:r>
                <w:rPr>
                  <w:rFonts w:ascii="Cambria Math" w:hAnsi="Cambria Math"/>
                </w:rPr>
                <m:t>≤percentile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VaR, 1D</m:t>
                      </m:r>
                    </m:sub>
                  </m:sSub>
                  <m:r>
                    <w:rPr>
                      <w:rFonts w:ascii="Cambria Math" w:hAnsi="Cambria Math"/>
                    </w:rPr>
                    <m:t>, 2%</m:t>
                  </m:r>
                </m:e>
              </m:d>
            </m:e>
          </m:d>
          <m:r>
            <w:rPr>
              <w:rFonts w:ascii="Cambria Math" w:hAnsi="Cambria Math"/>
            </w:rPr>
            <m:t>=percentile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VaR, 1Y</m:t>
                  </m:r>
                </m:sub>
              </m:sSub>
              <m:r>
                <w:rPr>
                  <w:rFonts w:ascii="Cambria Math" w:hAnsi="Cambria Math"/>
                </w:rPr>
                <m:t>, 0.03%</m:t>
              </m:r>
            </m:e>
          </m:d>
        </m:oMath>
      </m:oMathPara>
    </w:p>
    <w:p w14:paraId="1B05D752" w14:textId="77777777" w:rsidR="00D8645B" w:rsidRPr="00C04AC4" w:rsidRDefault="00D8645B" w:rsidP="00D8645B">
      <w:pPr>
        <w:spacing w:line="360" w:lineRule="auto"/>
        <w:rPr>
          <w:rFonts w:eastAsiaTheme="minorEastAsia"/>
        </w:rPr>
      </w:pPr>
    </w:p>
    <w:p w14:paraId="4A2224C7" w14:textId="77777777" w:rsidR="00D8645B" w:rsidRDefault="00D8645B" w:rsidP="00D8645B">
      <w:pPr>
        <w:pStyle w:val="ListParagraph"/>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VaR, 1Y</m:t>
            </m:r>
          </m:sub>
        </m:sSub>
      </m:oMath>
      <w:r>
        <w:rPr>
          <w:rFonts w:eastAsiaTheme="minorEastAsia"/>
        </w:rPr>
        <w:t xml:space="preserve"> represents a random variable of VaR P&amp;L over one-year time horizon, and </w:t>
      </w:r>
      <m:oMath>
        <m:sSub>
          <m:sSubPr>
            <m:ctrlPr>
              <w:rPr>
                <w:rFonts w:ascii="Cambria Math" w:hAnsi="Cambria Math"/>
                <w:i/>
              </w:rPr>
            </m:ctrlPr>
          </m:sSubPr>
          <m:e>
            <m:r>
              <w:rPr>
                <w:rFonts w:ascii="Cambria Math" w:hAnsi="Cambria Math"/>
              </w:rPr>
              <m:t>L</m:t>
            </m:r>
          </m:e>
          <m:sub>
            <m:r>
              <w:rPr>
                <w:rFonts w:ascii="Cambria Math" w:hAnsi="Cambria Math"/>
              </w:rPr>
              <m:t>VaR, 1D</m:t>
            </m:r>
          </m:sub>
        </m:sSub>
      </m:oMath>
      <w:r>
        <w:rPr>
          <w:rFonts w:eastAsiaTheme="minorEastAsia"/>
        </w:rPr>
        <w:t xml:space="preserve"> is the one-day P&amp;L defined in</w:t>
      </w:r>
    </w:p>
    <w:p w14:paraId="1AE9C4C8" w14:textId="77777777" w:rsidR="00D8645B" w:rsidRPr="00C04AC4" w:rsidRDefault="00D8645B" w:rsidP="00D8645B">
      <w:pPr>
        <w:spacing w:line="360" w:lineRule="auto"/>
        <w:rPr>
          <w:rFonts w:eastAsiaTheme="minorEastAsia"/>
        </w:rPr>
      </w:pPr>
    </w:p>
    <w:p w14:paraId="152EE202" w14:textId="77777777" w:rsidR="00D8645B" w:rsidRPr="00C04AC4"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VaR, 1D</m:t>
              </m:r>
            </m:sub>
          </m:sSub>
          <m:box>
            <m:boxPr>
              <m:opEmu m:val="1"/>
              <m:ctrlPr>
                <w:rPr>
                  <w:rFonts w:ascii="Cambria Math" w:hAnsi="Cambria Math"/>
                  <w:i/>
                </w:rPr>
              </m:ctrlPr>
            </m:box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e>
          </m:box>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t-2</m:t>
                  </m:r>
                </m:e>
              </m:d>
            </m:e>
          </m:d>
        </m:oMath>
      </m:oMathPara>
    </w:p>
    <w:p w14:paraId="42A126CA" w14:textId="77777777" w:rsidR="00D8645B" w:rsidRPr="00C04AC4" w:rsidRDefault="00D8645B" w:rsidP="00D8645B">
      <w:pPr>
        <w:spacing w:line="360" w:lineRule="auto"/>
      </w:pPr>
    </w:p>
    <w:p w14:paraId="3B59F8D6" w14:textId="77777777" w:rsidR="00D8645B" w:rsidRDefault="00D8645B" w:rsidP="0060309E">
      <w:pPr>
        <w:pStyle w:val="ListParagraph"/>
        <w:numPr>
          <w:ilvl w:val="0"/>
          <w:numId w:val="23"/>
        </w:numPr>
        <w:spacing w:after="160" w:line="360" w:lineRule="auto"/>
      </w:pPr>
      <w:r>
        <w:rPr>
          <w:u w:val="single"/>
        </w:rPr>
        <w:t xml:space="preserve">1D </w:t>
      </w:r>
      <w:proofErr w:type="gramStart"/>
      <w:r>
        <w:rPr>
          <w:u w:val="single"/>
        </w:rPr>
        <w:t>To</w:t>
      </w:r>
      <w:proofErr w:type="gramEnd"/>
      <w:r>
        <w:rPr>
          <w:u w:val="single"/>
        </w:rPr>
        <w:t xml:space="preserve"> 1Y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VaR</m:t>
            </m:r>
          </m:sub>
        </m:sSub>
      </m:oMath>
      <w:r>
        <w:rPr>
          <w:rFonts w:eastAsiaTheme="minorEastAsia"/>
          <w:u w:val="single"/>
        </w:rPr>
        <w:t xml:space="preserve"> </w:t>
      </w:r>
      <w:r>
        <w:rPr>
          <w:u w:val="single"/>
        </w:rPr>
        <w:t>Horizon Scaling</w:t>
      </w:r>
      <w:r>
        <w:t xml:space="preserve">: Assumption of a normal distribution for </w:t>
      </w:r>
      <m:oMath>
        <m:sSub>
          <m:sSubPr>
            <m:ctrlPr>
              <w:rPr>
                <w:rFonts w:ascii="Cambria Math" w:hAnsi="Cambria Math"/>
                <w:i/>
              </w:rPr>
            </m:ctrlPr>
          </m:sSubPr>
          <m:e>
            <m:r>
              <w:rPr>
                <w:rFonts w:ascii="Cambria Math" w:hAnsi="Cambria Math"/>
              </w:rPr>
              <m:t>L</m:t>
            </m:r>
          </m:e>
          <m:sub>
            <m:r>
              <w:rPr>
                <w:rFonts w:ascii="Cambria Math" w:hAnsi="Cambria Math"/>
              </w:rPr>
              <m:t>VaR, 1D</m:t>
            </m:r>
          </m:sub>
        </m:sSub>
      </m:oMath>
      <w:r>
        <w:t xml:space="preserve"> such that</w:t>
      </w:r>
    </w:p>
    <w:p w14:paraId="05AC0156" w14:textId="77777777" w:rsidR="00D8645B" w:rsidRPr="00C04AC4" w:rsidRDefault="00D8645B" w:rsidP="00D8645B">
      <w:pPr>
        <w:spacing w:line="360" w:lineRule="auto"/>
        <w:rPr>
          <w:u w:val="single"/>
        </w:rPr>
      </w:pPr>
    </w:p>
    <w:p w14:paraId="32BC00AF" w14:textId="77777777" w:rsidR="00D8645B" w:rsidRPr="00C04AC4"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VaR, 1D</m:t>
              </m:r>
            </m:sub>
          </m:sSub>
          <m:r>
            <w:rPr>
              <w:rFonts w:ascii="Cambria Math" w:hAnsi="Cambria Math"/>
            </w:rPr>
            <m:t>~</m:t>
          </m:r>
          <m:d>
            <m:dPr>
              <m:ctrlPr>
                <w:rPr>
                  <w:rFonts w:ascii="Cambria Math" w:hAnsi="Cambria Math"/>
                  <w:i/>
                </w:rPr>
              </m:ctrlPr>
            </m:dPr>
            <m:e>
              <m:r>
                <w:rPr>
                  <w:rFonts w:ascii="Cambria Math" w:hAnsi="Cambria Math"/>
                </w:rPr>
                <m:t>0, σ</m:t>
              </m:r>
            </m:e>
          </m:d>
        </m:oMath>
      </m:oMathPara>
    </w:p>
    <w:p w14:paraId="7172F524" w14:textId="77777777" w:rsidR="00D8645B" w:rsidRPr="00C04AC4" w:rsidRDefault="00D8645B" w:rsidP="00D8645B">
      <w:pPr>
        <w:spacing w:line="360" w:lineRule="auto"/>
        <w:rPr>
          <w:rFonts w:eastAsiaTheme="minorEastAsia"/>
        </w:rPr>
      </w:pPr>
    </w:p>
    <w:p w14:paraId="62334F6D" w14:textId="77777777" w:rsidR="00D8645B" w:rsidRDefault="00D8645B" w:rsidP="00D8645B">
      <w:pPr>
        <w:pStyle w:val="ListParagraph"/>
        <w:spacing w:line="360" w:lineRule="auto"/>
        <w:ind w:left="360"/>
      </w:pPr>
      <w:r>
        <w:t>along with the independent and identically distributed assumption of daily P&amp;L leads to</w:t>
      </w:r>
    </w:p>
    <w:p w14:paraId="657AF16C" w14:textId="77777777" w:rsidR="00D8645B" w:rsidRPr="00C04AC4" w:rsidRDefault="00D8645B" w:rsidP="00D8645B">
      <w:pPr>
        <w:spacing w:line="360" w:lineRule="auto"/>
      </w:pPr>
    </w:p>
    <w:p w14:paraId="388C9A7F" w14:textId="77777777" w:rsidR="00D8645B" w:rsidRPr="00C04AC4"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VaR, 1D</m:t>
              </m:r>
            </m:sub>
          </m:sSub>
          <m:r>
            <w:rPr>
              <w:rFonts w:ascii="Cambria Math" w:hAnsi="Cambria Math"/>
            </w:rPr>
            <m:t>~</m:t>
          </m:r>
          <m:d>
            <m:dPr>
              <m:ctrlPr>
                <w:rPr>
                  <w:rFonts w:ascii="Cambria Math" w:hAnsi="Cambria Math"/>
                  <w:i/>
                </w:rPr>
              </m:ctrlPr>
            </m:dPr>
            <m:e>
              <m:r>
                <w:rPr>
                  <w:rFonts w:ascii="Cambria Math" w:hAnsi="Cambria Math"/>
                </w:rPr>
                <m:t xml:space="preserve">0, </m:t>
              </m:r>
              <m:rad>
                <m:radPr>
                  <m:degHide m:val="1"/>
                  <m:ctrlPr>
                    <w:rPr>
                      <w:rFonts w:ascii="Cambria Math" w:hAnsi="Cambria Math"/>
                      <w:i/>
                    </w:rPr>
                  </m:ctrlPr>
                </m:radPr>
                <m:deg/>
                <m:e>
                  <m:r>
                    <w:rPr>
                      <w:rFonts w:ascii="Cambria Math" w:hAnsi="Cambria Math"/>
                    </w:rPr>
                    <m:t>260</m:t>
                  </m:r>
                </m:e>
              </m:rad>
              <m:r>
                <w:rPr>
                  <w:rFonts w:ascii="Cambria Math" w:hAnsi="Cambria Math"/>
                </w:rPr>
                <m:t>σ</m:t>
              </m:r>
            </m:e>
          </m:d>
        </m:oMath>
      </m:oMathPara>
    </w:p>
    <w:p w14:paraId="050FC0F3" w14:textId="77777777" w:rsidR="00D8645B" w:rsidRPr="00C04AC4" w:rsidRDefault="00D8645B" w:rsidP="00D8645B">
      <w:pPr>
        <w:spacing w:line="360" w:lineRule="auto"/>
      </w:pPr>
    </w:p>
    <w:p w14:paraId="4869D057" w14:textId="77777777" w:rsidR="00D8645B" w:rsidRPr="00C04AC4" w:rsidRDefault="00D8645B" w:rsidP="0060309E">
      <w:pPr>
        <w:pStyle w:val="ListParagraph"/>
        <w:numPr>
          <w:ilvl w:val="0"/>
          <w:numId w:val="23"/>
        </w:numPr>
        <w:spacing w:after="160" w:line="360" w:lineRule="auto"/>
      </w:pPr>
      <w:r>
        <w:rPr>
          <w:u w:val="single"/>
        </w:rPr>
        <w:t xml:space="preserve">Explicit Expression for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VaR</m:t>
            </m:r>
          </m:sub>
        </m:sSub>
      </m:oMath>
      <w:r>
        <w:rPr>
          <w:rFonts w:eastAsiaTheme="minorEastAsia"/>
          <w:u w:val="single"/>
        </w:rPr>
        <w:t xml:space="preserve"> Estimate</w:t>
      </w:r>
      <w:r>
        <w:rPr>
          <w:rFonts w:eastAsiaTheme="minorEastAsia"/>
        </w:rPr>
        <w:t xml:space="preserve">: Then </w:t>
      </w:r>
      <m:oMath>
        <m:sSub>
          <m:sSubPr>
            <m:ctrlPr>
              <w:rPr>
                <w:rFonts w:ascii="Cambria Math" w:hAnsi="Cambria Math"/>
                <w:i/>
              </w:rPr>
            </m:ctrlPr>
          </m:sSubPr>
          <m:e>
            <m:r>
              <w:rPr>
                <w:rFonts w:ascii="Cambria Math" w:hAnsi="Cambria Math"/>
              </w:rPr>
              <m:t>k</m:t>
            </m:r>
          </m:e>
          <m:sub>
            <m:r>
              <w:rPr>
                <w:rFonts w:ascii="Cambria Math" w:hAnsi="Cambria Math"/>
              </w:rPr>
              <m:t>VaR</m:t>
            </m:r>
          </m:sub>
        </m:sSub>
      </m:oMath>
      <w:r>
        <w:rPr>
          <w:rFonts w:eastAsiaTheme="minorEastAsia"/>
        </w:rPr>
        <w:t xml:space="preserve"> is calculated as</w:t>
      </w:r>
    </w:p>
    <w:p w14:paraId="1E6A7DF0" w14:textId="77777777" w:rsidR="00D8645B" w:rsidRPr="00C04AC4" w:rsidRDefault="00D8645B" w:rsidP="00D8645B">
      <w:pPr>
        <w:spacing w:line="360" w:lineRule="auto"/>
        <w:rPr>
          <w:u w:val="single"/>
        </w:rPr>
      </w:pPr>
    </w:p>
    <w:p w14:paraId="766E1BFA"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VaR</m:t>
              </m:r>
            </m:sub>
          </m:sSub>
          <m:r>
            <w:rPr>
              <w:rFonts w:ascii="Cambria Math" w:hAnsi="Cambria Math"/>
            </w:rPr>
            <m:t>=</m:t>
          </m:r>
          <m:f>
            <m:fPr>
              <m:ctrlPr>
                <w:rPr>
                  <w:rFonts w:ascii="Cambria Math" w:hAnsi="Cambria Math"/>
                  <w:i/>
                </w:rPr>
              </m:ctrlPr>
            </m:fPr>
            <m:num>
              <m:r>
                <w:rPr>
                  <w:rFonts w:ascii="Cambria Math" w:hAnsi="Cambria Math"/>
                </w:rPr>
                <m:t>percentile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VaR, 1Y</m:t>
                      </m:r>
                    </m:sub>
                  </m:sSub>
                  <m:r>
                    <w:rPr>
                      <w:rFonts w:ascii="Cambria Math" w:hAnsi="Cambria Math"/>
                    </w:rPr>
                    <m:t>, 0.03%</m:t>
                  </m:r>
                </m:e>
              </m:d>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VaR, 1D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 1D</m:t>
                      </m:r>
                    </m:sub>
                  </m:sSub>
                  <m:r>
                    <w:rPr>
                      <w:rFonts w:ascii="Cambria Math" w:hAnsi="Cambria Math"/>
                    </w:rPr>
                    <m:t>≤percentile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VaR, 1D</m:t>
                          </m:r>
                        </m:sub>
                      </m:sSub>
                      <m:r>
                        <w:rPr>
                          <w:rFonts w:ascii="Cambria Math" w:hAnsi="Cambria Math"/>
                        </w:rPr>
                        <m:t>, 2%</m:t>
                      </m:r>
                    </m:e>
                  </m:d>
                </m:e>
              </m:d>
            </m:den>
          </m:f>
          <m:r>
            <w:rPr>
              <w:rFonts w:ascii="Cambria Math" w:hAnsi="Cambria Math"/>
            </w:rPr>
            <m:t>=</m:t>
          </m:r>
          <m:rad>
            <m:radPr>
              <m:degHide m:val="1"/>
              <m:ctrlPr>
                <w:rPr>
                  <w:rFonts w:ascii="Cambria Math" w:hAnsi="Cambria Math"/>
                  <w:i/>
                </w:rPr>
              </m:ctrlPr>
            </m:radPr>
            <m:deg/>
            <m:e>
              <m:r>
                <w:rPr>
                  <w:rFonts w:ascii="Cambria Math" w:hAnsi="Cambria Math"/>
                </w:rPr>
                <m:t>260</m:t>
              </m:r>
            </m:e>
          </m:ra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0.0003</m:t>
                  </m:r>
                </m:e>
              </m:d>
            </m:num>
            <m:den>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m:t>
                  </m:r>
                </m:sub>
                <m: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0.02</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den>
          </m:f>
        </m:oMath>
      </m:oMathPara>
    </w:p>
    <w:p w14:paraId="79344412" w14:textId="77777777" w:rsidR="00D8645B" w:rsidRPr="00C04AC4" w:rsidRDefault="00D8645B" w:rsidP="00D8645B">
      <w:pPr>
        <w:spacing w:line="360" w:lineRule="auto"/>
        <w:rPr>
          <w:rFonts w:eastAsiaTheme="minorEastAsia"/>
        </w:rPr>
      </w:pPr>
    </w:p>
    <w:p w14:paraId="65246949" w14:textId="77777777" w:rsidR="00D8645B" w:rsidRDefault="00D8645B" w:rsidP="00D8645B">
      <w:pPr>
        <w:pStyle w:val="ListParagraph"/>
        <w:spacing w:line="360" w:lineRule="auto"/>
        <w:ind w:left="360"/>
        <w:rPr>
          <w:rFonts w:eastAsiaTheme="minorEastAsia"/>
        </w:rPr>
      </w:pPr>
      <w:r>
        <w:rPr>
          <w:rFonts w:eastAsiaTheme="minorEastAsia"/>
        </w:rP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rPr>
          <w:rFonts w:eastAsiaTheme="minorEastAsia"/>
        </w:rPr>
        <w:t xml:space="preserve"> denotes the inverse cumulative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rPr>
          <w:rFonts w:eastAsiaTheme="minorEastAsia"/>
        </w:rPr>
        <w:t xml:space="preserve"> the probability density function of the standard normal distribution. This results in</w:t>
      </w:r>
    </w:p>
    <w:p w14:paraId="40E81460" w14:textId="77777777" w:rsidR="00D8645B" w:rsidRPr="00C04AC4" w:rsidRDefault="00D8645B" w:rsidP="00D8645B">
      <w:pPr>
        <w:spacing w:line="360" w:lineRule="auto"/>
        <w:rPr>
          <w:rFonts w:eastAsiaTheme="minorEastAsia"/>
        </w:rPr>
      </w:pPr>
    </w:p>
    <w:p w14:paraId="22626E35"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VaR</m:t>
              </m:r>
            </m:sub>
          </m:sSub>
          <m:r>
            <w:rPr>
              <w:rFonts w:ascii="Cambria Math" w:hAnsi="Cambria Math"/>
            </w:rPr>
            <m:t>=22.8</m:t>
          </m:r>
        </m:oMath>
      </m:oMathPara>
    </w:p>
    <w:p w14:paraId="352ABE19" w14:textId="77777777" w:rsidR="00D8645B" w:rsidRPr="00C04AC4" w:rsidRDefault="00D8645B" w:rsidP="00D8645B">
      <w:pPr>
        <w:spacing w:line="360" w:lineRule="auto"/>
      </w:pPr>
    </w:p>
    <w:p w14:paraId="43CB8C90" w14:textId="77777777" w:rsidR="00D8645B" w:rsidRPr="00C04AC4" w:rsidRDefault="00D8645B" w:rsidP="0060309E">
      <w:pPr>
        <w:pStyle w:val="ListParagraph"/>
        <w:numPr>
          <w:ilvl w:val="0"/>
          <w:numId w:val="23"/>
        </w:numPr>
        <w:spacing w:after="160" w:line="360" w:lineRule="auto"/>
      </w:pPr>
      <w:r>
        <w:rPr>
          <w:u w:val="single"/>
        </w:rPr>
        <w:t xml:space="preserve">Formulation of the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STRESS</m:t>
            </m:r>
          </m:sub>
        </m:sSub>
      </m:oMath>
      <w:r>
        <w:rPr>
          <w:u w:val="single"/>
        </w:rPr>
        <w:t xml:space="preserve"> Estimator</w:t>
      </w:r>
      <w:r>
        <w:t xml:space="preserve">: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rPr>
          <w:rFonts w:eastAsiaTheme="minorEastAsia"/>
        </w:rPr>
        <w:t xml:space="preserve"> is similarly defined as</w:t>
      </w:r>
    </w:p>
    <w:p w14:paraId="72DC5517" w14:textId="77777777" w:rsidR="00D8645B" w:rsidRPr="00C04AC4" w:rsidRDefault="00D8645B" w:rsidP="00D8645B">
      <w:pPr>
        <w:spacing w:line="360" w:lineRule="auto"/>
        <w:rPr>
          <w:u w:val="single"/>
        </w:rPr>
      </w:pPr>
    </w:p>
    <w:p w14:paraId="09B938F6" w14:textId="77777777" w:rsidR="00D8645B" w:rsidRPr="00C04AC4"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STRESS</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STRESS</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STRESS</m:t>
                  </m:r>
                </m:sub>
              </m:sSub>
              <m:r>
                <w:rPr>
                  <w:rFonts w:ascii="Cambria Math" w:hAnsi="Cambria Math"/>
                </w:rPr>
                <m:t>≤percentile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STRESS</m:t>
                      </m:r>
                    </m:sub>
                  </m:sSub>
                  <m:r>
                    <w:rPr>
                      <w:rFonts w:ascii="Cambria Math" w:hAnsi="Cambria Math"/>
                    </w:rPr>
                    <m:t>, 2%</m:t>
                  </m:r>
                </m:e>
              </m:d>
            </m:e>
          </m:d>
          <m:r>
            <w:rPr>
              <w:rFonts w:ascii="Cambria Math" w:hAnsi="Cambria Math"/>
            </w:rPr>
            <m:t>=percentile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STRESS</m:t>
                  </m:r>
                </m:sub>
              </m:sSub>
              <m:r>
                <w:rPr>
                  <w:rFonts w:ascii="Cambria Math" w:hAnsi="Cambria Math"/>
                </w:rPr>
                <m:t>, 0.03%</m:t>
              </m:r>
            </m:e>
          </m:d>
        </m:oMath>
      </m:oMathPara>
    </w:p>
    <w:p w14:paraId="21CAF489" w14:textId="77777777" w:rsidR="00D8645B" w:rsidRPr="00C04AC4" w:rsidRDefault="00D8645B" w:rsidP="00D8645B">
      <w:pPr>
        <w:spacing w:line="360" w:lineRule="auto"/>
      </w:pPr>
    </w:p>
    <w:p w14:paraId="0213E3F8" w14:textId="77777777" w:rsidR="00D8645B" w:rsidRPr="00C04AC4" w:rsidRDefault="00D8645B" w:rsidP="0060309E">
      <w:pPr>
        <w:pStyle w:val="ListParagraph"/>
        <w:numPr>
          <w:ilvl w:val="0"/>
          <w:numId w:val="23"/>
        </w:numPr>
        <w:spacing w:after="160" w:line="360" w:lineRule="auto"/>
      </w:pPr>
      <w:r>
        <w:rPr>
          <w:u w:val="single"/>
        </w:rPr>
        <w:t xml:space="preserve">Explicit Expression for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STRESS</m:t>
            </m:r>
          </m:sub>
        </m:sSub>
      </m:oMath>
      <w:r>
        <w:rPr>
          <w:rFonts w:eastAsiaTheme="minorEastAsia"/>
          <w:u w:val="single"/>
        </w:rPr>
        <w:t xml:space="preserve"> Estimate</w:t>
      </w:r>
      <w:r>
        <w:rPr>
          <w:rFonts w:eastAsiaTheme="minorEastAsia"/>
        </w:rPr>
        <w:t xml:space="preserve">: Assuming a Student’s t distribution with degree of freedom </w:t>
      </w:r>
      <m:oMath>
        <m:r>
          <w:rPr>
            <w:rFonts w:ascii="Cambria Math" w:hAnsi="Cambria Math"/>
          </w:rPr>
          <m:t>ν</m:t>
        </m:r>
      </m:oMath>
      <w:r>
        <w:rPr>
          <w:rFonts w:eastAsiaTheme="minorEastAsia"/>
        </w:rPr>
        <w:t xml:space="preserve"> for </w:t>
      </w:r>
      <m:oMath>
        <m:sSub>
          <m:sSubPr>
            <m:ctrlPr>
              <w:rPr>
                <w:rFonts w:ascii="Cambria Math" w:hAnsi="Cambria Math"/>
                <w:i/>
              </w:rPr>
            </m:ctrlPr>
          </m:sSubPr>
          <m:e>
            <m:r>
              <w:rPr>
                <w:rFonts w:ascii="Cambria Math" w:hAnsi="Cambria Math"/>
              </w:rPr>
              <m:t>L</m:t>
            </m:r>
          </m:e>
          <m:sub>
            <m:r>
              <w:rPr>
                <w:rFonts w:ascii="Cambria Math" w:hAnsi="Cambria Math"/>
              </w:rPr>
              <m:t>STRESS</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rPr>
          <w:rFonts w:eastAsiaTheme="minorEastAsia"/>
        </w:rPr>
        <w:t xml:space="preserve"> is calculated as</w:t>
      </w:r>
    </w:p>
    <w:p w14:paraId="501D5D69" w14:textId="77777777" w:rsidR="00D8645B" w:rsidRPr="00C04AC4" w:rsidRDefault="00D8645B" w:rsidP="00D8645B">
      <w:pPr>
        <w:spacing w:line="360" w:lineRule="auto"/>
        <w:rPr>
          <w:u w:val="single"/>
        </w:rPr>
      </w:pPr>
    </w:p>
    <w:p w14:paraId="11956775"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STRESS</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T</m:t>
                  </m:r>
                </m:e>
                <m:sup>
                  <m:r>
                    <w:rPr>
                      <w:rFonts w:ascii="Cambria Math" w:hAnsi="Cambria Math"/>
                    </w:rPr>
                    <m:t>-1</m:t>
                  </m:r>
                </m:sup>
              </m:sSup>
              <m:d>
                <m:dPr>
                  <m:ctrlPr>
                    <w:rPr>
                      <w:rFonts w:ascii="Cambria Math" w:hAnsi="Cambria Math"/>
                      <w:i/>
                    </w:rPr>
                  </m:ctrlPr>
                </m:dPr>
                <m:e>
                  <m:r>
                    <w:rPr>
                      <w:rFonts w:ascii="Cambria Math" w:hAnsi="Cambria Math"/>
                    </w:rPr>
                    <m:t>0.0003; ν</m:t>
                  </m:r>
                </m:e>
              </m:d>
            </m:num>
            <m:den>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m:t>
                  </m:r>
                </m:sub>
                <m:sup>
                  <m:sSup>
                    <m:sSupPr>
                      <m:ctrlPr>
                        <w:rPr>
                          <w:rFonts w:ascii="Cambria Math" w:hAnsi="Cambria Math"/>
                          <w:i/>
                        </w:rPr>
                      </m:ctrlPr>
                    </m:sSupPr>
                    <m:e>
                      <m:r>
                        <m:rPr>
                          <m:sty m:val="p"/>
                        </m:rPr>
                        <w:rPr>
                          <w:rFonts w:ascii="Cambria Math" w:hAnsi="Cambria Math"/>
                        </w:rPr>
                        <m:t>T</m:t>
                      </m:r>
                    </m:e>
                    <m:sup>
                      <m:r>
                        <w:rPr>
                          <w:rFonts w:ascii="Cambria Math" w:hAnsi="Cambria Math"/>
                        </w:rPr>
                        <m:t>-1</m:t>
                      </m:r>
                    </m:sup>
                  </m:sSup>
                  <m:d>
                    <m:dPr>
                      <m:ctrlPr>
                        <w:rPr>
                          <w:rFonts w:ascii="Cambria Math" w:hAnsi="Cambria Math"/>
                          <w:i/>
                        </w:rPr>
                      </m:ctrlPr>
                    </m:dPr>
                    <m:e>
                      <m:r>
                        <w:rPr>
                          <w:rFonts w:ascii="Cambria Math" w:hAnsi="Cambria Math"/>
                        </w:rPr>
                        <m:t>0.02; ν</m:t>
                      </m:r>
                    </m:e>
                  </m:d>
                </m:sup>
                <m:e>
                  <m:r>
                    <w:rPr>
                      <w:rFonts w:ascii="Cambria Math" w:hAnsi="Cambria Math"/>
                    </w:rPr>
                    <m:t>xt</m:t>
                  </m:r>
                  <m:d>
                    <m:dPr>
                      <m:ctrlPr>
                        <w:rPr>
                          <w:rFonts w:ascii="Cambria Math" w:hAnsi="Cambria Math"/>
                          <w:i/>
                        </w:rPr>
                      </m:ctrlPr>
                    </m:dPr>
                    <m:e>
                      <m:r>
                        <w:rPr>
                          <w:rFonts w:ascii="Cambria Math" w:hAnsi="Cambria Math"/>
                        </w:rPr>
                        <m:t>x; ν</m:t>
                      </m:r>
                    </m:e>
                  </m:d>
                  <m:r>
                    <w:rPr>
                      <w:rFonts w:ascii="Cambria Math" w:hAnsi="Cambria Math"/>
                    </w:rPr>
                    <m:t>dx</m:t>
                  </m:r>
                </m:e>
              </m:nary>
            </m:den>
          </m:f>
        </m:oMath>
      </m:oMathPara>
    </w:p>
    <w:p w14:paraId="2BAEA39C" w14:textId="77777777" w:rsidR="00D8645B" w:rsidRPr="00C04AC4" w:rsidRDefault="00D8645B" w:rsidP="00D8645B">
      <w:pPr>
        <w:spacing w:line="360" w:lineRule="auto"/>
        <w:rPr>
          <w:rFonts w:eastAsiaTheme="minorEastAsia"/>
        </w:rPr>
      </w:pPr>
    </w:p>
    <w:p w14:paraId="65C762AC" w14:textId="77777777" w:rsidR="00D8645B" w:rsidRDefault="00D8645B" w:rsidP="00D8645B">
      <w:pPr>
        <w:pStyle w:val="ListParagraph"/>
        <w:spacing w:line="360" w:lineRule="auto"/>
        <w:ind w:left="360"/>
        <w:rPr>
          <w:rFonts w:eastAsiaTheme="minorEastAsia"/>
        </w:rPr>
      </w:pPr>
      <w:r>
        <w:rPr>
          <w:rFonts w:eastAsiaTheme="minorEastAsia"/>
        </w:rPr>
        <w:t xml:space="preserve">where </w:t>
      </w:r>
      <m:oMath>
        <m:r>
          <w:rPr>
            <w:rFonts w:ascii="Cambria Math" w:hAnsi="Cambria Math"/>
          </w:rPr>
          <m:t>t</m:t>
        </m:r>
        <m:d>
          <m:dPr>
            <m:ctrlPr>
              <w:rPr>
                <w:rFonts w:ascii="Cambria Math" w:hAnsi="Cambria Math"/>
                <w:i/>
              </w:rPr>
            </m:ctrlPr>
          </m:dPr>
          <m:e>
            <m:r>
              <w:rPr>
                <w:rFonts w:ascii="Cambria Math" w:hAnsi="Cambria Math"/>
              </w:rPr>
              <m:t>x; ν</m:t>
            </m:r>
          </m:e>
        </m:d>
      </m:oMath>
      <w:r>
        <w:rPr>
          <w:rFonts w:eastAsiaTheme="minorEastAsia"/>
        </w:rPr>
        <w:t xml:space="preserve"> and </w:t>
      </w:r>
      <m:oMath>
        <m:sSup>
          <m:sSupPr>
            <m:ctrlPr>
              <w:rPr>
                <w:rFonts w:ascii="Cambria Math" w:hAnsi="Cambria Math"/>
                <w:i/>
              </w:rPr>
            </m:ctrlPr>
          </m:sSupPr>
          <m:e>
            <m:r>
              <m:rPr>
                <m:sty m:val="p"/>
              </m:rPr>
              <w:rPr>
                <w:rFonts w:ascii="Cambria Math" w:hAnsi="Cambria Math"/>
              </w:rPr>
              <m:t>T</m:t>
            </m:r>
          </m:e>
          <m:sup>
            <m:r>
              <w:rPr>
                <w:rFonts w:ascii="Cambria Math" w:hAnsi="Cambria Math"/>
              </w:rPr>
              <m:t>-1</m:t>
            </m:r>
          </m:sup>
        </m:sSup>
        <m:d>
          <m:dPr>
            <m:ctrlPr>
              <w:rPr>
                <w:rFonts w:ascii="Cambria Math" w:hAnsi="Cambria Math"/>
                <w:i/>
              </w:rPr>
            </m:ctrlPr>
          </m:dPr>
          <m:e>
            <m:r>
              <w:rPr>
                <w:rFonts w:ascii="Cambria Math" w:hAnsi="Cambria Math"/>
              </w:rPr>
              <m:t>x; ν</m:t>
            </m:r>
          </m:e>
        </m:d>
      </m:oMath>
      <w:r>
        <w:rPr>
          <w:rFonts w:eastAsiaTheme="minorEastAsia"/>
        </w:rPr>
        <w:t xml:space="preserve"> respectively denote the Student’s t density and the inverse cumulative distribution function given </w:t>
      </w:r>
      <m:oMath>
        <m:r>
          <w:rPr>
            <w:rFonts w:ascii="Cambria Math" w:hAnsi="Cambria Math"/>
          </w:rPr>
          <m:t>ν</m:t>
        </m:r>
      </m:oMath>
      <w:r>
        <w:rPr>
          <w:rFonts w:eastAsiaTheme="minorEastAsia"/>
        </w:rPr>
        <w:t xml:space="preserve"> degrees of freedom, which is currently set to </w:t>
      </w:r>
      <m:oMath>
        <m:r>
          <w:rPr>
            <w:rFonts w:ascii="Cambria Math" w:hAnsi="Cambria Math"/>
          </w:rPr>
          <m:t>5</m:t>
        </m:r>
      </m:oMath>
      <w:r>
        <w:rPr>
          <w:rFonts w:eastAsiaTheme="minorEastAsia"/>
        </w:rPr>
        <w:t>. This results in</w:t>
      </w:r>
    </w:p>
    <w:p w14:paraId="2D2159DF" w14:textId="77777777" w:rsidR="00D8645B" w:rsidRPr="00C04AC4" w:rsidRDefault="00D8645B" w:rsidP="00D8645B">
      <w:pPr>
        <w:spacing w:line="360" w:lineRule="auto"/>
        <w:rPr>
          <w:rFonts w:eastAsiaTheme="minorEastAsia"/>
        </w:rPr>
      </w:pPr>
    </w:p>
    <w:p w14:paraId="73817D60" w14:textId="77777777" w:rsidR="00D8645B" w:rsidRPr="00C04AC4"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STRESS</m:t>
              </m:r>
            </m:sub>
          </m:sSub>
          <m:r>
            <w:rPr>
              <w:rFonts w:ascii="Cambria Math" w:hAnsi="Cambria Math"/>
            </w:rPr>
            <m:t>=2.0</m:t>
          </m:r>
        </m:oMath>
      </m:oMathPara>
    </w:p>
    <w:p w14:paraId="49B3C303" w14:textId="77777777" w:rsidR="00D8645B" w:rsidRPr="00C04AC4" w:rsidRDefault="00D8645B" w:rsidP="00D8645B">
      <w:pPr>
        <w:spacing w:line="360" w:lineRule="auto"/>
      </w:pPr>
    </w:p>
    <w:p w14:paraId="104D1CBD" w14:textId="77777777" w:rsidR="00D8645B" w:rsidRDefault="00D8645B" w:rsidP="0060309E">
      <w:pPr>
        <w:pStyle w:val="ListParagraph"/>
        <w:numPr>
          <w:ilvl w:val="0"/>
          <w:numId w:val="23"/>
        </w:numPr>
        <w:spacing w:after="160" w:line="360" w:lineRule="auto"/>
      </w:pPr>
      <w:r>
        <w:rPr>
          <w:u w:val="single"/>
        </w:rPr>
        <w:t xml:space="preserve">Correlations among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VaR</m:t>
            </m:r>
          </m:sub>
        </m:sSub>
      </m:oMath>
      <w:r>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GSST</m:t>
            </m:r>
          </m:sub>
        </m:sSub>
      </m:oMath>
      <w:r>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cBSST</m:t>
            </m:r>
          </m:sub>
        </m:sSub>
      </m:oMath>
      <w:r>
        <w:rPr>
          <w:rFonts w:eastAsiaTheme="minorEastAsia"/>
          <w:u w:val="single"/>
        </w:rPr>
        <w:t xml:space="preserve">, and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iBSST</m:t>
            </m:r>
          </m:sub>
        </m:sSub>
      </m:oMath>
      <w:r>
        <w:t>:</w:t>
      </w:r>
    </w:p>
    <w:p w14:paraId="79543F8B" w14:textId="77777777" w:rsidR="00D8645B" w:rsidRPr="00C04AC4" w:rsidRDefault="00D8645B" w:rsidP="00D8645B">
      <w:pPr>
        <w:spacing w:line="360" w:lineRule="auto"/>
        <w:rPr>
          <w:u w:val="single"/>
        </w:rPr>
      </w:pPr>
    </w:p>
    <w:p w14:paraId="3016C33D"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iVAST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STRESS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STRESS</m:t>
              </m:r>
            </m:sub>
          </m:sSub>
        </m:oMath>
      </m:oMathPara>
    </w:p>
    <w:p w14:paraId="744CCBDB" w14:textId="77777777" w:rsidR="00D8645B" w:rsidRPr="00C04AC4" w:rsidRDefault="00D8645B" w:rsidP="00D8645B">
      <w:pPr>
        <w:spacing w:line="360" w:lineRule="auto"/>
        <w:rPr>
          <w:rFonts w:eastAsiaTheme="minorEastAsia"/>
        </w:rPr>
      </w:pPr>
    </w:p>
    <w:p w14:paraId="41358273" w14:textId="77777777" w:rsidR="00D8645B" w:rsidRDefault="00D8645B" w:rsidP="00D8645B">
      <w:pPr>
        <w:pStyle w:val="ListParagraph"/>
        <w:spacing w:line="360" w:lineRule="auto"/>
        <w:ind w:left="360"/>
        <w:rPr>
          <w:rFonts w:eastAsiaTheme="minorEastAsia"/>
        </w:rPr>
      </w:pPr>
      <w:r>
        <w:rPr>
          <w:rFonts w:eastAsiaTheme="minorEastAsia"/>
        </w:rPr>
        <w:t>and</w:t>
      </w:r>
    </w:p>
    <w:p w14:paraId="3CDA5337" w14:textId="77777777" w:rsidR="00D8645B" w:rsidRPr="00C04AC4" w:rsidRDefault="00D8645B" w:rsidP="00D8645B">
      <w:pPr>
        <w:spacing w:line="360" w:lineRule="auto"/>
        <w:rPr>
          <w:rFonts w:eastAsiaTheme="minorEastAsia"/>
        </w:rPr>
      </w:pPr>
    </w:p>
    <w:p w14:paraId="1EB72BDD"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STRESS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GSST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cBSST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iBSST</m:t>
              </m:r>
            </m:sub>
          </m:sSub>
        </m:oMath>
      </m:oMathPara>
    </w:p>
    <w:p w14:paraId="741A90AD" w14:textId="77777777" w:rsidR="00D8645B" w:rsidRPr="00C04AC4" w:rsidRDefault="00D8645B" w:rsidP="00D8645B">
      <w:pPr>
        <w:spacing w:line="360" w:lineRule="auto"/>
      </w:pPr>
    </w:p>
    <w:p w14:paraId="3A2D436B" w14:textId="77777777" w:rsidR="00D8645B" w:rsidRPr="009229ED" w:rsidRDefault="00D8645B" w:rsidP="00D8645B">
      <w:pPr>
        <w:pStyle w:val="ListParagraph"/>
        <w:spacing w:line="360" w:lineRule="auto"/>
        <w:ind w:left="360"/>
      </w:pPr>
      <w:r>
        <w:t>require c</w:t>
      </w:r>
      <w:r w:rsidRPr="000D2928">
        <w:t>orrelation</w:t>
      </w:r>
      <w:r>
        <w:t xml:space="preserve"> assumption</w:t>
      </w:r>
      <w:r w:rsidRPr="000D2928">
        <w:t xml:space="preserve">s among </w:t>
      </w:r>
      <m:oMath>
        <m:sSub>
          <m:sSubPr>
            <m:ctrlPr>
              <w:rPr>
                <w:rFonts w:ascii="Cambria Math" w:hAnsi="Cambria Math"/>
                <w:i/>
              </w:rPr>
            </m:ctrlPr>
          </m:sSubPr>
          <m:e>
            <m:r>
              <w:rPr>
                <w:rFonts w:ascii="Cambria Math" w:hAnsi="Cambria Math"/>
              </w:rPr>
              <m:t>L</m:t>
            </m:r>
          </m:e>
          <m:sub>
            <m:r>
              <w:rPr>
                <w:rFonts w:ascii="Cambria Math" w:hAnsi="Cambria Math"/>
              </w:rPr>
              <m:t>VaR</m:t>
            </m:r>
          </m:sub>
        </m:sSub>
      </m:oMath>
      <w:r w:rsidRPr="000D2928">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GSST</m:t>
            </m:r>
          </m:sub>
        </m:sSub>
      </m:oMath>
      <w:r w:rsidRPr="000D2928">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cBSST</m:t>
            </m:r>
          </m:sub>
        </m:sSub>
      </m:oMath>
      <w:r w:rsidRPr="000D29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iBSST</m:t>
            </m:r>
          </m:sub>
        </m:sSub>
      </m:oMath>
    </w:p>
    <w:p w14:paraId="75804266" w14:textId="77777777" w:rsidR="00D8645B" w:rsidRDefault="00D8645B" w:rsidP="0060309E">
      <w:pPr>
        <w:pStyle w:val="ListParagraph"/>
        <w:numPr>
          <w:ilvl w:val="0"/>
          <w:numId w:val="23"/>
        </w:numPr>
        <w:spacing w:after="160" w:line="360" w:lineRule="auto"/>
      </w:pPr>
      <w:r>
        <w:rPr>
          <w:u w:val="single"/>
        </w:rPr>
        <w:t>PDF for the GSST Distribution</w:t>
      </w:r>
      <w:r>
        <w:t xml:space="preserve">: Hence its probability density function </w:t>
      </w:r>
      <m:oMath>
        <m:sSub>
          <m:sSubPr>
            <m:ctrlPr>
              <w:rPr>
                <w:rFonts w:ascii="Cambria Math" w:hAnsi="Cambria Math"/>
                <w:i/>
              </w:rPr>
            </m:ctrlPr>
          </m:sSubPr>
          <m:e>
            <m:r>
              <w:rPr>
                <w:rFonts w:ascii="Cambria Math" w:hAnsi="Cambria Math"/>
              </w:rPr>
              <m:t>f</m:t>
            </m:r>
          </m:e>
          <m:sub>
            <m:r>
              <w:rPr>
                <w:rFonts w:ascii="Cambria Math" w:hAnsi="Cambria Math"/>
              </w:rPr>
              <m:t>GSST</m:t>
            </m:r>
          </m:sub>
        </m:sSub>
        <m:d>
          <m:dPr>
            <m:ctrlPr>
              <w:rPr>
                <w:rFonts w:ascii="Cambria Math" w:hAnsi="Cambria Math"/>
                <w:i/>
              </w:rPr>
            </m:ctrlPr>
          </m:dPr>
          <m:e>
            <m:r>
              <w:rPr>
                <w:rFonts w:ascii="Cambria Math" w:hAnsi="Cambria Math"/>
              </w:rPr>
              <m:t>x</m:t>
            </m:r>
          </m:e>
        </m:d>
      </m:oMath>
      <w:r>
        <w:t xml:space="preserve"> is defined as</w:t>
      </w:r>
    </w:p>
    <w:p w14:paraId="54803DC9" w14:textId="77777777" w:rsidR="00D8645B" w:rsidRPr="00C04AC4" w:rsidRDefault="00D8645B" w:rsidP="00D8645B">
      <w:pPr>
        <w:spacing w:line="360" w:lineRule="auto"/>
        <w:rPr>
          <w:u w:val="single"/>
        </w:rPr>
      </w:pPr>
    </w:p>
    <w:p w14:paraId="56CF363D"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GSST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sSub>
                <m:sSubPr>
                  <m:ctrlPr>
                    <w:rPr>
                      <w:rFonts w:ascii="Cambria Math" w:hAnsi="Cambria Math"/>
                      <w:i/>
                    </w:rPr>
                  </m:ctrlPr>
                </m:sSubPr>
                <m:e>
                  <m:r>
                    <w:rPr>
                      <w:rFonts w:ascii="Cambria Math" w:hAnsi="Cambria Math"/>
                    </w:rPr>
                    <m:t>N</m:t>
                  </m:r>
                </m:e>
                <m:sub>
                  <m:r>
                    <w:rPr>
                      <w:rFonts w:ascii="Cambria Math" w:hAnsi="Cambria Math"/>
                    </w:rPr>
                    <m:t>GSST</m:t>
                  </m:r>
                </m:sub>
              </m:s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GSST, s</m:t>
                      </m:r>
                    </m:sub>
                  </m:sSub>
                </m:e>
              </m:d>
              <m:sSub>
                <m:sSubPr>
                  <m:ctrlPr>
                    <w:rPr>
                      <w:rFonts w:ascii="Cambria Math" w:hAnsi="Cambria Math"/>
                      <w:i/>
                    </w:rPr>
                  </m:ctrlPr>
                </m:sSubPr>
                <m:e>
                  <m:r>
                    <w:rPr>
                      <w:rFonts w:ascii="Cambria Math" w:hAnsi="Cambria Math"/>
                    </w:rPr>
                    <m:t>p</m:t>
                  </m:r>
                </m:e>
                <m:sub>
                  <m:r>
                    <w:rPr>
                      <w:rFonts w:ascii="Cambria Math" w:hAnsi="Cambria Math"/>
                    </w:rPr>
                    <m:t>GSST, s</m:t>
                  </m:r>
                </m:sub>
              </m:sSub>
            </m:e>
          </m:nary>
          <m:r>
            <w:rPr>
              <w:rFonts w:ascii="Cambria Math" w:hAnsi="Cambria Math"/>
            </w:rPr>
            <m:t>+</m:t>
          </m:r>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s=1</m:t>
                  </m:r>
                </m:sub>
                <m:sup>
                  <m:sSub>
                    <m:sSubPr>
                      <m:ctrlPr>
                        <w:rPr>
                          <w:rFonts w:ascii="Cambria Math" w:hAnsi="Cambria Math"/>
                          <w:i/>
                        </w:rPr>
                      </m:ctrlPr>
                    </m:sSubPr>
                    <m:e>
                      <m:r>
                        <w:rPr>
                          <w:rFonts w:ascii="Cambria Math" w:hAnsi="Cambria Math"/>
                        </w:rPr>
                        <m:t>N</m:t>
                      </m:r>
                    </m:e>
                    <m:sub>
                      <m:r>
                        <w:rPr>
                          <w:rFonts w:ascii="Cambria Math" w:hAnsi="Cambria Math"/>
                        </w:rPr>
                        <m:t>GSST</m:t>
                      </m:r>
                    </m:sub>
                  </m:sSub>
                </m:sup>
                <m:e>
                  <m:sSub>
                    <m:sSubPr>
                      <m:ctrlPr>
                        <w:rPr>
                          <w:rFonts w:ascii="Cambria Math" w:hAnsi="Cambria Math"/>
                          <w:i/>
                        </w:rPr>
                      </m:ctrlPr>
                    </m:sSubPr>
                    <m:e>
                      <m:r>
                        <w:rPr>
                          <w:rFonts w:ascii="Cambria Math" w:hAnsi="Cambria Math"/>
                        </w:rPr>
                        <m:t>p</m:t>
                      </m:r>
                    </m:e>
                    <m:sub>
                      <m:r>
                        <w:rPr>
                          <w:rFonts w:ascii="Cambria Math" w:hAnsi="Cambria Math"/>
                        </w:rPr>
                        <m:t>GSST, s</m:t>
                      </m:r>
                    </m:sub>
                  </m:sSub>
                </m:e>
              </m:nary>
            </m:e>
          </m:d>
          <m:r>
            <w:rPr>
              <w:rFonts w:ascii="Cambria Math" w:hAnsi="Cambria Math"/>
            </w:rPr>
            <m:t>δ</m:t>
          </m:r>
          <m:d>
            <m:dPr>
              <m:ctrlPr>
                <w:rPr>
                  <w:rFonts w:ascii="Cambria Math" w:hAnsi="Cambria Math"/>
                  <w:i/>
                </w:rPr>
              </m:ctrlPr>
            </m:dPr>
            <m:e>
              <m:r>
                <w:rPr>
                  <w:rFonts w:ascii="Cambria Math" w:hAnsi="Cambria Math"/>
                </w:rPr>
                <m:t>x</m:t>
              </m:r>
            </m:e>
          </m:d>
        </m:oMath>
      </m:oMathPara>
    </w:p>
    <w:p w14:paraId="6660A36A" w14:textId="77777777" w:rsidR="00D8645B" w:rsidRPr="00C04AC4" w:rsidRDefault="00D8645B" w:rsidP="00D8645B">
      <w:pPr>
        <w:spacing w:line="360" w:lineRule="auto"/>
        <w:rPr>
          <w:rFonts w:eastAsiaTheme="minorEastAsia"/>
        </w:rPr>
      </w:pPr>
    </w:p>
    <w:p w14:paraId="246A10DF" w14:textId="77777777" w:rsidR="00D8645B" w:rsidRDefault="00D8645B" w:rsidP="00D8645B">
      <w:pPr>
        <w:pStyle w:val="ListParagraph"/>
        <w:spacing w:line="360" w:lineRule="auto"/>
        <w:ind w:left="360"/>
      </w:pPr>
      <w:r>
        <w:t xml:space="preserve">where </w:t>
      </w:r>
      <m:oMath>
        <m:r>
          <w:rPr>
            <w:rFonts w:ascii="Cambria Math" w:hAnsi="Cambria Math"/>
          </w:rPr>
          <m:t>δ</m:t>
        </m:r>
        <m:d>
          <m:dPr>
            <m:ctrlPr>
              <w:rPr>
                <w:rFonts w:ascii="Cambria Math" w:hAnsi="Cambria Math"/>
                <w:i/>
              </w:rPr>
            </m:ctrlPr>
          </m:dPr>
          <m:e>
            <m:r>
              <w:rPr>
                <w:rFonts w:ascii="Cambria Math" w:hAnsi="Cambria Math"/>
              </w:rPr>
              <m:t>∙</m:t>
            </m:r>
          </m:e>
        </m:d>
      </m:oMath>
      <w:r>
        <w:t xml:space="preserve"> denotes the Dirac delta function and </w:t>
      </w:r>
      <m:oMath>
        <m:sSub>
          <m:sSubPr>
            <m:ctrlPr>
              <w:rPr>
                <w:rFonts w:ascii="Cambria Math" w:hAnsi="Cambria Math"/>
                <w:i/>
              </w:rPr>
            </m:ctrlPr>
          </m:sSubPr>
          <m:e>
            <m:r>
              <w:rPr>
                <w:rFonts w:ascii="Cambria Math" w:hAnsi="Cambria Math"/>
              </w:rPr>
              <m:t>p</m:t>
            </m:r>
          </m:e>
          <m:sub>
            <m:r>
              <w:rPr>
                <w:rFonts w:ascii="Cambria Math" w:hAnsi="Cambria Math"/>
              </w:rPr>
              <m:t>GSST, s</m:t>
            </m:r>
          </m:sub>
        </m:sSub>
      </m:oMath>
      <w:r>
        <w:t xml:space="preserve"> is the probability of a the GSST scenario </w:t>
      </w:r>
      <m:oMath>
        <m:r>
          <w:rPr>
            <w:rFonts w:ascii="Cambria Math" w:hAnsi="Cambria Math"/>
          </w:rPr>
          <m:t>s</m:t>
        </m:r>
      </m:oMath>
      <w:r>
        <w:t>.</w:t>
      </w:r>
    </w:p>
    <w:p w14:paraId="1415FC0D" w14:textId="77777777" w:rsidR="00D8645B" w:rsidRPr="00C04AC4" w:rsidRDefault="00D8645B" w:rsidP="0060309E">
      <w:pPr>
        <w:pStyle w:val="ListParagraph"/>
        <w:numPr>
          <w:ilvl w:val="0"/>
          <w:numId w:val="23"/>
        </w:numPr>
        <w:spacing w:after="160" w:line="360" w:lineRule="auto"/>
      </w:pPr>
      <w:r>
        <w:rPr>
          <w:u w:val="single"/>
        </w:rPr>
        <w:t xml:space="preserve">GSST P&amp;L in Scenario </w:t>
      </w:r>
      <m:oMath>
        <m:r>
          <w:rPr>
            <w:rFonts w:ascii="Cambria Math" w:hAnsi="Cambria Math"/>
            <w:u w:val="single"/>
          </w:rPr>
          <m:t>s</m:t>
        </m:r>
      </m:oMath>
      <w:r>
        <w:rPr>
          <w:rFonts w:eastAsiaTheme="minorEastAsia"/>
        </w:rPr>
        <w:t xml:space="preserve">: GSST P&amp;L in scenario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GSST, s</m:t>
            </m:r>
          </m:sub>
        </m:sSub>
      </m:oMath>
      <w:r>
        <w:rPr>
          <w:rFonts w:eastAsiaTheme="minorEastAsia"/>
        </w:rPr>
        <w:t>, is defined as</w:t>
      </w:r>
    </w:p>
    <w:p w14:paraId="2A734BAD" w14:textId="77777777" w:rsidR="00D8645B" w:rsidRPr="00C04AC4" w:rsidRDefault="00D8645B" w:rsidP="00D8645B">
      <w:pPr>
        <w:spacing w:line="360" w:lineRule="auto"/>
        <w:rPr>
          <w:u w:val="single"/>
        </w:rPr>
      </w:pPr>
    </w:p>
    <w:p w14:paraId="242AF43B"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GSST, 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b, r, rt</m:t>
              </m:r>
            </m:sub>
            <m:sup/>
            <m:e>
              <m:sSub>
                <m:sSubPr>
                  <m:ctrlPr>
                    <w:rPr>
                      <w:rFonts w:ascii="Cambria Math" w:hAnsi="Cambria Math"/>
                      <w:i/>
                    </w:rPr>
                  </m:ctrlPr>
                </m:sSubPr>
                <m:e>
                  <m:r>
                    <w:rPr>
                      <w:rFonts w:ascii="Cambria Math" w:hAnsi="Cambria Math"/>
                    </w:rPr>
                    <m:t>l</m:t>
                  </m:r>
                </m:e>
                <m:sub>
                  <m:r>
                    <w:rPr>
                      <w:rFonts w:ascii="Cambria Math" w:hAnsi="Cambria Math"/>
                    </w:rPr>
                    <m:t>GSST, s,b, r, rt</m:t>
                  </m:r>
                </m:sub>
              </m:sSub>
            </m:e>
          </m:nary>
        </m:oMath>
      </m:oMathPara>
    </w:p>
    <w:p w14:paraId="1EE840BF" w14:textId="77777777" w:rsidR="00D8645B" w:rsidRPr="00C04AC4" w:rsidRDefault="00D8645B" w:rsidP="00D8645B">
      <w:pPr>
        <w:spacing w:line="360" w:lineRule="auto"/>
        <w:rPr>
          <w:rFonts w:eastAsiaTheme="minorEastAsia"/>
        </w:rPr>
      </w:pPr>
    </w:p>
    <w:p w14:paraId="4F089389" w14:textId="77777777" w:rsidR="00D8645B" w:rsidRPr="00EF7C99" w:rsidRDefault="00D8645B" w:rsidP="00D8645B">
      <w:pPr>
        <w:pStyle w:val="ListParagraph"/>
        <w:spacing w:line="360" w:lineRule="auto"/>
        <w:ind w:left="360"/>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GSST, s,b, r, rt</m:t>
            </m:r>
          </m:sub>
        </m:sSub>
      </m:oMath>
      <w:r>
        <w:rPr>
          <w:rFonts w:eastAsiaTheme="minorEastAsia"/>
        </w:rPr>
        <w:t xml:space="preserve"> represents the P&amp;L for Business </w:t>
      </w:r>
      <m:oMath>
        <m:r>
          <w:rPr>
            <w:rFonts w:ascii="Cambria Math" w:hAnsi="Cambria Math"/>
          </w:rPr>
          <m:t>s</m:t>
        </m:r>
      </m:oMath>
      <w:r>
        <w:rPr>
          <w:rFonts w:eastAsiaTheme="minorEastAsia"/>
        </w:rPr>
        <w:t xml:space="preserve">, Region </w:t>
      </w:r>
      <m:oMath>
        <m:r>
          <w:rPr>
            <w:rFonts w:ascii="Cambria Math" w:hAnsi="Cambria Math"/>
          </w:rPr>
          <m:t>r</m:t>
        </m:r>
      </m:oMath>
      <w:r>
        <w:rPr>
          <w:rFonts w:eastAsiaTheme="minorEastAsia"/>
        </w:rPr>
        <w:t xml:space="preserve">, and Risk Type </w:t>
      </w:r>
      <m:oMath>
        <m:r>
          <w:rPr>
            <w:rFonts w:ascii="Cambria Math" w:hAnsi="Cambria Math"/>
          </w:rPr>
          <m:t>rt</m:t>
        </m:r>
      </m:oMath>
      <w:r>
        <w:rPr>
          <w:rFonts w:eastAsiaTheme="minorEastAsia"/>
        </w:rPr>
        <w:t xml:space="preserve"> under the GSST scenario </w:t>
      </w:r>
      <m:oMath>
        <m:r>
          <w:rPr>
            <w:rFonts w:ascii="Cambria Math" w:hAnsi="Cambria Math"/>
          </w:rPr>
          <m:t>s</m:t>
        </m:r>
      </m:oMath>
      <w:r>
        <w:rPr>
          <w:rFonts w:eastAsiaTheme="minorEastAsia"/>
        </w:rPr>
        <w:t>.</w:t>
      </w:r>
    </w:p>
    <w:p w14:paraId="1710D8CC" w14:textId="77777777" w:rsidR="00D8645B" w:rsidRDefault="00D8645B" w:rsidP="0060309E">
      <w:pPr>
        <w:pStyle w:val="ListParagraph"/>
        <w:numPr>
          <w:ilvl w:val="0"/>
          <w:numId w:val="23"/>
        </w:numPr>
        <w:spacing w:after="160" w:line="360" w:lineRule="auto"/>
      </w:pPr>
      <w:r>
        <w:rPr>
          <w:u w:val="single"/>
        </w:rPr>
        <w:t xml:space="preserve">cBSST </w:t>
      </w:r>
      <m:oMath>
        <m:r>
          <w:rPr>
            <w:rFonts w:ascii="Cambria Math" w:hAnsi="Cambria Math"/>
            <w:u w:val="single"/>
          </w:rPr>
          <m:t>100%</m:t>
        </m:r>
      </m:oMath>
      <w:r>
        <w:rPr>
          <w:u w:val="single"/>
        </w:rPr>
        <w:t xml:space="preserve"> correlated with GSST</w:t>
      </w:r>
      <w:r w:rsidRPr="00EF7C99">
        <w:t>:</w:t>
      </w:r>
      <w:r>
        <w:t xml:space="preserve"> cBSST P&amp;L is defined to be perfectly correlated with the GSST P&amp;L. That is, a cBSST P&amp;L associated with a GSST scenario is assumed to happen at the same time as GSST P&amp;L for the scenario.</w:t>
      </w:r>
    </w:p>
    <w:p w14:paraId="7C59BE68" w14:textId="77777777" w:rsidR="00D8645B" w:rsidRDefault="00D8645B" w:rsidP="0060309E">
      <w:pPr>
        <w:pStyle w:val="ListParagraph"/>
        <w:numPr>
          <w:ilvl w:val="0"/>
          <w:numId w:val="23"/>
        </w:numPr>
        <w:spacing w:after="160" w:line="360" w:lineRule="auto"/>
      </w:pPr>
      <w:r>
        <w:rPr>
          <w:u w:val="single"/>
        </w:rPr>
        <w:t>PDF for the BSST Distribution</w:t>
      </w:r>
      <w:r w:rsidRPr="00EF7C99">
        <w:t>:</w:t>
      </w:r>
      <w:r>
        <w:t xml:space="preserve"> Its probability density function </w:t>
      </w:r>
      <m:oMath>
        <m:sSub>
          <m:sSubPr>
            <m:ctrlPr>
              <w:rPr>
                <w:rFonts w:ascii="Cambria Math" w:hAnsi="Cambria Math"/>
                <w:i/>
              </w:rPr>
            </m:ctrlPr>
          </m:sSubPr>
          <m:e>
            <m:r>
              <w:rPr>
                <w:rFonts w:ascii="Cambria Math" w:hAnsi="Cambria Math"/>
              </w:rPr>
              <m:t>f</m:t>
            </m:r>
          </m:e>
          <m:sub>
            <m:r>
              <w:rPr>
                <w:rFonts w:ascii="Cambria Math" w:hAnsi="Cambria Math"/>
              </w:rPr>
              <m:t>cBSST</m:t>
            </m:r>
          </m:sub>
        </m:sSub>
        <m:d>
          <m:dPr>
            <m:ctrlPr>
              <w:rPr>
                <w:rFonts w:ascii="Cambria Math" w:hAnsi="Cambria Math"/>
                <w:i/>
              </w:rPr>
            </m:ctrlPr>
          </m:dPr>
          <m:e>
            <m:r>
              <w:rPr>
                <w:rFonts w:ascii="Cambria Math" w:hAnsi="Cambria Math"/>
              </w:rPr>
              <m:t>x</m:t>
            </m:r>
          </m:e>
        </m:d>
      </m:oMath>
      <w:r>
        <w:t xml:space="preserve"> is defined as</w:t>
      </w:r>
    </w:p>
    <w:p w14:paraId="19EA93BE" w14:textId="77777777" w:rsidR="00D8645B" w:rsidRPr="00C04AC4" w:rsidRDefault="00D8645B" w:rsidP="00D8645B">
      <w:pPr>
        <w:spacing w:line="360" w:lineRule="auto"/>
        <w:rPr>
          <w:u w:val="single"/>
        </w:rPr>
      </w:pPr>
    </w:p>
    <w:p w14:paraId="5732B285"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cBSST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sSub>
                <m:sSubPr>
                  <m:ctrlPr>
                    <w:rPr>
                      <w:rFonts w:ascii="Cambria Math" w:hAnsi="Cambria Math"/>
                      <w:i/>
                    </w:rPr>
                  </m:ctrlPr>
                </m:sSubPr>
                <m:e>
                  <m:r>
                    <w:rPr>
                      <w:rFonts w:ascii="Cambria Math" w:hAnsi="Cambria Math"/>
                    </w:rPr>
                    <m:t>N</m:t>
                  </m:r>
                </m:e>
                <m:sub>
                  <m:r>
                    <w:rPr>
                      <w:rFonts w:ascii="Cambria Math" w:hAnsi="Cambria Math"/>
                    </w:rPr>
                    <m:t>GSST</m:t>
                  </m:r>
                </m:sub>
              </m:s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cBSST, s</m:t>
                      </m:r>
                    </m:sub>
                  </m:sSub>
                </m:e>
              </m:d>
              <m:sSub>
                <m:sSubPr>
                  <m:ctrlPr>
                    <w:rPr>
                      <w:rFonts w:ascii="Cambria Math" w:hAnsi="Cambria Math"/>
                      <w:i/>
                    </w:rPr>
                  </m:ctrlPr>
                </m:sSubPr>
                <m:e>
                  <m:r>
                    <w:rPr>
                      <w:rFonts w:ascii="Cambria Math" w:hAnsi="Cambria Math"/>
                    </w:rPr>
                    <m:t>p</m:t>
                  </m:r>
                </m:e>
                <m:sub>
                  <m:r>
                    <w:rPr>
                      <w:rFonts w:ascii="Cambria Math" w:hAnsi="Cambria Math"/>
                    </w:rPr>
                    <m:t>GSST, s</m:t>
                  </m:r>
                </m:sub>
              </m:sSub>
            </m:e>
          </m:nary>
          <m:r>
            <w:rPr>
              <w:rFonts w:ascii="Cambria Math" w:hAnsi="Cambria Math"/>
            </w:rPr>
            <m:t>+</m:t>
          </m:r>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s=1</m:t>
                  </m:r>
                </m:sub>
                <m:sup>
                  <m:sSub>
                    <m:sSubPr>
                      <m:ctrlPr>
                        <w:rPr>
                          <w:rFonts w:ascii="Cambria Math" w:hAnsi="Cambria Math"/>
                          <w:i/>
                        </w:rPr>
                      </m:ctrlPr>
                    </m:sSubPr>
                    <m:e>
                      <m:r>
                        <w:rPr>
                          <w:rFonts w:ascii="Cambria Math" w:hAnsi="Cambria Math"/>
                        </w:rPr>
                        <m:t>N</m:t>
                      </m:r>
                    </m:e>
                    <m:sub>
                      <m:r>
                        <w:rPr>
                          <w:rFonts w:ascii="Cambria Math" w:hAnsi="Cambria Math"/>
                        </w:rPr>
                        <m:t>GSST</m:t>
                      </m:r>
                    </m:sub>
                  </m:sSub>
                </m:sup>
                <m:e>
                  <m:sSub>
                    <m:sSubPr>
                      <m:ctrlPr>
                        <w:rPr>
                          <w:rFonts w:ascii="Cambria Math" w:hAnsi="Cambria Math"/>
                          <w:i/>
                        </w:rPr>
                      </m:ctrlPr>
                    </m:sSubPr>
                    <m:e>
                      <m:r>
                        <w:rPr>
                          <w:rFonts w:ascii="Cambria Math" w:hAnsi="Cambria Math"/>
                        </w:rPr>
                        <m:t>p</m:t>
                      </m:r>
                    </m:e>
                    <m:sub>
                      <m:r>
                        <w:rPr>
                          <w:rFonts w:ascii="Cambria Math" w:hAnsi="Cambria Math"/>
                        </w:rPr>
                        <m:t>GSST, s</m:t>
                      </m:r>
                    </m:sub>
                  </m:sSub>
                </m:e>
              </m:nary>
            </m:e>
          </m:d>
          <m:r>
            <w:rPr>
              <w:rFonts w:ascii="Cambria Math" w:hAnsi="Cambria Math"/>
            </w:rPr>
            <m:t>δ</m:t>
          </m:r>
          <m:d>
            <m:dPr>
              <m:ctrlPr>
                <w:rPr>
                  <w:rFonts w:ascii="Cambria Math" w:hAnsi="Cambria Math"/>
                  <w:i/>
                </w:rPr>
              </m:ctrlPr>
            </m:dPr>
            <m:e>
              <m:r>
                <w:rPr>
                  <w:rFonts w:ascii="Cambria Math" w:hAnsi="Cambria Math"/>
                </w:rPr>
                <m:t>x</m:t>
              </m:r>
            </m:e>
          </m:d>
        </m:oMath>
      </m:oMathPara>
    </w:p>
    <w:p w14:paraId="4EF771A1" w14:textId="77777777" w:rsidR="00D8645B" w:rsidRPr="00C04AC4" w:rsidRDefault="00D8645B" w:rsidP="00D8645B">
      <w:pPr>
        <w:spacing w:line="360" w:lineRule="auto"/>
        <w:rPr>
          <w:rFonts w:eastAsiaTheme="minorEastAsia"/>
        </w:rPr>
      </w:pPr>
    </w:p>
    <w:p w14:paraId="05CF1B1D" w14:textId="77777777" w:rsidR="00D8645B" w:rsidRDefault="00D8645B" w:rsidP="00D8645B">
      <w:pPr>
        <w:pStyle w:val="ListParagraph"/>
        <w:spacing w:line="360" w:lineRule="auto"/>
        <w:ind w:left="360"/>
      </w:pPr>
      <w:r>
        <w:t>where</w:t>
      </w:r>
    </w:p>
    <w:p w14:paraId="754FD10B" w14:textId="77777777" w:rsidR="00D8645B" w:rsidRPr="00C04AC4" w:rsidRDefault="00D8645B" w:rsidP="00D8645B">
      <w:pPr>
        <w:spacing w:line="360" w:lineRule="auto"/>
      </w:pPr>
    </w:p>
    <w:p w14:paraId="121384F7"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cBSST, 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b, r, rt, </m:t>
              </m:r>
              <m:acc>
                <m:accPr>
                  <m:chr m:val="̃"/>
                  <m:ctrlPr>
                    <w:rPr>
                      <w:rFonts w:ascii="Cambria Math" w:hAnsi="Cambria Math"/>
                      <w:i/>
                    </w:rPr>
                  </m:ctrlPr>
                </m:accPr>
                <m:e>
                  <m:r>
                    <w:rPr>
                      <w:rFonts w:ascii="Cambria Math" w:hAnsi="Cambria Math"/>
                    </w:rPr>
                    <m:t>s</m:t>
                  </m:r>
                </m:e>
              </m:acc>
            </m:sub>
            <m:sup/>
            <m:e>
              <m:sSub>
                <m:sSubPr>
                  <m:ctrlPr>
                    <w:rPr>
                      <w:rFonts w:ascii="Cambria Math" w:hAnsi="Cambria Math"/>
                      <w:i/>
                    </w:rPr>
                  </m:ctrlPr>
                </m:sSubPr>
                <m:e>
                  <m:r>
                    <w:rPr>
                      <w:rFonts w:ascii="Cambria Math" w:hAnsi="Cambria Math"/>
                    </w:rPr>
                    <m:t>l</m:t>
                  </m:r>
                </m:e>
                <m:sub>
                  <m:r>
                    <w:rPr>
                      <w:rFonts w:ascii="Cambria Math" w:hAnsi="Cambria Math"/>
                    </w:rPr>
                    <m:t xml:space="preserve">cBSST, s,b, r, rt, </m:t>
                  </m:r>
                  <m:acc>
                    <m:accPr>
                      <m:chr m:val="̃"/>
                      <m:ctrlPr>
                        <w:rPr>
                          <w:rFonts w:ascii="Cambria Math" w:hAnsi="Cambria Math"/>
                          <w:i/>
                        </w:rPr>
                      </m:ctrlPr>
                    </m:accPr>
                    <m:e>
                      <m:r>
                        <w:rPr>
                          <w:rFonts w:ascii="Cambria Math" w:hAnsi="Cambria Math"/>
                        </w:rPr>
                        <m:t>s</m:t>
                      </m:r>
                    </m:e>
                  </m:acc>
                </m:sub>
              </m:sSub>
            </m:e>
          </m:nary>
        </m:oMath>
      </m:oMathPara>
    </w:p>
    <w:p w14:paraId="11E0B5D9" w14:textId="77777777" w:rsidR="00D8645B" w:rsidRPr="00C04AC4" w:rsidRDefault="00D8645B" w:rsidP="00D8645B">
      <w:pPr>
        <w:spacing w:line="360" w:lineRule="auto"/>
      </w:pPr>
    </w:p>
    <w:p w14:paraId="74AD0F8F" w14:textId="77777777" w:rsidR="00D8645B" w:rsidRDefault="00D8645B" w:rsidP="00D8645B">
      <w:pPr>
        <w:pStyle w:val="ListParagraph"/>
        <w:spacing w:line="360" w:lineRule="auto"/>
        <w:ind w:left="360"/>
      </w:pPr>
      <w:r>
        <w:t xml:space="preserve">with </w:t>
      </w:r>
      <m:oMath>
        <m:r>
          <w:rPr>
            <w:rFonts w:ascii="Cambria Math" w:hAnsi="Cambria Math"/>
          </w:rPr>
          <m:t>s</m:t>
        </m:r>
      </m:oMath>
      <w:r>
        <w:t xml:space="preserve"> representing the GSST scenario and </w:t>
      </w:r>
      <m:oMath>
        <m:acc>
          <m:accPr>
            <m:chr m:val="̃"/>
            <m:ctrlPr>
              <w:rPr>
                <w:rFonts w:ascii="Cambria Math" w:hAnsi="Cambria Math"/>
                <w:i/>
              </w:rPr>
            </m:ctrlPr>
          </m:accPr>
          <m:e>
            <m:r>
              <w:rPr>
                <w:rFonts w:ascii="Cambria Math" w:hAnsi="Cambria Math"/>
              </w:rPr>
              <m:t>s</m:t>
            </m:r>
          </m:e>
        </m:acc>
      </m:oMath>
      <w:r>
        <w:t xml:space="preserve"> the cBSST scenario associated with the GSST scenario.</w:t>
      </w:r>
    </w:p>
    <w:p w14:paraId="2E3AD6F6" w14:textId="77777777" w:rsidR="00D8645B" w:rsidRPr="00C04AC4" w:rsidRDefault="00D8645B" w:rsidP="0060309E">
      <w:pPr>
        <w:pStyle w:val="ListParagraph"/>
        <w:numPr>
          <w:ilvl w:val="0"/>
          <w:numId w:val="23"/>
        </w:numPr>
        <w:spacing w:after="160" w:line="360" w:lineRule="auto"/>
      </w:pPr>
      <w:r>
        <w:rPr>
          <w:u w:val="single"/>
        </w:rPr>
        <w:lastRenderedPageBreak/>
        <w:t>Complete Independence of iBSST P&amp;L’s</w:t>
      </w:r>
      <w:r w:rsidRPr="00EF7C99">
        <w:t>:</w:t>
      </w:r>
      <w:r>
        <w:t xml:space="preserve"> iBSST P&amp;L </w:t>
      </w:r>
      <m:oMath>
        <m:sSub>
          <m:sSubPr>
            <m:ctrlPr>
              <w:rPr>
                <w:rFonts w:ascii="Cambria Math" w:hAnsi="Cambria Math"/>
                <w:i/>
              </w:rPr>
            </m:ctrlPr>
          </m:sSubPr>
          <m:e>
            <m:r>
              <w:rPr>
                <w:rFonts w:ascii="Cambria Math" w:hAnsi="Cambria Math"/>
              </w:rPr>
              <m:t>l</m:t>
            </m:r>
          </m:e>
          <m:sub>
            <m:r>
              <w:rPr>
                <w:rFonts w:ascii="Cambria Math" w:hAnsi="Cambria Math"/>
              </w:rPr>
              <m:t>iBSST, s,b, r, rt</m:t>
            </m:r>
          </m:sub>
        </m:sSub>
      </m:oMath>
      <w:r>
        <w:t xml:space="preserve"> defined for Business </w:t>
      </w:r>
      <m:oMath>
        <m:r>
          <w:rPr>
            <w:rFonts w:ascii="Cambria Math" w:hAnsi="Cambria Math"/>
          </w:rPr>
          <m:t>b</m:t>
        </m:r>
      </m:oMath>
      <w:r>
        <w:t xml:space="preserve">, Region </w:t>
      </w:r>
      <m:oMath>
        <m:r>
          <w:rPr>
            <w:rFonts w:ascii="Cambria Math" w:hAnsi="Cambria Math"/>
          </w:rPr>
          <m:t>r</m:t>
        </m:r>
      </m:oMath>
      <w:r>
        <w:t xml:space="preserve">, Risk Type </w:t>
      </w:r>
      <m:oMath>
        <m:r>
          <w:rPr>
            <w:rFonts w:ascii="Cambria Math" w:hAnsi="Cambria Math"/>
          </w:rPr>
          <m:t>rt</m:t>
        </m:r>
      </m:oMath>
      <w:r>
        <w:t xml:space="preserve">, and iBSST scenario </w:t>
      </w:r>
      <m:oMath>
        <m:r>
          <w:rPr>
            <w:rFonts w:ascii="Cambria Math" w:hAnsi="Cambria Math"/>
          </w:rPr>
          <m:t>s</m:t>
        </m:r>
      </m:oMath>
      <w:r>
        <w:t xml:space="preserve"> is independent from the rest including the other iBSST P&amp;L </w:t>
      </w:r>
      <m:oMath>
        <m:sSub>
          <m:sSubPr>
            <m:ctrlPr>
              <w:rPr>
                <w:rFonts w:ascii="Cambria Math" w:hAnsi="Cambria Math"/>
                <w:i/>
              </w:rPr>
            </m:ctrlPr>
          </m:sSubPr>
          <m:e>
            <m:r>
              <w:rPr>
                <w:rFonts w:ascii="Cambria Math" w:hAnsi="Cambria Math"/>
              </w:rPr>
              <m:t>l</m:t>
            </m:r>
          </m:e>
          <m:sub>
            <m:r>
              <w:rPr>
                <w:rFonts w:ascii="Cambria Math" w:hAnsi="Cambria Math"/>
              </w:rPr>
              <m:t>iBSST, s',b', r', rt'</m:t>
            </m:r>
          </m:sub>
        </m:sSub>
      </m:oMath>
      <w:r>
        <w:rPr>
          <w:rFonts w:eastAsiaTheme="minorEastAsia"/>
        </w:rPr>
        <w:t xml:space="preserve"> if</w:t>
      </w:r>
    </w:p>
    <w:p w14:paraId="22557881" w14:textId="77777777" w:rsidR="00D8645B" w:rsidRPr="00C04AC4" w:rsidRDefault="00D8645B" w:rsidP="00D8645B">
      <w:pPr>
        <w:spacing w:line="360" w:lineRule="auto"/>
        <w:rPr>
          <w:u w:val="single"/>
        </w:rPr>
      </w:pPr>
    </w:p>
    <w:p w14:paraId="43FCBE3C" w14:textId="77777777" w:rsidR="00D8645B" w:rsidRPr="00C04AC4" w:rsidRDefault="00D8645B" w:rsidP="00D8645B">
      <w:pPr>
        <w:pStyle w:val="ListParagraph"/>
        <w:spacing w:line="360" w:lineRule="auto"/>
        <w:ind w:left="360"/>
        <w:rPr>
          <w:rFonts w:eastAsiaTheme="minorEastAsia"/>
        </w:rPr>
      </w:pPr>
      <m:oMathPara>
        <m:oMath>
          <m:r>
            <w:rPr>
              <w:rFonts w:ascii="Cambria Math" w:hAnsi="Cambria Math"/>
            </w:rPr>
            <m:t>s≠s'</m:t>
          </m:r>
        </m:oMath>
      </m:oMathPara>
    </w:p>
    <w:p w14:paraId="521AE7AD" w14:textId="77777777" w:rsidR="00D8645B" w:rsidRPr="00C04AC4" w:rsidRDefault="00D8645B" w:rsidP="00D8645B">
      <w:pPr>
        <w:spacing w:line="360" w:lineRule="auto"/>
      </w:pPr>
    </w:p>
    <w:p w14:paraId="6D36B68E" w14:textId="77777777" w:rsidR="00D8645B" w:rsidRPr="00C04AC4" w:rsidRDefault="00D8645B" w:rsidP="0060309E">
      <w:pPr>
        <w:pStyle w:val="ListParagraph"/>
        <w:numPr>
          <w:ilvl w:val="0"/>
          <w:numId w:val="23"/>
        </w:numPr>
        <w:spacing w:after="160" w:line="360" w:lineRule="auto"/>
      </w:pPr>
      <w:r>
        <w:rPr>
          <w:u w:val="single"/>
        </w:rPr>
        <w:t xml:space="preserve">i.i.d. Aggregates over Distinct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iBSST, s,b, r, rt</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iBSST, s</m:t>
            </m:r>
          </m:sub>
        </m:sSub>
      </m:oMath>
      <w:r>
        <w:t xml:space="preserve"> is the sum of the independent random variables </w:t>
      </w:r>
      <m:oMath>
        <m:sSub>
          <m:sSubPr>
            <m:ctrlPr>
              <w:rPr>
                <w:rFonts w:ascii="Cambria Math" w:hAnsi="Cambria Math"/>
                <w:i/>
              </w:rPr>
            </m:ctrlPr>
          </m:sSubPr>
          <m:e>
            <m:r>
              <w:rPr>
                <w:rFonts w:ascii="Cambria Math" w:hAnsi="Cambria Math"/>
              </w:rPr>
              <m:t>l</m:t>
            </m:r>
          </m:e>
          <m:sub>
            <m:r>
              <w:rPr>
                <w:rFonts w:ascii="Cambria Math" w:hAnsi="Cambria Math"/>
              </w:rPr>
              <m:t>iBSST, s,b, r, rt</m:t>
            </m:r>
          </m:sub>
        </m:sSub>
      </m:oMath>
      <w:r>
        <w:rPr>
          <w:rFonts w:eastAsiaTheme="minorEastAsia"/>
        </w:rPr>
        <w:t xml:space="preserve"> as shown in</w:t>
      </w:r>
    </w:p>
    <w:p w14:paraId="67065633" w14:textId="77777777" w:rsidR="00D8645B" w:rsidRPr="00C04AC4" w:rsidRDefault="00D8645B" w:rsidP="00D8645B">
      <w:pPr>
        <w:spacing w:line="360" w:lineRule="auto"/>
        <w:rPr>
          <w:u w:val="single"/>
        </w:rPr>
      </w:pPr>
    </w:p>
    <w:p w14:paraId="7925E307" w14:textId="77777777" w:rsidR="00D8645B" w:rsidRPr="00C04AC4"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iBSST, 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b, r, rt</m:t>
              </m:r>
            </m:sub>
            <m:sup/>
            <m:e>
              <m:sSub>
                <m:sSubPr>
                  <m:ctrlPr>
                    <w:rPr>
                      <w:rFonts w:ascii="Cambria Math" w:hAnsi="Cambria Math"/>
                      <w:i/>
                    </w:rPr>
                  </m:ctrlPr>
                </m:sSubPr>
                <m:e>
                  <m:r>
                    <w:rPr>
                      <w:rFonts w:ascii="Cambria Math" w:hAnsi="Cambria Math"/>
                    </w:rPr>
                    <m:t>l</m:t>
                  </m:r>
                </m:e>
                <m:sub>
                  <m:r>
                    <w:rPr>
                      <w:rFonts w:ascii="Cambria Math" w:hAnsi="Cambria Math"/>
                    </w:rPr>
                    <m:t>iBSST, s,b, r, rt</m:t>
                  </m:r>
                </m:sub>
              </m:sSub>
            </m:e>
          </m:nary>
        </m:oMath>
      </m:oMathPara>
    </w:p>
    <w:p w14:paraId="3D837117" w14:textId="77777777" w:rsidR="00D8645B" w:rsidRPr="00C04AC4" w:rsidRDefault="00D8645B" w:rsidP="00D8645B">
      <w:pPr>
        <w:spacing w:line="360" w:lineRule="auto"/>
      </w:pPr>
    </w:p>
    <w:p w14:paraId="76964868" w14:textId="77777777" w:rsidR="00D8645B" w:rsidRDefault="00D8645B" w:rsidP="0060309E">
      <w:pPr>
        <w:pStyle w:val="ListParagraph"/>
        <w:numPr>
          <w:ilvl w:val="0"/>
          <w:numId w:val="23"/>
        </w:numPr>
        <w:spacing w:after="160" w:line="360" w:lineRule="auto"/>
      </w:pPr>
      <w:r>
        <w:rPr>
          <w:u w:val="single"/>
        </w:rPr>
        <w:t>Standalone Risk Capital</w:t>
      </w:r>
      <w:r>
        <w:t xml:space="preserve">: With the various P&amp;L’s defined above, the standalone risk capital </w:t>
      </w:r>
      <m:oMath>
        <m:sSub>
          <m:sSubPr>
            <m:ctrlPr>
              <w:rPr>
                <w:rFonts w:ascii="Cambria Math" w:hAnsi="Cambria Math"/>
                <w:i/>
              </w:rPr>
            </m:ctrlPr>
          </m:sSubPr>
          <m:e>
            <m:r>
              <w:rPr>
                <w:rFonts w:ascii="Cambria Math" w:hAnsi="Cambria Math"/>
              </w:rPr>
              <m:t>RC</m:t>
            </m:r>
          </m:e>
          <m:sub>
            <m:r>
              <w:rPr>
                <w:rFonts w:ascii="Cambria Math" w:hAnsi="Cambria Math"/>
              </w:rPr>
              <m:t>b, r, rt</m:t>
            </m:r>
          </m:sub>
        </m:sSub>
      </m:oMath>
      <w:r>
        <w:t xml:space="preserve"> is calculated from the aggregated loss </w:t>
      </w:r>
      <m:oMath>
        <m:sSub>
          <m:sSubPr>
            <m:ctrlPr>
              <w:rPr>
                <w:rFonts w:ascii="Cambria Math" w:hAnsi="Cambria Math"/>
                <w:i/>
              </w:rPr>
            </m:ctrlPr>
          </m:sSubPr>
          <m:e>
            <m:r>
              <w:rPr>
                <w:rFonts w:ascii="Cambria Math" w:hAnsi="Cambria Math"/>
              </w:rPr>
              <m:t>L</m:t>
            </m:r>
          </m:e>
          <m:sub>
            <m:r>
              <w:rPr>
                <w:rFonts w:ascii="Cambria Math" w:hAnsi="Cambria Math"/>
              </w:rPr>
              <m:t>iVAST,b, r, rt</m:t>
            </m:r>
          </m:sub>
        </m:sSub>
      </m:oMath>
      <w:r>
        <w:t xml:space="preserve"> relevant for Business </w:t>
      </w:r>
      <m:oMath>
        <m:r>
          <w:rPr>
            <w:rFonts w:ascii="Cambria Math" w:hAnsi="Cambria Math"/>
          </w:rPr>
          <m:t>b</m:t>
        </m:r>
      </m:oMath>
      <w:r>
        <w:t xml:space="preserve">, Region </w:t>
      </w:r>
      <m:oMath>
        <m:r>
          <w:rPr>
            <w:rFonts w:ascii="Cambria Math" w:hAnsi="Cambria Math"/>
          </w:rPr>
          <m:t>r</m:t>
        </m:r>
      </m:oMath>
      <w:r>
        <w:t xml:space="preserve">, and Risk Type </w:t>
      </w:r>
      <m:oMath>
        <m:r>
          <w:rPr>
            <w:rFonts w:ascii="Cambria Math" w:hAnsi="Cambria Math"/>
          </w:rPr>
          <m:t>rt</m:t>
        </m:r>
      </m:oMath>
      <w:r>
        <w:t>.</w:t>
      </w:r>
    </w:p>
    <w:p w14:paraId="7E64C1CD" w14:textId="77777777" w:rsidR="00D8645B" w:rsidRPr="002B194B" w:rsidRDefault="00D8645B" w:rsidP="00D8645B">
      <w:pPr>
        <w:spacing w:line="360" w:lineRule="auto"/>
        <w:rPr>
          <w:u w:val="single"/>
        </w:rPr>
      </w:pPr>
    </w:p>
    <w:p w14:paraId="7A6BD7C5" w14:textId="77777777" w:rsidR="00D8645B" w:rsidRPr="002B194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b, r, rt</m:t>
              </m:r>
            </m:sub>
          </m:sSub>
          <m:r>
            <w:rPr>
              <w:rFonts w:ascii="Cambria Math"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iVAST,b, r, rt</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iVAST,b, r, rt</m:t>
                  </m:r>
                </m:sub>
              </m:sSub>
              <m:r>
                <w:rPr>
                  <w:rFonts w:ascii="Cambria Math" w:hAnsi="Cambria Math"/>
                </w:rPr>
                <m:t xml:space="preserve"> ≤percentile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iVAST,b, r, rt</m:t>
                      </m:r>
                    </m:sub>
                  </m:sSub>
                  <m:r>
                    <w:rPr>
                      <w:rFonts w:ascii="Cambria Math" w:hAnsi="Cambria Math"/>
                    </w:rPr>
                    <m:t>, 2%</m:t>
                  </m:r>
                </m:e>
              </m:d>
            </m:e>
          </m:d>
        </m:oMath>
      </m:oMathPara>
    </w:p>
    <w:p w14:paraId="16419BFA" w14:textId="77777777" w:rsidR="00D8645B" w:rsidRPr="002B194B" w:rsidRDefault="00D8645B" w:rsidP="00D8645B">
      <w:pPr>
        <w:spacing w:line="360" w:lineRule="auto"/>
      </w:pPr>
    </w:p>
    <w:p w14:paraId="6E097F96" w14:textId="77777777" w:rsidR="00D8645B" w:rsidRPr="002B194B" w:rsidRDefault="00D8645B" w:rsidP="0060309E">
      <w:pPr>
        <w:pStyle w:val="ListParagraph"/>
        <w:numPr>
          <w:ilvl w:val="0"/>
          <w:numId w:val="23"/>
        </w:numPr>
        <w:spacing w:after="160" w:line="360" w:lineRule="auto"/>
      </w:pPr>
      <w:r>
        <w:rPr>
          <w:u w:val="single"/>
        </w:rPr>
        <w:t>Marginal Risk Capital</w:t>
      </w:r>
      <w:r>
        <w:t xml:space="preserve">: The marginal risk capital </w:t>
      </w:r>
      <m:oMath>
        <m:sSub>
          <m:sSubPr>
            <m:ctrlPr>
              <w:rPr>
                <w:rFonts w:ascii="Cambria Math" w:hAnsi="Cambria Math"/>
                <w:i/>
              </w:rPr>
            </m:ctrlPr>
          </m:sSubPr>
          <m:e>
            <m:r>
              <w:rPr>
                <w:rFonts w:ascii="Cambria Math" w:hAnsi="Cambria Math"/>
              </w:rPr>
              <m:t>MRC</m:t>
            </m:r>
          </m:e>
          <m:sub>
            <m:r>
              <w:rPr>
                <w:rFonts w:ascii="Cambria Math" w:hAnsi="Cambria Math"/>
              </w:rPr>
              <m:t>b, r, rt, MARGINAL</m:t>
            </m:r>
          </m:sub>
        </m:sSub>
      </m:oMath>
      <w:r>
        <w:rPr>
          <w:rFonts w:eastAsiaTheme="minorEastAsia"/>
        </w:rPr>
        <w:t xml:space="preserve"> is calculated from </w:t>
      </w:r>
      <m:oMath>
        <m:sSub>
          <m:sSubPr>
            <m:ctrlPr>
              <w:rPr>
                <w:rFonts w:ascii="Cambria Math" w:hAnsi="Cambria Math"/>
                <w:i/>
              </w:rPr>
            </m:ctrlPr>
          </m:sSubPr>
          <m:e>
            <m:r>
              <w:rPr>
                <w:rFonts w:ascii="Cambria Math" w:hAnsi="Cambria Math"/>
              </w:rPr>
              <m:t>L</m:t>
            </m:r>
          </m:e>
          <m:sub>
            <m:r>
              <w:rPr>
                <w:rFonts w:ascii="Cambria Math" w:hAnsi="Cambria Math"/>
              </w:rPr>
              <m:t>iVAST,b, r, rt</m:t>
            </m:r>
          </m:sub>
        </m:sSub>
      </m:oMath>
      <w:r>
        <w:rPr>
          <w:rFonts w:eastAsiaTheme="minorEastAsia"/>
        </w:rPr>
        <w:t xml:space="preserve"> relevant for </w:t>
      </w:r>
      <w:r>
        <w:t xml:space="preserve">Business </w:t>
      </w:r>
      <m:oMath>
        <m:r>
          <w:rPr>
            <w:rFonts w:ascii="Cambria Math" w:hAnsi="Cambria Math"/>
          </w:rPr>
          <m:t>b</m:t>
        </m:r>
      </m:oMath>
      <w:r>
        <w:t xml:space="preserve">, Region </w:t>
      </w:r>
      <m:oMath>
        <m:r>
          <w:rPr>
            <w:rFonts w:ascii="Cambria Math" w:hAnsi="Cambria Math"/>
          </w:rPr>
          <m:t>r</m:t>
        </m:r>
      </m:oMath>
      <w:r>
        <w:t xml:space="preserve">, and Risk Type </w:t>
      </w:r>
      <m:oMath>
        <m:r>
          <w:rPr>
            <w:rFonts w:ascii="Cambria Math" w:hAnsi="Cambria Math"/>
          </w:rPr>
          <m:t>rt</m:t>
        </m:r>
      </m:oMath>
      <w:r>
        <w:rPr>
          <w:rFonts w:eastAsiaTheme="minorEastAsia"/>
        </w:rPr>
        <w:t xml:space="preserve"> considering the aggregated loss of a bigger organization or category </w:t>
      </w:r>
      <m:oMath>
        <m:sSub>
          <m:sSubPr>
            <m:ctrlPr>
              <w:rPr>
                <w:rFonts w:ascii="Cambria Math" w:hAnsi="Cambria Math"/>
                <w:i/>
              </w:rPr>
            </m:ctrlPr>
          </m:sSubPr>
          <m:e>
            <m:r>
              <w:rPr>
                <w:rFonts w:ascii="Cambria Math" w:hAnsi="Cambria Math"/>
              </w:rPr>
              <m:t>L</m:t>
            </m:r>
          </m:e>
          <m:sub>
            <m:r>
              <w:rPr>
                <w:rFonts w:ascii="Cambria Math" w:hAnsi="Cambria Math"/>
              </w:rPr>
              <m:t>iVAST, MARGINAL</m:t>
            </m:r>
          </m:sub>
        </m:sSub>
      </m:oMath>
      <w:r>
        <w:rPr>
          <w:rFonts w:eastAsiaTheme="minorEastAsia"/>
        </w:rPr>
        <w:t xml:space="preserve">. For example, </w:t>
      </w:r>
      <w:r>
        <w:rPr>
          <w:rFonts w:eastAsiaTheme="minorEastAsia"/>
          <w:i/>
        </w:rPr>
        <w:t>marginal</w:t>
      </w:r>
      <w:r>
        <w:rPr>
          <w:rFonts w:eastAsiaTheme="minorEastAsia"/>
        </w:rPr>
        <w:t xml:space="preserve"> can be entire form or a group such as ICG. It also uses conditional expectation as</w:t>
      </w:r>
    </w:p>
    <w:p w14:paraId="7D709F6A" w14:textId="77777777" w:rsidR="00D8645B" w:rsidRPr="002B194B" w:rsidRDefault="00D8645B" w:rsidP="00D8645B">
      <w:pPr>
        <w:spacing w:line="360" w:lineRule="auto"/>
        <w:rPr>
          <w:u w:val="single"/>
        </w:rPr>
      </w:pPr>
    </w:p>
    <w:p w14:paraId="64A0A482" w14:textId="77777777" w:rsidR="00D8645B" w:rsidRPr="002B194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MRC</m:t>
              </m:r>
            </m:e>
            <m:sub>
              <m:r>
                <w:rPr>
                  <w:rFonts w:ascii="Cambria Math" w:hAnsi="Cambria Math"/>
                </w:rPr>
                <m:t>b, r, rt, MARGINAL</m:t>
              </m:r>
            </m:sub>
          </m:sSub>
          <m:r>
            <w:rPr>
              <w:rFonts w:ascii="Cambria Math"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iVAST,b, r, rt</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iVAST, MARGINAL</m:t>
                  </m:r>
                </m:sub>
              </m:sSub>
              <m:r>
                <w:rPr>
                  <w:rFonts w:ascii="Cambria Math" w:hAnsi="Cambria Math"/>
                </w:rPr>
                <m:t xml:space="preserve"> ≤percentile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iVAST, MARGINAL</m:t>
                      </m:r>
                    </m:sub>
                  </m:sSub>
                  <m:r>
                    <w:rPr>
                      <w:rFonts w:ascii="Cambria Math" w:hAnsi="Cambria Math"/>
                    </w:rPr>
                    <m:t>, 2%</m:t>
                  </m:r>
                </m:e>
              </m:d>
            </m:e>
          </m:d>
        </m:oMath>
      </m:oMathPara>
    </w:p>
    <w:p w14:paraId="01D40AF0" w14:textId="77777777" w:rsidR="00D8645B" w:rsidRPr="002B194B" w:rsidRDefault="00D8645B" w:rsidP="00D8645B">
      <w:pPr>
        <w:spacing w:line="360" w:lineRule="auto"/>
      </w:pPr>
    </w:p>
    <w:p w14:paraId="3EB44865" w14:textId="77777777" w:rsidR="00D8645B" w:rsidRDefault="00D8645B" w:rsidP="0060309E">
      <w:pPr>
        <w:pStyle w:val="ListParagraph"/>
        <w:numPr>
          <w:ilvl w:val="0"/>
          <w:numId w:val="23"/>
        </w:numPr>
        <w:spacing w:after="160" w:line="360" w:lineRule="auto"/>
      </w:pPr>
      <w:r>
        <w:rPr>
          <w:u w:val="single"/>
        </w:rPr>
        <w:t>Details of the Model Inputs - Observability, Proxies, and Overrides</w:t>
      </w:r>
      <w:r>
        <w:t xml:space="preserve">: The model’s main inputs are VaR P&amp;L, GSST, cBSST, and iBSST losses. VaR P&amp;L comes from the VaR model. </w:t>
      </w:r>
      <w:r>
        <w:lastRenderedPageBreak/>
        <w:t>GSST losses and associated probabilities are defined by the Corporate Stress Testing and Economics groups. cBSST and iBSST losses and associated probabilities are defined by Risk Manager. These three inputs are considered as upstream model inputs.</w:t>
      </w:r>
    </w:p>
    <w:p w14:paraId="254A0ECE" w14:textId="77777777" w:rsidR="00D8645B" w:rsidRPr="00DE443F" w:rsidRDefault="00D8645B" w:rsidP="0060309E">
      <w:pPr>
        <w:pStyle w:val="ListParagraph"/>
        <w:numPr>
          <w:ilvl w:val="0"/>
          <w:numId w:val="23"/>
        </w:numPr>
        <w:spacing w:after="160" w:line="360" w:lineRule="auto"/>
      </w:pPr>
      <w:r>
        <w:rPr>
          <w:u w:val="single"/>
        </w:rPr>
        <w:t>Evidence that the Assumptions are Reasonable</w:t>
      </w:r>
      <w:r w:rsidRPr="002056B6">
        <w:t>:</w:t>
      </w:r>
      <w:r>
        <w:t xml:space="preserve"> The scaling factor </w:t>
      </w:r>
      <m:oMath>
        <m:sSub>
          <m:sSubPr>
            <m:ctrlPr>
              <w:rPr>
                <w:rFonts w:ascii="Cambria Math" w:hAnsi="Cambria Math"/>
                <w:i/>
              </w:rPr>
            </m:ctrlPr>
          </m:sSubPr>
          <m:e>
            <m:r>
              <w:rPr>
                <w:rFonts w:ascii="Cambria Math" w:hAnsi="Cambria Math"/>
              </w:rPr>
              <m:t>k</m:t>
            </m:r>
          </m:e>
          <m:sub>
            <m:r>
              <w:rPr>
                <w:rFonts w:ascii="Cambria Math" w:hAnsi="Cambria Math"/>
              </w:rPr>
              <m:t>VaR</m:t>
            </m:r>
          </m:sub>
        </m:sSub>
      </m:oMath>
      <w:r>
        <w:t xml:space="preserve"> is set based on the assumption that distribution of the VaR P&amp;L is normal. Various historical evidences support other distributions with fatter tails, which is captured by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rPr>
          <w:rFonts w:eastAsiaTheme="minorEastAsia"/>
        </w:rPr>
        <w:t xml:space="preserve"> calculated based on assumption that the stress P&amp;L follows the Student’s </w:t>
      </w:r>
      <m:oMath>
        <m:r>
          <w:rPr>
            <w:rFonts w:ascii="Cambria Math" w:hAnsi="Cambria Math"/>
          </w:rPr>
          <m:t>t</m:t>
        </m:r>
      </m:oMath>
      <w:r>
        <w:rPr>
          <w:rFonts w:eastAsiaTheme="minorEastAsia"/>
        </w:rPr>
        <w:t xml:space="preserve">-distriburion with </w:t>
      </w:r>
      <m:oMath>
        <m:r>
          <w:rPr>
            <w:rFonts w:ascii="Cambria Math" w:hAnsi="Cambria Math"/>
          </w:rPr>
          <m:t>5</m:t>
        </m:r>
      </m:oMath>
      <w:r>
        <w:rPr>
          <w:rFonts w:eastAsiaTheme="minorEastAsia"/>
        </w:rPr>
        <w:t xml:space="preserve"> degrees of freedom.</w:t>
      </w:r>
    </w:p>
    <w:p w14:paraId="2526C396" w14:textId="77777777" w:rsidR="00D8645B" w:rsidRDefault="00D8645B" w:rsidP="00D8645B">
      <w:pPr>
        <w:spacing w:line="360" w:lineRule="auto"/>
      </w:pPr>
    </w:p>
    <w:p w14:paraId="5B2A27A9" w14:textId="77777777" w:rsidR="00D8645B" w:rsidRDefault="00D8645B" w:rsidP="00D8645B">
      <w:pPr>
        <w:spacing w:line="360" w:lineRule="auto"/>
      </w:pPr>
    </w:p>
    <w:p w14:paraId="7B4053E2" w14:textId="77777777" w:rsidR="00D8645B" w:rsidRPr="00DE443F" w:rsidRDefault="00D8645B" w:rsidP="00D8645B">
      <w:pPr>
        <w:spacing w:line="360" w:lineRule="auto"/>
        <w:rPr>
          <w:b/>
          <w:sz w:val="28"/>
          <w:szCs w:val="28"/>
        </w:rPr>
      </w:pPr>
      <w:r w:rsidRPr="00DE443F">
        <w:rPr>
          <w:b/>
          <w:sz w:val="28"/>
          <w:szCs w:val="28"/>
        </w:rPr>
        <w:t>Model Performance Testing and Outcomes Analysis</w:t>
      </w:r>
    </w:p>
    <w:p w14:paraId="6DDF0EF8" w14:textId="77777777" w:rsidR="00D8645B" w:rsidRDefault="00D8645B" w:rsidP="00D8645B">
      <w:pPr>
        <w:spacing w:line="360" w:lineRule="auto"/>
      </w:pPr>
    </w:p>
    <w:p w14:paraId="214E2254" w14:textId="77777777" w:rsidR="00D8645B" w:rsidRDefault="00D8645B" w:rsidP="0060309E">
      <w:pPr>
        <w:pStyle w:val="ListParagraph"/>
        <w:numPr>
          <w:ilvl w:val="0"/>
          <w:numId w:val="24"/>
        </w:numPr>
        <w:spacing w:after="160" w:line="360" w:lineRule="auto"/>
      </w:pPr>
      <w:r w:rsidRPr="00DE443F">
        <w:rPr>
          <w:u w:val="single"/>
        </w:rPr>
        <w:t>Evidence that the Out of Sample Tests using Historical Data shows that the past Performance of the Model meets the Standard. For risk models, does the Model pass Back-testing</w:t>
      </w:r>
      <w:r w:rsidRPr="00DE443F">
        <w:t>? Because of the nature of the model estimating the risk capital at 99.97%, back-testing is not feasible. However, the model’s structure and inputs are designed based on the firm’s experience in the past financial crisis.</w:t>
      </w:r>
    </w:p>
    <w:p w14:paraId="4D87A916" w14:textId="77777777" w:rsidR="00D8645B" w:rsidRDefault="00D8645B" w:rsidP="0060309E">
      <w:pPr>
        <w:pStyle w:val="ListParagraph"/>
        <w:numPr>
          <w:ilvl w:val="0"/>
          <w:numId w:val="24"/>
        </w:numPr>
        <w:spacing w:after="160" w:line="360" w:lineRule="auto"/>
      </w:pPr>
      <w:r>
        <w:rPr>
          <w:u w:val="single"/>
        </w:rPr>
        <w:t>Sensitivity of the Model Results to Changes in Underlying Variables</w:t>
      </w:r>
      <w:r w:rsidRPr="002B194B">
        <w:t>:</w:t>
      </w:r>
      <w:r>
        <w:t xml:space="preserve"> The sensitivities of the input data are examined by comparing standalone RC numbers focusing on</w:t>
      </w:r>
    </w:p>
    <w:p w14:paraId="686E9026" w14:textId="77777777" w:rsidR="00D8645B" w:rsidRPr="00370B00" w:rsidRDefault="00D8645B" w:rsidP="00D8645B">
      <w:pPr>
        <w:spacing w:line="360" w:lineRule="auto"/>
        <w:rPr>
          <w:u w:val="single"/>
        </w:rPr>
      </w:pPr>
    </w:p>
    <w:p w14:paraId="749CF5DE" w14:textId="77777777" w:rsidR="00D8645B" w:rsidRDefault="00D8645B" w:rsidP="00D8645B">
      <w:pPr>
        <w:pStyle w:val="ListParagraph"/>
        <w:spacing w:line="360" w:lineRule="auto"/>
        <w:ind w:left="360"/>
        <w:rPr>
          <w:rFonts w:eastAsiaTheme="minorEastAsia"/>
        </w:rPr>
      </w:pPr>
      <m:oMathPara>
        <m:oMath>
          <m:r>
            <w:rPr>
              <w:rFonts w:ascii="Cambria Math" w:hAnsi="Cambria Math"/>
            </w:rPr>
            <m:t>Group=BHC-ICG</m:t>
          </m:r>
        </m:oMath>
      </m:oMathPara>
    </w:p>
    <w:p w14:paraId="44912D59" w14:textId="77777777" w:rsidR="00D8645B" w:rsidRPr="00370B00" w:rsidRDefault="00D8645B" w:rsidP="00D8645B">
      <w:pPr>
        <w:spacing w:line="360" w:lineRule="auto"/>
        <w:rPr>
          <w:rFonts w:eastAsiaTheme="minorEastAsia"/>
        </w:rPr>
      </w:pPr>
    </w:p>
    <w:p w14:paraId="10859829" w14:textId="77777777" w:rsidR="00D8645B" w:rsidRPr="002B194B" w:rsidRDefault="00D8645B" w:rsidP="00D8645B">
      <w:pPr>
        <w:pStyle w:val="ListParagraph"/>
        <w:spacing w:line="360" w:lineRule="auto"/>
        <w:ind w:left="360"/>
      </w:pPr>
      <w:r>
        <w:rPr>
          <w:rFonts w:eastAsiaTheme="minorEastAsia"/>
        </w:rPr>
        <w:t>which has the largest group level RC.</w:t>
      </w:r>
    </w:p>
    <w:p w14:paraId="702B14CA" w14:textId="77777777" w:rsidR="00D8645B" w:rsidRDefault="00D8645B" w:rsidP="0060309E">
      <w:pPr>
        <w:pStyle w:val="ListParagraph"/>
        <w:numPr>
          <w:ilvl w:val="0"/>
          <w:numId w:val="24"/>
        </w:numPr>
        <w:spacing w:after="160" w:line="360" w:lineRule="auto"/>
      </w:pPr>
      <w:r>
        <w:rPr>
          <w:u w:val="single"/>
        </w:rPr>
        <w:t>Effect of the GSST</w:t>
      </w:r>
      <w:r>
        <w:t xml:space="preserve">: GSST P&amp;L </w:t>
      </w:r>
      <m:oMath>
        <m:sSub>
          <m:sSubPr>
            <m:ctrlPr>
              <w:rPr>
                <w:rFonts w:ascii="Cambria Math" w:hAnsi="Cambria Math"/>
                <w:i/>
              </w:rPr>
            </m:ctrlPr>
          </m:sSubPr>
          <m:e>
            <m:r>
              <w:rPr>
                <w:rFonts w:ascii="Cambria Math" w:hAnsi="Cambria Math"/>
              </w:rPr>
              <m:t>L</m:t>
            </m:r>
          </m:e>
          <m:sub>
            <m:r>
              <w:rPr>
                <w:rFonts w:ascii="Cambria Math" w:hAnsi="Cambria Math"/>
              </w:rPr>
              <m:t>GSST</m:t>
            </m:r>
          </m:sub>
        </m:sSub>
      </m:oMath>
      <w:r>
        <w:t xml:space="preserve"> defined in</w:t>
      </w:r>
    </w:p>
    <w:p w14:paraId="3FC9768E" w14:textId="77777777" w:rsidR="00D8645B" w:rsidRPr="00370B00" w:rsidRDefault="00D8645B" w:rsidP="00D8645B">
      <w:pPr>
        <w:spacing w:line="360" w:lineRule="auto"/>
        <w:rPr>
          <w:u w:val="single"/>
        </w:rPr>
      </w:pPr>
    </w:p>
    <w:p w14:paraId="2ED5F217"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GSST</m:t>
              </m:r>
            </m:sub>
          </m:sSub>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GSST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GSST</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GSST</m:t>
                  </m:r>
                </m:sub>
              </m:sSub>
              <m:d>
                <m:dPr>
                  <m:ctrlPr>
                    <w:rPr>
                      <w:rFonts w:ascii="Cambria Math" w:hAnsi="Cambria Math"/>
                      <w:i/>
                    </w:rPr>
                  </m:ctrlPr>
                </m:dPr>
                <m:e>
                  <m:r>
                    <w:rPr>
                      <w:rFonts w:ascii="Cambria Math" w:hAnsi="Cambria Math"/>
                    </w:rPr>
                    <m:t>t-2</m:t>
                  </m:r>
                </m:e>
              </m:d>
            </m:e>
          </m:d>
        </m:oMath>
      </m:oMathPara>
    </w:p>
    <w:p w14:paraId="60B5214A" w14:textId="77777777" w:rsidR="00D8645B" w:rsidRPr="00370B00" w:rsidRDefault="00D8645B" w:rsidP="00D8645B">
      <w:pPr>
        <w:spacing w:line="360" w:lineRule="auto"/>
        <w:rPr>
          <w:rFonts w:eastAsiaTheme="minorEastAsia"/>
        </w:rPr>
      </w:pPr>
    </w:p>
    <w:p w14:paraId="1FCAF1EC" w14:textId="77777777" w:rsidR="00D8645B" w:rsidRDefault="00D8645B" w:rsidP="00D8645B">
      <w:pPr>
        <w:pStyle w:val="ListParagraph"/>
        <w:spacing w:line="360" w:lineRule="auto"/>
        <w:ind w:left="360"/>
      </w:pPr>
      <w:r>
        <w:t>is examined by individual GSST scenarios and businesses.</w:t>
      </w:r>
    </w:p>
    <w:p w14:paraId="47AF9CA3" w14:textId="77777777" w:rsidR="00D8645B" w:rsidRPr="002B194B" w:rsidRDefault="00D8645B" w:rsidP="0060309E">
      <w:pPr>
        <w:pStyle w:val="ListParagraph"/>
        <w:numPr>
          <w:ilvl w:val="0"/>
          <w:numId w:val="24"/>
        </w:numPr>
        <w:spacing w:after="160" w:line="360" w:lineRule="auto"/>
      </w:pPr>
      <w:r>
        <w:rPr>
          <w:u w:val="single"/>
        </w:rPr>
        <w:lastRenderedPageBreak/>
        <w:t>Sensitivity of the GSST P&amp;L</w:t>
      </w:r>
      <w:r w:rsidRPr="002B194B">
        <w:t>:</w:t>
      </w:r>
      <w:r>
        <w:t xml:space="preserve"> Sensitivity of the GSST P&amp;L is tested by setting it to zero. As RC is driven by the </w:t>
      </w:r>
      <m:oMath>
        <m:r>
          <w:rPr>
            <w:rFonts w:ascii="Cambria Math" w:hAnsi="Cambria Math"/>
          </w:rPr>
          <m:t>2%</m:t>
        </m:r>
      </m:oMath>
      <w:r>
        <w:rPr>
          <w:rFonts w:eastAsiaTheme="minorEastAsia"/>
        </w:rPr>
        <w:t xml:space="preserve"> tail losses, it would have been affected mostly by the </w:t>
      </w:r>
      <m:oMath>
        <m:r>
          <w:rPr>
            <w:rFonts w:ascii="Cambria Math" w:hAnsi="Cambria Math"/>
          </w:rPr>
          <m:t>1974</m:t>
        </m:r>
      </m:oMath>
      <w:r>
        <w:rPr>
          <w:rFonts w:eastAsiaTheme="minorEastAsia"/>
        </w:rPr>
        <w:t xml:space="preserve"> Baseline scenario. Typically, however, a smaller reduction is observed due to the independence assumption among VaR P&amp;L, GSST P&amp;L, and iBSST P&amp;L making some of the other GSST scenarios fall into the </w:t>
      </w:r>
      <m:oMath>
        <m:r>
          <w:rPr>
            <w:rFonts w:ascii="Cambria Math" w:hAnsi="Cambria Math"/>
          </w:rPr>
          <m:t>2%</m:t>
        </m:r>
      </m:oMath>
      <w:r>
        <w:rPr>
          <w:rFonts w:eastAsiaTheme="minorEastAsia"/>
        </w:rPr>
        <w:t xml:space="preserve"> tail loss.</w:t>
      </w:r>
    </w:p>
    <w:p w14:paraId="3718F201" w14:textId="77777777" w:rsidR="00D8645B" w:rsidRDefault="00D8645B" w:rsidP="0060309E">
      <w:pPr>
        <w:pStyle w:val="ListParagraph"/>
        <w:numPr>
          <w:ilvl w:val="0"/>
          <w:numId w:val="24"/>
        </w:numPr>
        <w:spacing w:after="160" w:line="360" w:lineRule="auto"/>
      </w:pPr>
      <w:r>
        <w:rPr>
          <w:u w:val="single"/>
        </w:rPr>
        <w:t>Effect of BSST</w:t>
      </w:r>
      <w:r>
        <w:t>: As was done for GSST, the sensitivity of BSST (iBSST + cBSST) can be tested by setting both the cBSST and the iBSST to zero.</w:t>
      </w:r>
    </w:p>
    <w:p w14:paraId="5308F391" w14:textId="77777777" w:rsidR="00D8645B" w:rsidRDefault="00D8645B" w:rsidP="0060309E">
      <w:pPr>
        <w:pStyle w:val="ListParagraph"/>
        <w:numPr>
          <w:ilvl w:val="0"/>
          <w:numId w:val="24"/>
        </w:numPr>
        <w:spacing w:after="160" w:line="360" w:lineRule="auto"/>
      </w:pPr>
      <w:r>
        <w:rPr>
          <w:u w:val="single"/>
        </w:rPr>
        <w:t>cBSST vs. GSST Tail Domination</w:t>
      </w:r>
      <w:r w:rsidRPr="00316CE0">
        <w:t>:</w:t>
      </w:r>
      <w:r>
        <w:t xml:space="preserve"> As cBSST is perfectly correlated with GSST, the question of which scenario would dominate can be answered by looking at the combined amount of cBSST and GSST.</w:t>
      </w:r>
    </w:p>
    <w:p w14:paraId="1974EE66" w14:textId="77777777" w:rsidR="00D8645B" w:rsidRPr="00316CE0" w:rsidRDefault="00D8645B" w:rsidP="0060309E">
      <w:pPr>
        <w:pStyle w:val="ListParagraph"/>
        <w:numPr>
          <w:ilvl w:val="0"/>
          <w:numId w:val="24"/>
        </w:numPr>
        <w:spacing w:after="160" w:line="360" w:lineRule="auto"/>
      </w:pPr>
      <w:r>
        <w:rPr>
          <w:u w:val="single"/>
        </w:rPr>
        <w:t>Baseline vs Scenario Sensitivities</w:t>
      </w:r>
      <w:r w:rsidRPr="00316CE0">
        <w:t>:</w:t>
      </w:r>
      <w:r>
        <w:t xml:space="preserve"> Excluding specific Baseline Events vs. Stress Scenarios reveal the corresponding contributors, the effect of which may be magnified due to the amplifying factor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rPr>
          <w:rFonts w:eastAsiaTheme="minorEastAsia"/>
        </w:rPr>
        <w:t>.</w:t>
      </w:r>
    </w:p>
    <w:p w14:paraId="35EA8809" w14:textId="77777777" w:rsidR="00D8645B" w:rsidRDefault="00D8645B" w:rsidP="0060309E">
      <w:pPr>
        <w:pStyle w:val="ListParagraph"/>
        <w:numPr>
          <w:ilvl w:val="0"/>
          <w:numId w:val="24"/>
        </w:numPr>
        <w:spacing w:after="160" w:line="360" w:lineRule="auto"/>
      </w:pPr>
      <w:r>
        <w:rPr>
          <w:u w:val="single"/>
        </w:rPr>
        <w:t>Effect of GSST and BSST</w:t>
      </w:r>
      <w:r w:rsidRPr="00316CE0">
        <w:t>:</w:t>
      </w:r>
      <w:r>
        <w:t xml:space="preserve"> When both GSST and BSST (cBSST + iBSST) are set to zero, the RC reductions are slightly less than the sum of the cases</w:t>
      </w:r>
    </w:p>
    <w:p w14:paraId="017197F7" w14:textId="77777777" w:rsidR="00D8645B" w:rsidRPr="00370B00" w:rsidRDefault="00D8645B" w:rsidP="00D8645B">
      <w:pPr>
        <w:spacing w:line="360" w:lineRule="auto"/>
        <w:rPr>
          <w:u w:val="single"/>
        </w:rPr>
      </w:pPr>
    </w:p>
    <w:p w14:paraId="7DDF9846" w14:textId="77777777" w:rsidR="00D8645B" w:rsidRPr="00370B00" w:rsidRDefault="00D8645B" w:rsidP="00D8645B">
      <w:pPr>
        <w:pStyle w:val="ListParagraph"/>
        <w:spacing w:line="360" w:lineRule="auto"/>
        <w:ind w:left="360"/>
        <w:rPr>
          <w:rFonts w:eastAsiaTheme="minorEastAsia"/>
        </w:rPr>
      </w:pPr>
      <m:oMathPara>
        <m:oMath>
          <m:r>
            <w:rPr>
              <w:rFonts w:ascii="Cambria Math" w:hAnsi="Cambria Math"/>
            </w:rPr>
            <m:t>GSST=0</m:t>
          </m:r>
        </m:oMath>
      </m:oMathPara>
    </w:p>
    <w:p w14:paraId="05E1A275" w14:textId="77777777" w:rsidR="00D8645B" w:rsidRPr="00370B00" w:rsidRDefault="00D8645B" w:rsidP="00D8645B">
      <w:pPr>
        <w:spacing w:line="360" w:lineRule="auto"/>
        <w:rPr>
          <w:rFonts w:eastAsiaTheme="minorEastAsia"/>
        </w:rPr>
      </w:pPr>
    </w:p>
    <w:p w14:paraId="3C22063F" w14:textId="77777777" w:rsidR="00D8645B" w:rsidRDefault="00D8645B" w:rsidP="00D8645B">
      <w:pPr>
        <w:pStyle w:val="ListParagraph"/>
        <w:spacing w:line="360" w:lineRule="auto"/>
        <w:ind w:left="360"/>
        <w:rPr>
          <w:rFonts w:eastAsiaTheme="minorEastAsia"/>
        </w:rPr>
      </w:pPr>
      <w:r>
        <w:rPr>
          <w:rFonts w:eastAsiaTheme="minorEastAsia"/>
        </w:rPr>
        <w:t>and</w:t>
      </w:r>
    </w:p>
    <w:p w14:paraId="00566B05" w14:textId="77777777" w:rsidR="00D8645B" w:rsidRPr="00370B00" w:rsidRDefault="00D8645B" w:rsidP="00D8645B">
      <w:pPr>
        <w:spacing w:line="360" w:lineRule="auto"/>
        <w:rPr>
          <w:rFonts w:eastAsiaTheme="minorEastAsia"/>
        </w:rPr>
      </w:pPr>
    </w:p>
    <w:p w14:paraId="0E5440EA" w14:textId="77777777" w:rsidR="00D8645B" w:rsidRPr="00370B00" w:rsidRDefault="00D8645B" w:rsidP="00D8645B">
      <w:pPr>
        <w:pStyle w:val="ListParagraph"/>
        <w:spacing w:line="360" w:lineRule="auto"/>
        <w:ind w:left="360"/>
        <w:rPr>
          <w:rFonts w:eastAsiaTheme="minorEastAsia"/>
        </w:rPr>
      </w:pPr>
      <m:oMathPara>
        <m:oMath>
          <m:r>
            <w:rPr>
              <w:rFonts w:ascii="Cambria Math" w:hAnsi="Cambria Math"/>
            </w:rPr>
            <m:t>BSST=0</m:t>
          </m:r>
        </m:oMath>
      </m:oMathPara>
    </w:p>
    <w:p w14:paraId="514AF6EC" w14:textId="77777777" w:rsidR="00D8645B" w:rsidRPr="00370B00" w:rsidRDefault="00D8645B" w:rsidP="00D8645B">
      <w:pPr>
        <w:spacing w:line="360" w:lineRule="auto"/>
      </w:pPr>
    </w:p>
    <w:p w14:paraId="43EFA07F" w14:textId="77777777" w:rsidR="00D8645B" w:rsidRPr="00370B00" w:rsidRDefault="00D8645B" w:rsidP="0060309E">
      <w:pPr>
        <w:pStyle w:val="ListParagraph"/>
        <w:numPr>
          <w:ilvl w:val="0"/>
          <w:numId w:val="24"/>
        </w:numPr>
        <w:spacing w:after="160" w:line="360" w:lineRule="auto"/>
      </w:pPr>
      <w:r>
        <w:rPr>
          <w:u w:val="single"/>
        </w:rPr>
        <w:t xml:space="preserve">Effect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STRESS</m:t>
            </m:r>
          </m:sub>
        </m:sSub>
      </m:oMath>
      <w:r>
        <w:rPr>
          <w:rFonts w:eastAsiaTheme="minorEastAsia"/>
        </w:rPr>
        <w:t xml:space="preserve">: If, instead of Student </w:t>
      </w:r>
      <m:oMath>
        <m:r>
          <w:rPr>
            <w:rFonts w:ascii="Cambria Math" w:hAnsi="Cambria Math"/>
          </w:rPr>
          <m:t>t</m:t>
        </m:r>
      </m:oMath>
      <w:r>
        <w:rPr>
          <w:rFonts w:eastAsiaTheme="minorEastAsia"/>
        </w:rPr>
        <w:t xml:space="preserve"> a normal distribution assumption is used for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rPr>
          <w:rFonts w:eastAsiaTheme="minorEastAsia"/>
        </w:rPr>
        <w:t xml:space="preserve"> – which now makes it</w:t>
      </w:r>
    </w:p>
    <w:p w14:paraId="5AECEF3E" w14:textId="77777777" w:rsidR="00D8645B" w:rsidRPr="00370B00" w:rsidRDefault="00D8645B" w:rsidP="00D8645B">
      <w:pPr>
        <w:spacing w:line="360" w:lineRule="auto"/>
        <w:rPr>
          <w:u w:val="single"/>
        </w:rPr>
      </w:pPr>
    </w:p>
    <w:p w14:paraId="4EA305D3"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STRESS</m:t>
              </m:r>
            </m:sub>
          </m:sSub>
          <m:r>
            <w:rPr>
              <w:rFonts w:ascii="Cambria Math" w:hAnsi="Cambria Math"/>
            </w:rPr>
            <m:t>=1.4</m:t>
          </m:r>
        </m:oMath>
      </m:oMathPara>
    </w:p>
    <w:p w14:paraId="5F23437F" w14:textId="77777777" w:rsidR="00D8645B" w:rsidRPr="00370B00" w:rsidRDefault="00D8645B" w:rsidP="00D8645B">
      <w:pPr>
        <w:spacing w:line="360" w:lineRule="auto"/>
        <w:rPr>
          <w:rFonts w:eastAsiaTheme="minorEastAsia"/>
        </w:rPr>
      </w:pPr>
    </w:p>
    <w:p w14:paraId="66E142CA" w14:textId="77777777" w:rsidR="00D8645B" w:rsidRPr="00316CE0" w:rsidRDefault="00D8645B" w:rsidP="00D8645B">
      <w:pPr>
        <w:pStyle w:val="ListParagraph"/>
        <w:spacing w:line="360" w:lineRule="auto"/>
        <w:ind w:left="360"/>
      </w:pPr>
      <w:r>
        <w:rPr>
          <w:rFonts w:eastAsiaTheme="minorEastAsia"/>
        </w:rPr>
        <w:t>the fall in RC can be steep.</w:t>
      </w:r>
    </w:p>
    <w:p w14:paraId="6ACC2F8C" w14:textId="77777777" w:rsidR="00D8645B" w:rsidRPr="00370B00" w:rsidRDefault="00D8645B" w:rsidP="0060309E">
      <w:pPr>
        <w:pStyle w:val="ListParagraph"/>
        <w:numPr>
          <w:ilvl w:val="0"/>
          <w:numId w:val="24"/>
        </w:numPr>
        <w:spacing w:after="160" w:line="360" w:lineRule="auto"/>
      </w:pP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STRESS</m:t>
            </m:r>
          </m:sub>
        </m:sSub>
      </m:oMath>
      <w:r w:rsidRPr="00316CE0">
        <w:rPr>
          <w:rFonts w:eastAsiaTheme="minorEastAsia"/>
          <w:u w:val="single"/>
        </w:rPr>
        <w:t xml:space="preserve"> under </w:t>
      </w:r>
      <m:oMath>
        <m:r>
          <w:rPr>
            <w:rFonts w:ascii="Cambria Math" w:hAnsi="Cambria Math"/>
            <w:u w:val="single"/>
          </w:rPr>
          <m:t>T-5</m:t>
        </m:r>
      </m:oMath>
      <w:r w:rsidRPr="00316CE0">
        <w:rPr>
          <w:rFonts w:eastAsiaTheme="minorEastAsia"/>
          <w:u w:val="single"/>
        </w:rPr>
        <w:t xml:space="preserve"> Distribution</w:t>
      </w:r>
      <w:r>
        <w:rPr>
          <w:rFonts w:eastAsiaTheme="minorEastAsia"/>
        </w:rPr>
        <w:t xml:space="preserve">: If, however, the </w:t>
      </w:r>
      <m:oMath>
        <m:r>
          <w:rPr>
            <w:rFonts w:ascii="Cambria Math" w:hAnsi="Cambria Math"/>
          </w:rPr>
          <m:t>t</m:t>
        </m:r>
      </m:oMath>
      <w:r>
        <w:rPr>
          <w:rFonts w:eastAsiaTheme="minorEastAsia"/>
        </w:rPr>
        <w:t xml:space="preserve"> distribution has more than </w:t>
      </w:r>
      <m:oMath>
        <m:r>
          <w:rPr>
            <w:rFonts w:ascii="Cambria Math" w:hAnsi="Cambria Math"/>
          </w:rPr>
          <m:t>3</m:t>
        </m:r>
      </m:oMath>
      <w:r>
        <w:rPr>
          <w:rFonts w:eastAsiaTheme="minorEastAsia"/>
        </w:rPr>
        <w:t xml:space="preserve"> degrees of freedom, e.g., </w:t>
      </w:r>
      <m:oMath>
        <m:r>
          <w:rPr>
            <w:rFonts w:ascii="Cambria Math" w:hAnsi="Cambria Math"/>
          </w:rPr>
          <m:t>5</m:t>
        </m:r>
      </m:oMath>
      <w:r>
        <w:rPr>
          <w:rFonts w:eastAsiaTheme="minorEastAsia"/>
        </w:rPr>
        <w:t>, then</w:t>
      </w:r>
    </w:p>
    <w:p w14:paraId="36490AD7" w14:textId="77777777" w:rsidR="00D8645B" w:rsidRPr="001D48CF" w:rsidRDefault="00D8645B" w:rsidP="00D8645B">
      <w:pPr>
        <w:spacing w:line="360" w:lineRule="auto"/>
        <w:rPr>
          <w:rFonts w:eastAsiaTheme="minorEastAsia"/>
          <w:u w:val="single"/>
        </w:rPr>
      </w:pPr>
    </w:p>
    <w:p w14:paraId="2B31B30C"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STRESS</m:t>
              </m:r>
            </m:sub>
          </m:sSub>
          <m:r>
            <w:rPr>
              <w:rFonts w:ascii="Cambria Math" w:hAnsi="Cambria Math"/>
            </w:rPr>
            <m:t>=2.8</m:t>
          </m:r>
        </m:oMath>
      </m:oMathPara>
    </w:p>
    <w:p w14:paraId="2CAE9E24" w14:textId="77777777" w:rsidR="00D8645B" w:rsidRPr="001D48CF" w:rsidRDefault="00D8645B" w:rsidP="00D8645B">
      <w:pPr>
        <w:spacing w:line="360" w:lineRule="auto"/>
        <w:rPr>
          <w:rFonts w:eastAsiaTheme="minorEastAsia"/>
        </w:rPr>
      </w:pPr>
    </w:p>
    <w:p w14:paraId="41F58932" w14:textId="77777777" w:rsidR="00D8645B" w:rsidRPr="00370B00" w:rsidRDefault="00D8645B" w:rsidP="00D8645B">
      <w:pPr>
        <w:pStyle w:val="ListParagraph"/>
        <w:spacing w:line="360" w:lineRule="auto"/>
        <w:ind w:left="360"/>
        <w:rPr>
          <w:rFonts w:eastAsiaTheme="minorEastAsia"/>
        </w:rPr>
      </w:pPr>
      <w:r>
        <w:rPr>
          <w:rFonts w:eastAsiaTheme="minorEastAsia"/>
        </w:rPr>
        <w:t>and results in a sharp increase in RC.</w:t>
      </w:r>
    </w:p>
    <w:p w14:paraId="039D0CE6" w14:textId="77777777" w:rsidR="00D8645B" w:rsidRDefault="00D8645B" w:rsidP="0060309E">
      <w:pPr>
        <w:pStyle w:val="ListParagraph"/>
        <w:numPr>
          <w:ilvl w:val="0"/>
          <w:numId w:val="24"/>
        </w:numPr>
        <w:spacing w:after="160" w:line="360" w:lineRule="auto"/>
      </w:pPr>
      <w:r w:rsidRPr="00AB656F">
        <w:rPr>
          <w:u w:val="single"/>
        </w:rPr>
        <w:t>Effect of VaR</w:t>
      </w:r>
      <w:r>
        <w:t>: By setting</w:t>
      </w:r>
    </w:p>
    <w:p w14:paraId="3B047CD7" w14:textId="77777777" w:rsidR="00D8645B" w:rsidRPr="001D48CF" w:rsidRDefault="00D8645B" w:rsidP="00D8645B">
      <w:pPr>
        <w:spacing w:line="360" w:lineRule="auto"/>
        <w:rPr>
          <w:u w:val="single"/>
        </w:rPr>
      </w:pPr>
    </w:p>
    <w:p w14:paraId="3636212B" w14:textId="77777777" w:rsidR="00D8645B" w:rsidRDefault="00D8645B" w:rsidP="00D8645B">
      <w:pPr>
        <w:pStyle w:val="ListParagraph"/>
        <w:spacing w:line="360" w:lineRule="auto"/>
        <w:ind w:left="360"/>
        <w:rPr>
          <w:rFonts w:eastAsiaTheme="minorEastAsia"/>
        </w:rPr>
      </w:pPr>
      <m:oMathPara>
        <m:oMath>
          <m:r>
            <w:rPr>
              <w:rFonts w:ascii="Cambria Math" w:hAnsi="Cambria Math"/>
            </w:rPr>
            <m:t>VaR=0</m:t>
          </m:r>
        </m:oMath>
      </m:oMathPara>
    </w:p>
    <w:p w14:paraId="55A33906" w14:textId="77777777" w:rsidR="00D8645B" w:rsidRPr="001D48CF" w:rsidRDefault="00D8645B" w:rsidP="00D8645B">
      <w:pPr>
        <w:spacing w:line="360" w:lineRule="auto"/>
        <w:rPr>
          <w:rFonts w:eastAsiaTheme="minorEastAsia"/>
        </w:rPr>
      </w:pPr>
    </w:p>
    <w:p w14:paraId="71CF832D" w14:textId="77777777" w:rsidR="00D8645B" w:rsidRPr="00AB656F" w:rsidRDefault="00D8645B" w:rsidP="00D8645B">
      <w:pPr>
        <w:pStyle w:val="ListParagraph"/>
        <w:spacing w:line="360" w:lineRule="auto"/>
        <w:ind w:left="360"/>
      </w:pPr>
      <w:r>
        <w:rPr>
          <w:rFonts w:eastAsiaTheme="minorEastAsia"/>
        </w:rPr>
        <w:t>it can be shown that the RC capital reduction is typically small both at the BHC level as well as the Business level.</w:t>
      </w:r>
    </w:p>
    <w:p w14:paraId="40E85A0C" w14:textId="77777777" w:rsidR="00D8645B" w:rsidRDefault="00D8645B" w:rsidP="0060309E">
      <w:pPr>
        <w:pStyle w:val="ListParagraph"/>
        <w:numPr>
          <w:ilvl w:val="0"/>
          <w:numId w:val="24"/>
        </w:numPr>
        <w:spacing w:after="160" w:line="360" w:lineRule="auto"/>
      </w:pPr>
      <w:r>
        <w:rPr>
          <w:u w:val="single"/>
        </w:rPr>
        <w:t>Effect of Volatility Adjustments</w:t>
      </w:r>
      <w:r>
        <w:t>: As described before, the volatility adjustment of</w:t>
      </w:r>
    </w:p>
    <w:p w14:paraId="2CD34C36" w14:textId="77777777" w:rsidR="00D8645B" w:rsidRPr="001D48CF" w:rsidRDefault="00D8645B" w:rsidP="00D8645B">
      <w:pPr>
        <w:spacing w:line="360" w:lineRule="auto"/>
        <w:rPr>
          <w:u w:val="single"/>
        </w:rPr>
      </w:pPr>
    </w:p>
    <w:p w14:paraId="411F82E4"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VaR</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FS type i</m:t>
              </m:r>
            </m:sub>
            <m:sup/>
            <m:e>
              <m:sSub>
                <m:sSubPr>
                  <m:ctrlPr>
                    <w:rPr>
                      <w:rFonts w:ascii="Cambria Math" w:hAnsi="Cambria Math"/>
                      <w:i/>
                    </w:rPr>
                  </m:ctrlPr>
                </m:sSubPr>
                <m:e>
                  <m:r>
                    <w:rPr>
                      <w:rFonts w:ascii="Cambria Math" w:hAnsi="Cambria Math"/>
                    </w:rPr>
                    <m:t>vol_adj</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VaR, i</m:t>
                  </m:r>
                </m:sub>
              </m:sSub>
              <m:d>
                <m:dPr>
                  <m:ctrlPr>
                    <w:rPr>
                      <w:rFonts w:ascii="Cambria Math" w:hAnsi="Cambria Math"/>
                      <w:i/>
                    </w:rPr>
                  </m:ctrlPr>
                </m:dPr>
                <m:e>
                  <m:r>
                    <w:rPr>
                      <w:rFonts w:ascii="Cambria Math" w:hAnsi="Cambria Math"/>
                    </w:rPr>
                    <m:t>t</m:t>
                  </m:r>
                </m:e>
              </m:d>
            </m:e>
          </m:nary>
        </m:oMath>
      </m:oMathPara>
    </w:p>
    <w:p w14:paraId="70ED4568" w14:textId="77777777" w:rsidR="00D8645B" w:rsidRPr="001D48CF" w:rsidRDefault="00D8645B" w:rsidP="00D8645B">
      <w:pPr>
        <w:spacing w:line="360" w:lineRule="auto"/>
        <w:rPr>
          <w:rFonts w:eastAsiaTheme="minorEastAsia"/>
        </w:rPr>
      </w:pPr>
    </w:p>
    <w:p w14:paraId="598CAC27" w14:textId="77777777" w:rsidR="00D8645B" w:rsidRDefault="00D8645B" w:rsidP="00D8645B">
      <w:pPr>
        <w:pStyle w:val="ListParagraph"/>
        <w:spacing w:line="360" w:lineRule="auto"/>
        <w:ind w:left="360"/>
      </w:pPr>
      <w:r>
        <w:t>is needed to convert the point-in-time VaR into through-the-cycle VaR.</w:t>
      </w:r>
    </w:p>
    <w:p w14:paraId="04B53A4D" w14:textId="77777777" w:rsidR="00D8645B" w:rsidRPr="00111089" w:rsidRDefault="00D8645B" w:rsidP="0060309E">
      <w:pPr>
        <w:pStyle w:val="ListParagraph"/>
        <w:numPr>
          <w:ilvl w:val="0"/>
          <w:numId w:val="24"/>
        </w:numPr>
        <w:spacing w:after="160" w:line="360" w:lineRule="auto"/>
      </w:pPr>
      <w:r>
        <w:rPr>
          <w:u w:val="single"/>
        </w:rPr>
        <w:t>Effect of No Volatility Adjustment</w:t>
      </w:r>
      <w:r w:rsidRPr="00AB656F">
        <w:t>:</w:t>
      </w:r>
      <w:r>
        <w:t xml:space="preserve"> The effect is tested by setting all of the volatility adjustments to </w:t>
      </w:r>
      <m:oMath>
        <m:r>
          <w:rPr>
            <w:rFonts w:ascii="Cambria Math" w:hAnsi="Cambria Math"/>
          </w:rPr>
          <m:t>1</m:t>
        </m:r>
      </m:oMath>
      <w:r>
        <w:rPr>
          <w:rFonts w:eastAsiaTheme="minorEastAsia"/>
        </w:rPr>
        <w:t>, i.e., no volatility adjustment, as shown in the table below. As will be expected, the expected RC changes given the effect of VaR P&amp;L will be small.</w:t>
      </w:r>
    </w:p>
    <w:p w14:paraId="378A3F31" w14:textId="77777777" w:rsidR="00D8645B" w:rsidRDefault="00D8645B" w:rsidP="0060309E">
      <w:pPr>
        <w:pStyle w:val="ListParagraph"/>
        <w:numPr>
          <w:ilvl w:val="0"/>
          <w:numId w:val="24"/>
        </w:numPr>
        <w:spacing w:after="160" w:line="360" w:lineRule="auto"/>
      </w:pPr>
      <w:r>
        <w:rPr>
          <w:u w:val="single"/>
        </w:rPr>
        <w:t>Base Case Volatility Adjustment</w:t>
      </w:r>
      <w:r>
        <w:t>:</w:t>
      </w:r>
    </w:p>
    <w:tbl>
      <w:tblPr>
        <w:tblStyle w:val="TableGrid"/>
        <w:tblW w:w="0" w:type="auto"/>
        <w:tblLook w:val="04A0" w:firstRow="1" w:lastRow="0" w:firstColumn="1" w:lastColumn="0" w:noHBand="0" w:noVBand="1"/>
      </w:tblPr>
      <w:tblGrid>
        <w:gridCol w:w="2337"/>
        <w:gridCol w:w="2337"/>
        <w:gridCol w:w="2338"/>
        <w:gridCol w:w="2338"/>
      </w:tblGrid>
      <w:tr w:rsidR="00D8645B" w14:paraId="2F3B3FC6" w14:textId="77777777" w:rsidTr="00664D46">
        <w:tc>
          <w:tcPr>
            <w:tcW w:w="2337" w:type="dxa"/>
            <w:vAlign w:val="center"/>
          </w:tcPr>
          <w:p w14:paraId="4DA6FC83" w14:textId="77777777" w:rsidR="00D8645B" w:rsidRPr="00111089" w:rsidRDefault="00D8645B" w:rsidP="00664D46">
            <w:pPr>
              <w:spacing w:line="360" w:lineRule="auto"/>
              <w:jc w:val="center"/>
              <w:rPr>
                <w:b/>
              </w:rPr>
            </w:pPr>
            <w:r w:rsidRPr="00111089">
              <w:rPr>
                <w:b/>
              </w:rPr>
              <w:t xml:space="preserve">FS Type </w:t>
            </w:r>
            <m:oMath>
              <m:r>
                <m:rPr>
                  <m:sty m:val="bi"/>
                </m:rPr>
                <w:rPr>
                  <w:rFonts w:ascii="Cambria Math" w:hAnsi="Cambria Math"/>
                </w:rPr>
                <m:t>i</m:t>
              </m:r>
            </m:oMath>
          </w:p>
        </w:tc>
        <w:tc>
          <w:tcPr>
            <w:tcW w:w="2337" w:type="dxa"/>
            <w:vAlign w:val="center"/>
          </w:tcPr>
          <w:p w14:paraId="1A3212E5" w14:textId="77777777" w:rsidR="00D8645B" w:rsidRPr="00111089" w:rsidRDefault="00D8645B" w:rsidP="00664D46">
            <w:pPr>
              <w:spacing w:line="360" w:lineRule="auto"/>
              <w:jc w:val="center"/>
              <w:rPr>
                <w:b/>
              </w:rPr>
            </w:pPr>
            <m:oMathPara>
              <m:oMath>
                <m:sSub>
                  <m:sSubPr>
                    <m:ctrlPr>
                      <w:rPr>
                        <w:rFonts w:ascii="Cambria Math" w:hAnsi="Cambria Math"/>
                        <w:b/>
                        <w:i/>
                      </w:rPr>
                    </m:ctrlPr>
                  </m:sSubPr>
                  <m:e>
                    <m:r>
                      <m:rPr>
                        <m:sty m:val="bi"/>
                      </m:rPr>
                      <w:rPr>
                        <w:rFonts w:ascii="Cambria Math" w:hAnsi="Cambria Math"/>
                      </w:rPr>
                      <m:t>vol_adj</m:t>
                    </m:r>
                  </m:e>
                  <m:sub>
                    <m:r>
                      <m:rPr>
                        <m:sty m:val="bi"/>
                      </m:rPr>
                      <w:rPr>
                        <w:rFonts w:ascii="Cambria Math" w:hAnsi="Cambria Math"/>
                      </w:rPr>
                      <m:t>i</m:t>
                    </m:r>
                  </m:sub>
                </m:sSub>
                <m:d>
                  <m:dPr>
                    <m:ctrlPr>
                      <w:rPr>
                        <w:rFonts w:ascii="Cambria Math" w:hAnsi="Cambria Math"/>
                        <w:b/>
                        <w:i/>
                      </w:rPr>
                    </m:ctrlPr>
                  </m:dPr>
                  <m:e>
                    <m:r>
                      <m:rPr>
                        <m:sty m:val="bi"/>
                      </m:rPr>
                      <w:rPr>
                        <w:rFonts w:ascii="Cambria Math" w:hAnsi="Cambria Math"/>
                      </w:rPr>
                      <m:t>t-2</m:t>
                    </m:r>
                  </m:e>
                </m:d>
              </m:oMath>
            </m:oMathPara>
          </w:p>
        </w:tc>
        <w:tc>
          <w:tcPr>
            <w:tcW w:w="2338" w:type="dxa"/>
            <w:vAlign w:val="center"/>
          </w:tcPr>
          <w:p w14:paraId="0E0BA4D9" w14:textId="77777777" w:rsidR="00D8645B" w:rsidRPr="00111089" w:rsidRDefault="00D8645B" w:rsidP="00664D46">
            <w:pPr>
              <w:spacing w:line="360" w:lineRule="auto"/>
              <w:jc w:val="center"/>
              <w:rPr>
                <w:b/>
              </w:rPr>
            </w:pPr>
            <m:oMathPara>
              <m:oMath>
                <m:sSub>
                  <m:sSubPr>
                    <m:ctrlPr>
                      <w:rPr>
                        <w:rFonts w:ascii="Cambria Math" w:hAnsi="Cambria Math"/>
                        <w:b/>
                        <w:i/>
                      </w:rPr>
                    </m:ctrlPr>
                  </m:sSubPr>
                  <m:e>
                    <m:r>
                      <m:rPr>
                        <m:sty m:val="bi"/>
                      </m:rPr>
                      <w:rPr>
                        <w:rFonts w:ascii="Cambria Math" w:hAnsi="Cambria Math"/>
                      </w:rPr>
                      <m:t>vol_adj</m:t>
                    </m:r>
                  </m:e>
                  <m:sub>
                    <m:r>
                      <m:rPr>
                        <m:sty m:val="bi"/>
                      </m:rPr>
                      <w:rPr>
                        <w:rFonts w:ascii="Cambria Math" w:hAnsi="Cambria Math"/>
                      </w:rPr>
                      <m:t>i</m:t>
                    </m:r>
                  </m:sub>
                </m:sSub>
                <m:d>
                  <m:dPr>
                    <m:ctrlPr>
                      <w:rPr>
                        <w:rFonts w:ascii="Cambria Math" w:hAnsi="Cambria Math"/>
                        <w:b/>
                        <w:i/>
                      </w:rPr>
                    </m:ctrlPr>
                  </m:dPr>
                  <m:e>
                    <m:r>
                      <m:rPr>
                        <m:sty m:val="bi"/>
                      </m:rPr>
                      <w:rPr>
                        <w:rFonts w:ascii="Cambria Math" w:hAnsi="Cambria Math"/>
                      </w:rPr>
                      <m:t>t-1</m:t>
                    </m:r>
                  </m:e>
                </m:d>
              </m:oMath>
            </m:oMathPara>
          </w:p>
        </w:tc>
        <w:tc>
          <w:tcPr>
            <w:tcW w:w="2338" w:type="dxa"/>
            <w:vAlign w:val="center"/>
          </w:tcPr>
          <w:p w14:paraId="6FBFE183" w14:textId="77777777" w:rsidR="00D8645B" w:rsidRPr="00111089" w:rsidRDefault="00D8645B" w:rsidP="00664D46">
            <w:pPr>
              <w:spacing w:line="360" w:lineRule="auto"/>
              <w:jc w:val="center"/>
              <w:rPr>
                <w:b/>
              </w:rPr>
            </w:pPr>
            <m:oMathPara>
              <m:oMath>
                <m:sSub>
                  <m:sSubPr>
                    <m:ctrlPr>
                      <w:rPr>
                        <w:rFonts w:ascii="Cambria Math" w:hAnsi="Cambria Math"/>
                        <w:b/>
                        <w:i/>
                      </w:rPr>
                    </m:ctrlPr>
                  </m:sSubPr>
                  <m:e>
                    <m:r>
                      <m:rPr>
                        <m:sty m:val="bi"/>
                      </m:rPr>
                      <w:rPr>
                        <w:rFonts w:ascii="Cambria Math" w:hAnsi="Cambria Math"/>
                      </w:rPr>
                      <m:t>vol_adj</m:t>
                    </m:r>
                  </m:e>
                  <m:sub>
                    <m:r>
                      <m:rPr>
                        <m:sty m:val="bi"/>
                      </m:rPr>
                      <w:rPr>
                        <w:rFonts w:ascii="Cambria Math" w:hAnsi="Cambria Math"/>
                      </w:rPr>
                      <m:t>i</m:t>
                    </m:r>
                  </m:sub>
                </m:sSub>
                <m:d>
                  <m:dPr>
                    <m:ctrlPr>
                      <w:rPr>
                        <w:rFonts w:ascii="Cambria Math" w:hAnsi="Cambria Math"/>
                        <w:b/>
                        <w:i/>
                      </w:rPr>
                    </m:ctrlPr>
                  </m:dPr>
                  <m:e>
                    <m:r>
                      <m:rPr>
                        <m:sty m:val="bi"/>
                      </m:rPr>
                      <w:rPr>
                        <w:rFonts w:ascii="Cambria Math" w:hAnsi="Cambria Math"/>
                      </w:rPr>
                      <m:t>t</m:t>
                    </m:r>
                  </m:e>
                </m:d>
              </m:oMath>
            </m:oMathPara>
          </w:p>
        </w:tc>
      </w:tr>
      <w:tr w:rsidR="00D8645B" w14:paraId="1B2A6F0B" w14:textId="77777777" w:rsidTr="00664D46">
        <w:tc>
          <w:tcPr>
            <w:tcW w:w="2337" w:type="dxa"/>
            <w:vAlign w:val="center"/>
          </w:tcPr>
          <w:p w14:paraId="0F0A5909" w14:textId="77777777" w:rsidR="00D8645B" w:rsidRDefault="00D8645B" w:rsidP="00664D46">
            <w:pPr>
              <w:spacing w:line="360" w:lineRule="auto"/>
              <w:jc w:val="center"/>
            </w:pPr>
            <w:r>
              <w:t>CMDL</w:t>
            </w:r>
          </w:p>
        </w:tc>
        <w:tc>
          <w:tcPr>
            <w:tcW w:w="2337" w:type="dxa"/>
            <w:vAlign w:val="center"/>
          </w:tcPr>
          <w:p w14:paraId="1B067A66" w14:textId="77777777" w:rsidR="00D8645B" w:rsidRDefault="00D8645B" w:rsidP="00664D46">
            <w:pPr>
              <w:spacing w:line="360" w:lineRule="auto"/>
              <w:jc w:val="center"/>
            </w:pPr>
            <m:oMathPara>
              <m:oMath>
                <m:r>
                  <w:rPr>
                    <w:rFonts w:ascii="Cambria Math" w:hAnsi="Cambria Math"/>
                  </w:rPr>
                  <m:t>0.68</m:t>
                </m:r>
              </m:oMath>
            </m:oMathPara>
          </w:p>
        </w:tc>
        <w:tc>
          <w:tcPr>
            <w:tcW w:w="2338" w:type="dxa"/>
            <w:vAlign w:val="center"/>
          </w:tcPr>
          <w:p w14:paraId="62926382" w14:textId="77777777" w:rsidR="00D8645B" w:rsidRDefault="00D8645B" w:rsidP="00664D46">
            <w:pPr>
              <w:spacing w:line="360" w:lineRule="auto"/>
              <w:jc w:val="center"/>
            </w:pPr>
            <m:oMathPara>
              <m:oMath>
                <m:r>
                  <w:rPr>
                    <w:rFonts w:ascii="Cambria Math" w:hAnsi="Cambria Math"/>
                  </w:rPr>
                  <m:t>0.64</m:t>
                </m:r>
              </m:oMath>
            </m:oMathPara>
          </w:p>
        </w:tc>
        <w:tc>
          <w:tcPr>
            <w:tcW w:w="2338" w:type="dxa"/>
            <w:vAlign w:val="center"/>
          </w:tcPr>
          <w:p w14:paraId="250064DE" w14:textId="77777777" w:rsidR="00D8645B" w:rsidRDefault="00D8645B" w:rsidP="00664D46">
            <w:pPr>
              <w:spacing w:line="360" w:lineRule="auto"/>
              <w:jc w:val="center"/>
            </w:pPr>
            <m:oMathPara>
              <m:oMath>
                <m:r>
                  <w:rPr>
                    <w:rFonts w:ascii="Cambria Math" w:hAnsi="Cambria Math"/>
                  </w:rPr>
                  <m:t>0.64</m:t>
                </m:r>
              </m:oMath>
            </m:oMathPara>
          </w:p>
        </w:tc>
      </w:tr>
      <w:tr w:rsidR="00D8645B" w14:paraId="3B51B908" w14:textId="77777777" w:rsidTr="00664D46">
        <w:tc>
          <w:tcPr>
            <w:tcW w:w="2337" w:type="dxa"/>
            <w:vAlign w:val="center"/>
          </w:tcPr>
          <w:p w14:paraId="45F2BD08" w14:textId="77777777" w:rsidR="00D8645B" w:rsidRDefault="00D8645B" w:rsidP="00664D46">
            <w:pPr>
              <w:spacing w:line="360" w:lineRule="auto"/>
              <w:jc w:val="center"/>
            </w:pPr>
            <w:r>
              <w:t>CMVG</w:t>
            </w:r>
          </w:p>
        </w:tc>
        <w:tc>
          <w:tcPr>
            <w:tcW w:w="2337" w:type="dxa"/>
            <w:vAlign w:val="center"/>
          </w:tcPr>
          <w:p w14:paraId="0C4AB30D" w14:textId="77777777" w:rsidR="00D8645B" w:rsidRDefault="00D8645B" w:rsidP="00664D46">
            <w:pPr>
              <w:spacing w:line="360" w:lineRule="auto"/>
              <w:jc w:val="center"/>
            </w:pPr>
            <m:oMathPara>
              <m:oMath>
                <m:r>
                  <w:rPr>
                    <w:rFonts w:ascii="Cambria Math" w:hAnsi="Cambria Math"/>
                  </w:rPr>
                  <m:t>0.92</m:t>
                </m:r>
              </m:oMath>
            </m:oMathPara>
          </w:p>
        </w:tc>
        <w:tc>
          <w:tcPr>
            <w:tcW w:w="2338" w:type="dxa"/>
            <w:vAlign w:val="center"/>
          </w:tcPr>
          <w:p w14:paraId="28C3B6B7" w14:textId="77777777" w:rsidR="00D8645B" w:rsidRDefault="00D8645B" w:rsidP="00664D46">
            <w:pPr>
              <w:spacing w:line="360" w:lineRule="auto"/>
              <w:jc w:val="center"/>
            </w:pPr>
            <m:oMathPara>
              <m:oMath>
                <m:r>
                  <w:rPr>
                    <w:rFonts w:ascii="Cambria Math" w:hAnsi="Cambria Math"/>
                  </w:rPr>
                  <m:t>0.91</m:t>
                </m:r>
              </m:oMath>
            </m:oMathPara>
          </w:p>
        </w:tc>
        <w:tc>
          <w:tcPr>
            <w:tcW w:w="2338" w:type="dxa"/>
            <w:vAlign w:val="center"/>
          </w:tcPr>
          <w:p w14:paraId="77455EC6" w14:textId="77777777" w:rsidR="00D8645B" w:rsidRDefault="00D8645B" w:rsidP="00664D46">
            <w:pPr>
              <w:spacing w:line="360" w:lineRule="auto"/>
              <w:jc w:val="center"/>
            </w:pPr>
            <m:oMathPara>
              <m:oMath>
                <m:r>
                  <w:rPr>
                    <w:rFonts w:ascii="Cambria Math" w:hAnsi="Cambria Math"/>
                  </w:rPr>
                  <m:t>0.91</m:t>
                </m:r>
              </m:oMath>
            </m:oMathPara>
          </w:p>
        </w:tc>
      </w:tr>
      <w:tr w:rsidR="00D8645B" w14:paraId="15B9C8B2" w14:textId="77777777" w:rsidTr="00664D46">
        <w:tc>
          <w:tcPr>
            <w:tcW w:w="2337" w:type="dxa"/>
            <w:vAlign w:val="center"/>
          </w:tcPr>
          <w:p w14:paraId="49343F59" w14:textId="77777777" w:rsidR="00D8645B" w:rsidRDefault="00D8645B" w:rsidP="00664D46">
            <w:pPr>
              <w:spacing w:line="360" w:lineRule="auto"/>
              <w:jc w:val="center"/>
            </w:pPr>
            <w:r>
              <w:t>CSVG</w:t>
            </w:r>
          </w:p>
        </w:tc>
        <w:tc>
          <w:tcPr>
            <w:tcW w:w="2337" w:type="dxa"/>
            <w:vAlign w:val="center"/>
          </w:tcPr>
          <w:p w14:paraId="746F1232" w14:textId="77777777" w:rsidR="00D8645B" w:rsidRDefault="00D8645B" w:rsidP="00664D46">
            <w:pPr>
              <w:spacing w:line="360" w:lineRule="auto"/>
              <w:jc w:val="center"/>
            </w:pPr>
            <m:oMathPara>
              <m:oMath>
                <m:r>
                  <w:rPr>
                    <w:rFonts w:ascii="Cambria Math" w:hAnsi="Cambria Math"/>
                  </w:rPr>
                  <m:t>1.00</m:t>
                </m:r>
              </m:oMath>
            </m:oMathPara>
          </w:p>
        </w:tc>
        <w:tc>
          <w:tcPr>
            <w:tcW w:w="2338" w:type="dxa"/>
            <w:vAlign w:val="center"/>
          </w:tcPr>
          <w:p w14:paraId="6419F256" w14:textId="77777777" w:rsidR="00D8645B" w:rsidRDefault="00D8645B" w:rsidP="00664D46">
            <w:pPr>
              <w:spacing w:line="360" w:lineRule="auto"/>
              <w:jc w:val="center"/>
            </w:pPr>
            <m:oMathPara>
              <m:oMath>
                <m:r>
                  <w:rPr>
                    <w:rFonts w:ascii="Cambria Math" w:hAnsi="Cambria Math"/>
                  </w:rPr>
                  <m:t>1.00</m:t>
                </m:r>
              </m:oMath>
            </m:oMathPara>
          </w:p>
        </w:tc>
        <w:tc>
          <w:tcPr>
            <w:tcW w:w="2338" w:type="dxa"/>
            <w:vAlign w:val="center"/>
          </w:tcPr>
          <w:p w14:paraId="5272B5EB" w14:textId="77777777" w:rsidR="00D8645B" w:rsidRDefault="00D8645B" w:rsidP="00664D46">
            <w:pPr>
              <w:spacing w:line="360" w:lineRule="auto"/>
              <w:jc w:val="center"/>
            </w:pPr>
            <m:oMathPara>
              <m:oMath>
                <m:r>
                  <w:rPr>
                    <w:rFonts w:ascii="Cambria Math" w:hAnsi="Cambria Math"/>
                  </w:rPr>
                  <m:t>1.00</m:t>
                </m:r>
              </m:oMath>
            </m:oMathPara>
          </w:p>
        </w:tc>
      </w:tr>
      <w:tr w:rsidR="00D8645B" w14:paraId="1CBC07E2" w14:textId="77777777" w:rsidTr="00664D46">
        <w:tc>
          <w:tcPr>
            <w:tcW w:w="2337" w:type="dxa"/>
            <w:vAlign w:val="center"/>
          </w:tcPr>
          <w:p w14:paraId="135523B7" w14:textId="77777777" w:rsidR="00D8645B" w:rsidRDefault="00D8645B" w:rsidP="00664D46">
            <w:pPr>
              <w:spacing w:line="360" w:lineRule="auto"/>
              <w:jc w:val="center"/>
            </w:pPr>
            <w:r>
              <w:t>EBID</w:t>
            </w:r>
          </w:p>
        </w:tc>
        <w:tc>
          <w:tcPr>
            <w:tcW w:w="2337" w:type="dxa"/>
            <w:vAlign w:val="center"/>
          </w:tcPr>
          <w:p w14:paraId="4447EF28" w14:textId="77777777" w:rsidR="00D8645B" w:rsidRDefault="00D8645B" w:rsidP="00664D46">
            <w:pPr>
              <w:spacing w:line="360" w:lineRule="auto"/>
              <w:jc w:val="center"/>
            </w:pPr>
            <m:oMathPara>
              <m:oMath>
                <m:r>
                  <w:rPr>
                    <w:rFonts w:ascii="Cambria Math" w:hAnsi="Cambria Math"/>
                  </w:rPr>
                  <m:t>1.13</m:t>
                </m:r>
              </m:oMath>
            </m:oMathPara>
          </w:p>
        </w:tc>
        <w:tc>
          <w:tcPr>
            <w:tcW w:w="2338" w:type="dxa"/>
            <w:vAlign w:val="center"/>
          </w:tcPr>
          <w:p w14:paraId="16AEBCE8" w14:textId="77777777" w:rsidR="00D8645B" w:rsidRDefault="00D8645B" w:rsidP="00664D46">
            <w:pPr>
              <w:spacing w:line="360" w:lineRule="auto"/>
              <w:jc w:val="center"/>
            </w:pPr>
            <m:oMathPara>
              <m:oMath>
                <m:r>
                  <w:rPr>
                    <w:rFonts w:ascii="Cambria Math" w:hAnsi="Cambria Math"/>
                  </w:rPr>
                  <m:t>1.12</m:t>
                </m:r>
              </m:oMath>
            </m:oMathPara>
          </w:p>
        </w:tc>
        <w:tc>
          <w:tcPr>
            <w:tcW w:w="2338" w:type="dxa"/>
            <w:vAlign w:val="center"/>
          </w:tcPr>
          <w:p w14:paraId="4891CEEC" w14:textId="77777777" w:rsidR="00D8645B" w:rsidRDefault="00D8645B" w:rsidP="00664D46">
            <w:pPr>
              <w:spacing w:line="360" w:lineRule="auto"/>
              <w:jc w:val="center"/>
            </w:pPr>
            <m:oMathPara>
              <m:oMath>
                <m:r>
                  <w:rPr>
                    <w:rFonts w:ascii="Cambria Math" w:hAnsi="Cambria Math"/>
                  </w:rPr>
                  <m:t>1.12</m:t>
                </m:r>
              </m:oMath>
            </m:oMathPara>
          </w:p>
        </w:tc>
      </w:tr>
      <w:tr w:rsidR="00D8645B" w14:paraId="0E43E6F8" w14:textId="77777777" w:rsidTr="00664D46">
        <w:tc>
          <w:tcPr>
            <w:tcW w:w="2337" w:type="dxa"/>
            <w:vAlign w:val="center"/>
          </w:tcPr>
          <w:p w14:paraId="74871BE6" w14:textId="77777777" w:rsidR="00D8645B" w:rsidRDefault="00D8645B" w:rsidP="00664D46">
            <w:pPr>
              <w:spacing w:line="360" w:lineRule="auto"/>
              <w:jc w:val="center"/>
            </w:pPr>
            <w:r>
              <w:t>EBSY</w:t>
            </w:r>
          </w:p>
        </w:tc>
        <w:tc>
          <w:tcPr>
            <w:tcW w:w="2337" w:type="dxa"/>
            <w:vAlign w:val="center"/>
          </w:tcPr>
          <w:p w14:paraId="7E464C99" w14:textId="77777777" w:rsidR="00D8645B" w:rsidRDefault="00D8645B" w:rsidP="00664D46">
            <w:pPr>
              <w:spacing w:line="360" w:lineRule="auto"/>
              <w:jc w:val="center"/>
            </w:pPr>
            <m:oMathPara>
              <m:oMath>
                <m:r>
                  <w:rPr>
                    <w:rFonts w:ascii="Cambria Math" w:hAnsi="Cambria Math"/>
                  </w:rPr>
                  <m:t>1.13</m:t>
                </m:r>
              </m:oMath>
            </m:oMathPara>
          </w:p>
        </w:tc>
        <w:tc>
          <w:tcPr>
            <w:tcW w:w="2338" w:type="dxa"/>
            <w:vAlign w:val="center"/>
          </w:tcPr>
          <w:p w14:paraId="69F58822" w14:textId="77777777" w:rsidR="00D8645B" w:rsidRDefault="00D8645B" w:rsidP="00664D46">
            <w:pPr>
              <w:spacing w:line="360" w:lineRule="auto"/>
              <w:jc w:val="center"/>
            </w:pPr>
            <m:oMathPara>
              <m:oMath>
                <m:r>
                  <w:rPr>
                    <w:rFonts w:ascii="Cambria Math" w:hAnsi="Cambria Math"/>
                  </w:rPr>
                  <m:t>1.12</m:t>
                </m:r>
              </m:oMath>
            </m:oMathPara>
          </w:p>
        </w:tc>
        <w:tc>
          <w:tcPr>
            <w:tcW w:w="2338" w:type="dxa"/>
            <w:vAlign w:val="center"/>
          </w:tcPr>
          <w:p w14:paraId="0B74789D" w14:textId="77777777" w:rsidR="00D8645B" w:rsidRDefault="00D8645B" w:rsidP="00664D46">
            <w:pPr>
              <w:spacing w:line="360" w:lineRule="auto"/>
              <w:jc w:val="center"/>
            </w:pPr>
            <m:oMathPara>
              <m:oMath>
                <m:r>
                  <w:rPr>
                    <w:rFonts w:ascii="Cambria Math" w:hAnsi="Cambria Math"/>
                  </w:rPr>
                  <m:t>1.12</m:t>
                </m:r>
              </m:oMath>
            </m:oMathPara>
          </w:p>
        </w:tc>
      </w:tr>
      <w:tr w:rsidR="00D8645B" w14:paraId="6DD565BD" w14:textId="77777777" w:rsidTr="00664D46">
        <w:tc>
          <w:tcPr>
            <w:tcW w:w="2337" w:type="dxa"/>
            <w:vAlign w:val="center"/>
          </w:tcPr>
          <w:p w14:paraId="5E0079F4" w14:textId="77777777" w:rsidR="00D8645B" w:rsidRDefault="00D8645B" w:rsidP="00664D46">
            <w:pPr>
              <w:spacing w:line="360" w:lineRule="auto"/>
              <w:jc w:val="center"/>
            </w:pPr>
            <w:r>
              <w:lastRenderedPageBreak/>
              <w:t>ECVG</w:t>
            </w:r>
          </w:p>
        </w:tc>
        <w:tc>
          <w:tcPr>
            <w:tcW w:w="2337" w:type="dxa"/>
            <w:vAlign w:val="center"/>
          </w:tcPr>
          <w:p w14:paraId="535378E1" w14:textId="77777777" w:rsidR="00D8645B" w:rsidRDefault="00D8645B" w:rsidP="00664D46">
            <w:pPr>
              <w:spacing w:line="360" w:lineRule="auto"/>
              <w:jc w:val="center"/>
            </w:pPr>
            <m:oMathPara>
              <m:oMath>
                <m:r>
                  <w:rPr>
                    <w:rFonts w:ascii="Cambria Math" w:hAnsi="Cambria Math"/>
                  </w:rPr>
                  <m:t>1.13</m:t>
                </m:r>
              </m:oMath>
            </m:oMathPara>
          </w:p>
        </w:tc>
        <w:tc>
          <w:tcPr>
            <w:tcW w:w="2338" w:type="dxa"/>
            <w:vAlign w:val="center"/>
          </w:tcPr>
          <w:p w14:paraId="44513784" w14:textId="77777777" w:rsidR="00D8645B" w:rsidRDefault="00D8645B" w:rsidP="00664D46">
            <w:pPr>
              <w:spacing w:line="360" w:lineRule="auto"/>
              <w:jc w:val="center"/>
            </w:pPr>
            <m:oMathPara>
              <m:oMath>
                <m:r>
                  <w:rPr>
                    <w:rFonts w:ascii="Cambria Math" w:hAnsi="Cambria Math"/>
                  </w:rPr>
                  <m:t>1.12</m:t>
                </m:r>
              </m:oMath>
            </m:oMathPara>
          </w:p>
        </w:tc>
        <w:tc>
          <w:tcPr>
            <w:tcW w:w="2338" w:type="dxa"/>
            <w:vAlign w:val="center"/>
          </w:tcPr>
          <w:p w14:paraId="7ACB8C61" w14:textId="77777777" w:rsidR="00D8645B" w:rsidRDefault="00D8645B" w:rsidP="00664D46">
            <w:pPr>
              <w:spacing w:line="360" w:lineRule="auto"/>
              <w:jc w:val="center"/>
            </w:pPr>
            <m:oMathPara>
              <m:oMath>
                <m:r>
                  <w:rPr>
                    <w:rFonts w:ascii="Cambria Math" w:hAnsi="Cambria Math"/>
                  </w:rPr>
                  <m:t>1.12</m:t>
                </m:r>
              </m:oMath>
            </m:oMathPara>
          </w:p>
        </w:tc>
      </w:tr>
      <w:tr w:rsidR="00D8645B" w14:paraId="11BE0DD2" w14:textId="77777777" w:rsidTr="00664D46">
        <w:tc>
          <w:tcPr>
            <w:tcW w:w="2337" w:type="dxa"/>
            <w:vAlign w:val="center"/>
          </w:tcPr>
          <w:p w14:paraId="2EACF148" w14:textId="77777777" w:rsidR="00D8645B" w:rsidRDefault="00D8645B" w:rsidP="00664D46">
            <w:pPr>
              <w:spacing w:line="360" w:lineRule="auto"/>
              <w:jc w:val="center"/>
            </w:pPr>
            <w:r>
              <w:t>EQDL</w:t>
            </w:r>
          </w:p>
        </w:tc>
        <w:tc>
          <w:tcPr>
            <w:tcW w:w="2337" w:type="dxa"/>
            <w:vAlign w:val="center"/>
          </w:tcPr>
          <w:p w14:paraId="3BB1271B" w14:textId="77777777" w:rsidR="00D8645B" w:rsidRDefault="00D8645B" w:rsidP="00664D46">
            <w:pPr>
              <w:spacing w:line="360" w:lineRule="auto"/>
              <w:jc w:val="center"/>
            </w:pPr>
            <m:oMathPara>
              <m:oMath>
                <m:r>
                  <w:rPr>
                    <w:rFonts w:ascii="Cambria Math" w:hAnsi="Cambria Math"/>
                  </w:rPr>
                  <m:t>1.13</m:t>
                </m:r>
              </m:oMath>
            </m:oMathPara>
          </w:p>
        </w:tc>
        <w:tc>
          <w:tcPr>
            <w:tcW w:w="2338" w:type="dxa"/>
            <w:vAlign w:val="center"/>
          </w:tcPr>
          <w:p w14:paraId="16360962" w14:textId="77777777" w:rsidR="00D8645B" w:rsidRDefault="00D8645B" w:rsidP="00664D46">
            <w:pPr>
              <w:spacing w:line="360" w:lineRule="auto"/>
              <w:jc w:val="center"/>
            </w:pPr>
            <m:oMathPara>
              <m:oMath>
                <m:r>
                  <w:rPr>
                    <w:rFonts w:ascii="Cambria Math" w:hAnsi="Cambria Math"/>
                  </w:rPr>
                  <m:t>1.12</m:t>
                </m:r>
              </m:oMath>
            </m:oMathPara>
          </w:p>
        </w:tc>
        <w:tc>
          <w:tcPr>
            <w:tcW w:w="2338" w:type="dxa"/>
            <w:vAlign w:val="center"/>
          </w:tcPr>
          <w:p w14:paraId="3212AE86" w14:textId="77777777" w:rsidR="00D8645B" w:rsidRDefault="00D8645B" w:rsidP="00664D46">
            <w:pPr>
              <w:spacing w:line="360" w:lineRule="auto"/>
              <w:jc w:val="center"/>
            </w:pPr>
            <m:oMathPara>
              <m:oMath>
                <m:r>
                  <w:rPr>
                    <w:rFonts w:ascii="Cambria Math" w:hAnsi="Cambria Math"/>
                  </w:rPr>
                  <m:t>1.12</m:t>
                </m:r>
              </m:oMath>
            </m:oMathPara>
          </w:p>
        </w:tc>
      </w:tr>
      <w:tr w:rsidR="00D8645B" w14:paraId="53951F5A" w14:textId="77777777" w:rsidTr="00664D46">
        <w:tc>
          <w:tcPr>
            <w:tcW w:w="2337" w:type="dxa"/>
            <w:vAlign w:val="center"/>
          </w:tcPr>
          <w:p w14:paraId="4324DB2D" w14:textId="77777777" w:rsidR="00D8645B" w:rsidRDefault="00D8645B" w:rsidP="00664D46">
            <w:pPr>
              <w:spacing w:line="360" w:lineRule="auto"/>
              <w:jc w:val="center"/>
            </w:pPr>
            <w:r>
              <w:t>EQVG</w:t>
            </w:r>
          </w:p>
        </w:tc>
        <w:tc>
          <w:tcPr>
            <w:tcW w:w="2337" w:type="dxa"/>
            <w:vAlign w:val="center"/>
          </w:tcPr>
          <w:p w14:paraId="77F9156D" w14:textId="77777777" w:rsidR="00D8645B" w:rsidRDefault="00D8645B" w:rsidP="00664D46">
            <w:pPr>
              <w:spacing w:line="360" w:lineRule="auto"/>
              <w:jc w:val="center"/>
            </w:pPr>
            <m:oMathPara>
              <m:oMath>
                <m:r>
                  <w:rPr>
                    <w:rFonts w:ascii="Cambria Math" w:hAnsi="Cambria Math"/>
                  </w:rPr>
                  <m:t>0.94</m:t>
                </m:r>
              </m:oMath>
            </m:oMathPara>
          </w:p>
        </w:tc>
        <w:tc>
          <w:tcPr>
            <w:tcW w:w="2338" w:type="dxa"/>
            <w:vAlign w:val="center"/>
          </w:tcPr>
          <w:p w14:paraId="29B7ECC3" w14:textId="77777777" w:rsidR="00D8645B" w:rsidRDefault="00D8645B" w:rsidP="00664D46">
            <w:pPr>
              <w:spacing w:line="360" w:lineRule="auto"/>
              <w:jc w:val="center"/>
            </w:pPr>
            <m:oMathPara>
              <m:oMath>
                <m:r>
                  <w:rPr>
                    <w:rFonts w:ascii="Cambria Math" w:hAnsi="Cambria Math"/>
                  </w:rPr>
                  <m:t>0.91</m:t>
                </m:r>
              </m:oMath>
            </m:oMathPara>
          </w:p>
        </w:tc>
        <w:tc>
          <w:tcPr>
            <w:tcW w:w="2338" w:type="dxa"/>
            <w:vAlign w:val="center"/>
          </w:tcPr>
          <w:p w14:paraId="1002B98D" w14:textId="77777777" w:rsidR="00D8645B" w:rsidRDefault="00D8645B" w:rsidP="00664D46">
            <w:pPr>
              <w:spacing w:line="360" w:lineRule="auto"/>
              <w:jc w:val="center"/>
            </w:pPr>
            <m:oMathPara>
              <m:oMath>
                <m:r>
                  <w:rPr>
                    <w:rFonts w:ascii="Cambria Math" w:hAnsi="Cambria Math"/>
                  </w:rPr>
                  <m:t>0.93</m:t>
                </m:r>
              </m:oMath>
            </m:oMathPara>
          </w:p>
        </w:tc>
      </w:tr>
      <w:tr w:rsidR="00D8645B" w14:paraId="7790EBAE" w14:textId="77777777" w:rsidTr="00664D46">
        <w:tc>
          <w:tcPr>
            <w:tcW w:w="2337" w:type="dxa"/>
            <w:vAlign w:val="center"/>
          </w:tcPr>
          <w:p w14:paraId="1AE0A454" w14:textId="77777777" w:rsidR="00D8645B" w:rsidRDefault="00D8645B" w:rsidP="00664D46">
            <w:pPr>
              <w:spacing w:line="360" w:lineRule="auto"/>
              <w:jc w:val="center"/>
            </w:pPr>
            <w:r>
              <w:t>FXDL</w:t>
            </w:r>
          </w:p>
        </w:tc>
        <w:tc>
          <w:tcPr>
            <w:tcW w:w="2337" w:type="dxa"/>
            <w:vAlign w:val="center"/>
          </w:tcPr>
          <w:p w14:paraId="370CDBD2" w14:textId="77777777" w:rsidR="00D8645B" w:rsidRDefault="00D8645B" w:rsidP="00664D46">
            <w:pPr>
              <w:spacing w:line="360" w:lineRule="auto"/>
              <w:jc w:val="center"/>
            </w:pPr>
            <m:oMathPara>
              <m:oMath>
                <m:r>
                  <w:rPr>
                    <w:rFonts w:ascii="Cambria Math" w:hAnsi="Cambria Math"/>
                  </w:rPr>
                  <m:t>0.99</m:t>
                </m:r>
              </m:oMath>
            </m:oMathPara>
          </w:p>
        </w:tc>
        <w:tc>
          <w:tcPr>
            <w:tcW w:w="2338" w:type="dxa"/>
            <w:vAlign w:val="center"/>
          </w:tcPr>
          <w:p w14:paraId="0359CEB3" w14:textId="77777777" w:rsidR="00D8645B" w:rsidRDefault="00D8645B" w:rsidP="00664D46">
            <w:pPr>
              <w:spacing w:line="360" w:lineRule="auto"/>
              <w:jc w:val="center"/>
            </w:pPr>
            <m:oMathPara>
              <m:oMath>
                <m:r>
                  <w:rPr>
                    <w:rFonts w:ascii="Cambria Math" w:hAnsi="Cambria Math"/>
                  </w:rPr>
                  <m:t>0.87</m:t>
                </m:r>
              </m:oMath>
            </m:oMathPara>
          </w:p>
        </w:tc>
        <w:tc>
          <w:tcPr>
            <w:tcW w:w="2338" w:type="dxa"/>
            <w:vAlign w:val="center"/>
          </w:tcPr>
          <w:p w14:paraId="275B607A" w14:textId="77777777" w:rsidR="00D8645B" w:rsidRDefault="00D8645B" w:rsidP="00664D46">
            <w:pPr>
              <w:spacing w:line="360" w:lineRule="auto"/>
              <w:jc w:val="center"/>
            </w:pPr>
            <m:oMathPara>
              <m:oMath>
                <m:r>
                  <w:rPr>
                    <w:rFonts w:ascii="Cambria Math" w:hAnsi="Cambria Math"/>
                  </w:rPr>
                  <m:t>0.87</m:t>
                </m:r>
              </m:oMath>
            </m:oMathPara>
          </w:p>
        </w:tc>
      </w:tr>
      <w:tr w:rsidR="00D8645B" w14:paraId="1BD7092E" w14:textId="77777777" w:rsidTr="00664D46">
        <w:tc>
          <w:tcPr>
            <w:tcW w:w="2337" w:type="dxa"/>
            <w:vAlign w:val="center"/>
          </w:tcPr>
          <w:p w14:paraId="0DAE575E" w14:textId="77777777" w:rsidR="00D8645B" w:rsidRDefault="00D8645B" w:rsidP="00664D46">
            <w:pPr>
              <w:spacing w:line="360" w:lineRule="auto"/>
              <w:jc w:val="center"/>
            </w:pPr>
            <w:r>
              <w:t>FXRR</w:t>
            </w:r>
          </w:p>
        </w:tc>
        <w:tc>
          <w:tcPr>
            <w:tcW w:w="2337" w:type="dxa"/>
            <w:vAlign w:val="center"/>
          </w:tcPr>
          <w:p w14:paraId="745A6D03" w14:textId="77777777" w:rsidR="00D8645B" w:rsidRDefault="00D8645B" w:rsidP="00664D46">
            <w:pPr>
              <w:spacing w:line="360" w:lineRule="auto"/>
              <w:jc w:val="center"/>
            </w:pPr>
            <m:oMathPara>
              <m:oMath>
                <m:r>
                  <w:rPr>
                    <w:rFonts w:ascii="Cambria Math" w:hAnsi="Cambria Math"/>
                  </w:rPr>
                  <m:t>0.83</m:t>
                </m:r>
              </m:oMath>
            </m:oMathPara>
          </w:p>
        </w:tc>
        <w:tc>
          <w:tcPr>
            <w:tcW w:w="2338" w:type="dxa"/>
            <w:vAlign w:val="center"/>
          </w:tcPr>
          <w:p w14:paraId="4C151150" w14:textId="77777777" w:rsidR="00D8645B" w:rsidRDefault="00D8645B" w:rsidP="00664D46">
            <w:pPr>
              <w:spacing w:line="360" w:lineRule="auto"/>
              <w:jc w:val="center"/>
            </w:pPr>
            <m:oMathPara>
              <m:oMath>
                <m:r>
                  <w:rPr>
                    <w:rFonts w:ascii="Cambria Math" w:hAnsi="Cambria Math"/>
                  </w:rPr>
                  <m:t>0.82</m:t>
                </m:r>
              </m:oMath>
            </m:oMathPara>
          </w:p>
        </w:tc>
        <w:tc>
          <w:tcPr>
            <w:tcW w:w="2338" w:type="dxa"/>
            <w:vAlign w:val="center"/>
          </w:tcPr>
          <w:p w14:paraId="5F460267" w14:textId="77777777" w:rsidR="00D8645B" w:rsidRDefault="00D8645B" w:rsidP="00664D46">
            <w:pPr>
              <w:spacing w:line="360" w:lineRule="auto"/>
              <w:jc w:val="center"/>
            </w:pPr>
            <m:oMathPara>
              <m:oMath>
                <m:r>
                  <w:rPr>
                    <w:rFonts w:ascii="Cambria Math" w:hAnsi="Cambria Math"/>
                  </w:rPr>
                  <m:t>0.82</m:t>
                </m:r>
              </m:oMath>
            </m:oMathPara>
          </w:p>
        </w:tc>
      </w:tr>
      <w:tr w:rsidR="00D8645B" w14:paraId="5A3916B7" w14:textId="77777777" w:rsidTr="00664D46">
        <w:tc>
          <w:tcPr>
            <w:tcW w:w="2337" w:type="dxa"/>
            <w:vAlign w:val="center"/>
          </w:tcPr>
          <w:p w14:paraId="2387E26F" w14:textId="77777777" w:rsidR="00D8645B" w:rsidRDefault="00D8645B" w:rsidP="00664D46">
            <w:pPr>
              <w:spacing w:line="360" w:lineRule="auto"/>
              <w:jc w:val="center"/>
            </w:pPr>
            <w:r>
              <w:t>FXST</w:t>
            </w:r>
          </w:p>
        </w:tc>
        <w:tc>
          <w:tcPr>
            <w:tcW w:w="2337" w:type="dxa"/>
            <w:vAlign w:val="center"/>
          </w:tcPr>
          <w:p w14:paraId="2F06830F" w14:textId="77777777" w:rsidR="00D8645B" w:rsidRDefault="00D8645B" w:rsidP="00664D46">
            <w:pPr>
              <w:spacing w:line="360" w:lineRule="auto"/>
              <w:jc w:val="center"/>
            </w:pPr>
            <m:oMathPara>
              <m:oMath>
                <m:r>
                  <w:rPr>
                    <w:rFonts w:ascii="Cambria Math" w:hAnsi="Cambria Math"/>
                  </w:rPr>
                  <m:t>0.83</m:t>
                </m:r>
              </m:oMath>
            </m:oMathPara>
          </w:p>
        </w:tc>
        <w:tc>
          <w:tcPr>
            <w:tcW w:w="2338" w:type="dxa"/>
            <w:vAlign w:val="center"/>
          </w:tcPr>
          <w:p w14:paraId="27DE9BE9" w14:textId="77777777" w:rsidR="00D8645B" w:rsidRDefault="00D8645B" w:rsidP="00664D46">
            <w:pPr>
              <w:spacing w:line="360" w:lineRule="auto"/>
              <w:jc w:val="center"/>
            </w:pPr>
            <m:oMathPara>
              <m:oMath>
                <m:r>
                  <w:rPr>
                    <w:rFonts w:ascii="Cambria Math" w:hAnsi="Cambria Math"/>
                  </w:rPr>
                  <m:t>0.82</m:t>
                </m:r>
              </m:oMath>
            </m:oMathPara>
          </w:p>
        </w:tc>
        <w:tc>
          <w:tcPr>
            <w:tcW w:w="2338" w:type="dxa"/>
            <w:vAlign w:val="center"/>
          </w:tcPr>
          <w:p w14:paraId="220FFBBC" w14:textId="77777777" w:rsidR="00D8645B" w:rsidRDefault="00D8645B" w:rsidP="00664D46">
            <w:pPr>
              <w:spacing w:line="360" w:lineRule="auto"/>
              <w:jc w:val="center"/>
            </w:pPr>
            <m:oMathPara>
              <m:oMath>
                <m:r>
                  <w:rPr>
                    <w:rFonts w:ascii="Cambria Math" w:hAnsi="Cambria Math"/>
                  </w:rPr>
                  <m:t>0.82</m:t>
                </m:r>
              </m:oMath>
            </m:oMathPara>
          </w:p>
        </w:tc>
      </w:tr>
      <w:tr w:rsidR="00D8645B" w14:paraId="15F3BE78" w14:textId="77777777" w:rsidTr="00664D46">
        <w:tc>
          <w:tcPr>
            <w:tcW w:w="2337" w:type="dxa"/>
            <w:vAlign w:val="center"/>
          </w:tcPr>
          <w:p w14:paraId="5B2945E4" w14:textId="77777777" w:rsidR="00D8645B" w:rsidRDefault="00D8645B" w:rsidP="00664D46">
            <w:pPr>
              <w:spacing w:line="360" w:lineRule="auto"/>
              <w:jc w:val="center"/>
            </w:pPr>
            <w:r>
              <w:t>FXVG</w:t>
            </w:r>
          </w:p>
        </w:tc>
        <w:tc>
          <w:tcPr>
            <w:tcW w:w="2337" w:type="dxa"/>
            <w:vAlign w:val="center"/>
          </w:tcPr>
          <w:p w14:paraId="596B2CBE" w14:textId="77777777" w:rsidR="00D8645B" w:rsidRDefault="00D8645B" w:rsidP="00664D46">
            <w:pPr>
              <w:spacing w:line="360" w:lineRule="auto"/>
              <w:jc w:val="center"/>
            </w:pPr>
            <m:oMathPara>
              <m:oMath>
                <m:r>
                  <w:rPr>
                    <w:rFonts w:ascii="Cambria Math" w:hAnsi="Cambria Math"/>
                  </w:rPr>
                  <m:t>0.83</m:t>
                </m:r>
              </m:oMath>
            </m:oMathPara>
          </w:p>
        </w:tc>
        <w:tc>
          <w:tcPr>
            <w:tcW w:w="2338" w:type="dxa"/>
            <w:vAlign w:val="center"/>
          </w:tcPr>
          <w:p w14:paraId="7FA06AF5" w14:textId="77777777" w:rsidR="00D8645B" w:rsidRDefault="00D8645B" w:rsidP="00664D46">
            <w:pPr>
              <w:spacing w:line="360" w:lineRule="auto"/>
              <w:jc w:val="center"/>
            </w:pPr>
            <m:oMathPara>
              <m:oMath>
                <m:r>
                  <w:rPr>
                    <w:rFonts w:ascii="Cambria Math" w:hAnsi="Cambria Math"/>
                  </w:rPr>
                  <m:t>0.82</m:t>
                </m:r>
              </m:oMath>
            </m:oMathPara>
          </w:p>
        </w:tc>
        <w:tc>
          <w:tcPr>
            <w:tcW w:w="2338" w:type="dxa"/>
            <w:vAlign w:val="center"/>
          </w:tcPr>
          <w:p w14:paraId="48343576" w14:textId="77777777" w:rsidR="00D8645B" w:rsidRDefault="00D8645B" w:rsidP="00664D46">
            <w:pPr>
              <w:spacing w:line="360" w:lineRule="auto"/>
              <w:jc w:val="center"/>
            </w:pPr>
            <m:oMathPara>
              <m:oMath>
                <m:r>
                  <w:rPr>
                    <w:rFonts w:ascii="Cambria Math" w:hAnsi="Cambria Math"/>
                  </w:rPr>
                  <m:t>0.82</m:t>
                </m:r>
              </m:oMath>
            </m:oMathPara>
          </w:p>
        </w:tc>
      </w:tr>
      <w:tr w:rsidR="00D8645B" w14:paraId="5A4F2958" w14:textId="77777777" w:rsidTr="00664D46">
        <w:tc>
          <w:tcPr>
            <w:tcW w:w="2337" w:type="dxa"/>
            <w:vAlign w:val="center"/>
          </w:tcPr>
          <w:p w14:paraId="42DEC9D3" w14:textId="77777777" w:rsidR="00D8645B" w:rsidRDefault="00D8645B" w:rsidP="00664D46">
            <w:pPr>
              <w:spacing w:line="360" w:lineRule="auto"/>
              <w:jc w:val="center"/>
            </w:pPr>
            <w:r>
              <w:t>IDIO</w:t>
            </w:r>
          </w:p>
        </w:tc>
        <w:tc>
          <w:tcPr>
            <w:tcW w:w="2337" w:type="dxa"/>
            <w:vAlign w:val="center"/>
          </w:tcPr>
          <w:p w14:paraId="77F18162" w14:textId="77777777" w:rsidR="00D8645B" w:rsidRDefault="00D8645B" w:rsidP="00664D46">
            <w:pPr>
              <w:spacing w:line="360" w:lineRule="auto"/>
              <w:jc w:val="center"/>
            </w:pPr>
            <m:oMathPara>
              <m:oMath>
                <m:r>
                  <w:rPr>
                    <w:rFonts w:ascii="Cambria Math" w:hAnsi="Cambria Math"/>
                  </w:rPr>
                  <m:t>1.04</m:t>
                </m:r>
              </m:oMath>
            </m:oMathPara>
          </w:p>
        </w:tc>
        <w:tc>
          <w:tcPr>
            <w:tcW w:w="2338" w:type="dxa"/>
            <w:vAlign w:val="center"/>
          </w:tcPr>
          <w:p w14:paraId="06FD95B9" w14:textId="77777777" w:rsidR="00D8645B" w:rsidRDefault="00D8645B" w:rsidP="00664D46">
            <w:pPr>
              <w:spacing w:line="360" w:lineRule="auto"/>
              <w:jc w:val="center"/>
            </w:pPr>
            <m:oMathPara>
              <m:oMath>
                <m:r>
                  <w:rPr>
                    <w:rFonts w:ascii="Cambria Math" w:hAnsi="Cambria Math"/>
                  </w:rPr>
                  <m:t>0.99</m:t>
                </m:r>
              </m:oMath>
            </m:oMathPara>
          </w:p>
        </w:tc>
        <w:tc>
          <w:tcPr>
            <w:tcW w:w="2338" w:type="dxa"/>
            <w:vAlign w:val="center"/>
          </w:tcPr>
          <w:p w14:paraId="49659D45" w14:textId="77777777" w:rsidR="00D8645B" w:rsidRDefault="00D8645B" w:rsidP="00664D46">
            <w:pPr>
              <w:spacing w:line="360" w:lineRule="auto"/>
              <w:jc w:val="center"/>
            </w:pPr>
            <m:oMathPara>
              <m:oMath>
                <m:r>
                  <w:rPr>
                    <w:rFonts w:ascii="Cambria Math" w:hAnsi="Cambria Math"/>
                  </w:rPr>
                  <m:t>0.95</m:t>
                </m:r>
              </m:oMath>
            </m:oMathPara>
          </w:p>
        </w:tc>
      </w:tr>
      <w:tr w:rsidR="00D8645B" w14:paraId="6AA32E76" w14:textId="77777777" w:rsidTr="00664D46">
        <w:tc>
          <w:tcPr>
            <w:tcW w:w="2337" w:type="dxa"/>
            <w:vAlign w:val="center"/>
          </w:tcPr>
          <w:p w14:paraId="29F20789" w14:textId="77777777" w:rsidR="00D8645B" w:rsidRDefault="00D8645B" w:rsidP="00664D46">
            <w:pPr>
              <w:spacing w:line="360" w:lineRule="auto"/>
              <w:jc w:val="center"/>
            </w:pPr>
            <w:r>
              <w:t>IRDL</w:t>
            </w:r>
          </w:p>
        </w:tc>
        <w:tc>
          <w:tcPr>
            <w:tcW w:w="2337" w:type="dxa"/>
            <w:vAlign w:val="center"/>
          </w:tcPr>
          <w:p w14:paraId="4517E232" w14:textId="77777777" w:rsidR="00D8645B" w:rsidRDefault="00D8645B" w:rsidP="00664D46">
            <w:pPr>
              <w:spacing w:line="360" w:lineRule="auto"/>
              <w:jc w:val="center"/>
            </w:pPr>
            <m:oMathPara>
              <m:oMath>
                <m:r>
                  <w:rPr>
                    <w:rFonts w:ascii="Cambria Math" w:hAnsi="Cambria Math"/>
                  </w:rPr>
                  <m:t>1.24</m:t>
                </m:r>
              </m:oMath>
            </m:oMathPara>
          </w:p>
        </w:tc>
        <w:tc>
          <w:tcPr>
            <w:tcW w:w="2338" w:type="dxa"/>
            <w:vAlign w:val="center"/>
          </w:tcPr>
          <w:p w14:paraId="404D6052" w14:textId="77777777" w:rsidR="00D8645B" w:rsidRDefault="00D8645B" w:rsidP="00664D46">
            <w:pPr>
              <w:spacing w:line="360" w:lineRule="auto"/>
              <w:jc w:val="center"/>
            </w:pPr>
            <m:oMathPara>
              <m:oMath>
                <m:r>
                  <w:rPr>
                    <w:rFonts w:ascii="Cambria Math" w:hAnsi="Cambria Math"/>
                  </w:rPr>
                  <m:t>1.24</m:t>
                </m:r>
              </m:oMath>
            </m:oMathPara>
          </w:p>
        </w:tc>
        <w:tc>
          <w:tcPr>
            <w:tcW w:w="2338" w:type="dxa"/>
            <w:vAlign w:val="center"/>
          </w:tcPr>
          <w:p w14:paraId="7375008E" w14:textId="77777777" w:rsidR="00D8645B" w:rsidRDefault="00D8645B" w:rsidP="00664D46">
            <w:pPr>
              <w:spacing w:line="360" w:lineRule="auto"/>
              <w:jc w:val="center"/>
            </w:pPr>
            <m:oMathPara>
              <m:oMath>
                <m:r>
                  <w:rPr>
                    <w:rFonts w:ascii="Cambria Math" w:hAnsi="Cambria Math"/>
                  </w:rPr>
                  <m:t>1.24</m:t>
                </m:r>
              </m:oMath>
            </m:oMathPara>
          </w:p>
        </w:tc>
      </w:tr>
      <w:tr w:rsidR="00D8645B" w14:paraId="04264402" w14:textId="77777777" w:rsidTr="00664D46">
        <w:tc>
          <w:tcPr>
            <w:tcW w:w="2337" w:type="dxa"/>
            <w:vAlign w:val="center"/>
          </w:tcPr>
          <w:p w14:paraId="113A4DD8" w14:textId="77777777" w:rsidR="00D8645B" w:rsidRDefault="00D8645B" w:rsidP="00664D46">
            <w:pPr>
              <w:spacing w:line="360" w:lineRule="auto"/>
              <w:jc w:val="center"/>
            </w:pPr>
            <w:r>
              <w:t>IRVG</w:t>
            </w:r>
          </w:p>
        </w:tc>
        <w:tc>
          <w:tcPr>
            <w:tcW w:w="2337" w:type="dxa"/>
            <w:vAlign w:val="center"/>
          </w:tcPr>
          <w:p w14:paraId="04C91D4E" w14:textId="77777777" w:rsidR="00D8645B" w:rsidRDefault="00D8645B" w:rsidP="00664D46">
            <w:pPr>
              <w:spacing w:line="360" w:lineRule="auto"/>
              <w:jc w:val="center"/>
            </w:pPr>
            <m:oMathPara>
              <m:oMath>
                <m:r>
                  <w:rPr>
                    <w:rFonts w:ascii="Cambria Math" w:hAnsi="Cambria Math"/>
                  </w:rPr>
                  <m:t>1.24</m:t>
                </m:r>
              </m:oMath>
            </m:oMathPara>
          </w:p>
        </w:tc>
        <w:tc>
          <w:tcPr>
            <w:tcW w:w="2338" w:type="dxa"/>
            <w:vAlign w:val="center"/>
          </w:tcPr>
          <w:p w14:paraId="3275F7E7" w14:textId="77777777" w:rsidR="00D8645B" w:rsidRDefault="00D8645B" w:rsidP="00664D46">
            <w:pPr>
              <w:spacing w:line="360" w:lineRule="auto"/>
              <w:jc w:val="center"/>
            </w:pPr>
            <m:oMathPara>
              <m:oMath>
                <m:r>
                  <w:rPr>
                    <w:rFonts w:ascii="Cambria Math" w:hAnsi="Cambria Math"/>
                  </w:rPr>
                  <m:t>1.24</m:t>
                </m:r>
              </m:oMath>
            </m:oMathPara>
          </w:p>
        </w:tc>
        <w:tc>
          <w:tcPr>
            <w:tcW w:w="2338" w:type="dxa"/>
            <w:vAlign w:val="center"/>
          </w:tcPr>
          <w:p w14:paraId="72B42617" w14:textId="77777777" w:rsidR="00D8645B" w:rsidRDefault="00D8645B" w:rsidP="00664D46">
            <w:pPr>
              <w:spacing w:line="360" w:lineRule="auto"/>
              <w:jc w:val="center"/>
            </w:pPr>
            <m:oMathPara>
              <m:oMath>
                <m:r>
                  <w:rPr>
                    <w:rFonts w:ascii="Cambria Math" w:hAnsi="Cambria Math"/>
                  </w:rPr>
                  <m:t>1.24</m:t>
                </m:r>
              </m:oMath>
            </m:oMathPara>
          </w:p>
        </w:tc>
      </w:tr>
      <w:tr w:rsidR="00D8645B" w14:paraId="05619A76" w14:textId="77777777" w:rsidTr="00664D46">
        <w:tc>
          <w:tcPr>
            <w:tcW w:w="2337" w:type="dxa"/>
            <w:vAlign w:val="center"/>
          </w:tcPr>
          <w:p w14:paraId="4B0BB9BF" w14:textId="77777777" w:rsidR="00D8645B" w:rsidRDefault="00D8645B" w:rsidP="00664D46">
            <w:pPr>
              <w:spacing w:line="360" w:lineRule="auto"/>
              <w:jc w:val="center"/>
            </w:pPr>
            <w:r>
              <w:t>ISDL</w:t>
            </w:r>
          </w:p>
        </w:tc>
        <w:tc>
          <w:tcPr>
            <w:tcW w:w="2337" w:type="dxa"/>
            <w:vAlign w:val="center"/>
          </w:tcPr>
          <w:p w14:paraId="1BE1B6FF" w14:textId="77777777" w:rsidR="00D8645B" w:rsidRDefault="00D8645B" w:rsidP="00664D46">
            <w:pPr>
              <w:spacing w:line="360" w:lineRule="auto"/>
              <w:jc w:val="center"/>
            </w:pPr>
            <m:oMathPara>
              <m:oMath>
                <m:r>
                  <w:rPr>
                    <w:rFonts w:ascii="Cambria Math" w:hAnsi="Cambria Math"/>
                  </w:rPr>
                  <m:t>1.07</m:t>
                </m:r>
              </m:oMath>
            </m:oMathPara>
          </w:p>
        </w:tc>
        <w:tc>
          <w:tcPr>
            <w:tcW w:w="2338" w:type="dxa"/>
            <w:vAlign w:val="center"/>
          </w:tcPr>
          <w:p w14:paraId="3D36099D" w14:textId="77777777" w:rsidR="00D8645B" w:rsidRDefault="00D8645B" w:rsidP="00664D46">
            <w:pPr>
              <w:spacing w:line="360" w:lineRule="auto"/>
              <w:jc w:val="center"/>
            </w:pPr>
            <m:oMathPara>
              <m:oMath>
                <m:r>
                  <w:rPr>
                    <w:rFonts w:ascii="Cambria Math" w:hAnsi="Cambria Math"/>
                  </w:rPr>
                  <m:t>0.99</m:t>
                </m:r>
              </m:oMath>
            </m:oMathPara>
          </w:p>
        </w:tc>
        <w:tc>
          <w:tcPr>
            <w:tcW w:w="2338" w:type="dxa"/>
            <w:vAlign w:val="center"/>
          </w:tcPr>
          <w:p w14:paraId="5D1B8F9E" w14:textId="77777777" w:rsidR="00D8645B" w:rsidRDefault="00D8645B" w:rsidP="00664D46">
            <w:pPr>
              <w:spacing w:line="360" w:lineRule="auto"/>
              <w:jc w:val="center"/>
            </w:pPr>
            <m:oMathPara>
              <m:oMath>
                <m:r>
                  <w:rPr>
                    <w:rFonts w:ascii="Cambria Math" w:hAnsi="Cambria Math"/>
                  </w:rPr>
                  <m:t>0.95</m:t>
                </m:r>
              </m:oMath>
            </m:oMathPara>
          </w:p>
        </w:tc>
      </w:tr>
      <w:tr w:rsidR="00D8645B" w14:paraId="1C994D40" w14:textId="77777777" w:rsidTr="00664D46">
        <w:tc>
          <w:tcPr>
            <w:tcW w:w="2337" w:type="dxa"/>
            <w:vAlign w:val="center"/>
          </w:tcPr>
          <w:p w14:paraId="0C6F503A" w14:textId="77777777" w:rsidR="00D8645B" w:rsidRDefault="00D8645B" w:rsidP="00664D46">
            <w:pPr>
              <w:spacing w:line="360" w:lineRule="auto"/>
              <w:jc w:val="center"/>
            </w:pPr>
            <w:r>
              <w:t>LODL</w:t>
            </w:r>
          </w:p>
        </w:tc>
        <w:tc>
          <w:tcPr>
            <w:tcW w:w="2337" w:type="dxa"/>
            <w:vAlign w:val="center"/>
          </w:tcPr>
          <w:p w14:paraId="25656CC1" w14:textId="77777777" w:rsidR="00D8645B" w:rsidRDefault="00D8645B" w:rsidP="00664D46">
            <w:pPr>
              <w:spacing w:line="360" w:lineRule="auto"/>
              <w:jc w:val="center"/>
            </w:pPr>
            <m:oMathPara>
              <m:oMath>
                <m:r>
                  <w:rPr>
                    <w:rFonts w:ascii="Cambria Math" w:hAnsi="Cambria Math"/>
                  </w:rPr>
                  <m:t>1.06</m:t>
                </m:r>
              </m:oMath>
            </m:oMathPara>
          </w:p>
        </w:tc>
        <w:tc>
          <w:tcPr>
            <w:tcW w:w="2338" w:type="dxa"/>
            <w:vAlign w:val="center"/>
          </w:tcPr>
          <w:p w14:paraId="3F09FDFB" w14:textId="77777777" w:rsidR="00D8645B" w:rsidRDefault="00D8645B" w:rsidP="00664D46">
            <w:pPr>
              <w:spacing w:line="360" w:lineRule="auto"/>
              <w:jc w:val="center"/>
            </w:pPr>
            <m:oMathPara>
              <m:oMath>
                <m:r>
                  <w:rPr>
                    <w:rFonts w:ascii="Cambria Math" w:hAnsi="Cambria Math"/>
                  </w:rPr>
                  <m:t>1.06</m:t>
                </m:r>
              </m:oMath>
            </m:oMathPara>
          </w:p>
        </w:tc>
        <w:tc>
          <w:tcPr>
            <w:tcW w:w="2338" w:type="dxa"/>
            <w:vAlign w:val="center"/>
          </w:tcPr>
          <w:p w14:paraId="7D61662A" w14:textId="77777777" w:rsidR="00D8645B" w:rsidRDefault="00D8645B" w:rsidP="00664D46">
            <w:pPr>
              <w:spacing w:line="360" w:lineRule="auto"/>
              <w:jc w:val="center"/>
            </w:pPr>
            <m:oMathPara>
              <m:oMath>
                <m:r>
                  <w:rPr>
                    <w:rFonts w:ascii="Cambria Math" w:hAnsi="Cambria Math"/>
                  </w:rPr>
                  <m:t>1.06</m:t>
                </m:r>
              </m:oMath>
            </m:oMathPara>
          </w:p>
        </w:tc>
      </w:tr>
      <w:tr w:rsidR="00D8645B" w14:paraId="201DD580" w14:textId="77777777" w:rsidTr="00664D46">
        <w:tc>
          <w:tcPr>
            <w:tcW w:w="2337" w:type="dxa"/>
            <w:vAlign w:val="center"/>
          </w:tcPr>
          <w:p w14:paraId="40354A9F" w14:textId="77777777" w:rsidR="00D8645B" w:rsidRDefault="00D8645B" w:rsidP="00664D46">
            <w:pPr>
              <w:spacing w:line="360" w:lineRule="auto"/>
              <w:jc w:val="center"/>
            </w:pPr>
            <w:r>
              <w:t>OMDL</w:t>
            </w:r>
          </w:p>
        </w:tc>
        <w:tc>
          <w:tcPr>
            <w:tcW w:w="2337" w:type="dxa"/>
            <w:vAlign w:val="center"/>
          </w:tcPr>
          <w:p w14:paraId="577C7C58" w14:textId="77777777" w:rsidR="00D8645B" w:rsidRDefault="00D8645B" w:rsidP="00664D46">
            <w:pPr>
              <w:spacing w:line="360" w:lineRule="auto"/>
              <w:jc w:val="center"/>
            </w:pPr>
            <m:oMathPara>
              <m:oMath>
                <m:r>
                  <w:rPr>
                    <w:rFonts w:ascii="Cambria Math" w:hAnsi="Cambria Math"/>
                  </w:rPr>
                  <m:t>2.62</m:t>
                </m:r>
              </m:oMath>
            </m:oMathPara>
          </w:p>
        </w:tc>
        <w:tc>
          <w:tcPr>
            <w:tcW w:w="2338" w:type="dxa"/>
            <w:vAlign w:val="center"/>
          </w:tcPr>
          <w:p w14:paraId="5DBB19DA" w14:textId="77777777" w:rsidR="00D8645B" w:rsidRDefault="00D8645B" w:rsidP="00664D46">
            <w:pPr>
              <w:spacing w:line="360" w:lineRule="auto"/>
              <w:jc w:val="center"/>
            </w:pPr>
            <m:oMathPara>
              <m:oMath>
                <m:r>
                  <w:rPr>
                    <w:rFonts w:ascii="Cambria Math" w:hAnsi="Cambria Math"/>
                  </w:rPr>
                  <m:t>2.41</m:t>
                </m:r>
              </m:oMath>
            </m:oMathPara>
          </w:p>
        </w:tc>
        <w:tc>
          <w:tcPr>
            <w:tcW w:w="2338" w:type="dxa"/>
            <w:vAlign w:val="center"/>
          </w:tcPr>
          <w:p w14:paraId="6DDBB0E3" w14:textId="77777777" w:rsidR="00D8645B" w:rsidRDefault="00D8645B" w:rsidP="00664D46">
            <w:pPr>
              <w:spacing w:line="360" w:lineRule="auto"/>
              <w:jc w:val="center"/>
            </w:pPr>
            <m:oMathPara>
              <m:oMath>
                <m:r>
                  <w:rPr>
                    <w:rFonts w:ascii="Cambria Math" w:hAnsi="Cambria Math"/>
                  </w:rPr>
                  <m:t>2.41</m:t>
                </m:r>
              </m:oMath>
            </m:oMathPara>
          </w:p>
        </w:tc>
      </w:tr>
      <w:tr w:rsidR="00D8645B" w14:paraId="3073299B" w14:textId="77777777" w:rsidTr="00664D46">
        <w:tc>
          <w:tcPr>
            <w:tcW w:w="2337" w:type="dxa"/>
            <w:vAlign w:val="center"/>
          </w:tcPr>
          <w:p w14:paraId="33944BAB" w14:textId="77777777" w:rsidR="00D8645B" w:rsidRDefault="00D8645B" w:rsidP="00664D46">
            <w:pPr>
              <w:spacing w:line="360" w:lineRule="auto"/>
              <w:jc w:val="center"/>
            </w:pPr>
            <w:r>
              <w:t>OSDL</w:t>
            </w:r>
          </w:p>
        </w:tc>
        <w:tc>
          <w:tcPr>
            <w:tcW w:w="2337" w:type="dxa"/>
            <w:vAlign w:val="center"/>
          </w:tcPr>
          <w:p w14:paraId="5B27B37D" w14:textId="77777777" w:rsidR="00D8645B" w:rsidRDefault="00D8645B" w:rsidP="00664D46">
            <w:pPr>
              <w:spacing w:line="360" w:lineRule="auto"/>
              <w:jc w:val="center"/>
            </w:pPr>
            <m:oMathPara>
              <m:oMath>
                <m:r>
                  <w:rPr>
                    <w:rFonts w:ascii="Cambria Math" w:hAnsi="Cambria Math"/>
                  </w:rPr>
                  <m:t>2.62</m:t>
                </m:r>
              </m:oMath>
            </m:oMathPara>
          </w:p>
        </w:tc>
        <w:tc>
          <w:tcPr>
            <w:tcW w:w="2338" w:type="dxa"/>
            <w:vAlign w:val="center"/>
          </w:tcPr>
          <w:p w14:paraId="1D1DB07B" w14:textId="77777777" w:rsidR="00D8645B" w:rsidRDefault="00D8645B" w:rsidP="00664D46">
            <w:pPr>
              <w:spacing w:line="360" w:lineRule="auto"/>
              <w:jc w:val="center"/>
            </w:pPr>
            <m:oMathPara>
              <m:oMath>
                <m:r>
                  <w:rPr>
                    <w:rFonts w:ascii="Cambria Math" w:hAnsi="Cambria Math"/>
                  </w:rPr>
                  <m:t>2.41</m:t>
                </m:r>
              </m:oMath>
            </m:oMathPara>
          </w:p>
        </w:tc>
        <w:tc>
          <w:tcPr>
            <w:tcW w:w="2338" w:type="dxa"/>
            <w:vAlign w:val="center"/>
          </w:tcPr>
          <w:p w14:paraId="17083202" w14:textId="77777777" w:rsidR="00D8645B" w:rsidRDefault="00D8645B" w:rsidP="00664D46">
            <w:pPr>
              <w:spacing w:line="360" w:lineRule="auto"/>
              <w:jc w:val="center"/>
            </w:pPr>
            <m:oMathPara>
              <m:oMath>
                <m:r>
                  <w:rPr>
                    <w:rFonts w:ascii="Cambria Math" w:hAnsi="Cambria Math"/>
                  </w:rPr>
                  <m:t>2.41</m:t>
                </m:r>
              </m:oMath>
            </m:oMathPara>
          </w:p>
        </w:tc>
      </w:tr>
      <w:tr w:rsidR="00D8645B" w14:paraId="6B1E1FE4" w14:textId="77777777" w:rsidTr="00664D46">
        <w:tc>
          <w:tcPr>
            <w:tcW w:w="2337" w:type="dxa"/>
            <w:vAlign w:val="center"/>
          </w:tcPr>
          <w:p w14:paraId="4D0FDF99" w14:textId="77777777" w:rsidR="00D8645B" w:rsidRDefault="00D8645B" w:rsidP="00664D46">
            <w:pPr>
              <w:spacing w:line="360" w:lineRule="auto"/>
              <w:jc w:val="center"/>
            </w:pPr>
            <w:r>
              <w:t>PPDL</w:t>
            </w:r>
          </w:p>
        </w:tc>
        <w:tc>
          <w:tcPr>
            <w:tcW w:w="2337" w:type="dxa"/>
            <w:vAlign w:val="center"/>
          </w:tcPr>
          <w:p w14:paraId="7501C493" w14:textId="77777777" w:rsidR="00D8645B" w:rsidRDefault="00D8645B" w:rsidP="00664D46">
            <w:pPr>
              <w:spacing w:line="360" w:lineRule="auto"/>
              <w:jc w:val="center"/>
            </w:pPr>
            <m:oMathPara>
              <m:oMath>
                <m:r>
                  <w:rPr>
                    <w:rFonts w:ascii="Cambria Math" w:hAnsi="Cambria Math"/>
                  </w:rPr>
                  <m:t>1.00</m:t>
                </m:r>
              </m:oMath>
            </m:oMathPara>
          </w:p>
        </w:tc>
        <w:tc>
          <w:tcPr>
            <w:tcW w:w="2338" w:type="dxa"/>
            <w:vAlign w:val="center"/>
          </w:tcPr>
          <w:p w14:paraId="5FDF2CFE" w14:textId="77777777" w:rsidR="00D8645B" w:rsidRDefault="00D8645B" w:rsidP="00664D46">
            <w:pPr>
              <w:spacing w:line="360" w:lineRule="auto"/>
              <w:jc w:val="center"/>
            </w:pPr>
            <m:oMathPara>
              <m:oMath>
                <m:r>
                  <w:rPr>
                    <w:rFonts w:ascii="Cambria Math" w:hAnsi="Cambria Math"/>
                  </w:rPr>
                  <m:t>1.00</m:t>
                </m:r>
              </m:oMath>
            </m:oMathPara>
          </w:p>
        </w:tc>
        <w:tc>
          <w:tcPr>
            <w:tcW w:w="2338" w:type="dxa"/>
            <w:vAlign w:val="center"/>
          </w:tcPr>
          <w:p w14:paraId="0FCDF434" w14:textId="77777777" w:rsidR="00D8645B" w:rsidRDefault="00D8645B" w:rsidP="00664D46">
            <w:pPr>
              <w:spacing w:line="360" w:lineRule="auto"/>
              <w:jc w:val="center"/>
            </w:pPr>
            <m:oMathPara>
              <m:oMath>
                <m:r>
                  <w:rPr>
                    <w:rFonts w:ascii="Cambria Math" w:hAnsi="Cambria Math"/>
                  </w:rPr>
                  <m:t>1.00</m:t>
                </m:r>
              </m:oMath>
            </m:oMathPara>
          </w:p>
        </w:tc>
      </w:tr>
    </w:tbl>
    <w:p w14:paraId="7DBA6616" w14:textId="77777777" w:rsidR="00D8645B" w:rsidRDefault="00D8645B" w:rsidP="00D8645B">
      <w:pPr>
        <w:spacing w:line="360" w:lineRule="auto"/>
      </w:pPr>
    </w:p>
    <w:p w14:paraId="72EB485C" w14:textId="77777777" w:rsidR="00D8645B" w:rsidRDefault="00D8645B" w:rsidP="0060309E">
      <w:pPr>
        <w:pStyle w:val="ListParagraph"/>
        <w:numPr>
          <w:ilvl w:val="0"/>
          <w:numId w:val="24"/>
        </w:numPr>
        <w:spacing w:after="160" w:line="360" w:lineRule="auto"/>
      </w:pPr>
      <w:r w:rsidRPr="00111089">
        <w:rPr>
          <w:u w:val="single"/>
        </w:rPr>
        <w:t>Standalone RC ($MM) without Volatility Adjustment</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8645B" w14:paraId="6C458AA1" w14:textId="77777777" w:rsidTr="00664D46">
        <w:tc>
          <w:tcPr>
            <w:tcW w:w="1558" w:type="dxa"/>
            <w:vAlign w:val="center"/>
          </w:tcPr>
          <w:p w14:paraId="4743E0B1" w14:textId="77777777" w:rsidR="00D8645B" w:rsidRPr="001F0477" w:rsidRDefault="00D8645B" w:rsidP="00664D46">
            <w:pPr>
              <w:spacing w:line="360" w:lineRule="auto"/>
              <w:jc w:val="center"/>
              <w:rPr>
                <w:b/>
              </w:rPr>
            </w:pPr>
            <w:r>
              <w:rPr>
                <w:b/>
              </w:rPr>
              <w:t>Group</w:t>
            </w:r>
          </w:p>
        </w:tc>
        <w:tc>
          <w:tcPr>
            <w:tcW w:w="1558" w:type="dxa"/>
            <w:vAlign w:val="center"/>
          </w:tcPr>
          <w:p w14:paraId="120FB61A" w14:textId="77777777" w:rsidR="00D8645B" w:rsidRPr="001F0477" w:rsidRDefault="00D8645B" w:rsidP="00664D46">
            <w:pPr>
              <w:spacing w:line="360" w:lineRule="auto"/>
              <w:jc w:val="center"/>
              <w:rPr>
                <w:b/>
              </w:rPr>
            </w:pPr>
            <w:r>
              <w:rPr>
                <w:b/>
              </w:rPr>
              <w:t>Product</w:t>
            </w:r>
          </w:p>
        </w:tc>
        <w:tc>
          <w:tcPr>
            <w:tcW w:w="1558" w:type="dxa"/>
            <w:vAlign w:val="center"/>
          </w:tcPr>
          <w:p w14:paraId="7FC9C813" w14:textId="77777777" w:rsidR="00D8645B" w:rsidRPr="001F0477" w:rsidRDefault="00D8645B" w:rsidP="00664D46">
            <w:pPr>
              <w:spacing w:line="360" w:lineRule="auto"/>
              <w:jc w:val="center"/>
              <w:rPr>
                <w:b/>
              </w:rPr>
            </w:pPr>
            <w:r>
              <w:rPr>
                <w:b/>
              </w:rPr>
              <w:t>Business</w:t>
            </w:r>
          </w:p>
        </w:tc>
        <w:tc>
          <w:tcPr>
            <w:tcW w:w="1558" w:type="dxa"/>
            <w:vAlign w:val="center"/>
          </w:tcPr>
          <w:p w14:paraId="7B0D8FCA" w14:textId="77777777" w:rsidR="00D8645B" w:rsidRPr="001F0477" w:rsidRDefault="00D8645B" w:rsidP="00664D46">
            <w:pPr>
              <w:spacing w:line="360" w:lineRule="auto"/>
              <w:jc w:val="center"/>
              <w:rPr>
                <w:b/>
              </w:rPr>
            </w:pPr>
            <w:r>
              <w:rPr>
                <w:b/>
              </w:rPr>
              <w:t>New RC w/o Volatility Adjustment</w:t>
            </w:r>
          </w:p>
        </w:tc>
        <w:tc>
          <w:tcPr>
            <w:tcW w:w="1559" w:type="dxa"/>
            <w:vAlign w:val="center"/>
          </w:tcPr>
          <w:p w14:paraId="52522135" w14:textId="77777777" w:rsidR="00D8645B" w:rsidRPr="001F0477" w:rsidRDefault="00D8645B" w:rsidP="00664D46">
            <w:pPr>
              <w:spacing w:line="360" w:lineRule="auto"/>
              <w:jc w:val="center"/>
              <w:rPr>
                <w:b/>
              </w:rPr>
            </w:pPr>
            <w:r>
              <w:rPr>
                <w:b/>
              </w:rPr>
              <w:t>Base Case RC</w:t>
            </w:r>
          </w:p>
        </w:tc>
        <w:tc>
          <w:tcPr>
            <w:tcW w:w="1559" w:type="dxa"/>
            <w:vAlign w:val="center"/>
          </w:tcPr>
          <w:p w14:paraId="33D0CC97" w14:textId="77777777" w:rsidR="00D8645B" w:rsidRPr="001F0477" w:rsidRDefault="00D8645B" w:rsidP="00664D46">
            <w:pPr>
              <w:spacing w:line="360" w:lineRule="auto"/>
              <w:jc w:val="center"/>
              <w:rPr>
                <w:b/>
              </w:rPr>
            </w:pPr>
            <w:r>
              <w:rPr>
                <w:b/>
              </w:rPr>
              <w:t>Base Case - New</w:t>
            </w:r>
          </w:p>
        </w:tc>
      </w:tr>
      <w:tr w:rsidR="00D8645B" w14:paraId="23B0FA4C" w14:textId="77777777" w:rsidTr="00664D46">
        <w:tc>
          <w:tcPr>
            <w:tcW w:w="1558" w:type="dxa"/>
            <w:vMerge w:val="restart"/>
            <w:vAlign w:val="center"/>
          </w:tcPr>
          <w:p w14:paraId="42E43128" w14:textId="77777777" w:rsidR="00D8645B" w:rsidRDefault="00D8645B" w:rsidP="00664D46">
            <w:pPr>
              <w:spacing w:line="360" w:lineRule="auto"/>
              <w:jc w:val="center"/>
            </w:pPr>
            <w:r>
              <w:t>BHC - ICG</w:t>
            </w:r>
          </w:p>
        </w:tc>
        <w:tc>
          <w:tcPr>
            <w:tcW w:w="1558" w:type="dxa"/>
            <w:vAlign w:val="center"/>
          </w:tcPr>
          <w:p w14:paraId="473EB04F" w14:textId="77777777" w:rsidR="00D8645B" w:rsidRDefault="00D8645B" w:rsidP="00664D46">
            <w:pPr>
              <w:spacing w:line="360" w:lineRule="auto"/>
              <w:jc w:val="center"/>
            </w:pPr>
            <w:r>
              <w:t>Advisory</w:t>
            </w:r>
          </w:p>
        </w:tc>
        <w:tc>
          <w:tcPr>
            <w:tcW w:w="1558" w:type="dxa"/>
            <w:vAlign w:val="center"/>
          </w:tcPr>
          <w:p w14:paraId="4AFEAC4D" w14:textId="77777777" w:rsidR="00D8645B" w:rsidRDefault="00D8645B" w:rsidP="00664D46">
            <w:pPr>
              <w:spacing w:line="360" w:lineRule="auto"/>
              <w:jc w:val="center"/>
            </w:pPr>
            <w:r>
              <w:t>Advisory</w:t>
            </w:r>
          </w:p>
        </w:tc>
        <w:tc>
          <w:tcPr>
            <w:tcW w:w="1558" w:type="dxa"/>
            <w:vAlign w:val="center"/>
          </w:tcPr>
          <w:p w14:paraId="2724EB81" w14:textId="77777777" w:rsidR="00D8645B" w:rsidRDefault="00D8645B" w:rsidP="00664D46">
            <w:pPr>
              <w:spacing w:line="360" w:lineRule="auto"/>
              <w:jc w:val="center"/>
            </w:pPr>
            <w:r>
              <w:t>0</w:t>
            </w:r>
          </w:p>
        </w:tc>
        <w:tc>
          <w:tcPr>
            <w:tcW w:w="1559" w:type="dxa"/>
            <w:vAlign w:val="center"/>
          </w:tcPr>
          <w:p w14:paraId="4E6B6C0F" w14:textId="77777777" w:rsidR="00D8645B" w:rsidRDefault="00D8645B" w:rsidP="00664D46">
            <w:pPr>
              <w:spacing w:line="360" w:lineRule="auto"/>
              <w:jc w:val="center"/>
            </w:pPr>
            <w:r>
              <w:t>0</w:t>
            </w:r>
          </w:p>
        </w:tc>
        <w:tc>
          <w:tcPr>
            <w:tcW w:w="1559" w:type="dxa"/>
            <w:vAlign w:val="center"/>
          </w:tcPr>
          <w:p w14:paraId="0A1D5E22" w14:textId="77777777" w:rsidR="00D8645B" w:rsidRDefault="00D8645B" w:rsidP="00664D46">
            <w:pPr>
              <w:spacing w:line="360" w:lineRule="auto"/>
              <w:jc w:val="center"/>
            </w:pPr>
            <w:r>
              <w:t>0</w:t>
            </w:r>
          </w:p>
        </w:tc>
      </w:tr>
      <w:tr w:rsidR="00D8645B" w14:paraId="61FFC41B" w14:textId="77777777" w:rsidTr="00664D46">
        <w:tc>
          <w:tcPr>
            <w:tcW w:w="1558" w:type="dxa"/>
            <w:vMerge/>
            <w:vAlign w:val="center"/>
          </w:tcPr>
          <w:p w14:paraId="577EF513" w14:textId="77777777" w:rsidR="00D8645B" w:rsidRDefault="00D8645B" w:rsidP="00664D46">
            <w:pPr>
              <w:spacing w:line="360" w:lineRule="auto"/>
              <w:jc w:val="center"/>
            </w:pPr>
          </w:p>
        </w:tc>
        <w:tc>
          <w:tcPr>
            <w:tcW w:w="1558" w:type="dxa"/>
            <w:vAlign w:val="center"/>
          </w:tcPr>
          <w:p w14:paraId="3C8CADF9" w14:textId="77777777" w:rsidR="00D8645B" w:rsidRDefault="00D8645B" w:rsidP="00664D46">
            <w:pPr>
              <w:spacing w:line="360" w:lineRule="auto"/>
              <w:jc w:val="center"/>
            </w:pPr>
            <w:r>
              <w:t>CAI</w:t>
            </w:r>
          </w:p>
        </w:tc>
        <w:tc>
          <w:tcPr>
            <w:tcW w:w="1558" w:type="dxa"/>
            <w:vAlign w:val="center"/>
          </w:tcPr>
          <w:p w14:paraId="7BFAFBA6" w14:textId="77777777" w:rsidR="00D8645B" w:rsidRDefault="00D8645B" w:rsidP="00664D46">
            <w:pPr>
              <w:spacing w:line="360" w:lineRule="auto"/>
              <w:jc w:val="center"/>
            </w:pPr>
            <w:r>
              <w:t>CAI</w:t>
            </w:r>
          </w:p>
        </w:tc>
        <w:tc>
          <w:tcPr>
            <w:tcW w:w="1558" w:type="dxa"/>
            <w:vAlign w:val="center"/>
          </w:tcPr>
          <w:p w14:paraId="66951978" w14:textId="77777777" w:rsidR="00D8645B" w:rsidRDefault="00D8645B" w:rsidP="00664D46">
            <w:pPr>
              <w:spacing w:line="360" w:lineRule="auto"/>
              <w:jc w:val="center"/>
            </w:pPr>
            <w:r>
              <w:t>12</w:t>
            </w:r>
          </w:p>
        </w:tc>
        <w:tc>
          <w:tcPr>
            <w:tcW w:w="1559" w:type="dxa"/>
            <w:vAlign w:val="center"/>
          </w:tcPr>
          <w:p w14:paraId="00FF0EB4" w14:textId="77777777" w:rsidR="00D8645B" w:rsidRDefault="00D8645B" w:rsidP="00664D46">
            <w:pPr>
              <w:spacing w:line="360" w:lineRule="auto"/>
              <w:jc w:val="center"/>
            </w:pPr>
            <w:r>
              <w:t>11</w:t>
            </w:r>
          </w:p>
        </w:tc>
        <w:tc>
          <w:tcPr>
            <w:tcW w:w="1559" w:type="dxa"/>
            <w:vAlign w:val="center"/>
          </w:tcPr>
          <w:p w14:paraId="53E3B767" w14:textId="77777777" w:rsidR="00D8645B" w:rsidRDefault="00D8645B" w:rsidP="00664D46">
            <w:pPr>
              <w:spacing w:line="360" w:lineRule="auto"/>
              <w:jc w:val="center"/>
            </w:pPr>
            <w:r>
              <w:t>-1</w:t>
            </w:r>
          </w:p>
        </w:tc>
      </w:tr>
      <w:tr w:rsidR="00D8645B" w14:paraId="010F72E3" w14:textId="77777777" w:rsidTr="00664D46">
        <w:tc>
          <w:tcPr>
            <w:tcW w:w="1558" w:type="dxa"/>
            <w:vMerge/>
            <w:vAlign w:val="center"/>
          </w:tcPr>
          <w:p w14:paraId="2C13355F" w14:textId="77777777" w:rsidR="00D8645B" w:rsidRDefault="00D8645B" w:rsidP="00664D46">
            <w:pPr>
              <w:spacing w:line="360" w:lineRule="auto"/>
              <w:jc w:val="center"/>
            </w:pPr>
          </w:p>
        </w:tc>
        <w:tc>
          <w:tcPr>
            <w:tcW w:w="1558" w:type="dxa"/>
            <w:vAlign w:val="center"/>
          </w:tcPr>
          <w:p w14:paraId="77F3571F" w14:textId="77777777" w:rsidR="00D8645B" w:rsidRDefault="00D8645B" w:rsidP="00664D46">
            <w:pPr>
              <w:spacing w:line="360" w:lineRule="auto"/>
              <w:jc w:val="center"/>
            </w:pPr>
            <w:r>
              <w:t>Commodities</w:t>
            </w:r>
          </w:p>
        </w:tc>
        <w:tc>
          <w:tcPr>
            <w:tcW w:w="1558" w:type="dxa"/>
            <w:vAlign w:val="center"/>
          </w:tcPr>
          <w:p w14:paraId="4D6249C1" w14:textId="77777777" w:rsidR="00D8645B" w:rsidRDefault="00D8645B" w:rsidP="00664D46">
            <w:pPr>
              <w:spacing w:line="360" w:lineRule="auto"/>
              <w:jc w:val="center"/>
            </w:pPr>
            <w:r>
              <w:t>Commodities Houston</w:t>
            </w:r>
          </w:p>
        </w:tc>
        <w:tc>
          <w:tcPr>
            <w:tcW w:w="1558" w:type="dxa"/>
            <w:vAlign w:val="center"/>
          </w:tcPr>
          <w:p w14:paraId="4EB456F1" w14:textId="77777777" w:rsidR="00D8645B" w:rsidRDefault="00D8645B" w:rsidP="00664D46">
            <w:pPr>
              <w:spacing w:line="360" w:lineRule="auto"/>
              <w:jc w:val="center"/>
            </w:pPr>
            <w:r>
              <w:t>557</w:t>
            </w:r>
          </w:p>
        </w:tc>
        <w:tc>
          <w:tcPr>
            <w:tcW w:w="1559" w:type="dxa"/>
            <w:vAlign w:val="center"/>
          </w:tcPr>
          <w:p w14:paraId="77782F9E" w14:textId="77777777" w:rsidR="00D8645B" w:rsidRDefault="00D8645B" w:rsidP="00664D46">
            <w:pPr>
              <w:spacing w:line="360" w:lineRule="auto"/>
              <w:jc w:val="center"/>
            </w:pPr>
            <w:r>
              <w:t>405</w:t>
            </w:r>
          </w:p>
        </w:tc>
        <w:tc>
          <w:tcPr>
            <w:tcW w:w="1559" w:type="dxa"/>
            <w:vAlign w:val="center"/>
          </w:tcPr>
          <w:p w14:paraId="58C7B8F5" w14:textId="77777777" w:rsidR="00D8645B" w:rsidRDefault="00D8645B" w:rsidP="00664D46">
            <w:pPr>
              <w:spacing w:line="360" w:lineRule="auto"/>
              <w:jc w:val="center"/>
            </w:pPr>
            <w:r>
              <w:t>-152</w:t>
            </w:r>
          </w:p>
        </w:tc>
      </w:tr>
      <w:tr w:rsidR="00D8645B" w14:paraId="75E68A25" w14:textId="77777777" w:rsidTr="00664D46">
        <w:tc>
          <w:tcPr>
            <w:tcW w:w="1558" w:type="dxa"/>
            <w:vMerge/>
            <w:vAlign w:val="center"/>
          </w:tcPr>
          <w:p w14:paraId="48B726D0" w14:textId="77777777" w:rsidR="00D8645B" w:rsidRDefault="00D8645B" w:rsidP="00664D46">
            <w:pPr>
              <w:spacing w:line="360" w:lineRule="auto"/>
              <w:jc w:val="center"/>
            </w:pPr>
          </w:p>
        </w:tc>
        <w:tc>
          <w:tcPr>
            <w:tcW w:w="1558" w:type="dxa"/>
            <w:vMerge w:val="restart"/>
            <w:vAlign w:val="center"/>
          </w:tcPr>
          <w:p w14:paraId="3558C3D2" w14:textId="77777777" w:rsidR="00D8645B" w:rsidRDefault="00D8645B" w:rsidP="00664D46">
            <w:pPr>
              <w:spacing w:line="360" w:lineRule="auto"/>
              <w:jc w:val="center"/>
            </w:pPr>
            <w:r>
              <w:t>Credit</w:t>
            </w:r>
          </w:p>
        </w:tc>
        <w:tc>
          <w:tcPr>
            <w:tcW w:w="1558" w:type="dxa"/>
            <w:vAlign w:val="center"/>
          </w:tcPr>
          <w:p w14:paraId="295D0E75" w14:textId="77777777" w:rsidR="00D8645B" w:rsidRDefault="00D8645B" w:rsidP="00664D46">
            <w:pPr>
              <w:spacing w:line="360" w:lineRule="auto"/>
              <w:jc w:val="center"/>
            </w:pPr>
            <w:r>
              <w:t>Credit Trading</w:t>
            </w:r>
          </w:p>
        </w:tc>
        <w:tc>
          <w:tcPr>
            <w:tcW w:w="1558" w:type="dxa"/>
            <w:vAlign w:val="center"/>
          </w:tcPr>
          <w:p w14:paraId="720056B3" w14:textId="77777777" w:rsidR="00D8645B" w:rsidRDefault="00D8645B" w:rsidP="00664D46">
            <w:pPr>
              <w:spacing w:line="360" w:lineRule="auto"/>
              <w:jc w:val="center"/>
            </w:pPr>
            <w:r>
              <w:t>374</w:t>
            </w:r>
          </w:p>
        </w:tc>
        <w:tc>
          <w:tcPr>
            <w:tcW w:w="1559" w:type="dxa"/>
            <w:vAlign w:val="center"/>
          </w:tcPr>
          <w:p w14:paraId="120AF3B6" w14:textId="77777777" w:rsidR="00D8645B" w:rsidRDefault="00D8645B" w:rsidP="00664D46">
            <w:pPr>
              <w:spacing w:line="360" w:lineRule="auto"/>
              <w:jc w:val="center"/>
            </w:pPr>
            <w:r>
              <w:t>374</w:t>
            </w:r>
          </w:p>
        </w:tc>
        <w:tc>
          <w:tcPr>
            <w:tcW w:w="1559" w:type="dxa"/>
            <w:vAlign w:val="center"/>
          </w:tcPr>
          <w:p w14:paraId="49344922" w14:textId="77777777" w:rsidR="00D8645B" w:rsidRDefault="00D8645B" w:rsidP="00664D46">
            <w:pPr>
              <w:spacing w:line="360" w:lineRule="auto"/>
              <w:jc w:val="center"/>
            </w:pPr>
            <w:r>
              <w:t>1</w:t>
            </w:r>
          </w:p>
        </w:tc>
      </w:tr>
      <w:tr w:rsidR="00D8645B" w14:paraId="01E3462D" w14:textId="77777777" w:rsidTr="00664D46">
        <w:tc>
          <w:tcPr>
            <w:tcW w:w="1558" w:type="dxa"/>
            <w:vMerge/>
            <w:vAlign w:val="center"/>
          </w:tcPr>
          <w:p w14:paraId="284EA3C1" w14:textId="77777777" w:rsidR="00D8645B" w:rsidRDefault="00D8645B" w:rsidP="00664D46">
            <w:pPr>
              <w:spacing w:line="360" w:lineRule="auto"/>
              <w:jc w:val="center"/>
            </w:pPr>
          </w:p>
        </w:tc>
        <w:tc>
          <w:tcPr>
            <w:tcW w:w="1558" w:type="dxa"/>
            <w:vMerge/>
            <w:vAlign w:val="center"/>
          </w:tcPr>
          <w:p w14:paraId="6BECF5C2" w14:textId="77777777" w:rsidR="00D8645B" w:rsidRDefault="00D8645B" w:rsidP="00664D46">
            <w:pPr>
              <w:spacing w:line="360" w:lineRule="auto"/>
              <w:jc w:val="center"/>
            </w:pPr>
          </w:p>
        </w:tc>
        <w:tc>
          <w:tcPr>
            <w:tcW w:w="1558" w:type="dxa"/>
            <w:vAlign w:val="center"/>
          </w:tcPr>
          <w:p w14:paraId="7C9CFAB9" w14:textId="77777777" w:rsidR="00D8645B" w:rsidRDefault="00D8645B" w:rsidP="00664D46">
            <w:pPr>
              <w:spacing w:line="360" w:lineRule="auto"/>
              <w:jc w:val="center"/>
            </w:pPr>
            <w:r>
              <w:t>Distressed</w:t>
            </w:r>
          </w:p>
        </w:tc>
        <w:tc>
          <w:tcPr>
            <w:tcW w:w="1558" w:type="dxa"/>
            <w:vAlign w:val="center"/>
          </w:tcPr>
          <w:p w14:paraId="2D4B971A" w14:textId="77777777" w:rsidR="00D8645B" w:rsidRDefault="00D8645B" w:rsidP="00664D46">
            <w:pPr>
              <w:spacing w:line="360" w:lineRule="auto"/>
              <w:jc w:val="center"/>
            </w:pPr>
            <w:r>
              <w:t>212</w:t>
            </w:r>
          </w:p>
        </w:tc>
        <w:tc>
          <w:tcPr>
            <w:tcW w:w="1559" w:type="dxa"/>
            <w:vAlign w:val="center"/>
          </w:tcPr>
          <w:p w14:paraId="47F078B7" w14:textId="77777777" w:rsidR="00D8645B" w:rsidRDefault="00D8645B" w:rsidP="00664D46">
            <w:pPr>
              <w:spacing w:line="360" w:lineRule="auto"/>
              <w:jc w:val="center"/>
            </w:pPr>
            <w:r>
              <w:t>216</w:t>
            </w:r>
          </w:p>
        </w:tc>
        <w:tc>
          <w:tcPr>
            <w:tcW w:w="1559" w:type="dxa"/>
            <w:vAlign w:val="center"/>
          </w:tcPr>
          <w:p w14:paraId="6F53EE20" w14:textId="77777777" w:rsidR="00D8645B" w:rsidRDefault="00D8645B" w:rsidP="00664D46">
            <w:pPr>
              <w:spacing w:line="360" w:lineRule="auto"/>
              <w:jc w:val="center"/>
            </w:pPr>
            <w:r>
              <w:t>5</w:t>
            </w:r>
          </w:p>
        </w:tc>
      </w:tr>
      <w:tr w:rsidR="00D8645B" w14:paraId="1E587AC7" w14:textId="77777777" w:rsidTr="00664D46">
        <w:tc>
          <w:tcPr>
            <w:tcW w:w="1558" w:type="dxa"/>
            <w:vMerge/>
            <w:vAlign w:val="center"/>
          </w:tcPr>
          <w:p w14:paraId="0707EC44" w14:textId="77777777" w:rsidR="00D8645B" w:rsidRDefault="00D8645B" w:rsidP="00664D46">
            <w:pPr>
              <w:spacing w:line="360" w:lineRule="auto"/>
              <w:jc w:val="center"/>
            </w:pPr>
          </w:p>
        </w:tc>
        <w:tc>
          <w:tcPr>
            <w:tcW w:w="1558" w:type="dxa"/>
            <w:vMerge/>
            <w:vAlign w:val="center"/>
          </w:tcPr>
          <w:p w14:paraId="55FF9DDB" w14:textId="77777777" w:rsidR="00D8645B" w:rsidRDefault="00D8645B" w:rsidP="00664D46">
            <w:pPr>
              <w:spacing w:line="360" w:lineRule="auto"/>
              <w:jc w:val="center"/>
            </w:pPr>
          </w:p>
        </w:tc>
        <w:tc>
          <w:tcPr>
            <w:tcW w:w="1558" w:type="dxa"/>
            <w:vAlign w:val="center"/>
          </w:tcPr>
          <w:p w14:paraId="4A57D163" w14:textId="77777777" w:rsidR="00D8645B" w:rsidRDefault="00D8645B" w:rsidP="00664D46">
            <w:pPr>
              <w:spacing w:line="360" w:lineRule="auto"/>
              <w:jc w:val="center"/>
            </w:pPr>
            <w:r>
              <w:t>EM Credit Trading</w:t>
            </w:r>
          </w:p>
        </w:tc>
        <w:tc>
          <w:tcPr>
            <w:tcW w:w="1558" w:type="dxa"/>
            <w:vAlign w:val="center"/>
          </w:tcPr>
          <w:p w14:paraId="260890AB" w14:textId="77777777" w:rsidR="00D8645B" w:rsidRDefault="00D8645B" w:rsidP="00664D46">
            <w:pPr>
              <w:spacing w:line="360" w:lineRule="auto"/>
              <w:jc w:val="center"/>
            </w:pPr>
            <w:r>
              <w:t>448</w:t>
            </w:r>
          </w:p>
        </w:tc>
        <w:tc>
          <w:tcPr>
            <w:tcW w:w="1559" w:type="dxa"/>
            <w:vAlign w:val="center"/>
          </w:tcPr>
          <w:p w14:paraId="31A2B176" w14:textId="77777777" w:rsidR="00D8645B" w:rsidRDefault="00D8645B" w:rsidP="00664D46">
            <w:pPr>
              <w:spacing w:line="360" w:lineRule="auto"/>
              <w:jc w:val="center"/>
            </w:pPr>
            <w:r>
              <w:t>445</w:t>
            </w:r>
          </w:p>
        </w:tc>
        <w:tc>
          <w:tcPr>
            <w:tcW w:w="1559" w:type="dxa"/>
            <w:vAlign w:val="center"/>
          </w:tcPr>
          <w:p w14:paraId="497EBE54" w14:textId="77777777" w:rsidR="00D8645B" w:rsidRDefault="00D8645B" w:rsidP="00664D46">
            <w:pPr>
              <w:spacing w:line="360" w:lineRule="auto"/>
              <w:jc w:val="center"/>
            </w:pPr>
            <w:r>
              <w:t>-3</w:t>
            </w:r>
          </w:p>
        </w:tc>
      </w:tr>
      <w:tr w:rsidR="00D8645B" w14:paraId="3421228A" w14:textId="77777777" w:rsidTr="00664D46">
        <w:tc>
          <w:tcPr>
            <w:tcW w:w="1558" w:type="dxa"/>
            <w:vMerge/>
            <w:vAlign w:val="center"/>
          </w:tcPr>
          <w:p w14:paraId="436AEB1A" w14:textId="77777777" w:rsidR="00D8645B" w:rsidRDefault="00D8645B" w:rsidP="00664D46">
            <w:pPr>
              <w:spacing w:line="360" w:lineRule="auto"/>
              <w:jc w:val="center"/>
            </w:pPr>
          </w:p>
        </w:tc>
        <w:tc>
          <w:tcPr>
            <w:tcW w:w="1558" w:type="dxa"/>
            <w:vMerge/>
            <w:vAlign w:val="center"/>
          </w:tcPr>
          <w:p w14:paraId="77CA10DE" w14:textId="77777777" w:rsidR="00D8645B" w:rsidRDefault="00D8645B" w:rsidP="00664D46">
            <w:pPr>
              <w:spacing w:line="360" w:lineRule="auto"/>
              <w:jc w:val="center"/>
            </w:pPr>
          </w:p>
        </w:tc>
        <w:tc>
          <w:tcPr>
            <w:tcW w:w="1558" w:type="dxa"/>
            <w:vAlign w:val="center"/>
          </w:tcPr>
          <w:p w14:paraId="1DF61F58" w14:textId="77777777" w:rsidR="00D8645B" w:rsidRDefault="00D8645B" w:rsidP="00664D46">
            <w:pPr>
              <w:spacing w:line="360" w:lineRule="auto"/>
              <w:jc w:val="center"/>
            </w:pPr>
            <w:r>
              <w:t>Credit Macro Hedge</w:t>
            </w:r>
          </w:p>
        </w:tc>
        <w:tc>
          <w:tcPr>
            <w:tcW w:w="1558" w:type="dxa"/>
            <w:vAlign w:val="center"/>
          </w:tcPr>
          <w:p w14:paraId="061D2ED7" w14:textId="77777777" w:rsidR="00D8645B" w:rsidRDefault="00D8645B" w:rsidP="00664D46">
            <w:pPr>
              <w:spacing w:line="360" w:lineRule="auto"/>
              <w:jc w:val="center"/>
            </w:pPr>
            <w:r>
              <w:t>0</w:t>
            </w:r>
          </w:p>
        </w:tc>
        <w:tc>
          <w:tcPr>
            <w:tcW w:w="1559" w:type="dxa"/>
            <w:vAlign w:val="center"/>
          </w:tcPr>
          <w:p w14:paraId="289AA69A" w14:textId="77777777" w:rsidR="00D8645B" w:rsidRDefault="00D8645B" w:rsidP="00664D46">
            <w:pPr>
              <w:spacing w:line="360" w:lineRule="auto"/>
              <w:jc w:val="center"/>
            </w:pPr>
            <w:r>
              <w:t>0</w:t>
            </w:r>
          </w:p>
        </w:tc>
        <w:tc>
          <w:tcPr>
            <w:tcW w:w="1559" w:type="dxa"/>
            <w:vAlign w:val="center"/>
          </w:tcPr>
          <w:p w14:paraId="4FF63A23" w14:textId="77777777" w:rsidR="00D8645B" w:rsidRDefault="00D8645B" w:rsidP="00664D46">
            <w:pPr>
              <w:spacing w:line="360" w:lineRule="auto"/>
              <w:jc w:val="center"/>
            </w:pPr>
            <w:r>
              <w:t>0</w:t>
            </w:r>
          </w:p>
        </w:tc>
      </w:tr>
      <w:tr w:rsidR="00D8645B" w14:paraId="0F7EE506" w14:textId="77777777" w:rsidTr="00664D46">
        <w:tc>
          <w:tcPr>
            <w:tcW w:w="1558" w:type="dxa"/>
            <w:vMerge/>
            <w:vAlign w:val="center"/>
          </w:tcPr>
          <w:p w14:paraId="7636C918" w14:textId="77777777" w:rsidR="00D8645B" w:rsidRDefault="00D8645B" w:rsidP="00664D46">
            <w:pPr>
              <w:spacing w:line="360" w:lineRule="auto"/>
              <w:jc w:val="center"/>
            </w:pPr>
          </w:p>
        </w:tc>
        <w:tc>
          <w:tcPr>
            <w:tcW w:w="1558" w:type="dxa"/>
            <w:vMerge/>
            <w:vAlign w:val="center"/>
          </w:tcPr>
          <w:p w14:paraId="2ECD8A11" w14:textId="77777777" w:rsidR="00D8645B" w:rsidRDefault="00D8645B" w:rsidP="00664D46">
            <w:pPr>
              <w:spacing w:line="360" w:lineRule="auto"/>
              <w:jc w:val="center"/>
            </w:pPr>
          </w:p>
        </w:tc>
        <w:tc>
          <w:tcPr>
            <w:tcW w:w="1558" w:type="dxa"/>
            <w:vAlign w:val="center"/>
          </w:tcPr>
          <w:p w14:paraId="1E367AD4" w14:textId="77777777" w:rsidR="00D8645B" w:rsidRDefault="00D8645B" w:rsidP="00664D46">
            <w:pPr>
              <w:spacing w:line="360" w:lineRule="auto"/>
              <w:jc w:val="center"/>
            </w:pPr>
            <w:r>
              <w:t>PECD</w:t>
            </w:r>
          </w:p>
        </w:tc>
        <w:tc>
          <w:tcPr>
            <w:tcW w:w="1558" w:type="dxa"/>
            <w:vAlign w:val="center"/>
          </w:tcPr>
          <w:p w14:paraId="2B12E9E3" w14:textId="77777777" w:rsidR="00D8645B" w:rsidRDefault="00D8645B" w:rsidP="00664D46">
            <w:pPr>
              <w:spacing w:line="360" w:lineRule="auto"/>
              <w:jc w:val="center"/>
            </w:pPr>
            <w:r>
              <w:t>2363</w:t>
            </w:r>
          </w:p>
        </w:tc>
        <w:tc>
          <w:tcPr>
            <w:tcW w:w="1559" w:type="dxa"/>
            <w:vAlign w:val="center"/>
          </w:tcPr>
          <w:p w14:paraId="0FA37F43" w14:textId="77777777" w:rsidR="00D8645B" w:rsidRDefault="00D8645B" w:rsidP="00664D46">
            <w:pPr>
              <w:spacing w:line="360" w:lineRule="auto"/>
              <w:jc w:val="center"/>
            </w:pPr>
            <w:r>
              <w:t>2363</w:t>
            </w:r>
          </w:p>
        </w:tc>
        <w:tc>
          <w:tcPr>
            <w:tcW w:w="1559" w:type="dxa"/>
            <w:vAlign w:val="center"/>
          </w:tcPr>
          <w:p w14:paraId="0E55DFFF" w14:textId="77777777" w:rsidR="00D8645B" w:rsidRDefault="00D8645B" w:rsidP="00664D46">
            <w:pPr>
              <w:spacing w:line="360" w:lineRule="auto"/>
              <w:jc w:val="center"/>
            </w:pPr>
            <w:r>
              <w:t>0</w:t>
            </w:r>
          </w:p>
        </w:tc>
      </w:tr>
      <w:tr w:rsidR="00D8645B" w14:paraId="536E5FD4" w14:textId="77777777" w:rsidTr="00664D46">
        <w:tc>
          <w:tcPr>
            <w:tcW w:w="1558" w:type="dxa"/>
            <w:vMerge/>
            <w:vAlign w:val="center"/>
          </w:tcPr>
          <w:p w14:paraId="1224D12D" w14:textId="77777777" w:rsidR="00D8645B" w:rsidRDefault="00D8645B" w:rsidP="00664D46">
            <w:pPr>
              <w:spacing w:line="360" w:lineRule="auto"/>
              <w:jc w:val="center"/>
            </w:pPr>
          </w:p>
        </w:tc>
        <w:tc>
          <w:tcPr>
            <w:tcW w:w="1558" w:type="dxa"/>
            <w:vMerge/>
            <w:vAlign w:val="center"/>
          </w:tcPr>
          <w:p w14:paraId="29797574" w14:textId="77777777" w:rsidR="00D8645B" w:rsidRDefault="00D8645B" w:rsidP="00664D46">
            <w:pPr>
              <w:spacing w:line="360" w:lineRule="auto"/>
              <w:jc w:val="center"/>
            </w:pPr>
          </w:p>
        </w:tc>
        <w:tc>
          <w:tcPr>
            <w:tcW w:w="1558" w:type="dxa"/>
            <w:vAlign w:val="center"/>
          </w:tcPr>
          <w:p w14:paraId="339BAF45" w14:textId="77777777" w:rsidR="00D8645B" w:rsidRDefault="00D8645B" w:rsidP="00664D46">
            <w:pPr>
              <w:spacing w:line="360" w:lineRule="auto"/>
              <w:jc w:val="center"/>
            </w:pPr>
            <w:r>
              <w:t>Short Term</w:t>
            </w:r>
          </w:p>
        </w:tc>
        <w:tc>
          <w:tcPr>
            <w:tcW w:w="1558" w:type="dxa"/>
            <w:vAlign w:val="center"/>
          </w:tcPr>
          <w:p w14:paraId="769FB285" w14:textId="77777777" w:rsidR="00D8645B" w:rsidRDefault="00D8645B" w:rsidP="00664D46">
            <w:pPr>
              <w:spacing w:line="360" w:lineRule="auto"/>
              <w:jc w:val="center"/>
            </w:pPr>
            <w:r>
              <w:t>24</w:t>
            </w:r>
          </w:p>
        </w:tc>
        <w:tc>
          <w:tcPr>
            <w:tcW w:w="1559" w:type="dxa"/>
            <w:vAlign w:val="center"/>
          </w:tcPr>
          <w:p w14:paraId="67908AF4" w14:textId="77777777" w:rsidR="00D8645B" w:rsidRDefault="00D8645B" w:rsidP="00664D46">
            <w:pPr>
              <w:spacing w:line="360" w:lineRule="auto"/>
              <w:jc w:val="center"/>
            </w:pPr>
            <w:r>
              <w:t>24</w:t>
            </w:r>
          </w:p>
        </w:tc>
        <w:tc>
          <w:tcPr>
            <w:tcW w:w="1559" w:type="dxa"/>
            <w:vAlign w:val="center"/>
          </w:tcPr>
          <w:p w14:paraId="2F2FAF8C" w14:textId="77777777" w:rsidR="00D8645B" w:rsidRDefault="00D8645B" w:rsidP="00664D46">
            <w:pPr>
              <w:spacing w:line="360" w:lineRule="auto"/>
              <w:jc w:val="center"/>
            </w:pPr>
            <w:r>
              <w:t>0</w:t>
            </w:r>
          </w:p>
        </w:tc>
      </w:tr>
      <w:tr w:rsidR="00D8645B" w14:paraId="025D4F72" w14:textId="77777777" w:rsidTr="00664D46">
        <w:tc>
          <w:tcPr>
            <w:tcW w:w="1558" w:type="dxa"/>
            <w:vMerge/>
            <w:vAlign w:val="center"/>
          </w:tcPr>
          <w:p w14:paraId="4C5F3D47" w14:textId="77777777" w:rsidR="00D8645B" w:rsidRDefault="00D8645B" w:rsidP="00664D46">
            <w:pPr>
              <w:spacing w:line="360" w:lineRule="auto"/>
              <w:jc w:val="center"/>
            </w:pPr>
          </w:p>
        </w:tc>
        <w:tc>
          <w:tcPr>
            <w:tcW w:w="1558" w:type="dxa"/>
            <w:vMerge/>
            <w:vAlign w:val="center"/>
          </w:tcPr>
          <w:p w14:paraId="7CBEB0E5" w14:textId="77777777" w:rsidR="00D8645B" w:rsidRDefault="00D8645B" w:rsidP="00664D46">
            <w:pPr>
              <w:spacing w:line="360" w:lineRule="auto"/>
              <w:jc w:val="center"/>
            </w:pPr>
          </w:p>
        </w:tc>
        <w:tc>
          <w:tcPr>
            <w:tcW w:w="1558" w:type="dxa"/>
            <w:vAlign w:val="center"/>
          </w:tcPr>
          <w:p w14:paraId="3A9534CE" w14:textId="77777777" w:rsidR="00D8645B" w:rsidRDefault="00D8645B" w:rsidP="00664D46">
            <w:pPr>
              <w:spacing w:line="360" w:lineRule="auto"/>
              <w:jc w:val="center"/>
            </w:pPr>
            <w:r>
              <w:t>GSSG West</w:t>
            </w:r>
          </w:p>
        </w:tc>
        <w:tc>
          <w:tcPr>
            <w:tcW w:w="1558" w:type="dxa"/>
            <w:vAlign w:val="center"/>
          </w:tcPr>
          <w:p w14:paraId="0917A72B" w14:textId="77777777" w:rsidR="00D8645B" w:rsidRDefault="00D8645B" w:rsidP="00664D46">
            <w:pPr>
              <w:spacing w:line="360" w:lineRule="auto"/>
              <w:jc w:val="center"/>
            </w:pPr>
            <w:r>
              <w:t>0</w:t>
            </w:r>
          </w:p>
        </w:tc>
        <w:tc>
          <w:tcPr>
            <w:tcW w:w="1559" w:type="dxa"/>
            <w:vAlign w:val="center"/>
          </w:tcPr>
          <w:p w14:paraId="6B74D869" w14:textId="77777777" w:rsidR="00D8645B" w:rsidRDefault="00D8645B" w:rsidP="00664D46">
            <w:pPr>
              <w:spacing w:line="360" w:lineRule="auto"/>
              <w:jc w:val="center"/>
            </w:pPr>
            <w:r>
              <w:t>0</w:t>
            </w:r>
          </w:p>
        </w:tc>
        <w:tc>
          <w:tcPr>
            <w:tcW w:w="1559" w:type="dxa"/>
            <w:vAlign w:val="center"/>
          </w:tcPr>
          <w:p w14:paraId="7C9F3265" w14:textId="77777777" w:rsidR="00D8645B" w:rsidRDefault="00D8645B" w:rsidP="00664D46">
            <w:pPr>
              <w:spacing w:line="360" w:lineRule="auto"/>
              <w:jc w:val="center"/>
            </w:pPr>
            <w:r>
              <w:t>0</w:t>
            </w:r>
          </w:p>
        </w:tc>
      </w:tr>
      <w:tr w:rsidR="00D8645B" w14:paraId="5BDE2503" w14:textId="77777777" w:rsidTr="00664D46">
        <w:tc>
          <w:tcPr>
            <w:tcW w:w="1558" w:type="dxa"/>
            <w:vMerge/>
            <w:vAlign w:val="center"/>
          </w:tcPr>
          <w:p w14:paraId="50BD7A8A" w14:textId="77777777" w:rsidR="00D8645B" w:rsidRDefault="00D8645B" w:rsidP="00664D46">
            <w:pPr>
              <w:spacing w:line="360" w:lineRule="auto"/>
              <w:jc w:val="center"/>
            </w:pPr>
          </w:p>
        </w:tc>
        <w:tc>
          <w:tcPr>
            <w:tcW w:w="1558" w:type="dxa"/>
            <w:vAlign w:val="center"/>
          </w:tcPr>
          <w:p w14:paraId="1012EDD5" w14:textId="77777777" w:rsidR="00D8645B" w:rsidRDefault="00D8645B" w:rsidP="00664D46">
            <w:pPr>
              <w:spacing w:line="360" w:lineRule="auto"/>
              <w:jc w:val="center"/>
            </w:pPr>
            <w:r>
              <w:t>EM ABF</w:t>
            </w:r>
          </w:p>
        </w:tc>
        <w:tc>
          <w:tcPr>
            <w:tcW w:w="1558" w:type="dxa"/>
            <w:vAlign w:val="center"/>
          </w:tcPr>
          <w:p w14:paraId="413ACBDC" w14:textId="77777777" w:rsidR="00D8645B" w:rsidRDefault="00D8645B" w:rsidP="00664D46">
            <w:pPr>
              <w:spacing w:line="360" w:lineRule="auto"/>
              <w:jc w:val="center"/>
            </w:pPr>
            <w:r>
              <w:t>EM ABF</w:t>
            </w:r>
          </w:p>
        </w:tc>
        <w:tc>
          <w:tcPr>
            <w:tcW w:w="1558" w:type="dxa"/>
            <w:vAlign w:val="center"/>
          </w:tcPr>
          <w:p w14:paraId="07AB9BB4" w14:textId="77777777" w:rsidR="00D8645B" w:rsidRDefault="00D8645B" w:rsidP="00664D46">
            <w:pPr>
              <w:spacing w:line="360" w:lineRule="auto"/>
              <w:jc w:val="center"/>
            </w:pPr>
            <w:r>
              <w:t>0</w:t>
            </w:r>
          </w:p>
        </w:tc>
        <w:tc>
          <w:tcPr>
            <w:tcW w:w="1559" w:type="dxa"/>
            <w:vAlign w:val="center"/>
          </w:tcPr>
          <w:p w14:paraId="5D8107A1" w14:textId="77777777" w:rsidR="00D8645B" w:rsidRDefault="00D8645B" w:rsidP="00664D46">
            <w:pPr>
              <w:spacing w:line="360" w:lineRule="auto"/>
              <w:jc w:val="center"/>
            </w:pPr>
            <w:r>
              <w:t>0</w:t>
            </w:r>
          </w:p>
        </w:tc>
        <w:tc>
          <w:tcPr>
            <w:tcW w:w="1559" w:type="dxa"/>
            <w:vAlign w:val="center"/>
          </w:tcPr>
          <w:p w14:paraId="3A0E9104" w14:textId="77777777" w:rsidR="00D8645B" w:rsidRDefault="00D8645B" w:rsidP="00664D46">
            <w:pPr>
              <w:spacing w:line="360" w:lineRule="auto"/>
              <w:jc w:val="center"/>
            </w:pPr>
            <w:r>
              <w:t>0</w:t>
            </w:r>
          </w:p>
        </w:tc>
      </w:tr>
      <w:tr w:rsidR="00D8645B" w14:paraId="107B86B8" w14:textId="77777777" w:rsidTr="00664D46">
        <w:tc>
          <w:tcPr>
            <w:tcW w:w="1558" w:type="dxa"/>
            <w:vMerge/>
            <w:vAlign w:val="center"/>
          </w:tcPr>
          <w:p w14:paraId="743EC6C4" w14:textId="77777777" w:rsidR="00D8645B" w:rsidRDefault="00D8645B" w:rsidP="00664D46">
            <w:pPr>
              <w:spacing w:line="360" w:lineRule="auto"/>
              <w:jc w:val="center"/>
            </w:pPr>
          </w:p>
        </w:tc>
        <w:tc>
          <w:tcPr>
            <w:tcW w:w="1558" w:type="dxa"/>
            <w:vMerge w:val="restart"/>
            <w:vAlign w:val="center"/>
          </w:tcPr>
          <w:p w14:paraId="275C55E0" w14:textId="77777777" w:rsidR="00D8645B" w:rsidRDefault="00D8645B" w:rsidP="00664D46">
            <w:pPr>
              <w:spacing w:line="360" w:lineRule="auto"/>
              <w:jc w:val="center"/>
            </w:pPr>
            <w:r>
              <w:t>Equities</w:t>
            </w:r>
          </w:p>
        </w:tc>
        <w:tc>
          <w:tcPr>
            <w:tcW w:w="1558" w:type="dxa"/>
            <w:vAlign w:val="center"/>
          </w:tcPr>
          <w:p w14:paraId="1C5731D7" w14:textId="77777777" w:rsidR="00D8645B" w:rsidRDefault="00D8645B" w:rsidP="00664D46">
            <w:pPr>
              <w:spacing w:line="360" w:lineRule="auto"/>
              <w:jc w:val="center"/>
            </w:pPr>
            <w:r>
              <w:t>Cash</w:t>
            </w:r>
          </w:p>
        </w:tc>
        <w:tc>
          <w:tcPr>
            <w:tcW w:w="1558" w:type="dxa"/>
            <w:vAlign w:val="center"/>
          </w:tcPr>
          <w:p w14:paraId="581FD92D" w14:textId="77777777" w:rsidR="00D8645B" w:rsidRDefault="00D8645B" w:rsidP="00664D46">
            <w:pPr>
              <w:spacing w:line="360" w:lineRule="auto"/>
              <w:jc w:val="center"/>
            </w:pPr>
            <w:r>
              <w:t>205</w:t>
            </w:r>
          </w:p>
        </w:tc>
        <w:tc>
          <w:tcPr>
            <w:tcW w:w="1559" w:type="dxa"/>
            <w:vAlign w:val="center"/>
          </w:tcPr>
          <w:p w14:paraId="58DB658B" w14:textId="77777777" w:rsidR="00D8645B" w:rsidRDefault="00D8645B" w:rsidP="00664D46">
            <w:pPr>
              <w:spacing w:line="360" w:lineRule="auto"/>
              <w:jc w:val="center"/>
            </w:pPr>
            <w:r>
              <w:t>203</w:t>
            </w:r>
          </w:p>
        </w:tc>
        <w:tc>
          <w:tcPr>
            <w:tcW w:w="1559" w:type="dxa"/>
            <w:vAlign w:val="center"/>
          </w:tcPr>
          <w:p w14:paraId="73D3694C" w14:textId="77777777" w:rsidR="00D8645B" w:rsidRDefault="00D8645B" w:rsidP="00664D46">
            <w:pPr>
              <w:spacing w:line="360" w:lineRule="auto"/>
              <w:jc w:val="center"/>
            </w:pPr>
            <w:r>
              <w:t>-2</w:t>
            </w:r>
          </w:p>
        </w:tc>
      </w:tr>
      <w:tr w:rsidR="00D8645B" w14:paraId="5DEA1B83" w14:textId="77777777" w:rsidTr="00664D46">
        <w:tc>
          <w:tcPr>
            <w:tcW w:w="1558" w:type="dxa"/>
            <w:vMerge/>
            <w:vAlign w:val="center"/>
          </w:tcPr>
          <w:p w14:paraId="6DEBE8EE" w14:textId="77777777" w:rsidR="00D8645B" w:rsidRDefault="00D8645B" w:rsidP="00664D46">
            <w:pPr>
              <w:spacing w:line="360" w:lineRule="auto"/>
              <w:jc w:val="center"/>
            </w:pPr>
          </w:p>
        </w:tc>
        <w:tc>
          <w:tcPr>
            <w:tcW w:w="1558" w:type="dxa"/>
            <w:vMerge/>
            <w:vAlign w:val="center"/>
          </w:tcPr>
          <w:p w14:paraId="0E53D31F" w14:textId="77777777" w:rsidR="00D8645B" w:rsidRDefault="00D8645B" w:rsidP="00664D46">
            <w:pPr>
              <w:spacing w:line="360" w:lineRule="auto"/>
              <w:jc w:val="center"/>
            </w:pPr>
          </w:p>
        </w:tc>
        <w:tc>
          <w:tcPr>
            <w:tcW w:w="1558" w:type="dxa"/>
            <w:vAlign w:val="center"/>
          </w:tcPr>
          <w:p w14:paraId="40D70C07" w14:textId="77777777" w:rsidR="00D8645B" w:rsidRDefault="00D8645B" w:rsidP="00664D46">
            <w:pPr>
              <w:spacing w:line="360" w:lineRule="auto"/>
              <w:jc w:val="center"/>
            </w:pPr>
            <w:r>
              <w:t>Converts</w:t>
            </w:r>
          </w:p>
        </w:tc>
        <w:tc>
          <w:tcPr>
            <w:tcW w:w="1558" w:type="dxa"/>
            <w:vAlign w:val="center"/>
          </w:tcPr>
          <w:p w14:paraId="14F53220" w14:textId="77777777" w:rsidR="00D8645B" w:rsidRDefault="00D8645B" w:rsidP="00664D46">
            <w:pPr>
              <w:spacing w:line="360" w:lineRule="auto"/>
              <w:jc w:val="center"/>
            </w:pPr>
            <w:r>
              <w:t>93</w:t>
            </w:r>
          </w:p>
        </w:tc>
        <w:tc>
          <w:tcPr>
            <w:tcW w:w="1559" w:type="dxa"/>
            <w:vAlign w:val="center"/>
          </w:tcPr>
          <w:p w14:paraId="1D90B757" w14:textId="77777777" w:rsidR="00D8645B" w:rsidRDefault="00D8645B" w:rsidP="00664D46">
            <w:pPr>
              <w:spacing w:line="360" w:lineRule="auto"/>
              <w:jc w:val="center"/>
            </w:pPr>
            <w:r>
              <w:t>94</w:t>
            </w:r>
          </w:p>
        </w:tc>
        <w:tc>
          <w:tcPr>
            <w:tcW w:w="1559" w:type="dxa"/>
            <w:vAlign w:val="center"/>
          </w:tcPr>
          <w:p w14:paraId="53D6438B" w14:textId="77777777" w:rsidR="00D8645B" w:rsidRDefault="00D8645B" w:rsidP="00664D46">
            <w:pPr>
              <w:spacing w:line="360" w:lineRule="auto"/>
              <w:jc w:val="center"/>
            </w:pPr>
            <w:r>
              <w:t>1</w:t>
            </w:r>
          </w:p>
        </w:tc>
      </w:tr>
      <w:tr w:rsidR="00D8645B" w14:paraId="45F9EC80" w14:textId="77777777" w:rsidTr="00664D46">
        <w:tc>
          <w:tcPr>
            <w:tcW w:w="1558" w:type="dxa"/>
            <w:vMerge/>
            <w:vAlign w:val="center"/>
          </w:tcPr>
          <w:p w14:paraId="792E5FA1" w14:textId="77777777" w:rsidR="00D8645B" w:rsidRDefault="00D8645B" w:rsidP="00664D46">
            <w:pPr>
              <w:spacing w:line="360" w:lineRule="auto"/>
              <w:jc w:val="center"/>
            </w:pPr>
          </w:p>
        </w:tc>
        <w:tc>
          <w:tcPr>
            <w:tcW w:w="1558" w:type="dxa"/>
            <w:vMerge/>
            <w:vAlign w:val="center"/>
          </w:tcPr>
          <w:p w14:paraId="0317AB0A" w14:textId="77777777" w:rsidR="00D8645B" w:rsidRDefault="00D8645B" w:rsidP="00664D46">
            <w:pPr>
              <w:spacing w:line="360" w:lineRule="auto"/>
              <w:jc w:val="center"/>
            </w:pPr>
          </w:p>
        </w:tc>
        <w:tc>
          <w:tcPr>
            <w:tcW w:w="1558" w:type="dxa"/>
            <w:vAlign w:val="center"/>
          </w:tcPr>
          <w:p w14:paraId="3E094260" w14:textId="77777777" w:rsidR="00D8645B" w:rsidRDefault="00D8645B" w:rsidP="00664D46">
            <w:pPr>
              <w:spacing w:line="360" w:lineRule="auto"/>
              <w:jc w:val="center"/>
            </w:pPr>
            <w:r>
              <w:t>Equity Derivatives</w:t>
            </w:r>
          </w:p>
        </w:tc>
        <w:tc>
          <w:tcPr>
            <w:tcW w:w="1558" w:type="dxa"/>
            <w:vAlign w:val="center"/>
          </w:tcPr>
          <w:p w14:paraId="04442902" w14:textId="77777777" w:rsidR="00D8645B" w:rsidRDefault="00D8645B" w:rsidP="00664D46">
            <w:pPr>
              <w:spacing w:line="360" w:lineRule="auto"/>
              <w:jc w:val="center"/>
            </w:pPr>
            <w:r>
              <w:t>336</w:t>
            </w:r>
          </w:p>
        </w:tc>
        <w:tc>
          <w:tcPr>
            <w:tcW w:w="1559" w:type="dxa"/>
            <w:vAlign w:val="center"/>
          </w:tcPr>
          <w:p w14:paraId="45E5EAD2" w14:textId="77777777" w:rsidR="00D8645B" w:rsidRDefault="00D8645B" w:rsidP="00664D46">
            <w:pPr>
              <w:spacing w:line="360" w:lineRule="auto"/>
              <w:jc w:val="center"/>
            </w:pPr>
            <w:r>
              <w:t>327</w:t>
            </w:r>
          </w:p>
        </w:tc>
        <w:tc>
          <w:tcPr>
            <w:tcW w:w="1559" w:type="dxa"/>
            <w:vAlign w:val="center"/>
          </w:tcPr>
          <w:p w14:paraId="206E63DE" w14:textId="77777777" w:rsidR="00D8645B" w:rsidRDefault="00D8645B" w:rsidP="00664D46">
            <w:pPr>
              <w:spacing w:line="360" w:lineRule="auto"/>
              <w:jc w:val="center"/>
            </w:pPr>
            <w:r>
              <w:t>-9</w:t>
            </w:r>
          </w:p>
        </w:tc>
      </w:tr>
      <w:tr w:rsidR="00D8645B" w14:paraId="251706E0" w14:textId="77777777" w:rsidTr="00664D46">
        <w:tc>
          <w:tcPr>
            <w:tcW w:w="1558" w:type="dxa"/>
            <w:vMerge/>
            <w:vAlign w:val="center"/>
          </w:tcPr>
          <w:p w14:paraId="1FF2D4D3" w14:textId="77777777" w:rsidR="00D8645B" w:rsidRDefault="00D8645B" w:rsidP="00664D46">
            <w:pPr>
              <w:spacing w:line="360" w:lineRule="auto"/>
              <w:jc w:val="center"/>
            </w:pPr>
          </w:p>
        </w:tc>
        <w:tc>
          <w:tcPr>
            <w:tcW w:w="1558" w:type="dxa"/>
            <w:vAlign w:val="center"/>
          </w:tcPr>
          <w:p w14:paraId="41DB72D3" w14:textId="77777777" w:rsidR="00D8645B" w:rsidRDefault="00D8645B" w:rsidP="00664D46">
            <w:pPr>
              <w:spacing w:line="360" w:lineRule="auto"/>
              <w:jc w:val="center"/>
            </w:pPr>
            <w:r>
              <w:t>Equity Under-writing</w:t>
            </w:r>
          </w:p>
        </w:tc>
        <w:tc>
          <w:tcPr>
            <w:tcW w:w="1558" w:type="dxa"/>
            <w:vAlign w:val="center"/>
          </w:tcPr>
          <w:p w14:paraId="1AD0F022" w14:textId="77777777" w:rsidR="00D8645B" w:rsidRDefault="00D8645B" w:rsidP="00664D46">
            <w:pPr>
              <w:spacing w:line="360" w:lineRule="auto"/>
              <w:jc w:val="center"/>
            </w:pPr>
            <w:r>
              <w:t>Equity Under-writing</w:t>
            </w:r>
          </w:p>
        </w:tc>
        <w:tc>
          <w:tcPr>
            <w:tcW w:w="1558" w:type="dxa"/>
            <w:vAlign w:val="center"/>
          </w:tcPr>
          <w:p w14:paraId="5C98F5E8" w14:textId="77777777" w:rsidR="00D8645B" w:rsidRDefault="00D8645B" w:rsidP="00664D46">
            <w:pPr>
              <w:spacing w:line="360" w:lineRule="auto"/>
              <w:jc w:val="center"/>
            </w:pPr>
            <w:r>
              <w:t>50</w:t>
            </w:r>
          </w:p>
        </w:tc>
        <w:tc>
          <w:tcPr>
            <w:tcW w:w="1559" w:type="dxa"/>
            <w:vAlign w:val="center"/>
          </w:tcPr>
          <w:p w14:paraId="731EAFE7" w14:textId="77777777" w:rsidR="00D8645B" w:rsidRDefault="00D8645B" w:rsidP="00664D46">
            <w:pPr>
              <w:spacing w:line="360" w:lineRule="auto"/>
              <w:jc w:val="center"/>
            </w:pPr>
            <w:r>
              <w:t>50</w:t>
            </w:r>
          </w:p>
        </w:tc>
        <w:tc>
          <w:tcPr>
            <w:tcW w:w="1559" w:type="dxa"/>
            <w:vAlign w:val="center"/>
          </w:tcPr>
          <w:p w14:paraId="7B4F1CF6" w14:textId="77777777" w:rsidR="00D8645B" w:rsidRDefault="00D8645B" w:rsidP="00664D46">
            <w:pPr>
              <w:spacing w:line="360" w:lineRule="auto"/>
              <w:jc w:val="center"/>
            </w:pPr>
            <w:r>
              <w:t>0</w:t>
            </w:r>
          </w:p>
        </w:tc>
      </w:tr>
      <w:tr w:rsidR="00D8645B" w14:paraId="293C31FD" w14:textId="77777777" w:rsidTr="00664D46">
        <w:tc>
          <w:tcPr>
            <w:tcW w:w="1558" w:type="dxa"/>
            <w:vMerge/>
            <w:vAlign w:val="center"/>
          </w:tcPr>
          <w:p w14:paraId="7F6F7C70" w14:textId="77777777" w:rsidR="00D8645B" w:rsidRDefault="00D8645B" w:rsidP="00664D46">
            <w:pPr>
              <w:spacing w:line="360" w:lineRule="auto"/>
              <w:jc w:val="center"/>
            </w:pPr>
          </w:p>
        </w:tc>
        <w:tc>
          <w:tcPr>
            <w:tcW w:w="1558" w:type="dxa"/>
            <w:vMerge w:val="restart"/>
            <w:vAlign w:val="center"/>
          </w:tcPr>
          <w:p w14:paraId="7305D650" w14:textId="77777777" w:rsidR="00D8645B" w:rsidRDefault="00D8645B" w:rsidP="00664D46">
            <w:pPr>
              <w:spacing w:line="360" w:lineRule="auto"/>
              <w:jc w:val="center"/>
            </w:pPr>
            <w:r>
              <w:t>Fixed Income Under-writing</w:t>
            </w:r>
          </w:p>
        </w:tc>
        <w:tc>
          <w:tcPr>
            <w:tcW w:w="1558" w:type="dxa"/>
            <w:vAlign w:val="center"/>
          </w:tcPr>
          <w:p w14:paraId="41FB9E31" w14:textId="77777777" w:rsidR="00D8645B" w:rsidRDefault="00D8645B" w:rsidP="00664D46">
            <w:pPr>
              <w:spacing w:line="360" w:lineRule="auto"/>
              <w:jc w:val="center"/>
            </w:pPr>
            <w:r>
              <w:t>EM Bonds</w:t>
            </w:r>
          </w:p>
        </w:tc>
        <w:tc>
          <w:tcPr>
            <w:tcW w:w="1558" w:type="dxa"/>
            <w:vAlign w:val="center"/>
          </w:tcPr>
          <w:p w14:paraId="6CF0A3A0" w14:textId="77777777" w:rsidR="00D8645B" w:rsidRDefault="00D8645B" w:rsidP="00664D46">
            <w:pPr>
              <w:spacing w:line="360" w:lineRule="auto"/>
              <w:jc w:val="center"/>
            </w:pPr>
            <w:r>
              <w:t>0</w:t>
            </w:r>
          </w:p>
        </w:tc>
        <w:tc>
          <w:tcPr>
            <w:tcW w:w="1559" w:type="dxa"/>
            <w:vAlign w:val="center"/>
          </w:tcPr>
          <w:p w14:paraId="66C22B8E" w14:textId="77777777" w:rsidR="00D8645B" w:rsidRDefault="00D8645B" w:rsidP="00664D46">
            <w:pPr>
              <w:spacing w:line="360" w:lineRule="auto"/>
              <w:jc w:val="center"/>
            </w:pPr>
            <w:r>
              <w:t>0</w:t>
            </w:r>
          </w:p>
        </w:tc>
        <w:tc>
          <w:tcPr>
            <w:tcW w:w="1559" w:type="dxa"/>
            <w:vAlign w:val="center"/>
          </w:tcPr>
          <w:p w14:paraId="420DDF4C" w14:textId="77777777" w:rsidR="00D8645B" w:rsidRDefault="00D8645B" w:rsidP="00664D46">
            <w:pPr>
              <w:spacing w:line="360" w:lineRule="auto"/>
              <w:jc w:val="center"/>
            </w:pPr>
            <w:r>
              <w:t>0</w:t>
            </w:r>
          </w:p>
        </w:tc>
      </w:tr>
      <w:tr w:rsidR="00D8645B" w14:paraId="617395AE" w14:textId="77777777" w:rsidTr="00664D46">
        <w:tc>
          <w:tcPr>
            <w:tcW w:w="1558" w:type="dxa"/>
            <w:vMerge/>
            <w:vAlign w:val="center"/>
          </w:tcPr>
          <w:p w14:paraId="0556866A" w14:textId="77777777" w:rsidR="00D8645B" w:rsidRDefault="00D8645B" w:rsidP="00664D46">
            <w:pPr>
              <w:spacing w:line="360" w:lineRule="auto"/>
              <w:jc w:val="center"/>
            </w:pPr>
          </w:p>
        </w:tc>
        <w:tc>
          <w:tcPr>
            <w:tcW w:w="1558" w:type="dxa"/>
            <w:vMerge/>
            <w:vAlign w:val="center"/>
          </w:tcPr>
          <w:p w14:paraId="636F3944" w14:textId="77777777" w:rsidR="00D8645B" w:rsidRDefault="00D8645B" w:rsidP="00664D46">
            <w:pPr>
              <w:spacing w:line="360" w:lineRule="auto"/>
              <w:jc w:val="center"/>
            </w:pPr>
          </w:p>
        </w:tc>
        <w:tc>
          <w:tcPr>
            <w:tcW w:w="1558" w:type="dxa"/>
            <w:vAlign w:val="center"/>
          </w:tcPr>
          <w:p w14:paraId="3CF4DEB6" w14:textId="77777777" w:rsidR="00D8645B" w:rsidRDefault="00D8645B" w:rsidP="00664D46">
            <w:pPr>
              <w:spacing w:line="360" w:lineRule="auto"/>
              <w:jc w:val="center"/>
            </w:pPr>
            <w:r>
              <w:t>EM Primary Loans</w:t>
            </w:r>
          </w:p>
        </w:tc>
        <w:tc>
          <w:tcPr>
            <w:tcW w:w="1558" w:type="dxa"/>
            <w:vAlign w:val="center"/>
          </w:tcPr>
          <w:p w14:paraId="1910D35F" w14:textId="77777777" w:rsidR="00D8645B" w:rsidRDefault="00D8645B" w:rsidP="00664D46">
            <w:pPr>
              <w:spacing w:line="360" w:lineRule="auto"/>
              <w:jc w:val="center"/>
            </w:pPr>
            <w:r>
              <w:t>0</w:t>
            </w:r>
          </w:p>
        </w:tc>
        <w:tc>
          <w:tcPr>
            <w:tcW w:w="1559" w:type="dxa"/>
            <w:vAlign w:val="center"/>
          </w:tcPr>
          <w:p w14:paraId="3589A287" w14:textId="77777777" w:rsidR="00D8645B" w:rsidRDefault="00D8645B" w:rsidP="00664D46">
            <w:pPr>
              <w:spacing w:line="360" w:lineRule="auto"/>
              <w:jc w:val="center"/>
            </w:pPr>
            <w:r>
              <w:t>0</w:t>
            </w:r>
          </w:p>
        </w:tc>
        <w:tc>
          <w:tcPr>
            <w:tcW w:w="1559" w:type="dxa"/>
            <w:vAlign w:val="center"/>
          </w:tcPr>
          <w:p w14:paraId="7C2CE5AA" w14:textId="77777777" w:rsidR="00D8645B" w:rsidRDefault="00D8645B" w:rsidP="00664D46">
            <w:pPr>
              <w:spacing w:line="360" w:lineRule="auto"/>
              <w:jc w:val="center"/>
            </w:pPr>
            <w:r>
              <w:t>0</w:t>
            </w:r>
          </w:p>
        </w:tc>
      </w:tr>
      <w:tr w:rsidR="00D8645B" w14:paraId="20E00795" w14:textId="77777777" w:rsidTr="00664D46">
        <w:tc>
          <w:tcPr>
            <w:tcW w:w="1558" w:type="dxa"/>
            <w:vMerge/>
            <w:vAlign w:val="center"/>
          </w:tcPr>
          <w:p w14:paraId="2A4215D8" w14:textId="77777777" w:rsidR="00D8645B" w:rsidRDefault="00D8645B" w:rsidP="00664D46">
            <w:pPr>
              <w:spacing w:line="360" w:lineRule="auto"/>
              <w:jc w:val="center"/>
            </w:pPr>
          </w:p>
        </w:tc>
        <w:tc>
          <w:tcPr>
            <w:tcW w:w="1558" w:type="dxa"/>
            <w:vMerge/>
            <w:vAlign w:val="center"/>
          </w:tcPr>
          <w:p w14:paraId="444CCCF2" w14:textId="77777777" w:rsidR="00D8645B" w:rsidRDefault="00D8645B" w:rsidP="00664D46">
            <w:pPr>
              <w:spacing w:line="360" w:lineRule="auto"/>
              <w:jc w:val="center"/>
            </w:pPr>
          </w:p>
        </w:tc>
        <w:tc>
          <w:tcPr>
            <w:tcW w:w="1558" w:type="dxa"/>
            <w:vAlign w:val="center"/>
          </w:tcPr>
          <w:p w14:paraId="515F32B6" w14:textId="77777777" w:rsidR="00D8645B" w:rsidRDefault="00D8645B" w:rsidP="00664D46">
            <w:pPr>
              <w:spacing w:line="360" w:lineRule="auto"/>
              <w:jc w:val="center"/>
            </w:pPr>
            <w:r>
              <w:t>IG Bonds</w:t>
            </w:r>
          </w:p>
        </w:tc>
        <w:tc>
          <w:tcPr>
            <w:tcW w:w="1558" w:type="dxa"/>
            <w:vAlign w:val="center"/>
          </w:tcPr>
          <w:p w14:paraId="4C293EF1" w14:textId="77777777" w:rsidR="00D8645B" w:rsidRDefault="00D8645B" w:rsidP="00664D46">
            <w:pPr>
              <w:spacing w:line="360" w:lineRule="auto"/>
              <w:jc w:val="center"/>
            </w:pPr>
            <w:r>
              <w:t>124</w:t>
            </w:r>
          </w:p>
        </w:tc>
        <w:tc>
          <w:tcPr>
            <w:tcW w:w="1559" w:type="dxa"/>
            <w:vAlign w:val="center"/>
          </w:tcPr>
          <w:p w14:paraId="656080AF" w14:textId="77777777" w:rsidR="00D8645B" w:rsidRDefault="00D8645B" w:rsidP="00664D46">
            <w:pPr>
              <w:spacing w:line="360" w:lineRule="auto"/>
              <w:jc w:val="center"/>
            </w:pPr>
            <w:r>
              <w:t>124</w:t>
            </w:r>
          </w:p>
        </w:tc>
        <w:tc>
          <w:tcPr>
            <w:tcW w:w="1559" w:type="dxa"/>
            <w:vAlign w:val="center"/>
          </w:tcPr>
          <w:p w14:paraId="4235B14F" w14:textId="77777777" w:rsidR="00D8645B" w:rsidRDefault="00D8645B" w:rsidP="00664D46">
            <w:pPr>
              <w:spacing w:line="360" w:lineRule="auto"/>
              <w:jc w:val="center"/>
            </w:pPr>
            <w:r>
              <w:t>0</w:t>
            </w:r>
          </w:p>
        </w:tc>
      </w:tr>
      <w:tr w:rsidR="00D8645B" w14:paraId="54C2136C" w14:textId="77777777" w:rsidTr="00664D46">
        <w:tc>
          <w:tcPr>
            <w:tcW w:w="1558" w:type="dxa"/>
            <w:vMerge/>
            <w:vAlign w:val="center"/>
          </w:tcPr>
          <w:p w14:paraId="4D8F9779" w14:textId="77777777" w:rsidR="00D8645B" w:rsidRDefault="00D8645B" w:rsidP="00664D46">
            <w:pPr>
              <w:spacing w:line="360" w:lineRule="auto"/>
              <w:jc w:val="center"/>
            </w:pPr>
          </w:p>
        </w:tc>
        <w:tc>
          <w:tcPr>
            <w:tcW w:w="1558" w:type="dxa"/>
            <w:vMerge/>
            <w:vAlign w:val="center"/>
          </w:tcPr>
          <w:p w14:paraId="18B2ED94" w14:textId="77777777" w:rsidR="00D8645B" w:rsidRDefault="00D8645B" w:rsidP="00664D46">
            <w:pPr>
              <w:spacing w:line="360" w:lineRule="auto"/>
              <w:jc w:val="center"/>
            </w:pPr>
          </w:p>
        </w:tc>
        <w:tc>
          <w:tcPr>
            <w:tcW w:w="1558" w:type="dxa"/>
            <w:vAlign w:val="center"/>
          </w:tcPr>
          <w:p w14:paraId="2350FA78" w14:textId="77777777" w:rsidR="00D8645B" w:rsidRDefault="00D8645B" w:rsidP="00664D46">
            <w:pPr>
              <w:spacing w:line="360" w:lineRule="auto"/>
              <w:jc w:val="center"/>
            </w:pPr>
            <w:r>
              <w:t>IG Primary Loans</w:t>
            </w:r>
          </w:p>
        </w:tc>
        <w:tc>
          <w:tcPr>
            <w:tcW w:w="1558" w:type="dxa"/>
            <w:vAlign w:val="center"/>
          </w:tcPr>
          <w:p w14:paraId="74A58DCE" w14:textId="77777777" w:rsidR="00D8645B" w:rsidRDefault="00D8645B" w:rsidP="00664D46">
            <w:pPr>
              <w:spacing w:line="360" w:lineRule="auto"/>
              <w:jc w:val="center"/>
            </w:pPr>
            <w:r>
              <w:t>0</w:t>
            </w:r>
          </w:p>
        </w:tc>
        <w:tc>
          <w:tcPr>
            <w:tcW w:w="1559" w:type="dxa"/>
            <w:vAlign w:val="center"/>
          </w:tcPr>
          <w:p w14:paraId="0E3E0B3B" w14:textId="77777777" w:rsidR="00D8645B" w:rsidRDefault="00D8645B" w:rsidP="00664D46">
            <w:pPr>
              <w:spacing w:line="360" w:lineRule="auto"/>
              <w:jc w:val="center"/>
            </w:pPr>
            <w:r>
              <w:t>0</w:t>
            </w:r>
          </w:p>
        </w:tc>
        <w:tc>
          <w:tcPr>
            <w:tcW w:w="1559" w:type="dxa"/>
            <w:vAlign w:val="center"/>
          </w:tcPr>
          <w:p w14:paraId="7D417F6A" w14:textId="77777777" w:rsidR="00D8645B" w:rsidRDefault="00D8645B" w:rsidP="00664D46">
            <w:pPr>
              <w:spacing w:line="360" w:lineRule="auto"/>
              <w:jc w:val="center"/>
            </w:pPr>
            <w:r>
              <w:t>0</w:t>
            </w:r>
          </w:p>
        </w:tc>
      </w:tr>
      <w:tr w:rsidR="00D8645B" w14:paraId="4CFBEC92" w14:textId="77777777" w:rsidTr="00664D46">
        <w:tc>
          <w:tcPr>
            <w:tcW w:w="1558" w:type="dxa"/>
            <w:vMerge/>
            <w:vAlign w:val="center"/>
          </w:tcPr>
          <w:p w14:paraId="346FF146" w14:textId="77777777" w:rsidR="00D8645B" w:rsidRDefault="00D8645B" w:rsidP="00664D46">
            <w:pPr>
              <w:spacing w:line="360" w:lineRule="auto"/>
              <w:jc w:val="center"/>
            </w:pPr>
          </w:p>
        </w:tc>
        <w:tc>
          <w:tcPr>
            <w:tcW w:w="1558" w:type="dxa"/>
            <w:vMerge/>
            <w:vAlign w:val="center"/>
          </w:tcPr>
          <w:p w14:paraId="4587D881" w14:textId="77777777" w:rsidR="00D8645B" w:rsidRDefault="00D8645B" w:rsidP="00664D46">
            <w:pPr>
              <w:spacing w:line="360" w:lineRule="auto"/>
              <w:jc w:val="center"/>
            </w:pPr>
          </w:p>
        </w:tc>
        <w:tc>
          <w:tcPr>
            <w:tcW w:w="1558" w:type="dxa"/>
            <w:vAlign w:val="center"/>
          </w:tcPr>
          <w:p w14:paraId="0789B10C" w14:textId="77777777" w:rsidR="00D8645B" w:rsidRDefault="00D8645B" w:rsidP="00664D46">
            <w:pPr>
              <w:spacing w:line="360" w:lineRule="auto"/>
              <w:jc w:val="center"/>
            </w:pPr>
            <w:r>
              <w:t>Leveraged Finance</w:t>
            </w:r>
          </w:p>
        </w:tc>
        <w:tc>
          <w:tcPr>
            <w:tcW w:w="1558" w:type="dxa"/>
            <w:vAlign w:val="center"/>
          </w:tcPr>
          <w:p w14:paraId="4859C737" w14:textId="77777777" w:rsidR="00D8645B" w:rsidRDefault="00D8645B" w:rsidP="00664D46">
            <w:pPr>
              <w:spacing w:line="360" w:lineRule="auto"/>
              <w:jc w:val="center"/>
            </w:pPr>
            <w:r>
              <w:t>0</w:t>
            </w:r>
          </w:p>
        </w:tc>
        <w:tc>
          <w:tcPr>
            <w:tcW w:w="1559" w:type="dxa"/>
            <w:vAlign w:val="center"/>
          </w:tcPr>
          <w:p w14:paraId="373C691D" w14:textId="77777777" w:rsidR="00D8645B" w:rsidRDefault="00D8645B" w:rsidP="00664D46">
            <w:pPr>
              <w:spacing w:line="360" w:lineRule="auto"/>
              <w:jc w:val="center"/>
            </w:pPr>
            <w:r>
              <w:t>0</w:t>
            </w:r>
          </w:p>
        </w:tc>
        <w:tc>
          <w:tcPr>
            <w:tcW w:w="1559" w:type="dxa"/>
            <w:vAlign w:val="center"/>
          </w:tcPr>
          <w:p w14:paraId="23995919" w14:textId="77777777" w:rsidR="00D8645B" w:rsidRDefault="00D8645B" w:rsidP="00664D46">
            <w:pPr>
              <w:spacing w:line="360" w:lineRule="auto"/>
              <w:jc w:val="center"/>
            </w:pPr>
            <w:r>
              <w:t>0</w:t>
            </w:r>
          </w:p>
        </w:tc>
      </w:tr>
      <w:tr w:rsidR="00D8645B" w14:paraId="6A8D3484" w14:textId="77777777" w:rsidTr="00664D46">
        <w:tc>
          <w:tcPr>
            <w:tcW w:w="1558" w:type="dxa"/>
            <w:vMerge/>
            <w:vAlign w:val="center"/>
          </w:tcPr>
          <w:p w14:paraId="77AF8ABB" w14:textId="77777777" w:rsidR="00D8645B" w:rsidRDefault="00D8645B" w:rsidP="00664D46">
            <w:pPr>
              <w:spacing w:line="360" w:lineRule="auto"/>
              <w:jc w:val="center"/>
            </w:pPr>
          </w:p>
        </w:tc>
        <w:tc>
          <w:tcPr>
            <w:tcW w:w="1558" w:type="dxa"/>
            <w:vMerge/>
            <w:vAlign w:val="center"/>
          </w:tcPr>
          <w:p w14:paraId="246A2524" w14:textId="77777777" w:rsidR="00D8645B" w:rsidRDefault="00D8645B" w:rsidP="00664D46">
            <w:pPr>
              <w:spacing w:line="360" w:lineRule="auto"/>
              <w:jc w:val="center"/>
            </w:pPr>
          </w:p>
        </w:tc>
        <w:tc>
          <w:tcPr>
            <w:tcW w:w="1558" w:type="dxa"/>
            <w:vAlign w:val="center"/>
          </w:tcPr>
          <w:p w14:paraId="171F9DA3" w14:textId="77777777" w:rsidR="00D8645B" w:rsidRDefault="00D8645B" w:rsidP="00664D46">
            <w:pPr>
              <w:spacing w:line="360" w:lineRule="auto"/>
              <w:jc w:val="center"/>
            </w:pPr>
            <w:r>
              <w:t>Other FI Under-writing</w:t>
            </w:r>
          </w:p>
        </w:tc>
        <w:tc>
          <w:tcPr>
            <w:tcW w:w="1558" w:type="dxa"/>
            <w:vAlign w:val="center"/>
          </w:tcPr>
          <w:p w14:paraId="32EF3B99" w14:textId="77777777" w:rsidR="00D8645B" w:rsidRDefault="00D8645B" w:rsidP="00664D46">
            <w:pPr>
              <w:spacing w:line="360" w:lineRule="auto"/>
              <w:jc w:val="center"/>
            </w:pPr>
            <w:r>
              <w:t>77</w:t>
            </w:r>
          </w:p>
        </w:tc>
        <w:tc>
          <w:tcPr>
            <w:tcW w:w="1559" w:type="dxa"/>
            <w:vAlign w:val="center"/>
          </w:tcPr>
          <w:p w14:paraId="1ECE3E11" w14:textId="77777777" w:rsidR="00D8645B" w:rsidRDefault="00D8645B" w:rsidP="00664D46">
            <w:pPr>
              <w:spacing w:line="360" w:lineRule="auto"/>
              <w:jc w:val="center"/>
            </w:pPr>
            <w:r>
              <w:t>75</w:t>
            </w:r>
          </w:p>
        </w:tc>
        <w:tc>
          <w:tcPr>
            <w:tcW w:w="1559" w:type="dxa"/>
            <w:vAlign w:val="center"/>
          </w:tcPr>
          <w:p w14:paraId="692FD1B6" w14:textId="77777777" w:rsidR="00D8645B" w:rsidRDefault="00D8645B" w:rsidP="00664D46">
            <w:pPr>
              <w:spacing w:line="360" w:lineRule="auto"/>
              <w:jc w:val="center"/>
            </w:pPr>
            <w:r>
              <w:t>-1</w:t>
            </w:r>
          </w:p>
        </w:tc>
      </w:tr>
      <w:tr w:rsidR="00D8645B" w14:paraId="26567FFB" w14:textId="77777777" w:rsidTr="00664D46">
        <w:tc>
          <w:tcPr>
            <w:tcW w:w="1558" w:type="dxa"/>
            <w:vMerge/>
            <w:vAlign w:val="center"/>
          </w:tcPr>
          <w:p w14:paraId="4624A064" w14:textId="77777777" w:rsidR="00D8645B" w:rsidRDefault="00D8645B" w:rsidP="00664D46">
            <w:pPr>
              <w:spacing w:line="360" w:lineRule="auto"/>
              <w:jc w:val="center"/>
            </w:pPr>
          </w:p>
        </w:tc>
        <w:tc>
          <w:tcPr>
            <w:tcW w:w="1558" w:type="dxa"/>
            <w:vMerge/>
            <w:vAlign w:val="center"/>
          </w:tcPr>
          <w:p w14:paraId="062A0083" w14:textId="77777777" w:rsidR="00D8645B" w:rsidRDefault="00D8645B" w:rsidP="00664D46">
            <w:pPr>
              <w:spacing w:line="360" w:lineRule="auto"/>
              <w:jc w:val="center"/>
            </w:pPr>
          </w:p>
        </w:tc>
        <w:tc>
          <w:tcPr>
            <w:tcW w:w="1558" w:type="dxa"/>
            <w:vAlign w:val="center"/>
          </w:tcPr>
          <w:p w14:paraId="14624F73" w14:textId="77777777" w:rsidR="00D8645B" w:rsidRDefault="00D8645B" w:rsidP="00664D46">
            <w:pPr>
              <w:spacing w:line="360" w:lineRule="auto"/>
              <w:jc w:val="center"/>
            </w:pPr>
            <w:r>
              <w:t>Project Finance</w:t>
            </w:r>
          </w:p>
        </w:tc>
        <w:tc>
          <w:tcPr>
            <w:tcW w:w="1558" w:type="dxa"/>
            <w:vAlign w:val="center"/>
          </w:tcPr>
          <w:p w14:paraId="1A8EA88D" w14:textId="77777777" w:rsidR="00D8645B" w:rsidRDefault="00D8645B" w:rsidP="00664D46">
            <w:pPr>
              <w:spacing w:line="360" w:lineRule="auto"/>
              <w:jc w:val="center"/>
            </w:pPr>
            <w:r>
              <w:t>0</w:t>
            </w:r>
          </w:p>
        </w:tc>
        <w:tc>
          <w:tcPr>
            <w:tcW w:w="1559" w:type="dxa"/>
            <w:vAlign w:val="center"/>
          </w:tcPr>
          <w:p w14:paraId="6DE4DE6B" w14:textId="77777777" w:rsidR="00D8645B" w:rsidRDefault="00D8645B" w:rsidP="00664D46">
            <w:pPr>
              <w:spacing w:line="360" w:lineRule="auto"/>
              <w:jc w:val="center"/>
            </w:pPr>
            <w:r>
              <w:t>0</w:t>
            </w:r>
          </w:p>
        </w:tc>
        <w:tc>
          <w:tcPr>
            <w:tcW w:w="1559" w:type="dxa"/>
            <w:vAlign w:val="center"/>
          </w:tcPr>
          <w:p w14:paraId="0035ADBB" w14:textId="77777777" w:rsidR="00D8645B" w:rsidRDefault="00D8645B" w:rsidP="00664D46">
            <w:pPr>
              <w:spacing w:line="360" w:lineRule="auto"/>
              <w:jc w:val="center"/>
            </w:pPr>
            <w:r>
              <w:t>0</w:t>
            </w:r>
          </w:p>
        </w:tc>
      </w:tr>
      <w:tr w:rsidR="00D8645B" w14:paraId="675A99F9" w14:textId="77777777" w:rsidTr="00664D46">
        <w:tc>
          <w:tcPr>
            <w:tcW w:w="1558" w:type="dxa"/>
            <w:vMerge/>
            <w:vAlign w:val="center"/>
          </w:tcPr>
          <w:p w14:paraId="5F7877A1" w14:textId="77777777" w:rsidR="00D8645B" w:rsidRDefault="00D8645B" w:rsidP="00664D46">
            <w:pPr>
              <w:spacing w:line="360" w:lineRule="auto"/>
              <w:jc w:val="center"/>
            </w:pPr>
          </w:p>
        </w:tc>
        <w:tc>
          <w:tcPr>
            <w:tcW w:w="1558" w:type="dxa"/>
            <w:vMerge w:val="restart"/>
            <w:vAlign w:val="center"/>
          </w:tcPr>
          <w:p w14:paraId="2B92539A" w14:textId="77777777" w:rsidR="00D8645B" w:rsidRDefault="00D8645B" w:rsidP="00664D46">
            <w:pPr>
              <w:spacing w:line="360" w:lineRule="auto"/>
              <w:jc w:val="center"/>
            </w:pPr>
            <w:r>
              <w:t>FX Local Markets</w:t>
            </w:r>
          </w:p>
        </w:tc>
        <w:tc>
          <w:tcPr>
            <w:tcW w:w="1558" w:type="dxa"/>
            <w:vAlign w:val="center"/>
          </w:tcPr>
          <w:p w14:paraId="279DF4F1" w14:textId="77777777" w:rsidR="00D8645B" w:rsidRDefault="00D8645B" w:rsidP="00664D46">
            <w:pPr>
              <w:spacing w:line="360" w:lineRule="auto"/>
              <w:jc w:val="center"/>
            </w:pPr>
            <w:r>
              <w:t>G10 FX</w:t>
            </w:r>
          </w:p>
        </w:tc>
        <w:tc>
          <w:tcPr>
            <w:tcW w:w="1558" w:type="dxa"/>
            <w:vAlign w:val="center"/>
          </w:tcPr>
          <w:p w14:paraId="71CA8BA7" w14:textId="77777777" w:rsidR="00D8645B" w:rsidRDefault="00D8645B" w:rsidP="00664D46">
            <w:pPr>
              <w:spacing w:line="360" w:lineRule="auto"/>
              <w:jc w:val="center"/>
            </w:pPr>
            <w:r>
              <w:t>669</w:t>
            </w:r>
          </w:p>
        </w:tc>
        <w:tc>
          <w:tcPr>
            <w:tcW w:w="1559" w:type="dxa"/>
            <w:vAlign w:val="center"/>
          </w:tcPr>
          <w:p w14:paraId="025C782A" w14:textId="77777777" w:rsidR="00D8645B" w:rsidRDefault="00D8645B" w:rsidP="00664D46">
            <w:pPr>
              <w:spacing w:line="360" w:lineRule="auto"/>
              <w:jc w:val="center"/>
            </w:pPr>
            <w:r>
              <w:t>666</w:t>
            </w:r>
          </w:p>
        </w:tc>
        <w:tc>
          <w:tcPr>
            <w:tcW w:w="1559" w:type="dxa"/>
            <w:vAlign w:val="center"/>
          </w:tcPr>
          <w:p w14:paraId="307A855A" w14:textId="77777777" w:rsidR="00D8645B" w:rsidRDefault="00D8645B" w:rsidP="00664D46">
            <w:pPr>
              <w:spacing w:line="360" w:lineRule="auto"/>
              <w:jc w:val="center"/>
            </w:pPr>
            <w:r>
              <w:t>-3</w:t>
            </w:r>
          </w:p>
        </w:tc>
      </w:tr>
      <w:tr w:rsidR="00D8645B" w14:paraId="0B605EFC" w14:textId="77777777" w:rsidTr="00664D46">
        <w:tc>
          <w:tcPr>
            <w:tcW w:w="1558" w:type="dxa"/>
            <w:vMerge/>
            <w:vAlign w:val="center"/>
          </w:tcPr>
          <w:p w14:paraId="19D1D2DB" w14:textId="77777777" w:rsidR="00D8645B" w:rsidRDefault="00D8645B" w:rsidP="00664D46">
            <w:pPr>
              <w:spacing w:line="360" w:lineRule="auto"/>
              <w:jc w:val="center"/>
            </w:pPr>
          </w:p>
        </w:tc>
        <w:tc>
          <w:tcPr>
            <w:tcW w:w="1558" w:type="dxa"/>
            <w:vMerge/>
            <w:vAlign w:val="center"/>
          </w:tcPr>
          <w:p w14:paraId="2192D688" w14:textId="77777777" w:rsidR="00D8645B" w:rsidRDefault="00D8645B" w:rsidP="00664D46">
            <w:pPr>
              <w:spacing w:line="360" w:lineRule="auto"/>
              <w:jc w:val="center"/>
            </w:pPr>
          </w:p>
        </w:tc>
        <w:tc>
          <w:tcPr>
            <w:tcW w:w="1558" w:type="dxa"/>
            <w:vAlign w:val="center"/>
          </w:tcPr>
          <w:p w14:paraId="193CD103" w14:textId="77777777" w:rsidR="00D8645B" w:rsidRDefault="00D8645B" w:rsidP="00664D46">
            <w:pPr>
              <w:spacing w:line="360" w:lineRule="auto"/>
              <w:jc w:val="center"/>
            </w:pPr>
            <w:r>
              <w:t>Local Markets</w:t>
            </w:r>
          </w:p>
        </w:tc>
        <w:tc>
          <w:tcPr>
            <w:tcW w:w="1558" w:type="dxa"/>
            <w:vAlign w:val="center"/>
          </w:tcPr>
          <w:p w14:paraId="4D2B1D02" w14:textId="77777777" w:rsidR="00D8645B" w:rsidRDefault="00D8645B" w:rsidP="00664D46">
            <w:pPr>
              <w:spacing w:line="360" w:lineRule="auto"/>
              <w:jc w:val="center"/>
            </w:pPr>
            <w:r>
              <w:t>1748</w:t>
            </w:r>
          </w:p>
        </w:tc>
        <w:tc>
          <w:tcPr>
            <w:tcW w:w="1559" w:type="dxa"/>
            <w:vAlign w:val="center"/>
          </w:tcPr>
          <w:p w14:paraId="0A04A30E" w14:textId="77777777" w:rsidR="00D8645B" w:rsidRDefault="00D8645B" w:rsidP="00664D46">
            <w:pPr>
              <w:spacing w:line="360" w:lineRule="auto"/>
              <w:jc w:val="center"/>
            </w:pPr>
            <w:r>
              <w:t>1769</w:t>
            </w:r>
          </w:p>
        </w:tc>
        <w:tc>
          <w:tcPr>
            <w:tcW w:w="1559" w:type="dxa"/>
            <w:vAlign w:val="center"/>
          </w:tcPr>
          <w:p w14:paraId="6EF014F1" w14:textId="77777777" w:rsidR="00D8645B" w:rsidRDefault="00D8645B" w:rsidP="00664D46">
            <w:pPr>
              <w:spacing w:line="360" w:lineRule="auto"/>
              <w:jc w:val="center"/>
            </w:pPr>
            <w:r>
              <w:t>21</w:t>
            </w:r>
          </w:p>
        </w:tc>
      </w:tr>
      <w:tr w:rsidR="00D8645B" w14:paraId="6D6B2343" w14:textId="77777777" w:rsidTr="00664D46">
        <w:tc>
          <w:tcPr>
            <w:tcW w:w="1558" w:type="dxa"/>
            <w:vMerge/>
            <w:vAlign w:val="center"/>
          </w:tcPr>
          <w:p w14:paraId="0B289FB9" w14:textId="77777777" w:rsidR="00D8645B" w:rsidRDefault="00D8645B" w:rsidP="00664D46">
            <w:pPr>
              <w:spacing w:line="360" w:lineRule="auto"/>
              <w:jc w:val="center"/>
            </w:pPr>
          </w:p>
        </w:tc>
        <w:tc>
          <w:tcPr>
            <w:tcW w:w="1558" w:type="dxa"/>
            <w:vAlign w:val="center"/>
          </w:tcPr>
          <w:p w14:paraId="30843C32" w14:textId="77777777" w:rsidR="00D8645B" w:rsidRDefault="00D8645B" w:rsidP="00664D46">
            <w:pPr>
              <w:spacing w:line="360" w:lineRule="auto"/>
              <w:jc w:val="center"/>
            </w:pPr>
            <w:r>
              <w:t>G10 Rates</w:t>
            </w:r>
          </w:p>
        </w:tc>
        <w:tc>
          <w:tcPr>
            <w:tcW w:w="1558" w:type="dxa"/>
            <w:vAlign w:val="center"/>
          </w:tcPr>
          <w:p w14:paraId="5C0628A6" w14:textId="77777777" w:rsidR="00D8645B" w:rsidRDefault="00D8645B" w:rsidP="00664D46">
            <w:pPr>
              <w:spacing w:line="360" w:lineRule="auto"/>
              <w:jc w:val="center"/>
            </w:pPr>
            <w:r>
              <w:t>G10 Rates</w:t>
            </w:r>
          </w:p>
        </w:tc>
        <w:tc>
          <w:tcPr>
            <w:tcW w:w="1558" w:type="dxa"/>
            <w:vAlign w:val="center"/>
          </w:tcPr>
          <w:p w14:paraId="73524404" w14:textId="77777777" w:rsidR="00D8645B" w:rsidRDefault="00D8645B" w:rsidP="00664D46">
            <w:pPr>
              <w:spacing w:line="360" w:lineRule="auto"/>
              <w:jc w:val="center"/>
            </w:pPr>
            <w:r>
              <w:t>2057</w:t>
            </w:r>
          </w:p>
        </w:tc>
        <w:tc>
          <w:tcPr>
            <w:tcW w:w="1559" w:type="dxa"/>
            <w:vAlign w:val="center"/>
          </w:tcPr>
          <w:p w14:paraId="360833E2" w14:textId="77777777" w:rsidR="00D8645B" w:rsidRDefault="00D8645B" w:rsidP="00664D46">
            <w:pPr>
              <w:spacing w:line="360" w:lineRule="auto"/>
              <w:jc w:val="center"/>
            </w:pPr>
            <w:r>
              <w:t>2081</w:t>
            </w:r>
          </w:p>
        </w:tc>
        <w:tc>
          <w:tcPr>
            <w:tcW w:w="1559" w:type="dxa"/>
            <w:vAlign w:val="center"/>
          </w:tcPr>
          <w:p w14:paraId="73BB2443" w14:textId="77777777" w:rsidR="00D8645B" w:rsidRDefault="00D8645B" w:rsidP="00664D46">
            <w:pPr>
              <w:spacing w:line="360" w:lineRule="auto"/>
              <w:jc w:val="center"/>
            </w:pPr>
            <w:r>
              <w:t>24</w:t>
            </w:r>
          </w:p>
        </w:tc>
      </w:tr>
      <w:tr w:rsidR="00D8645B" w14:paraId="28AA8596" w14:textId="77777777" w:rsidTr="00664D46">
        <w:tc>
          <w:tcPr>
            <w:tcW w:w="1558" w:type="dxa"/>
            <w:vMerge/>
            <w:vAlign w:val="center"/>
          </w:tcPr>
          <w:p w14:paraId="4234A42C" w14:textId="77777777" w:rsidR="00D8645B" w:rsidRDefault="00D8645B" w:rsidP="00664D46">
            <w:pPr>
              <w:spacing w:line="360" w:lineRule="auto"/>
              <w:jc w:val="center"/>
            </w:pPr>
          </w:p>
        </w:tc>
        <w:tc>
          <w:tcPr>
            <w:tcW w:w="1558" w:type="dxa"/>
            <w:vMerge w:val="restart"/>
            <w:vAlign w:val="center"/>
          </w:tcPr>
          <w:p w14:paraId="788AF5EF" w14:textId="77777777" w:rsidR="00D8645B" w:rsidRDefault="00D8645B" w:rsidP="00664D46">
            <w:pPr>
              <w:spacing w:line="360" w:lineRule="auto"/>
              <w:jc w:val="center"/>
            </w:pPr>
            <w:r>
              <w:t>G10 Risk Treasury RV Finance</w:t>
            </w:r>
          </w:p>
        </w:tc>
        <w:tc>
          <w:tcPr>
            <w:tcW w:w="1558" w:type="dxa"/>
            <w:vAlign w:val="center"/>
          </w:tcPr>
          <w:p w14:paraId="0609DCBF" w14:textId="77777777" w:rsidR="00D8645B" w:rsidRDefault="00D8645B" w:rsidP="00664D46">
            <w:pPr>
              <w:spacing w:line="360" w:lineRule="auto"/>
              <w:jc w:val="center"/>
            </w:pPr>
            <w:r>
              <w:t>FIMA</w:t>
            </w:r>
          </w:p>
        </w:tc>
        <w:tc>
          <w:tcPr>
            <w:tcW w:w="1558" w:type="dxa"/>
            <w:vAlign w:val="center"/>
          </w:tcPr>
          <w:p w14:paraId="436635DF" w14:textId="77777777" w:rsidR="00D8645B" w:rsidRDefault="00D8645B" w:rsidP="00664D46">
            <w:pPr>
              <w:spacing w:line="360" w:lineRule="auto"/>
              <w:jc w:val="center"/>
            </w:pPr>
            <w:r>
              <w:t>0</w:t>
            </w:r>
          </w:p>
        </w:tc>
        <w:tc>
          <w:tcPr>
            <w:tcW w:w="1559" w:type="dxa"/>
            <w:vAlign w:val="center"/>
          </w:tcPr>
          <w:p w14:paraId="432D857A" w14:textId="77777777" w:rsidR="00D8645B" w:rsidRDefault="00D8645B" w:rsidP="00664D46">
            <w:pPr>
              <w:spacing w:line="360" w:lineRule="auto"/>
              <w:jc w:val="center"/>
            </w:pPr>
            <w:r>
              <w:t>0</w:t>
            </w:r>
          </w:p>
        </w:tc>
        <w:tc>
          <w:tcPr>
            <w:tcW w:w="1559" w:type="dxa"/>
            <w:vAlign w:val="center"/>
          </w:tcPr>
          <w:p w14:paraId="44666E84" w14:textId="77777777" w:rsidR="00D8645B" w:rsidRDefault="00D8645B" w:rsidP="00664D46">
            <w:pPr>
              <w:spacing w:line="360" w:lineRule="auto"/>
              <w:jc w:val="center"/>
            </w:pPr>
            <w:r>
              <w:t>0</w:t>
            </w:r>
          </w:p>
        </w:tc>
      </w:tr>
      <w:tr w:rsidR="00D8645B" w14:paraId="7D6521BE" w14:textId="77777777" w:rsidTr="00664D46">
        <w:tc>
          <w:tcPr>
            <w:tcW w:w="1558" w:type="dxa"/>
            <w:vMerge/>
            <w:vAlign w:val="center"/>
          </w:tcPr>
          <w:p w14:paraId="30D397D8" w14:textId="77777777" w:rsidR="00D8645B" w:rsidRDefault="00D8645B" w:rsidP="00664D46">
            <w:pPr>
              <w:spacing w:line="360" w:lineRule="auto"/>
              <w:jc w:val="center"/>
            </w:pPr>
          </w:p>
        </w:tc>
        <w:tc>
          <w:tcPr>
            <w:tcW w:w="1558" w:type="dxa"/>
            <w:vMerge/>
            <w:vAlign w:val="center"/>
          </w:tcPr>
          <w:p w14:paraId="407516D4" w14:textId="77777777" w:rsidR="00D8645B" w:rsidRDefault="00D8645B" w:rsidP="00664D46">
            <w:pPr>
              <w:spacing w:line="360" w:lineRule="auto"/>
              <w:jc w:val="center"/>
            </w:pPr>
          </w:p>
        </w:tc>
        <w:tc>
          <w:tcPr>
            <w:tcW w:w="1558" w:type="dxa"/>
            <w:vAlign w:val="center"/>
          </w:tcPr>
          <w:p w14:paraId="66F9A94A" w14:textId="77777777" w:rsidR="00D8645B" w:rsidRDefault="00D8645B" w:rsidP="00664D46">
            <w:pPr>
              <w:spacing w:line="360" w:lineRule="auto"/>
              <w:jc w:val="center"/>
            </w:pPr>
            <w:r>
              <w:t>Finance</w:t>
            </w:r>
          </w:p>
        </w:tc>
        <w:tc>
          <w:tcPr>
            <w:tcW w:w="1558" w:type="dxa"/>
            <w:vAlign w:val="center"/>
          </w:tcPr>
          <w:p w14:paraId="12E079C4" w14:textId="77777777" w:rsidR="00D8645B" w:rsidRDefault="00D8645B" w:rsidP="00664D46">
            <w:pPr>
              <w:spacing w:line="360" w:lineRule="auto"/>
              <w:jc w:val="center"/>
            </w:pPr>
            <w:r>
              <w:t>142</w:t>
            </w:r>
          </w:p>
        </w:tc>
        <w:tc>
          <w:tcPr>
            <w:tcW w:w="1559" w:type="dxa"/>
            <w:vAlign w:val="center"/>
          </w:tcPr>
          <w:p w14:paraId="48AC0DAC" w14:textId="77777777" w:rsidR="00D8645B" w:rsidRDefault="00D8645B" w:rsidP="00664D46">
            <w:pPr>
              <w:spacing w:line="360" w:lineRule="auto"/>
              <w:jc w:val="center"/>
            </w:pPr>
            <w:r>
              <w:t>147</w:t>
            </w:r>
          </w:p>
        </w:tc>
        <w:tc>
          <w:tcPr>
            <w:tcW w:w="1559" w:type="dxa"/>
            <w:vAlign w:val="center"/>
          </w:tcPr>
          <w:p w14:paraId="0B95658A" w14:textId="77777777" w:rsidR="00D8645B" w:rsidRDefault="00D8645B" w:rsidP="00664D46">
            <w:pPr>
              <w:spacing w:line="360" w:lineRule="auto"/>
              <w:jc w:val="center"/>
            </w:pPr>
            <w:r>
              <w:t>5</w:t>
            </w:r>
          </w:p>
        </w:tc>
      </w:tr>
      <w:tr w:rsidR="00D8645B" w14:paraId="5A1086D1" w14:textId="77777777" w:rsidTr="00664D46">
        <w:tc>
          <w:tcPr>
            <w:tcW w:w="1558" w:type="dxa"/>
            <w:vMerge/>
            <w:vAlign w:val="center"/>
          </w:tcPr>
          <w:p w14:paraId="2BCC6239" w14:textId="77777777" w:rsidR="00D8645B" w:rsidRDefault="00D8645B" w:rsidP="00664D46">
            <w:pPr>
              <w:spacing w:line="360" w:lineRule="auto"/>
              <w:jc w:val="center"/>
            </w:pPr>
          </w:p>
        </w:tc>
        <w:tc>
          <w:tcPr>
            <w:tcW w:w="1558" w:type="dxa"/>
            <w:vMerge/>
            <w:vAlign w:val="center"/>
          </w:tcPr>
          <w:p w14:paraId="5AE0E345" w14:textId="77777777" w:rsidR="00D8645B" w:rsidRDefault="00D8645B" w:rsidP="00664D46">
            <w:pPr>
              <w:spacing w:line="360" w:lineRule="auto"/>
              <w:jc w:val="center"/>
            </w:pPr>
          </w:p>
        </w:tc>
        <w:tc>
          <w:tcPr>
            <w:tcW w:w="1558" w:type="dxa"/>
            <w:vAlign w:val="center"/>
          </w:tcPr>
          <w:p w14:paraId="007BC19C" w14:textId="77777777" w:rsidR="00D8645B" w:rsidRDefault="00D8645B" w:rsidP="00664D46">
            <w:pPr>
              <w:spacing w:line="360" w:lineRule="auto"/>
              <w:jc w:val="center"/>
            </w:pPr>
            <w:r>
              <w:t>Risk Treasury</w:t>
            </w:r>
          </w:p>
        </w:tc>
        <w:tc>
          <w:tcPr>
            <w:tcW w:w="1558" w:type="dxa"/>
            <w:vAlign w:val="center"/>
          </w:tcPr>
          <w:p w14:paraId="26BF3499" w14:textId="77777777" w:rsidR="00D8645B" w:rsidRDefault="00D8645B" w:rsidP="00664D46">
            <w:pPr>
              <w:spacing w:line="360" w:lineRule="auto"/>
              <w:jc w:val="center"/>
            </w:pPr>
            <w:r>
              <w:t>1624</w:t>
            </w:r>
          </w:p>
        </w:tc>
        <w:tc>
          <w:tcPr>
            <w:tcW w:w="1559" w:type="dxa"/>
            <w:vAlign w:val="center"/>
          </w:tcPr>
          <w:p w14:paraId="10518A88" w14:textId="77777777" w:rsidR="00D8645B" w:rsidRDefault="00D8645B" w:rsidP="00664D46">
            <w:pPr>
              <w:spacing w:line="360" w:lineRule="auto"/>
              <w:jc w:val="center"/>
            </w:pPr>
            <w:r>
              <w:t>1639</w:t>
            </w:r>
          </w:p>
        </w:tc>
        <w:tc>
          <w:tcPr>
            <w:tcW w:w="1559" w:type="dxa"/>
            <w:vAlign w:val="center"/>
          </w:tcPr>
          <w:p w14:paraId="233C442F" w14:textId="77777777" w:rsidR="00D8645B" w:rsidRDefault="00D8645B" w:rsidP="00664D46">
            <w:pPr>
              <w:spacing w:line="360" w:lineRule="auto"/>
              <w:jc w:val="center"/>
            </w:pPr>
            <w:r>
              <w:t>15</w:t>
            </w:r>
          </w:p>
        </w:tc>
      </w:tr>
      <w:tr w:rsidR="00D8645B" w14:paraId="63B2BF53" w14:textId="77777777" w:rsidTr="00664D46">
        <w:tc>
          <w:tcPr>
            <w:tcW w:w="1558" w:type="dxa"/>
            <w:vMerge/>
            <w:vAlign w:val="center"/>
          </w:tcPr>
          <w:p w14:paraId="4710E9E9" w14:textId="77777777" w:rsidR="00D8645B" w:rsidRDefault="00D8645B" w:rsidP="00664D46">
            <w:pPr>
              <w:spacing w:line="360" w:lineRule="auto"/>
              <w:jc w:val="center"/>
            </w:pPr>
          </w:p>
        </w:tc>
        <w:tc>
          <w:tcPr>
            <w:tcW w:w="1558" w:type="dxa"/>
            <w:vAlign w:val="center"/>
          </w:tcPr>
          <w:p w14:paraId="6EEA7A0A" w14:textId="77777777" w:rsidR="00D8645B" w:rsidRDefault="00D8645B" w:rsidP="00664D46">
            <w:pPr>
              <w:spacing w:line="360" w:lineRule="auto"/>
              <w:jc w:val="center"/>
            </w:pPr>
            <w:r>
              <w:t>GTS</w:t>
            </w:r>
          </w:p>
        </w:tc>
        <w:tc>
          <w:tcPr>
            <w:tcW w:w="1558" w:type="dxa"/>
            <w:vAlign w:val="center"/>
          </w:tcPr>
          <w:p w14:paraId="3458CF24" w14:textId="77777777" w:rsidR="00D8645B" w:rsidRDefault="00D8645B" w:rsidP="00664D46">
            <w:pPr>
              <w:spacing w:line="360" w:lineRule="auto"/>
              <w:jc w:val="center"/>
            </w:pPr>
            <w:r>
              <w:t>GTS</w:t>
            </w:r>
          </w:p>
        </w:tc>
        <w:tc>
          <w:tcPr>
            <w:tcW w:w="1558" w:type="dxa"/>
            <w:vAlign w:val="center"/>
          </w:tcPr>
          <w:p w14:paraId="4E0F5525" w14:textId="77777777" w:rsidR="00D8645B" w:rsidRDefault="00D8645B" w:rsidP="00664D46">
            <w:pPr>
              <w:spacing w:line="360" w:lineRule="auto"/>
              <w:jc w:val="center"/>
            </w:pPr>
            <w:r>
              <w:t>98</w:t>
            </w:r>
          </w:p>
        </w:tc>
        <w:tc>
          <w:tcPr>
            <w:tcW w:w="1559" w:type="dxa"/>
            <w:vAlign w:val="center"/>
          </w:tcPr>
          <w:p w14:paraId="3D4247B4" w14:textId="77777777" w:rsidR="00D8645B" w:rsidRDefault="00D8645B" w:rsidP="00664D46">
            <w:pPr>
              <w:spacing w:line="360" w:lineRule="auto"/>
              <w:jc w:val="center"/>
            </w:pPr>
            <w:r>
              <w:t>98</w:t>
            </w:r>
          </w:p>
        </w:tc>
        <w:tc>
          <w:tcPr>
            <w:tcW w:w="1559" w:type="dxa"/>
            <w:vAlign w:val="center"/>
          </w:tcPr>
          <w:p w14:paraId="32C5A75F" w14:textId="77777777" w:rsidR="00D8645B" w:rsidRDefault="00D8645B" w:rsidP="00664D46">
            <w:pPr>
              <w:spacing w:line="360" w:lineRule="auto"/>
              <w:jc w:val="center"/>
            </w:pPr>
            <w:r>
              <w:t>0</w:t>
            </w:r>
          </w:p>
        </w:tc>
      </w:tr>
      <w:tr w:rsidR="00D8645B" w14:paraId="60E9E311" w14:textId="77777777" w:rsidTr="00664D46">
        <w:tc>
          <w:tcPr>
            <w:tcW w:w="1558" w:type="dxa"/>
            <w:vMerge/>
            <w:vAlign w:val="center"/>
          </w:tcPr>
          <w:p w14:paraId="5B62CEDC" w14:textId="77777777" w:rsidR="00D8645B" w:rsidRDefault="00D8645B" w:rsidP="00664D46">
            <w:pPr>
              <w:spacing w:line="360" w:lineRule="auto"/>
              <w:jc w:val="center"/>
            </w:pPr>
          </w:p>
        </w:tc>
        <w:tc>
          <w:tcPr>
            <w:tcW w:w="1558" w:type="dxa"/>
            <w:vAlign w:val="center"/>
          </w:tcPr>
          <w:p w14:paraId="78A6A37D" w14:textId="77777777" w:rsidR="00D8645B" w:rsidRDefault="00D8645B" w:rsidP="00664D46">
            <w:pPr>
              <w:spacing w:line="360" w:lineRule="auto"/>
              <w:jc w:val="center"/>
            </w:pPr>
            <w:r>
              <w:t>GWM</w:t>
            </w:r>
          </w:p>
        </w:tc>
        <w:tc>
          <w:tcPr>
            <w:tcW w:w="1558" w:type="dxa"/>
            <w:vAlign w:val="center"/>
          </w:tcPr>
          <w:p w14:paraId="2BDADCE3" w14:textId="77777777" w:rsidR="00D8645B" w:rsidRDefault="00D8645B" w:rsidP="00664D46">
            <w:pPr>
              <w:spacing w:line="360" w:lineRule="auto"/>
              <w:jc w:val="center"/>
            </w:pPr>
            <w:r>
              <w:t>GWM</w:t>
            </w:r>
          </w:p>
        </w:tc>
        <w:tc>
          <w:tcPr>
            <w:tcW w:w="1558" w:type="dxa"/>
            <w:vAlign w:val="center"/>
          </w:tcPr>
          <w:p w14:paraId="0658A84A" w14:textId="77777777" w:rsidR="00D8645B" w:rsidRDefault="00D8645B" w:rsidP="00664D46">
            <w:pPr>
              <w:spacing w:line="360" w:lineRule="auto"/>
              <w:jc w:val="center"/>
            </w:pPr>
            <w:r>
              <w:t>52</w:t>
            </w:r>
          </w:p>
        </w:tc>
        <w:tc>
          <w:tcPr>
            <w:tcW w:w="1559" w:type="dxa"/>
            <w:vAlign w:val="center"/>
          </w:tcPr>
          <w:p w14:paraId="123CDEBA" w14:textId="77777777" w:rsidR="00D8645B" w:rsidRDefault="00D8645B" w:rsidP="00664D46">
            <w:pPr>
              <w:spacing w:line="360" w:lineRule="auto"/>
              <w:jc w:val="center"/>
            </w:pPr>
            <w:r>
              <w:t>53</w:t>
            </w:r>
          </w:p>
        </w:tc>
        <w:tc>
          <w:tcPr>
            <w:tcW w:w="1559" w:type="dxa"/>
            <w:vAlign w:val="center"/>
          </w:tcPr>
          <w:p w14:paraId="44392FC1" w14:textId="77777777" w:rsidR="00D8645B" w:rsidRDefault="00D8645B" w:rsidP="00664D46">
            <w:pPr>
              <w:spacing w:line="360" w:lineRule="auto"/>
              <w:jc w:val="center"/>
            </w:pPr>
            <w:r>
              <w:t>1</w:t>
            </w:r>
          </w:p>
        </w:tc>
      </w:tr>
      <w:tr w:rsidR="00D8645B" w14:paraId="1A56760B" w14:textId="77777777" w:rsidTr="00664D46">
        <w:tc>
          <w:tcPr>
            <w:tcW w:w="1558" w:type="dxa"/>
            <w:vMerge/>
            <w:vAlign w:val="center"/>
          </w:tcPr>
          <w:p w14:paraId="07B8E8DB" w14:textId="77777777" w:rsidR="00D8645B" w:rsidRDefault="00D8645B" w:rsidP="00664D46">
            <w:pPr>
              <w:spacing w:line="360" w:lineRule="auto"/>
              <w:jc w:val="center"/>
            </w:pPr>
          </w:p>
        </w:tc>
        <w:tc>
          <w:tcPr>
            <w:tcW w:w="1558" w:type="dxa"/>
            <w:vAlign w:val="center"/>
          </w:tcPr>
          <w:p w14:paraId="5BC9DFB1" w14:textId="77777777" w:rsidR="00D8645B" w:rsidRDefault="00D8645B" w:rsidP="00664D46">
            <w:pPr>
              <w:spacing w:line="360" w:lineRule="auto"/>
              <w:jc w:val="center"/>
            </w:pPr>
            <w:r>
              <w:t>Hybrids</w:t>
            </w:r>
          </w:p>
        </w:tc>
        <w:tc>
          <w:tcPr>
            <w:tcW w:w="1558" w:type="dxa"/>
            <w:vAlign w:val="center"/>
          </w:tcPr>
          <w:p w14:paraId="6A9763BD" w14:textId="77777777" w:rsidR="00D8645B" w:rsidRDefault="00D8645B" w:rsidP="00664D46">
            <w:pPr>
              <w:spacing w:line="360" w:lineRule="auto"/>
              <w:jc w:val="center"/>
            </w:pPr>
            <w:r>
              <w:t>Hybrids</w:t>
            </w:r>
          </w:p>
        </w:tc>
        <w:tc>
          <w:tcPr>
            <w:tcW w:w="1558" w:type="dxa"/>
            <w:vAlign w:val="center"/>
          </w:tcPr>
          <w:p w14:paraId="4CDA2CB7" w14:textId="77777777" w:rsidR="00D8645B" w:rsidRDefault="00D8645B" w:rsidP="00664D46">
            <w:pPr>
              <w:spacing w:line="360" w:lineRule="auto"/>
              <w:jc w:val="center"/>
            </w:pPr>
            <w:r>
              <w:t>400</w:t>
            </w:r>
          </w:p>
        </w:tc>
        <w:tc>
          <w:tcPr>
            <w:tcW w:w="1559" w:type="dxa"/>
            <w:vAlign w:val="center"/>
          </w:tcPr>
          <w:p w14:paraId="68F24743" w14:textId="77777777" w:rsidR="00D8645B" w:rsidRDefault="00D8645B" w:rsidP="00664D46">
            <w:pPr>
              <w:spacing w:line="360" w:lineRule="auto"/>
              <w:jc w:val="center"/>
            </w:pPr>
            <w:r>
              <w:t>417</w:t>
            </w:r>
          </w:p>
        </w:tc>
        <w:tc>
          <w:tcPr>
            <w:tcW w:w="1559" w:type="dxa"/>
            <w:vAlign w:val="center"/>
          </w:tcPr>
          <w:p w14:paraId="31A4CCED" w14:textId="77777777" w:rsidR="00D8645B" w:rsidRDefault="00D8645B" w:rsidP="00664D46">
            <w:pPr>
              <w:spacing w:line="360" w:lineRule="auto"/>
              <w:jc w:val="center"/>
            </w:pPr>
            <w:r>
              <w:t>17</w:t>
            </w:r>
          </w:p>
        </w:tc>
      </w:tr>
      <w:tr w:rsidR="00D8645B" w14:paraId="2C8B2020" w14:textId="77777777" w:rsidTr="00664D46">
        <w:tc>
          <w:tcPr>
            <w:tcW w:w="1558" w:type="dxa"/>
            <w:vMerge/>
            <w:vAlign w:val="center"/>
          </w:tcPr>
          <w:p w14:paraId="01FB4497" w14:textId="77777777" w:rsidR="00D8645B" w:rsidRDefault="00D8645B" w:rsidP="00664D46">
            <w:pPr>
              <w:spacing w:line="360" w:lineRule="auto"/>
              <w:jc w:val="center"/>
            </w:pPr>
          </w:p>
        </w:tc>
        <w:tc>
          <w:tcPr>
            <w:tcW w:w="1558" w:type="dxa"/>
            <w:vAlign w:val="center"/>
          </w:tcPr>
          <w:p w14:paraId="1F82F800" w14:textId="77777777" w:rsidR="00D8645B" w:rsidRDefault="00D8645B" w:rsidP="00664D46">
            <w:pPr>
              <w:spacing w:line="360" w:lineRule="auto"/>
              <w:jc w:val="center"/>
            </w:pPr>
            <w:r>
              <w:t>Municipals</w:t>
            </w:r>
          </w:p>
        </w:tc>
        <w:tc>
          <w:tcPr>
            <w:tcW w:w="1558" w:type="dxa"/>
            <w:vAlign w:val="center"/>
          </w:tcPr>
          <w:p w14:paraId="7E70D2BE" w14:textId="77777777" w:rsidR="00D8645B" w:rsidRDefault="00D8645B" w:rsidP="00664D46">
            <w:pPr>
              <w:spacing w:line="360" w:lineRule="auto"/>
              <w:jc w:val="center"/>
            </w:pPr>
            <w:r>
              <w:t>Municipals</w:t>
            </w:r>
          </w:p>
        </w:tc>
        <w:tc>
          <w:tcPr>
            <w:tcW w:w="1558" w:type="dxa"/>
            <w:vAlign w:val="center"/>
          </w:tcPr>
          <w:p w14:paraId="4951C373" w14:textId="77777777" w:rsidR="00D8645B" w:rsidRDefault="00D8645B" w:rsidP="00664D46">
            <w:pPr>
              <w:spacing w:line="360" w:lineRule="auto"/>
              <w:jc w:val="center"/>
            </w:pPr>
            <w:r>
              <w:t>2403</w:t>
            </w:r>
          </w:p>
        </w:tc>
        <w:tc>
          <w:tcPr>
            <w:tcW w:w="1559" w:type="dxa"/>
            <w:vAlign w:val="center"/>
          </w:tcPr>
          <w:p w14:paraId="60C3F981" w14:textId="77777777" w:rsidR="00D8645B" w:rsidRDefault="00D8645B" w:rsidP="00664D46">
            <w:pPr>
              <w:spacing w:line="360" w:lineRule="auto"/>
              <w:jc w:val="center"/>
            </w:pPr>
            <w:r>
              <w:t>2398</w:t>
            </w:r>
          </w:p>
        </w:tc>
        <w:tc>
          <w:tcPr>
            <w:tcW w:w="1559" w:type="dxa"/>
            <w:vAlign w:val="center"/>
          </w:tcPr>
          <w:p w14:paraId="5947A4D3" w14:textId="77777777" w:rsidR="00D8645B" w:rsidRDefault="00D8645B" w:rsidP="00664D46">
            <w:pPr>
              <w:spacing w:line="360" w:lineRule="auto"/>
              <w:jc w:val="center"/>
            </w:pPr>
            <w:r>
              <w:t>-4</w:t>
            </w:r>
          </w:p>
        </w:tc>
      </w:tr>
      <w:tr w:rsidR="00D8645B" w14:paraId="2FDEE6F7" w14:textId="77777777" w:rsidTr="00664D46">
        <w:tc>
          <w:tcPr>
            <w:tcW w:w="1558" w:type="dxa"/>
            <w:vMerge/>
            <w:vAlign w:val="center"/>
          </w:tcPr>
          <w:p w14:paraId="705C2D8F" w14:textId="77777777" w:rsidR="00D8645B" w:rsidRDefault="00D8645B" w:rsidP="00664D46">
            <w:pPr>
              <w:spacing w:line="360" w:lineRule="auto"/>
              <w:jc w:val="center"/>
            </w:pPr>
          </w:p>
        </w:tc>
        <w:tc>
          <w:tcPr>
            <w:tcW w:w="1558" w:type="dxa"/>
            <w:vAlign w:val="center"/>
          </w:tcPr>
          <w:p w14:paraId="1B4CC129" w14:textId="77777777" w:rsidR="00D8645B" w:rsidRDefault="00D8645B" w:rsidP="00664D46">
            <w:pPr>
              <w:spacing w:line="360" w:lineRule="auto"/>
              <w:jc w:val="center"/>
            </w:pPr>
            <w:r>
              <w:t>Nikko Investments</w:t>
            </w:r>
          </w:p>
        </w:tc>
        <w:tc>
          <w:tcPr>
            <w:tcW w:w="1558" w:type="dxa"/>
            <w:vAlign w:val="center"/>
          </w:tcPr>
          <w:p w14:paraId="6A9AFF42" w14:textId="77777777" w:rsidR="00D8645B" w:rsidRDefault="00D8645B" w:rsidP="00664D46">
            <w:pPr>
              <w:spacing w:line="360" w:lineRule="auto"/>
              <w:jc w:val="center"/>
            </w:pPr>
            <w:r>
              <w:t>Nikko Investments</w:t>
            </w:r>
          </w:p>
        </w:tc>
        <w:tc>
          <w:tcPr>
            <w:tcW w:w="1558" w:type="dxa"/>
            <w:vAlign w:val="center"/>
          </w:tcPr>
          <w:p w14:paraId="573F7E1D" w14:textId="77777777" w:rsidR="00D8645B" w:rsidRDefault="00D8645B" w:rsidP="00664D46">
            <w:pPr>
              <w:spacing w:line="360" w:lineRule="auto"/>
              <w:jc w:val="center"/>
            </w:pPr>
            <w:r>
              <w:t>0</w:t>
            </w:r>
          </w:p>
        </w:tc>
        <w:tc>
          <w:tcPr>
            <w:tcW w:w="1559" w:type="dxa"/>
            <w:vAlign w:val="center"/>
          </w:tcPr>
          <w:p w14:paraId="39D5F108" w14:textId="77777777" w:rsidR="00D8645B" w:rsidRDefault="00D8645B" w:rsidP="00664D46">
            <w:pPr>
              <w:spacing w:line="360" w:lineRule="auto"/>
              <w:jc w:val="center"/>
            </w:pPr>
            <w:r>
              <w:t>0</w:t>
            </w:r>
          </w:p>
        </w:tc>
        <w:tc>
          <w:tcPr>
            <w:tcW w:w="1559" w:type="dxa"/>
            <w:vAlign w:val="center"/>
          </w:tcPr>
          <w:p w14:paraId="5F8C9938" w14:textId="77777777" w:rsidR="00D8645B" w:rsidRDefault="00D8645B" w:rsidP="00664D46">
            <w:pPr>
              <w:spacing w:line="360" w:lineRule="auto"/>
              <w:jc w:val="center"/>
            </w:pPr>
            <w:r>
              <w:t>0</w:t>
            </w:r>
          </w:p>
        </w:tc>
      </w:tr>
      <w:tr w:rsidR="00D8645B" w14:paraId="110D550A" w14:textId="77777777" w:rsidTr="00664D46">
        <w:tc>
          <w:tcPr>
            <w:tcW w:w="1558" w:type="dxa"/>
            <w:vMerge/>
            <w:vAlign w:val="center"/>
          </w:tcPr>
          <w:p w14:paraId="154F619B" w14:textId="77777777" w:rsidR="00D8645B" w:rsidRDefault="00D8645B" w:rsidP="00664D46">
            <w:pPr>
              <w:spacing w:line="360" w:lineRule="auto"/>
              <w:jc w:val="center"/>
            </w:pPr>
          </w:p>
        </w:tc>
        <w:tc>
          <w:tcPr>
            <w:tcW w:w="1558" w:type="dxa"/>
            <w:vAlign w:val="center"/>
          </w:tcPr>
          <w:p w14:paraId="216042EA" w14:textId="77777777" w:rsidR="00D8645B" w:rsidRDefault="00D8645B" w:rsidP="00664D46">
            <w:pPr>
              <w:spacing w:line="360" w:lineRule="auto"/>
              <w:jc w:val="center"/>
            </w:pPr>
            <w:r>
              <w:t>OS&amp;B</w:t>
            </w:r>
          </w:p>
        </w:tc>
        <w:tc>
          <w:tcPr>
            <w:tcW w:w="1558" w:type="dxa"/>
            <w:vAlign w:val="center"/>
          </w:tcPr>
          <w:p w14:paraId="04F3C90D" w14:textId="77777777" w:rsidR="00D8645B" w:rsidRDefault="00D8645B" w:rsidP="00664D46">
            <w:pPr>
              <w:spacing w:line="360" w:lineRule="auto"/>
              <w:jc w:val="center"/>
            </w:pPr>
            <w:r>
              <w:t>OS&amp;B</w:t>
            </w:r>
          </w:p>
        </w:tc>
        <w:tc>
          <w:tcPr>
            <w:tcW w:w="1558" w:type="dxa"/>
            <w:vAlign w:val="center"/>
          </w:tcPr>
          <w:p w14:paraId="1774BA7D" w14:textId="77777777" w:rsidR="00D8645B" w:rsidRDefault="00D8645B" w:rsidP="00664D46">
            <w:pPr>
              <w:spacing w:line="360" w:lineRule="auto"/>
              <w:jc w:val="center"/>
            </w:pPr>
            <w:r>
              <w:t>29</w:t>
            </w:r>
          </w:p>
        </w:tc>
        <w:tc>
          <w:tcPr>
            <w:tcW w:w="1559" w:type="dxa"/>
            <w:vAlign w:val="center"/>
          </w:tcPr>
          <w:p w14:paraId="7422FAD0" w14:textId="77777777" w:rsidR="00D8645B" w:rsidRDefault="00D8645B" w:rsidP="00664D46">
            <w:pPr>
              <w:spacing w:line="360" w:lineRule="auto"/>
              <w:jc w:val="center"/>
            </w:pPr>
            <w:r>
              <w:t>27</w:t>
            </w:r>
          </w:p>
        </w:tc>
        <w:tc>
          <w:tcPr>
            <w:tcW w:w="1559" w:type="dxa"/>
            <w:vAlign w:val="center"/>
          </w:tcPr>
          <w:p w14:paraId="7CFD009C" w14:textId="77777777" w:rsidR="00D8645B" w:rsidRDefault="00D8645B" w:rsidP="00664D46">
            <w:pPr>
              <w:spacing w:line="360" w:lineRule="auto"/>
              <w:jc w:val="center"/>
            </w:pPr>
            <w:r>
              <w:t>-1</w:t>
            </w:r>
          </w:p>
        </w:tc>
      </w:tr>
      <w:tr w:rsidR="00D8645B" w14:paraId="58564615" w14:textId="77777777" w:rsidTr="00664D46">
        <w:tc>
          <w:tcPr>
            <w:tcW w:w="1558" w:type="dxa"/>
            <w:vMerge/>
            <w:vAlign w:val="center"/>
          </w:tcPr>
          <w:p w14:paraId="4784178E" w14:textId="77777777" w:rsidR="00D8645B" w:rsidRDefault="00D8645B" w:rsidP="00664D46">
            <w:pPr>
              <w:spacing w:line="360" w:lineRule="auto"/>
              <w:jc w:val="center"/>
            </w:pPr>
          </w:p>
        </w:tc>
        <w:tc>
          <w:tcPr>
            <w:tcW w:w="1558" w:type="dxa"/>
            <w:vAlign w:val="center"/>
          </w:tcPr>
          <w:p w14:paraId="318881E5" w14:textId="77777777" w:rsidR="00D8645B" w:rsidRDefault="00D8645B" w:rsidP="00664D46">
            <w:pPr>
              <w:spacing w:line="360" w:lineRule="auto"/>
              <w:jc w:val="center"/>
            </w:pPr>
            <w:r>
              <w:t>Other Global Markets</w:t>
            </w:r>
          </w:p>
        </w:tc>
        <w:tc>
          <w:tcPr>
            <w:tcW w:w="1558" w:type="dxa"/>
            <w:vAlign w:val="center"/>
          </w:tcPr>
          <w:p w14:paraId="5CEC09D4" w14:textId="77777777" w:rsidR="00D8645B" w:rsidRDefault="00D8645B" w:rsidP="00664D46">
            <w:pPr>
              <w:spacing w:line="360" w:lineRule="auto"/>
              <w:jc w:val="center"/>
            </w:pPr>
            <w:r>
              <w:t>Other Global Markets</w:t>
            </w:r>
          </w:p>
        </w:tc>
        <w:tc>
          <w:tcPr>
            <w:tcW w:w="1558" w:type="dxa"/>
            <w:vAlign w:val="center"/>
          </w:tcPr>
          <w:p w14:paraId="6641E979" w14:textId="77777777" w:rsidR="00D8645B" w:rsidRDefault="00D8645B" w:rsidP="00664D46">
            <w:pPr>
              <w:spacing w:line="360" w:lineRule="auto"/>
              <w:jc w:val="center"/>
            </w:pPr>
            <w:r>
              <w:t>166</w:t>
            </w:r>
          </w:p>
        </w:tc>
        <w:tc>
          <w:tcPr>
            <w:tcW w:w="1559" w:type="dxa"/>
            <w:vAlign w:val="center"/>
          </w:tcPr>
          <w:p w14:paraId="09A6B089" w14:textId="77777777" w:rsidR="00D8645B" w:rsidRDefault="00D8645B" w:rsidP="00664D46">
            <w:pPr>
              <w:spacing w:line="360" w:lineRule="auto"/>
              <w:jc w:val="center"/>
            </w:pPr>
            <w:r>
              <w:t>166</w:t>
            </w:r>
          </w:p>
        </w:tc>
        <w:tc>
          <w:tcPr>
            <w:tcW w:w="1559" w:type="dxa"/>
            <w:vAlign w:val="center"/>
          </w:tcPr>
          <w:p w14:paraId="5ACF289F" w14:textId="77777777" w:rsidR="00D8645B" w:rsidRDefault="00D8645B" w:rsidP="00664D46">
            <w:pPr>
              <w:spacing w:line="360" w:lineRule="auto"/>
              <w:jc w:val="center"/>
            </w:pPr>
            <w:r>
              <w:t>0</w:t>
            </w:r>
          </w:p>
        </w:tc>
      </w:tr>
      <w:tr w:rsidR="00D8645B" w14:paraId="6647CB48" w14:textId="77777777" w:rsidTr="00664D46">
        <w:tc>
          <w:tcPr>
            <w:tcW w:w="1558" w:type="dxa"/>
            <w:vMerge/>
            <w:vAlign w:val="center"/>
          </w:tcPr>
          <w:p w14:paraId="00CB8A2B" w14:textId="77777777" w:rsidR="00D8645B" w:rsidRDefault="00D8645B" w:rsidP="00664D46">
            <w:pPr>
              <w:spacing w:line="360" w:lineRule="auto"/>
              <w:jc w:val="center"/>
            </w:pPr>
          </w:p>
        </w:tc>
        <w:tc>
          <w:tcPr>
            <w:tcW w:w="1558" w:type="dxa"/>
            <w:vAlign w:val="center"/>
          </w:tcPr>
          <w:p w14:paraId="1B8054BD" w14:textId="77777777" w:rsidR="00D8645B" w:rsidRDefault="00D8645B" w:rsidP="00664D46">
            <w:pPr>
              <w:spacing w:line="360" w:lineRule="auto"/>
              <w:jc w:val="center"/>
            </w:pPr>
            <w:r>
              <w:t>Prime Finance</w:t>
            </w:r>
          </w:p>
        </w:tc>
        <w:tc>
          <w:tcPr>
            <w:tcW w:w="1558" w:type="dxa"/>
            <w:vAlign w:val="center"/>
          </w:tcPr>
          <w:p w14:paraId="253F8438" w14:textId="77777777" w:rsidR="00D8645B" w:rsidRDefault="00D8645B" w:rsidP="00664D46">
            <w:pPr>
              <w:spacing w:line="360" w:lineRule="auto"/>
              <w:jc w:val="center"/>
            </w:pPr>
            <w:r>
              <w:t>Prime Finance</w:t>
            </w:r>
          </w:p>
        </w:tc>
        <w:tc>
          <w:tcPr>
            <w:tcW w:w="1558" w:type="dxa"/>
            <w:vAlign w:val="center"/>
          </w:tcPr>
          <w:p w14:paraId="10C0281C" w14:textId="77777777" w:rsidR="00D8645B" w:rsidRDefault="00D8645B" w:rsidP="00664D46">
            <w:pPr>
              <w:spacing w:line="360" w:lineRule="auto"/>
              <w:jc w:val="center"/>
            </w:pPr>
            <w:r>
              <w:t>31</w:t>
            </w:r>
          </w:p>
        </w:tc>
        <w:tc>
          <w:tcPr>
            <w:tcW w:w="1559" w:type="dxa"/>
            <w:vAlign w:val="center"/>
          </w:tcPr>
          <w:p w14:paraId="36CF6824" w14:textId="77777777" w:rsidR="00D8645B" w:rsidRDefault="00D8645B" w:rsidP="00664D46">
            <w:pPr>
              <w:spacing w:line="360" w:lineRule="auto"/>
              <w:jc w:val="center"/>
            </w:pPr>
            <w:r>
              <w:t>31</w:t>
            </w:r>
          </w:p>
        </w:tc>
        <w:tc>
          <w:tcPr>
            <w:tcW w:w="1559" w:type="dxa"/>
            <w:vAlign w:val="center"/>
          </w:tcPr>
          <w:p w14:paraId="4DDB047B" w14:textId="77777777" w:rsidR="00D8645B" w:rsidRDefault="00D8645B" w:rsidP="00664D46">
            <w:pPr>
              <w:spacing w:line="360" w:lineRule="auto"/>
              <w:jc w:val="center"/>
            </w:pPr>
            <w:r>
              <w:t>0</w:t>
            </w:r>
          </w:p>
        </w:tc>
      </w:tr>
      <w:tr w:rsidR="00D8645B" w14:paraId="6A549EEE" w14:textId="77777777" w:rsidTr="00664D46">
        <w:tc>
          <w:tcPr>
            <w:tcW w:w="1558" w:type="dxa"/>
            <w:vMerge/>
            <w:vAlign w:val="center"/>
          </w:tcPr>
          <w:p w14:paraId="6B4E78DF" w14:textId="77777777" w:rsidR="00D8645B" w:rsidRDefault="00D8645B" w:rsidP="00664D46">
            <w:pPr>
              <w:spacing w:line="360" w:lineRule="auto"/>
              <w:jc w:val="center"/>
            </w:pPr>
          </w:p>
        </w:tc>
        <w:tc>
          <w:tcPr>
            <w:tcW w:w="1558" w:type="dxa"/>
            <w:vAlign w:val="center"/>
          </w:tcPr>
          <w:p w14:paraId="3C7FFC8C" w14:textId="77777777" w:rsidR="00D8645B" w:rsidRDefault="00D8645B" w:rsidP="00664D46">
            <w:pPr>
              <w:spacing w:line="360" w:lineRule="auto"/>
              <w:jc w:val="center"/>
            </w:pPr>
            <w:r>
              <w:t>Securitized Markets</w:t>
            </w:r>
          </w:p>
        </w:tc>
        <w:tc>
          <w:tcPr>
            <w:tcW w:w="1558" w:type="dxa"/>
            <w:vAlign w:val="center"/>
          </w:tcPr>
          <w:p w14:paraId="15085251" w14:textId="77777777" w:rsidR="00D8645B" w:rsidRDefault="00D8645B" w:rsidP="00664D46">
            <w:pPr>
              <w:spacing w:line="360" w:lineRule="auto"/>
              <w:jc w:val="center"/>
            </w:pPr>
            <w:r>
              <w:t>Securitized Markets</w:t>
            </w:r>
          </w:p>
        </w:tc>
        <w:tc>
          <w:tcPr>
            <w:tcW w:w="1558" w:type="dxa"/>
            <w:vAlign w:val="center"/>
          </w:tcPr>
          <w:p w14:paraId="7B4A9D87" w14:textId="77777777" w:rsidR="00D8645B" w:rsidRDefault="00D8645B" w:rsidP="00664D46">
            <w:pPr>
              <w:spacing w:line="360" w:lineRule="auto"/>
              <w:jc w:val="center"/>
            </w:pPr>
            <w:r>
              <w:t>3126</w:t>
            </w:r>
          </w:p>
        </w:tc>
        <w:tc>
          <w:tcPr>
            <w:tcW w:w="1559" w:type="dxa"/>
            <w:vAlign w:val="center"/>
          </w:tcPr>
          <w:p w14:paraId="788A3568" w14:textId="77777777" w:rsidR="00D8645B" w:rsidRDefault="00D8645B" w:rsidP="00664D46">
            <w:pPr>
              <w:spacing w:line="360" w:lineRule="auto"/>
              <w:jc w:val="center"/>
            </w:pPr>
            <w:r>
              <w:t>3176</w:t>
            </w:r>
          </w:p>
        </w:tc>
        <w:tc>
          <w:tcPr>
            <w:tcW w:w="1559" w:type="dxa"/>
            <w:vAlign w:val="center"/>
          </w:tcPr>
          <w:p w14:paraId="692FD03D" w14:textId="77777777" w:rsidR="00D8645B" w:rsidRDefault="00D8645B" w:rsidP="00664D46">
            <w:pPr>
              <w:spacing w:line="360" w:lineRule="auto"/>
              <w:jc w:val="center"/>
            </w:pPr>
            <w:r>
              <w:t>51</w:t>
            </w:r>
          </w:p>
        </w:tc>
      </w:tr>
      <w:tr w:rsidR="00D8645B" w:rsidRPr="001F0477" w14:paraId="54327BEF" w14:textId="77777777" w:rsidTr="00664D46">
        <w:tc>
          <w:tcPr>
            <w:tcW w:w="4674" w:type="dxa"/>
            <w:gridSpan w:val="3"/>
          </w:tcPr>
          <w:p w14:paraId="4B620A72" w14:textId="77777777" w:rsidR="00D8645B" w:rsidRPr="001F0477" w:rsidRDefault="00D8645B" w:rsidP="00664D46">
            <w:pPr>
              <w:spacing w:line="360" w:lineRule="auto"/>
              <w:jc w:val="center"/>
              <w:rPr>
                <w:b/>
              </w:rPr>
            </w:pPr>
            <w:r>
              <w:rPr>
                <w:b/>
              </w:rPr>
              <w:t>BHC-ICG Total</w:t>
            </w:r>
          </w:p>
        </w:tc>
        <w:tc>
          <w:tcPr>
            <w:tcW w:w="1558" w:type="dxa"/>
          </w:tcPr>
          <w:p w14:paraId="0B37862B" w14:textId="77777777" w:rsidR="00D8645B" w:rsidRPr="001F0477" w:rsidRDefault="00D8645B" w:rsidP="00664D46">
            <w:pPr>
              <w:spacing w:line="360" w:lineRule="auto"/>
              <w:jc w:val="center"/>
              <w:rPr>
                <w:b/>
              </w:rPr>
            </w:pPr>
            <w:r>
              <w:rPr>
                <w:b/>
              </w:rPr>
              <w:t>11575</w:t>
            </w:r>
          </w:p>
        </w:tc>
        <w:tc>
          <w:tcPr>
            <w:tcW w:w="1559" w:type="dxa"/>
          </w:tcPr>
          <w:p w14:paraId="6C22CF6C" w14:textId="77777777" w:rsidR="00D8645B" w:rsidRPr="001F0477" w:rsidRDefault="00D8645B" w:rsidP="00664D46">
            <w:pPr>
              <w:spacing w:line="360" w:lineRule="auto"/>
              <w:jc w:val="center"/>
              <w:rPr>
                <w:b/>
              </w:rPr>
            </w:pPr>
            <w:r>
              <w:rPr>
                <w:b/>
              </w:rPr>
              <w:t>11665</w:t>
            </w:r>
          </w:p>
        </w:tc>
        <w:tc>
          <w:tcPr>
            <w:tcW w:w="1559" w:type="dxa"/>
          </w:tcPr>
          <w:p w14:paraId="0E7C5E18" w14:textId="77777777" w:rsidR="00D8645B" w:rsidRPr="001F0477" w:rsidRDefault="00D8645B" w:rsidP="00664D46">
            <w:pPr>
              <w:spacing w:line="360" w:lineRule="auto"/>
              <w:jc w:val="center"/>
              <w:rPr>
                <w:b/>
              </w:rPr>
            </w:pPr>
            <w:r>
              <w:rPr>
                <w:b/>
              </w:rPr>
              <w:t>89</w:t>
            </w:r>
          </w:p>
        </w:tc>
      </w:tr>
    </w:tbl>
    <w:p w14:paraId="2FC96906" w14:textId="77777777" w:rsidR="00D8645B" w:rsidRDefault="00D8645B" w:rsidP="00D8645B">
      <w:pPr>
        <w:spacing w:line="360" w:lineRule="auto"/>
      </w:pPr>
    </w:p>
    <w:p w14:paraId="5CCEE5EB" w14:textId="77777777" w:rsidR="00D8645B" w:rsidRPr="00DF1907" w:rsidRDefault="00D8645B" w:rsidP="0060309E">
      <w:pPr>
        <w:pStyle w:val="ListParagraph"/>
        <w:numPr>
          <w:ilvl w:val="0"/>
          <w:numId w:val="24"/>
        </w:numPr>
        <w:spacing w:after="160" w:line="360" w:lineRule="auto"/>
      </w:pPr>
      <w:r w:rsidRPr="00DF1907">
        <w:rPr>
          <w:u w:val="single"/>
        </w:rPr>
        <w:t>Effect of VaR and GSST</w:t>
      </w:r>
      <w:r w:rsidRPr="00DF1907">
        <w:t xml:space="preserve">: </w:t>
      </w:r>
      <w:r>
        <w:t xml:space="preserve">The table below shows the RC results when both the VaR and the GSST P&amp;L are set to zero. Without VaR and GSST, RC is expected to be driven by cBSST. As seen before, the worst case cBSST at the ICG level is $865MM loss in the 2008 Baseline scenario, which after considering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t xml:space="preserve"> explains the majority of $1.8b RC.</w:t>
      </w:r>
    </w:p>
    <w:p w14:paraId="085740F1" w14:textId="77777777" w:rsidR="00D8645B" w:rsidRDefault="00D8645B" w:rsidP="0060309E">
      <w:pPr>
        <w:pStyle w:val="ListParagraph"/>
        <w:numPr>
          <w:ilvl w:val="0"/>
          <w:numId w:val="24"/>
        </w:numPr>
        <w:spacing w:after="160" w:line="360" w:lineRule="auto"/>
      </w:pPr>
      <w:r w:rsidRPr="00111089">
        <w:rPr>
          <w:u w:val="single"/>
        </w:rPr>
        <w:t xml:space="preserve">Standalone RC ($MM) with </w:t>
      </w:r>
      <w:r>
        <w:rPr>
          <w:u w:val="single"/>
        </w:rPr>
        <w:t>Zero VaR and GSST P&amp;L</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8645B" w14:paraId="3EC91A59" w14:textId="77777777" w:rsidTr="00664D46">
        <w:tc>
          <w:tcPr>
            <w:tcW w:w="1558" w:type="dxa"/>
            <w:vAlign w:val="center"/>
          </w:tcPr>
          <w:p w14:paraId="1663057E" w14:textId="77777777" w:rsidR="00D8645B" w:rsidRPr="001F0477" w:rsidRDefault="00D8645B" w:rsidP="00664D46">
            <w:pPr>
              <w:spacing w:line="360" w:lineRule="auto"/>
              <w:jc w:val="center"/>
              <w:rPr>
                <w:b/>
              </w:rPr>
            </w:pPr>
            <w:r>
              <w:rPr>
                <w:b/>
              </w:rPr>
              <w:t>Group</w:t>
            </w:r>
          </w:p>
        </w:tc>
        <w:tc>
          <w:tcPr>
            <w:tcW w:w="1558" w:type="dxa"/>
            <w:vAlign w:val="center"/>
          </w:tcPr>
          <w:p w14:paraId="6FD65F21" w14:textId="77777777" w:rsidR="00D8645B" w:rsidRPr="001F0477" w:rsidRDefault="00D8645B" w:rsidP="00664D46">
            <w:pPr>
              <w:spacing w:line="360" w:lineRule="auto"/>
              <w:jc w:val="center"/>
              <w:rPr>
                <w:b/>
              </w:rPr>
            </w:pPr>
            <w:r>
              <w:rPr>
                <w:b/>
              </w:rPr>
              <w:t>Product</w:t>
            </w:r>
          </w:p>
        </w:tc>
        <w:tc>
          <w:tcPr>
            <w:tcW w:w="1558" w:type="dxa"/>
            <w:vAlign w:val="center"/>
          </w:tcPr>
          <w:p w14:paraId="0E0C6336" w14:textId="77777777" w:rsidR="00D8645B" w:rsidRPr="001F0477" w:rsidRDefault="00D8645B" w:rsidP="00664D46">
            <w:pPr>
              <w:spacing w:line="360" w:lineRule="auto"/>
              <w:jc w:val="center"/>
              <w:rPr>
                <w:b/>
              </w:rPr>
            </w:pPr>
            <w:r>
              <w:rPr>
                <w:b/>
              </w:rPr>
              <w:t>Business</w:t>
            </w:r>
          </w:p>
        </w:tc>
        <w:tc>
          <w:tcPr>
            <w:tcW w:w="1558" w:type="dxa"/>
            <w:vAlign w:val="center"/>
          </w:tcPr>
          <w:p w14:paraId="0C46C997" w14:textId="77777777" w:rsidR="00D8645B" w:rsidRPr="001F0477" w:rsidRDefault="00D8645B" w:rsidP="00664D46">
            <w:pPr>
              <w:spacing w:line="360" w:lineRule="auto"/>
              <w:jc w:val="center"/>
              <w:rPr>
                <w:b/>
              </w:rPr>
            </w:pPr>
            <w:r>
              <w:rPr>
                <w:b/>
              </w:rPr>
              <w:t>New RC w/o Volatility Adjustment</w:t>
            </w:r>
          </w:p>
        </w:tc>
        <w:tc>
          <w:tcPr>
            <w:tcW w:w="1559" w:type="dxa"/>
            <w:vAlign w:val="center"/>
          </w:tcPr>
          <w:p w14:paraId="12B05776" w14:textId="77777777" w:rsidR="00D8645B" w:rsidRPr="001F0477" w:rsidRDefault="00D8645B" w:rsidP="00664D46">
            <w:pPr>
              <w:spacing w:line="360" w:lineRule="auto"/>
              <w:jc w:val="center"/>
              <w:rPr>
                <w:b/>
              </w:rPr>
            </w:pPr>
            <w:r>
              <w:rPr>
                <w:b/>
              </w:rPr>
              <w:t>Base Case RC</w:t>
            </w:r>
          </w:p>
        </w:tc>
        <w:tc>
          <w:tcPr>
            <w:tcW w:w="1559" w:type="dxa"/>
            <w:vAlign w:val="center"/>
          </w:tcPr>
          <w:p w14:paraId="121806C9" w14:textId="77777777" w:rsidR="00D8645B" w:rsidRPr="001F0477" w:rsidRDefault="00D8645B" w:rsidP="00664D46">
            <w:pPr>
              <w:spacing w:line="360" w:lineRule="auto"/>
              <w:jc w:val="center"/>
              <w:rPr>
                <w:b/>
              </w:rPr>
            </w:pPr>
            <w:r>
              <w:rPr>
                <w:b/>
              </w:rPr>
              <w:t>Base Case - New</w:t>
            </w:r>
          </w:p>
        </w:tc>
      </w:tr>
      <w:tr w:rsidR="00D8645B" w14:paraId="4980C37F" w14:textId="77777777" w:rsidTr="00664D46">
        <w:tc>
          <w:tcPr>
            <w:tcW w:w="1558" w:type="dxa"/>
            <w:vMerge w:val="restart"/>
            <w:vAlign w:val="center"/>
          </w:tcPr>
          <w:p w14:paraId="44048D31" w14:textId="77777777" w:rsidR="00D8645B" w:rsidRDefault="00D8645B" w:rsidP="00664D46">
            <w:pPr>
              <w:spacing w:line="360" w:lineRule="auto"/>
              <w:jc w:val="center"/>
            </w:pPr>
            <w:r>
              <w:t>BHC - ICG</w:t>
            </w:r>
          </w:p>
        </w:tc>
        <w:tc>
          <w:tcPr>
            <w:tcW w:w="1558" w:type="dxa"/>
            <w:vAlign w:val="center"/>
          </w:tcPr>
          <w:p w14:paraId="7DA967DD" w14:textId="77777777" w:rsidR="00D8645B" w:rsidRDefault="00D8645B" w:rsidP="00664D46">
            <w:pPr>
              <w:spacing w:line="360" w:lineRule="auto"/>
              <w:jc w:val="center"/>
            </w:pPr>
            <w:r>
              <w:t>Advisory</w:t>
            </w:r>
          </w:p>
        </w:tc>
        <w:tc>
          <w:tcPr>
            <w:tcW w:w="1558" w:type="dxa"/>
            <w:vAlign w:val="center"/>
          </w:tcPr>
          <w:p w14:paraId="67028C08" w14:textId="77777777" w:rsidR="00D8645B" w:rsidRDefault="00D8645B" w:rsidP="00664D46">
            <w:pPr>
              <w:spacing w:line="360" w:lineRule="auto"/>
              <w:jc w:val="center"/>
            </w:pPr>
            <w:r>
              <w:t>Advisory</w:t>
            </w:r>
          </w:p>
        </w:tc>
        <w:tc>
          <w:tcPr>
            <w:tcW w:w="1558" w:type="dxa"/>
            <w:vAlign w:val="center"/>
          </w:tcPr>
          <w:p w14:paraId="67C30DC2" w14:textId="77777777" w:rsidR="00D8645B" w:rsidRDefault="00D8645B" w:rsidP="00664D46">
            <w:pPr>
              <w:spacing w:line="360" w:lineRule="auto"/>
              <w:jc w:val="center"/>
            </w:pPr>
            <w:r>
              <w:t>0</w:t>
            </w:r>
          </w:p>
        </w:tc>
        <w:tc>
          <w:tcPr>
            <w:tcW w:w="1559" w:type="dxa"/>
            <w:vAlign w:val="center"/>
          </w:tcPr>
          <w:p w14:paraId="40F3B92C" w14:textId="77777777" w:rsidR="00D8645B" w:rsidRDefault="00D8645B" w:rsidP="00664D46">
            <w:pPr>
              <w:spacing w:line="360" w:lineRule="auto"/>
              <w:jc w:val="center"/>
            </w:pPr>
            <w:r>
              <w:t>0</w:t>
            </w:r>
          </w:p>
        </w:tc>
        <w:tc>
          <w:tcPr>
            <w:tcW w:w="1559" w:type="dxa"/>
            <w:vAlign w:val="center"/>
          </w:tcPr>
          <w:p w14:paraId="6113A3D3" w14:textId="77777777" w:rsidR="00D8645B" w:rsidRDefault="00D8645B" w:rsidP="00664D46">
            <w:pPr>
              <w:spacing w:line="360" w:lineRule="auto"/>
              <w:jc w:val="center"/>
            </w:pPr>
            <w:r>
              <w:t>0</w:t>
            </w:r>
          </w:p>
        </w:tc>
      </w:tr>
      <w:tr w:rsidR="00D8645B" w14:paraId="514C1F6A" w14:textId="77777777" w:rsidTr="00664D46">
        <w:tc>
          <w:tcPr>
            <w:tcW w:w="1558" w:type="dxa"/>
            <w:vMerge/>
            <w:vAlign w:val="center"/>
          </w:tcPr>
          <w:p w14:paraId="6BD8C3EA" w14:textId="77777777" w:rsidR="00D8645B" w:rsidRDefault="00D8645B" w:rsidP="00664D46">
            <w:pPr>
              <w:spacing w:line="360" w:lineRule="auto"/>
              <w:jc w:val="center"/>
            </w:pPr>
          </w:p>
        </w:tc>
        <w:tc>
          <w:tcPr>
            <w:tcW w:w="1558" w:type="dxa"/>
            <w:vAlign w:val="center"/>
          </w:tcPr>
          <w:p w14:paraId="75E0CD9C" w14:textId="77777777" w:rsidR="00D8645B" w:rsidRDefault="00D8645B" w:rsidP="00664D46">
            <w:pPr>
              <w:spacing w:line="360" w:lineRule="auto"/>
              <w:jc w:val="center"/>
            </w:pPr>
            <w:r>
              <w:t>CAI</w:t>
            </w:r>
          </w:p>
        </w:tc>
        <w:tc>
          <w:tcPr>
            <w:tcW w:w="1558" w:type="dxa"/>
            <w:vAlign w:val="center"/>
          </w:tcPr>
          <w:p w14:paraId="4C3CBF33" w14:textId="77777777" w:rsidR="00D8645B" w:rsidRDefault="00D8645B" w:rsidP="00664D46">
            <w:pPr>
              <w:spacing w:line="360" w:lineRule="auto"/>
              <w:jc w:val="center"/>
            </w:pPr>
            <w:r>
              <w:t>CAI</w:t>
            </w:r>
          </w:p>
        </w:tc>
        <w:tc>
          <w:tcPr>
            <w:tcW w:w="1558" w:type="dxa"/>
            <w:vAlign w:val="center"/>
          </w:tcPr>
          <w:p w14:paraId="517FE629" w14:textId="77777777" w:rsidR="00D8645B" w:rsidRDefault="00D8645B" w:rsidP="00664D46">
            <w:pPr>
              <w:spacing w:line="360" w:lineRule="auto"/>
              <w:jc w:val="center"/>
            </w:pPr>
            <w:r>
              <w:t>0</w:t>
            </w:r>
          </w:p>
        </w:tc>
        <w:tc>
          <w:tcPr>
            <w:tcW w:w="1559" w:type="dxa"/>
            <w:vAlign w:val="center"/>
          </w:tcPr>
          <w:p w14:paraId="32AD9C8B" w14:textId="77777777" w:rsidR="00D8645B" w:rsidRDefault="00D8645B" w:rsidP="00664D46">
            <w:pPr>
              <w:spacing w:line="360" w:lineRule="auto"/>
              <w:jc w:val="center"/>
            </w:pPr>
            <w:r>
              <w:t>11</w:t>
            </w:r>
          </w:p>
        </w:tc>
        <w:tc>
          <w:tcPr>
            <w:tcW w:w="1559" w:type="dxa"/>
            <w:vAlign w:val="center"/>
          </w:tcPr>
          <w:p w14:paraId="495B5EAE" w14:textId="77777777" w:rsidR="00D8645B" w:rsidRDefault="00D8645B" w:rsidP="00664D46">
            <w:pPr>
              <w:spacing w:line="360" w:lineRule="auto"/>
              <w:jc w:val="center"/>
            </w:pPr>
            <w:r>
              <w:t>11</w:t>
            </w:r>
          </w:p>
        </w:tc>
      </w:tr>
      <w:tr w:rsidR="00D8645B" w14:paraId="08EAEEFD" w14:textId="77777777" w:rsidTr="00664D46">
        <w:tc>
          <w:tcPr>
            <w:tcW w:w="1558" w:type="dxa"/>
            <w:vMerge/>
            <w:vAlign w:val="center"/>
          </w:tcPr>
          <w:p w14:paraId="705DF60E" w14:textId="77777777" w:rsidR="00D8645B" w:rsidRDefault="00D8645B" w:rsidP="00664D46">
            <w:pPr>
              <w:spacing w:line="360" w:lineRule="auto"/>
              <w:jc w:val="center"/>
            </w:pPr>
          </w:p>
        </w:tc>
        <w:tc>
          <w:tcPr>
            <w:tcW w:w="1558" w:type="dxa"/>
            <w:vAlign w:val="center"/>
          </w:tcPr>
          <w:p w14:paraId="5FB55B0A" w14:textId="77777777" w:rsidR="00D8645B" w:rsidRDefault="00D8645B" w:rsidP="00664D46">
            <w:pPr>
              <w:spacing w:line="360" w:lineRule="auto"/>
              <w:jc w:val="center"/>
            </w:pPr>
            <w:r>
              <w:t>Commodities</w:t>
            </w:r>
          </w:p>
        </w:tc>
        <w:tc>
          <w:tcPr>
            <w:tcW w:w="1558" w:type="dxa"/>
            <w:vAlign w:val="center"/>
          </w:tcPr>
          <w:p w14:paraId="4B727476" w14:textId="77777777" w:rsidR="00D8645B" w:rsidRDefault="00D8645B" w:rsidP="00664D46">
            <w:pPr>
              <w:spacing w:line="360" w:lineRule="auto"/>
              <w:jc w:val="center"/>
            </w:pPr>
            <w:r>
              <w:t>Commodities Houston</w:t>
            </w:r>
          </w:p>
        </w:tc>
        <w:tc>
          <w:tcPr>
            <w:tcW w:w="1558" w:type="dxa"/>
            <w:vAlign w:val="center"/>
          </w:tcPr>
          <w:p w14:paraId="00EAA6F1" w14:textId="77777777" w:rsidR="00D8645B" w:rsidRDefault="00D8645B" w:rsidP="00664D46">
            <w:pPr>
              <w:spacing w:line="360" w:lineRule="auto"/>
              <w:jc w:val="center"/>
            </w:pPr>
            <w:r>
              <w:t>149</w:t>
            </w:r>
          </w:p>
        </w:tc>
        <w:tc>
          <w:tcPr>
            <w:tcW w:w="1559" w:type="dxa"/>
            <w:vAlign w:val="center"/>
          </w:tcPr>
          <w:p w14:paraId="45131762" w14:textId="77777777" w:rsidR="00D8645B" w:rsidRDefault="00D8645B" w:rsidP="00664D46">
            <w:pPr>
              <w:spacing w:line="360" w:lineRule="auto"/>
              <w:jc w:val="center"/>
            </w:pPr>
            <w:r>
              <w:t>405</w:t>
            </w:r>
          </w:p>
        </w:tc>
        <w:tc>
          <w:tcPr>
            <w:tcW w:w="1559" w:type="dxa"/>
            <w:vAlign w:val="center"/>
          </w:tcPr>
          <w:p w14:paraId="0874EE69" w14:textId="77777777" w:rsidR="00D8645B" w:rsidRDefault="00D8645B" w:rsidP="00664D46">
            <w:pPr>
              <w:spacing w:line="360" w:lineRule="auto"/>
              <w:jc w:val="center"/>
            </w:pPr>
            <w:r>
              <w:t>256</w:t>
            </w:r>
          </w:p>
        </w:tc>
      </w:tr>
      <w:tr w:rsidR="00D8645B" w14:paraId="7F3883D5" w14:textId="77777777" w:rsidTr="00664D46">
        <w:tc>
          <w:tcPr>
            <w:tcW w:w="1558" w:type="dxa"/>
            <w:vMerge/>
            <w:vAlign w:val="center"/>
          </w:tcPr>
          <w:p w14:paraId="37DF2645" w14:textId="77777777" w:rsidR="00D8645B" w:rsidRDefault="00D8645B" w:rsidP="00664D46">
            <w:pPr>
              <w:spacing w:line="360" w:lineRule="auto"/>
              <w:jc w:val="center"/>
            </w:pPr>
          </w:p>
        </w:tc>
        <w:tc>
          <w:tcPr>
            <w:tcW w:w="1558" w:type="dxa"/>
            <w:vMerge w:val="restart"/>
            <w:vAlign w:val="center"/>
          </w:tcPr>
          <w:p w14:paraId="06CBEE0D" w14:textId="77777777" w:rsidR="00D8645B" w:rsidRDefault="00D8645B" w:rsidP="00664D46">
            <w:pPr>
              <w:spacing w:line="360" w:lineRule="auto"/>
              <w:jc w:val="center"/>
            </w:pPr>
            <w:r>
              <w:t>Credit</w:t>
            </w:r>
          </w:p>
        </w:tc>
        <w:tc>
          <w:tcPr>
            <w:tcW w:w="1558" w:type="dxa"/>
            <w:vAlign w:val="center"/>
          </w:tcPr>
          <w:p w14:paraId="5878190D" w14:textId="77777777" w:rsidR="00D8645B" w:rsidRDefault="00D8645B" w:rsidP="00664D46">
            <w:pPr>
              <w:spacing w:line="360" w:lineRule="auto"/>
              <w:jc w:val="center"/>
            </w:pPr>
            <w:r>
              <w:t>Credit Trading</w:t>
            </w:r>
          </w:p>
        </w:tc>
        <w:tc>
          <w:tcPr>
            <w:tcW w:w="1558" w:type="dxa"/>
            <w:vAlign w:val="center"/>
          </w:tcPr>
          <w:p w14:paraId="1265E7A2" w14:textId="77777777" w:rsidR="00D8645B" w:rsidRDefault="00D8645B" w:rsidP="00664D46">
            <w:pPr>
              <w:spacing w:line="360" w:lineRule="auto"/>
              <w:jc w:val="center"/>
            </w:pPr>
            <w:r>
              <w:t>16</w:t>
            </w:r>
          </w:p>
        </w:tc>
        <w:tc>
          <w:tcPr>
            <w:tcW w:w="1559" w:type="dxa"/>
            <w:vAlign w:val="center"/>
          </w:tcPr>
          <w:p w14:paraId="6A73F882" w14:textId="77777777" w:rsidR="00D8645B" w:rsidRDefault="00D8645B" w:rsidP="00664D46">
            <w:pPr>
              <w:spacing w:line="360" w:lineRule="auto"/>
              <w:jc w:val="center"/>
            </w:pPr>
            <w:r>
              <w:t>374</w:t>
            </w:r>
          </w:p>
        </w:tc>
        <w:tc>
          <w:tcPr>
            <w:tcW w:w="1559" w:type="dxa"/>
            <w:vAlign w:val="center"/>
          </w:tcPr>
          <w:p w14:paraId="7E117814" w14:textId="77777777" w:rsidR="00D8645B" w:rsidRDefault="00D8645B" w:rsidP="00664D46">
            <w:pPr>
              <w:spacing w:line="360" w:lineRule="auto"/>
              <w:jc w:val="center"/>
            </w:pPr>
            <w:r>
              <w:t>358</w:t>
            </w:r>
          </w:p>
        </w:tc>
      </w:tr>
      <w:tr w:rsidR="00D8645B" w14:paraId="25C2AB76" w14:textId="77777777" w:rsidTr="00664D46">
        <w:tc>
          <w:tcPr>
            <w:tcW w:w="1558" w:type="dxa"/>
            <w:vMerge/>
            <w:vAlign w:val="center"/>
          </w:tcPr>
          <w:p w14:paraId="36268A3A" w14:textId="77777777" w:rsidR="00D8645B" w:rsidRDefault="00D8645B" w:rsidP="00664D46">
            <w:pPr>
              <w:spacing w:line="360" w:lineRule="auto"/>
              <w:jc w:val="center"/>
            </w:pPr>
          </w:p>
        </w:tc>
        <w:tc>
          <w:tcPr>
            <w:tcW w:w="1558" w:type="dxa"/>
            <w:vMerge/>
            <w:vAlign w:val="center"/>
          </w:tcPr>
          <w:p w14:paraId="7F9192AE" w14:textId="77777777" w:rsidR="00D8645B" w:rsidRDefault="00D8645B" w:rsidP="00664D46">
            <w:pPr>
              <w:spacing w:line="360" w:lineRule="auto"/>
              <w:jc w:val="center"/>
            </w:pPr>
          </w:p>
        </w:tc>
        <w:tc>
          <w:tcPr>
            <w:tcW w:w="1558" w:type="dxa"/>
            <w:vAlign w:val="center"/>
          </w:tcPr>
          <w:p w14:paraId="0EB52595" w14:textId="77777777" w:rsidR="00D8645B" w:rsidRDefault="00D8645B" w:rsidP="00664D46">
            <w:pPr>
              <w:spacing w:line="360" w:lineRule="auto"/>
              <w:jc w:val="center"/>
            </w:pPr>
            <w:r>
              <w:t>Distressed</w:t>
            </w:r>
          </w:p>
        </w:tc>
        <w:tc>
          <w:tcPr>
            <w:tcW w:w="1558" w:type="dxa"/>
            <w:vAlign w:val="center"/>
          </w:tcPr>
          <w:p w14:paraId="566F8F15" w14:textId="77777777" w:rsidR="00D8645B" w:rsidRDefault="00D8645B" w:rsidP="00664D46">
            <w:pPr>
              <w:spacing w:line="360" w:lineRule="auto"/>
              <w:jc w:val="center"/>
            </w:pPr>
            <w:r>
              <w:t>82</w:t>
            </w:r>
          </w:p>
        </w:tc>
        <w:tc>
          <w:tcPr>
            <w:tcW w:w="1559" w:type="dxa"/>
            <w:vAlign w:val="center"/>
          </w:tcPr>
          <w:p w14:paraId="10D0FD30" w14:textId="77777777" w:rsidR="00D8645B" w:rsidRDefault="00D8645B" w:rsidP="00664D46">
            <w:pPr>
              <w:spacing w:line="360" w:lineRule="auto"/>
              <w:jc w:val="center"/>
            </w:pPr>
            <w:r>
              <w:t>216</w:t>
            </w:r>
          </w:p>
        </w:tc>
        <w:tc>
          <w:tcPr>
            <w:tcW w:w="1559" w:type="dxa"/>
            <w:vAlign w:val="center"/>
          </w:tcPr>
          <w:p w14:paraId="3C8DC4C6" w14:textId="77777777" w:rsidR="00D8645B" w:rsidRDefault="00D8645B" w:rsidP="00664D46">
            <w:pPr>
              <w:spacing w:line="360" w:lineRule="auto"/>
              <w:jc w:val="center"/>
            </w:pPr>
            <w:r>
              <w:t>135</w:t>
            </w:r>
          </w:p>
        </w:tc>
      </w:tr>
      <w:tr w:rsidR="00D8645B" w14:paraId="7C578174" w14:textId="77777777" w:rsidTr="00664D46">
        <w:tc>
          <w:tcPr>
            <w:tcW w:w="1558" w:type="dxa"/>
            <w:vMerge/>
            <w:vAlign w:val="center"/>
          </w:tcPr>
          <w:p w14:paraId="383884F1" w14:textId="77777777" w:rsidR="00D8645B" w:rsidRDefault="00D8645B" w:rsidP="00664D46">
            <w:pPr>
              <w:spacing w:line="360" w:lineRule="auto"/>
              <w:jc w:val="center"/>
            </w:pPr>
          </w:p>
        </w:tc>
        <w:tc>
          <w:tcPr>
            <w:tcW w:w="1558" w:type="dxa"/>
            <w:vMerge/>
            <w:vAlign w:val="center"/>
          </w:tcPr>
          <w:p w14:paraId="6B50D86E" w14:textId="77777777" w:rsidR="00D8645B" w:rsidRDefault="00D8645B" w:rsidP="00664D46">
            <w:pPr>
              <w:spacing w:line="360" w:lineRule="auto"/>
              <w:jc w:val="center"/>
            </w:pPr>
          </w:p>
        </w:tc>
        <w:tc>
          <w:tcPr>
            <w:tcW w:w="1558" w:type="dxa"/>
            <w:vAlign w:val="center"/>
          </w:tcPr>
          <w:p w14:paraId="178BEDB9" w14:textId="77777777" w:rsidR="00D8645B" w:rsidRDefault="00D8645B" w:rsidP="00664D46">
            <w:pPr>
              <w:spacing w:line="360" w:lineRule="auto"/>
              <w:jc w:val="center"/>
            </w:pPr>
            <w:r>
              <w:t>EM Credit Trading</w:t>
            </w:r>
          </w:p>
        </w:tc>
        <w:tc>
          <w:tcPr>
            <w:tcW w:w="1558" w:type="dxa"/>
            <w:vAlign w:val="center"/>
          </w:tcPr>
          <w:p w14:paraId="6E2B8C20" w14:textId="77777777" w:rsidR="00D8645B" w:rsidRDefault="00D8645B" w:rsidP="00664D46">
            <w:pPr>
              <w:spacing w:line="360" w:lineRule="auto"/>
              <w:jc w:val="center"/>
            </w:pPr>
            <w:r>
              <w:t>161</w:t>
            </w:r>
          </w:p>
        </w:tc>
        <w:tc>
          <w:tcPr>
            <w:tcW w:w="1559" w:type="dxa"/>
            <w:vAlign w:val="center"/>
          </w:tcPr>
          <w:p w14:paraId="17AB9120" w14:textId="77777777" w:rsidR="00D8645B" w:rsidRDefault="00D8645B" w:rsidP="00664D46">
            <w:pPr>
              <w:spacing w:line="360" w:lineRule="auto"/>
              <w:jc w:val="center"/>
            </w:pPr>
            <w:r>
              <w:t>445</w:t>
            </w:r>
          </w:p>
        </w:tc>
        <w:tc>
          <w:tcPr>
            <w:tcW w:w="1559" w:type="dxa"/>
            <w:vAlign w:val="center"/>
          </w:tcPr>
          <w:p w14:paraId="2BEB48E0" w14:textId="77777777" w:rsidR="00D8645B" w:rsidRDefault="00D8645B" w:rsidP="00664D46">
            <w:pPr>
              <w:spacing w:line="360" w:lineRule="auto"/>
              <w:jc w:val="center"/>
            </w:pPr>
            <w:r>
              <w:t>284</w:t>
            </w:r>
          </w:p>
        </w:tc>
      </w:tr>
      <w:tr w:rsidR="00D8645B" w14:paraId="48F0660C" w14:textId="77777777" w:rsidTr="00664D46">
        <w:tc>
          <w:tcPr>
            <w:tcW w:w="1558" w:type="dxa"/>
            <w:vMerge/>
            <w:vAlign w:val="center"/>
          </w:tcPr>
          <w:p w14:paraId="440E354D" w14:textId="77777777" w:rsidR="00D8645B" w:rsidRDefault="00D8645B" w:rsidP="00664D46">
            <w:pPr>
              <w:spacing w:line="360" w:lineRule="auto"/>
              <w:jc w:val="center"/>
            </w:pPr>
          </w:p>
        </w:tc>
        <w:tc>
          <w:tcPr>
            <w:tcW w:w="1558" w:type="dxa"/>
            <w:vMerge/>
            <w:vAlign w:val="center"/>
          </w:tcPr>
          <w:p w14:paraId="701FB60B" w14:textId="77777777" w:rsidR="00D8645B" w:rsidRDefault="00D8645B" w:rsidP="00664D46">
            <w:pPr>
              <w:spacing w:line="360" w:lineRule="auto"/>
              <w:jc w:val="center"/>
            </w:pPr>
          </w:p>
        </w:tc>
        <w:tc>
          <w:tcPr>
            <w:tcW w:w="1558" w:type="dxa"/>
            <w:vAlign w:val="center"/>
          </w:tcPr>
          <w:p w14:paraId="0B97B37E" w14:textId="77777777" w:rsidR="00D8645B" w:rsidRDefault="00D8645B" w:rsidP="00664D46">
            <w:pPr>
              <w:spacing w:line="360" w:lineRule="auto"/>
              <w:jc w:val="center"/>
            </w:pPr>
            <w:r>
              <w:t>Credit Macro Hedge</w:t>
            </w:r>
          </w:p>
        </w:tc>
        <w:tc>
          <w:tcPr>
            <w:tcW w:w="1558" w:type="dxa"/>
            <w:vAlign w:val="center"/>
          </w:tcPr>
          <w:p w14:paraId="55CDA70A" w14:textId="77777777" w:rsidR="00D8645B" w:rsidRDefault="00D8645B" w:rsidP="00664D46">
            <w:pPr>
              <w:spacing w:line="360" w:lineRule="auto"/>
              <w:jc w:val="center"/>
            </w:pPr>
            <w:r>
              <w:t>0</w:t>
            </w:r>
          </w:p>
        </w:tc>
        <w:tc>
          <w:tcPr>
            <w:tcW w:w="1559" w:type="dxa"/>
            <w:vAlign w:val="center"/>
          </w:tcPr>
          <w:p w14:paraId="4D8E024C" w14:textId="77777777" w:rsidR="00D8645B" w:rsidRDefault="00D8645B" w:rsidP="00664D46">
            <w:pPr>
              <w:spacing w:line="360" w:lineRule="auto"/>
              <w:jc w:val="center"/>
            </w:pPr>
            <w:r>
              <w:t>0</w:t>
            </w:r>
          </w:p>
        </w:tc>
        <w:tc>
          <w:tcPr>
            <w:tcW w:w="1559" w:type="dxa"/>
            <w:vAlign w:val="center"/>
          </w:tcPr>
          <w:p w14:paraId="5BFB0B61" w14:textId="77777777" w:rsidR="00D8645B" w:rsidRDefault="00D8645B" w:rsidP="00664D46">
            <w:pPr>
              <w:spacing w:line="360" w:lineRule="auto"/>
              <w:jc w:val="center"/>
            </w:pPr>
            <w:r>
              <w:t>0</w:t>
            </w:r>
          </w:p>
        </w:tc>
      </w:tr>
      <w:tr w:rsidR="00D8645B" w14:paraId="4F77822C" w14:textId="77777777" w:rsidTr="00664D46">
        <w:tc>
          <w:tcPr>
            <w:tcW w:w="1558" w:type="dxa"/>
            <w:vMerge/>
            <w:vAlign w:val="center"/>
          </w:tcPr>
          <w:p w14:paraId="4987C415" w14:textId="77777777" w:rsidR="00D8645B" w:rsidRDefault="00D8645B" w:rsidP="00664D46">
            <w:pPr>
              <w:spacing w:line="360" w:lineRule="auto"/>
              <w:jc w:val="center"/>
            </w:pPr>
          </w:p>
        </w:tc>
        <w:tc>
          <w:tcPr>
            <w:tcW w:w="1558" w:type="dxa"/>
            <w:vMerge/>
            <w:vAlign w:val="center"/>
          </w:tcPr>
          <w:p w14:paraId="787A3EC7" w14:textId="77777777" w:rsidR="00D8645B" w:rsidRDefault="00D8645B" w:rsidP="00664D46">
            <w:pPr>
              <w:spacing w:line="360" w:lineRule="auto"/>
              <w:jc w:val="center"/>
            </w:pPr>
          </w:p>
        </w:tc>
        <w:tc>
          <w:tcPr>
            <w:tcW w:w="1558" w:type="dxa"/>
            <w:vAlign w:val="center"/>
          </w:tcPr>
          <w:p w14:paraId="04C760BE" w14:textId="77777777" w:rsidR="00D8645B" w:rsidRDefault="00D8645B" w:rsidP="00664D46">
            <w:pPr>
              <w:spacing w:line="360" w:lineRule="auto"/>
              <w:jc w:val="center"/>
            </w:pPr>
            <w:r>
              <w:t>PECD</w:t>
            </w:r>
          </w:p>
        </w:tc>
        <w:tc>
          <w:tcPr>
            <w:tcW w:w="1558" w:type="dxa"/>
            <w:vAlign w:val="center"/>
          </w:tcPr>
          <w:p w14:paraId="6FD703A8" w14:textId="77777777" w:rsidR="00D8645B" w:rsidRDefault="00D8645B" w:rsidP="00664D46">
            <w:pPr>
              <w:spacing w:line="360" w:lineRule="auto"/>
              <w:jc w:val="center"/>
            </w:pPr>
            <w:r>
              <w:t>1010</w:t>
            </w:r>
          </w:p>
        </w:tc>
        <w:tc>
          <w:tcPr>
            <w:tcW w:w="1559" w:type="dxa"/>
            <w:vAlign w:val="center"/>
          </w:tcPr>
          <w:p w14:paraId="26B42B6F" w14:textId="77777777" w:rsidR="00D8645B" w:rsidRDefault="00D8645B" w:rsidP="00664D46">
            <w:pPr>
              <w:spacing w:line="360" w:lineRule="auto"/>
              <w:jc w:val="center"/>
            </w:pPr>
            <w:r>
              <w:t>2363</w:t>
            </w:r>
          </w:p>
        </w:tc>
        <w:tc>
          <w:tcPr>
            <w:tcW w:w="1559" w:type="dxa"/>
            <w:vAlign w:val="center"/>
          </w:tcPr>
          <w:p w14:paraId="68F30E46" w14:textId="77777777" w:rsidR="00D8645B" w:rsidRDefault="00D8645B" w:rsidP="00664D46">
            <w:pPr>
              <w:spacing w:line="360" w:lineRule="auto"/>
              <w:jc w:val="center"/>
            </w:pPr>
            <w:r>
              <w:t>1352</w:t>
            </w:r>
          </w:p>
        </w:tc>
      </w:tr>
      <w:tr w:rsidR="00D8645B" w14:paraId="3A5634D1" w14:textId="77777777" w:rsidTr="00664D46">
        <w:tc>
          <w:tcPr>
            <w:tcW w:w="1558" w:type="dxa"/>
            <w:vMerge/>
            <w:vAlign w:val="center"/>
          </w:tcPr>
          <w:p w14:paraId="36C9BDA8" w14:textId="77777777" w:rsidR="00D8645B" w:rsidRDefault="00D8645B" w:rsidP="00664D46">
            <w:pPr>
              <w:spacing w:line="360" w:lineRule="auto"/>
              <w:jc w:val="center"/>
            </w:pPr>
          </w:p>
        </w:tc>
        <w:tc>
          <w:tcPr>
            <w:tcW w:w="1558" w:type="dxa"/>
            <w:vMerge/>
            <w:vAlign w:val="center"/>
          </w:tcPr>
          <w:p w14:paraId="747DB08B" w14:textId="77777777" w:rsidR="00D8645B" w:rsidRDefault="00D8645B" w:rsidP="00664D46">
            <w:pPr>
              <w:spacing w:line="360" w:lineRule="auto"/>
              <w:jc w:val="center"/>
            </w:pPr>
          </w:p>
        </w:tc>
        <w:tc>
          <w:tcPr>
            <w:tcW w:w="1558" w:type="dxa"/>
            <w:vAlign w:val="center"/>
          </w:tcPr>
          <w:p w14:paraId="14EAAE86" w14:textId="77777777" w:rsidR="00D8645B" w:rsidRDefault="00D8645B" w:rsidP="00664D46">
            <w:pPr>
              <w:spacing w:line="360" w:lineRule="auto"/>
              <w:jc w:val="center"/>
            </w:pPr>
            <w:r>
              <w:t>Short Term</w:t>
            </w:r>
          </w:p>
        </w:tc>
        <w:tc>
          <w:tcPr>
            <w:tcW w:w="1558" w:type="dxa"/>
            <w:vAlign w:val="center"/>
          </w:tcPr>
          <w:p w14:paraId="0A35FF0F" w14:textId="77777777" w:rsidR="00D8645B" w:rsidRDefault="00D8645B" w:rsidP="00664D46">
            <w:pPr>
              <w:spacing w:line="360" w:lineRule="auto"/>
              <w:jc w:val="center"/>
            </w:pPr>
            <w:r>
              <w:t>0</w:t>
            </w:r>
          </w:p>
        </w:tc>
        <w:tc>
          <w:tcPr>
            <w:tcW w:w="1559" w:type="dxa"/>
            <w:vAlign w:val="center"/>
          </w:tcPr>
          <w:p w14:paraId="548694A6" w14:textId="77777777" w:rsidR="00D8645B" w:rsidRDefault="00D8645B" w:rsidP="00664D46">
            <w:pPr>
              <w:spacing w:line="360" w:lineRule="auto"/>
              <w:jc w:val="center"/>
            </w:pPr>
            <w:r>
              <w:t>24</w:t>
            </w:r>
          </w:p>
        </w:tc>
        <w:tc>
          <w:tcPr>
            <w:tcW w:w="1559" w:type="dxa"/>
            <w:vAlign w:val="center"/>
          </w:tcPr>
          <w:p w14:paraId="4A0198F8" w14:textId="77777777" w:rsidR="00D8645B" w:rsidRDefault="00D8645B" w:rsidP="00664D46">
            <w:pPr>
              <w:spacing w:line="360" w:lineRule="auto"/>
              <w:jc w:val="center"/>
            </w:pPr>
            <w:r>
              <w:t>24</w:t>
            </w:r>
          </w:p>
        </w:tc>
      </w:tr>
      <w:tr w:rsidR="00D8645B" w14:paraId="2330AD52" w14:textId="77777777" w:rsidTr="00664D46">
        <w:tc>
          <w:tcPr>
            <w:tcW w:w="1558" w:type="dxa"/>
            <w:vMerge/>
            <w:vAlign w:val="center"/>
          </w:tcPr>
          <w:p w14:paraId="1834FDC9" w14:textId="77777777" w:rsidR="00D8645B" w:rsidRDefault="00D8645B" w:rsidP="00664D46">
            <w:pPr>
              <w:spacing w:line="360" w:lineRule="auto"/>
              <w:jc w:val="center"/>
            </w:pPr>
          </w:p>
        </w:tc>
        <w:tc>
          <w:tcPr>
            <w:tcW w:w="1558" w:type="dxa"/>
            <w:vMerge/>
            <w:vAlign w:val="center"/>
          </w:tcPr>
          <w:p w14:paraId="43F8C2EA" w14:textId="77777777" w:rsidR="00D8645B" w:rsidRDefault="00D8645B" w:rsidP="00664D46">
            <w:pPr>
              <w:spacing w:line="360" w:lineRule="auto"/>
              <w:jc w:val="center"/>
            </w:pPr>
          </w:p>
        </w:tc>
        <w:tc>
          <w:tcPr>
            <w:tcW w:w="1558" w:type="dxa"/>
            <w:vAlign w:val="center"/>
          </w:tcPr>
          <w:p w14:paraId="395A5C02" w14:textId="77777777" w:rsidR="00D8645B" w:rsidRDefault="00D8645B" w:rsidP="00664D46">
            <w:pPr>
              <w:spacing w:line="360" w:lineRule="auto"/>
              <w:jc w:val="center"/>
            </w:pPr>
            <w:r>
              <w:t>GSSG West</w:t>
            </w:r>
          </w:p>
        </w:tc>
        <w:tc>
          <w:tcPr>
            <w:tcW w:w="1558" w:type="dxa"/>
            <w:vAlign w:val="center"/>
          </w:tcPr>
          <w:p w14:paraId="5A8879C3" w14:textId="77777777" w:rsidR="00D8645B" w:rsidRDefault="00D8645B" w:rsidP="00664D46">
            <w:pPr>
              <w:spacing w:line="360" w:lineRule="auto"/>
              <w:jc w:val="center"/>
            </w:pPr>
            <w:r>
              <w:t>0</w:t>
            </w:r>
          </w:p>
        </w:tc>
        <w:tc>
          <w:tcPr>
            <w:tcW w:w="1559" w:type="dxa"/>
            <w:vAlign w:val="center"/>
          </w:tcPr>
          <w:p w14:paraId="40B42128" w14:textId="77777777" w:rsidR="00D8645B" w:rsidRDefault="00D8645B" w:rsidP="00664D46">
            <w:pPr>
              <w:spacing w:line="360" w:lineRule="auto"/>
              <w:jc w:val="center"/>
            </w:pPr>
            <w:r>
              <w:t>0</w:t>
            </w:r>
          </w:p>
        </w:tc>
        <w:tc>
          <w:tcPr>
            <w:tcW w:w="1559" w:type="dxa"/>
            <w:vAlign w:val="center"/>
          </w:tcPr>
          <w:p w14:paraId="5968C3E9" w14:textId="77777777" w:rsidR="00D8645B" w:rsidRDefault="00D8645B" w:rsidP="00664D46">
            <w:pPr>
              <w:spacing w:line="360" w:lineRule="auto"/>
              <w:jc w:val="center"/>
            </w:pPr>
            <w:r>
              <w:t>0</w:t>
            </w:r>
          </w:p>
        </w:tc>
      </w:tr>
      <w:tr w:rsidR="00D8645B" w14:paraId="1F7AF647" w14:textId="77777777" w:rsidTr="00664D46">
        <w:tc>
          <w:tcPr>
            <w:tcW w:w="1558" w:type="dxa"/>
            <w:vMerge/>
            <w:vAlign w:val="center"/>
          </w:tcPr>
          <w:p w14:paraId="1D75D6F1" w14:textId="77777777" w:rsidR="00D8645B" w:rsidRDefault="00D8645B" w:rsidP="00664D46">
            <w:pPr>
              <w:spacing w:line="360" w:lineRule="auto"/>
              <w:jc w:val="center"/>
            </w:pPr>
          </w:p>
        </w:tc>
        <w:tc>
          <w:tcPr>
            <w:tcW w:w="1558" w:type="dxa"/>
            <w:vAlign w:val="center"/>
          </w:tcPr>
          <w:p w14:paraId="4CC39F36" w14:textId="77777777" w:rsidR="00D8645B" w:rsidRDefault="00D8645B" w:rsidP="00664D46">
            <w:pPr>
              <w:spacing w:line="360" w:lineRule="auto"/>
              <w:jc w:val="center"/>
            </w:pPr>
            <w:r>
              <w:t>EM ABF</w:t>
            </w:r>
          </w:p>
        </w:tc>
        <w:tc>
          <w:tcPr>
            <w:tcW w:w="1558" w:type="dxa"/>
            <w:vAlign w:val="center"/>
          </w:tcPr>
          <w:p w14:paraId="07BFB549" w14:textId="77777777" w:rsidR="00D8645B" w:rsidRDefault="00D8645B" w:rsidP="00664D46">
            <w:pPr>
              <w:spacing w:line="360" w:lineRule="auto"/>
              <w:jc w:val="center"/>
            </w:pPr>
            <w:r>
              <w:t>EM ABF</w:t>
            </w:r>
          </w:p>
        </w:tc>
        <w:tc>
          <w:tcPr>
            <w:tcW w:w="1558" w:type="dxa"/>
            <w:vAlign w:val="center"/>
          </w:tcPr>
          <w:p w14:paraId="609A5CC0" w14:textId="77777777" w:rsidR="00D8645B" w:rsidRDefault="00D8645B" w:rsidP="00664D46">
            <w:pPr>
              <w:spacing w:line="360" w:lineRule="auto"/>
              <w:jc w:val="center"/>
            </w:pPr>
            <w:r>
              <w:t>0</w:t>
            </w:r>
          </w:p>
        </w:tc>
        <w:tc>
          <w:tcPr>
            <w:tcW w:w="1559" w:type="dxa"/>
            <w:vAlign w:val="center"/>
          </w:tcPr>
          <w:p w14:paraId="1CE52A89" w14:textId="77777777" w:rsidR="00D8645B" w:rsidRDefault="00D8645B" w:rsidP="00664D46">
            <w:pPr>
              <w:spacing w:line="360" w:lineRule="auto"/>
              <w:jc w:val="center"/>
            </w:pPr>
            <w:r>
              <w:t>0</w:t>
            </w:r>
          </w:p>
        </w:tc>
        <w:tc>
          <w:tcPr>
            <w:tcW w:w="1559" w:type="dxa"/>
            <w:vAlign w:val="center"/>
          </w:tcPr>
          <w:p w14:paraId="1E9D9C1E" w14:textId="77777777" w:rsidR="00D8645B" w:rsidRDefault="00D8645B" w:rsidP="00664D46">
            <w:pPr>
              <w:spacing w:line="360" w:lineRule="auto"/>
              <w:jc w:val="center"/>
            </w:pPr>
            <w:r>
              <w:t>0</w:t>
            </w:r>
          </w:p>
        </w:tc>
      </w:tr>
      <w:tr w:rsidR="00D8645B" w14:paraId="7578E191" w14:textId="77777777" w:rsidTr="00664D46">
        <w:tc>
          <w:tcPr>
            <w:tcW w:w="1558" w:type="dxa"/>
            <w:vMerge/>
            <w:vAlign w:val="center"/>
          </w:tcPr>
          <w:p w14:paraId="4B46D14B" w14:textId="77777777" w:rsidR="00D8645B" w:rsidRDefault="00D8645B" w:rsidP="00664D46">
            <w:pPr>
              <w:spacing w:line="360" w:lineRule="auto"/>
              <w:jc w:val="center"/>
            </w:pPr>
          </w:p>
        </w:tc>
        <w:tc>
          <w:tcPr>
            <w:tcW w:w="1558" w:type="dxa"/>
            <w:vMerge w:val="restart"/>
            <w:vAlign w:val="center"/>
          </w:tcPr>
          <w:p w14:paraId="76D7F95E" w14:textId="77777777" w:rsidR="00D8645B" w:rsidRDefault="00D8645B" w:rsidP="00664D46">
            <w:pPr>
              <w:spacing w:line="360" w:lineRule="auto"/>
              <w:jc w:val="center"/>
            </w:pPr>
            <w:r>
              <w:t>Equities</w:t>
            </w:r>
          </w:p>
        </w:tc>
        <w:tc>
          <w:tcPr>
            <w:tcW w:w="1558" w:type="dxa"/>
            <w:vAlign w:val="center"/>
          </w:tcPr>
          <w:p w14:paraId="56868428" w14:textId="77777777" w:rsidR="00D8645B" w:rsidRDefault="00D8645B" w:rsidP="00664D46">
            <w:pPr>
              <w:spacing w:line="360" w:lineRule="auto"/>
              <w:jc w:val="center"/>
            </w:pPr>
            <w:r>
              <w:t>Cash</w:t>
            </w:r>
          </w:p>
        </w:tc>
        <w:tc>
          <w:tcPr>
            <w:tcW w:w="1558" w:type="dxa"/>
            <w:vAlign w:val="center"/>
          </w:tcPr>
          <w:p w14:paraId="0188D9DD" w14:textId="77777777" w:rsidR="00D8645B" w:rsidRDefault="00D8645B" w:rsidP="00664D46">
            <w:pPr>
              <w:spacing w:line="360" w:lineRule="auto"/>
              <w:jc w:val="center"/>
            </w:pPr>
            <w:r>
              <w:t>106</w:t>
            </w:r>
          </w:p>
        </w:tc>
        <w:tc>
          <w:tcPr>
            <w:tcW w:w="1559" w:type="dxa"/>
            <w:vAlign w:val="center"/>
          </w:tcPr>
          <w:p w14:paraId="7A1A92E7" w14:textId="77777777" w:rsidR="00D8645B" w:rsidRDefault="00D8645B" w:rsidP="00664D46">
            <w:pPr>
              <w:spacing w:line="360" w:lineRule="auto"/>
              <w:jc w:val="center"/>
            </w:pPr>
            <w:r>
              <w:t>203</w:t>
            </w:r>
          </w:p>
        </w:tc>
        <w:tc>
          <w:tcPr>
            <w:tcW w:w="1559" w:type="dxa"/>
            <w:vAlign w:val="center"/>
          </w:tcPr>
          <w:p w14:paraId="68829AC8" w14:textId="77777777" w:rsidR="00D8645B" w:rsidRDefault="00D8645B" w:rsidP="00664D46">
            <w:pPr>
              <w:spacing w:line="360" w:lineRule="auto"/>
              <w:jc w:val="center"/>
            </w:pPr>
            <w:r>
              <w:t>97</w:t>
            </w:r>
          </w:p>
        </w:tc>
      </w:tr>
      <w:tr w:rsidR="00D8645B" w14:paraId="3322B935" w14:textId="77777777" w:rsidTr="00664D46">
        <w:tc>
          <w:tcPr>
            <w:tcW w:w="1558" w:type="dxa"/>
            <w:vMerge/>
            <w:vAlign w:val="center"/>
          </w:tcPr>
          <w:p w14:paraId="39725BA2" w14:textId="77777777" w:rsidR="00D8645B" w:rsidRDefault="00D8645B" w:rsidP="00664D46">
            <w:pPr>
              <w:spacing w:line="360" w:lineRule="auto"/>
              <w:jc w:val="center"/>
            </w:pPr>
          </w:p>
        </w:tc>
        <w:tc>
          <w:tcPr>
            <w:tcW w:w="1558" w:type="dxa"/>
            <w:vMerge/>
            <w:vAlign w:val="center"/>
          </w:tcPr>
          <w:p w14:paraId="73321550" w14:textId="77777777" w:rsidR="00D8645B" w:rsidRDefault="00D8645B" w:rsidP="00664D46">
            <w:pPr>
              <w:spacing w:line="360" w:lineRule="auto"/>
              <w:jc w:val="center"/>
            </w:pPr>
          </w:p>
        </w:tc>
        <w:tc>
          <w:tcPr>
            <w:tcW w:w="1558" w:type="dxa"/>
            <w:vAlign w:val="center"/>
          </w:tcPr>
          <w:p w14:paraId="6368987E" w14:textId="77777777" w:rsidR="00D8645B" w:rsidRDefault="00D8645B" w:rsidP="00664D46">
            <w:pPr>
              <w:spacing w:line="360" w:lineRule="auto"/>
              <w:jc w:val="center"/>
            </w:pPr>
            <w:r>
              <w:t>Converts</w:t>
            </w:r>
          </w:p>
        </w:tc>
        <w:tc>
          <w:tcPr>
            <w:tcW w:w="1558" w:type="dxa"/>
            <w:vAlign w:val="center"/>
          </w:tcPr>
          <w:p w14:paraId="3EAF127C" w14:textId="77777777" w:rsidR="00D8645B" w:rsidRDefault="00D8645B" w:rsidP="00664D46">
            <w:pPr>
              <w:spacing w:line="360" w:lineRule="auto"/>
              <w:jc w:val="center"/>
            </w:pPr>
            <w:r>
              <w:t>17</w:t>
            </w:r>
          </w:p>
        </w:tc>
        <w:tc>
          <w:tcPr>
            <w:tcW w:w="1559" w:type="dxa"/>
            <w:vAlign w:val="center"/>
          </w:tcPr>
          <w:p w14:paraId="5D64EA6C" w14:textId="77777777" w:rsidR="00D8645B" w:rsidRDefault="00D8645B" w:rsidP="00664D46">
            <w:pPr>
              <w:spacing w:line="360" w:lineRule="auto"/>
              <w:jc w:val="center"/>
            </w:pPr>
            <w:r>
              <w:t>94</w:t>
            </w:r>
          </w:p>
        </w:tc>
        <w:tc>
          <w:tcPr>
            <w:tcW w:w="1559" w:type="dxa"/>
            <w:vAlign w:val="center"/>
          </w:tcPr>
          <w:p w14:paraId="0382271A" w14:textId="77777777" w:rsidR="00D8645B" w:rsidRDefault="00D8645B" w:rsidP="00664D46">
            <w:pPr>
              <w:spacing w:line="360" w:lineRule="auto"/>
              <w:jc w:val="center"/>
            </w:pPr>
            <w:r>
              <w:t>77</w:t>
            </w:r>
          </w:p>
        </w:tc>
      </w:tr>
      <w:tr w:rsidR="00D8645B" w14:paraId="1A7E7BC4" w14:textId="77777777" w:rsidTr="00664D46">
        <w:tc>
          <w:tcPr>
            <w:tcW w:w="1558" w:type="dxa"/>
            <w:vMerge/>
            <w:vAlign w:val="center"/>
          </w:tcPr>
          <w:p w14:paraId="5627F8E6" w14:textId="77777777" w:rsidR="00D8645B" w:rsidRDefault="00D8645B" w:rsidP="00664D46">
            <w:pPr>
              <w:spacing w:line="360" w:lineRule="auto"/>
              <w:jc w:val="center"/>
            </w:pPr>
          </w:p>
        </w:tc>
        <w:tc>
          <w:tcPr>
            <w:tcW w:w="1558" w:type="dxa"/>
            <w:vMerge/>
            <w:vAlign w:val="center"/>
          </w:tcPr>
          <w:p w14:paraId="568476CE" w14:textId="77777777" w:rsidR="00D8645B" w:rsidRDefault="00D8645B" w:rsidP="00664D46">
            <w:pPr>
              <w:spacing w:line="360" w:lineRule="auto"/>
              <w:jc w:val="center"/>
            </w:pPr>
          </w:p>
        </w:tc>
        <w:tc>
          <w:tcPr>
            <w:tcW w:w="1558" w:type="dxa"/>
            <w:vAlign w:val="center"/>
          </w:tcPr>
          <w:p w14:paraId="32CEA237" w14:textId="77777777" w:rsidR="00D8645B" w:rsidRDefault="00D8645B" w:rsidP="00664D46">
            <w:pPr>
              <w:spacing w:line="360" w:lineRule="auto"/>
              <w:jc w:val="center"/>
            </w:pPr>
            <w:r>
              <w:t>Equity Derivatives</w:t>
            </w:r>
          </w:p>
        </w:tc>
        <w:tc>
          <w:tcPr>
            <w:tcW w:w="1558" w:type="dxa"/>
            <w:vAlign w:val="center"/>
          </w:tcPr>
          <w:p w14:paraId="3C31E89B" w14:textId="77777777" w:rsidR="00D8645B" w:rsidRDefault="00D8645B" w:rsidP="00664D46">
            <w:pPr>
              <w:spacing w:line="360" w:lineRule="auto"/>
              <w:jc w:val="center"/>
            </w:pPr>
            <w:r>
              <w:t>230</w:t>
            </w:r>
          </w:p>
        </w:tc>
        <w:tc>
          <w:tcPr>
            <w:tcW w:w="1559" w:type="dxa"/>
            <w:vAlign w:val="center"/>
          </w:tcPr>
          <w:p w14:paraId="61B546DE" w14:textId="77777777" w:rsidR="00D8645B" w:rsidRDefault="00D8645B" w:rsidP="00664D46">
            <w:pPr>
              <w:spacing w:line="360" w:lineRule="auto"/>
              <w:jc w:val="center"/>
            </w:pPr>
            <w:r>
              <w:t>327</w:t>
            </w:r>
          </w:p>
        </w:tc>
        <w:tc>
          <w:tcPr>
            <w:tcW w:w="1559" w:type="dxa"/>
            <w:vAlign w:val="center"/>
          </w:tcPr>
          <w:p w14:paraId="026C9436" w14:textId="77777777" w:rsidR="00D8645B" w:rsidRDefault="00D8645B" w:rsidP="00664D46">
            <w:pPr>
              <w:spacing w:line="360" w:lineRule="auto"/>
              <w:jc w:val="center"/>
            </w:pPr>
            <w:r>
              <w:t>98</w:t>
            </w:r>
          </w:p>
        </w:tc>
      </w:tr>
      <w:tr w:rsidR="00D8645B" w14:paraId="16B8746F" w14:textId="77777777" w:rsidTr="00664D46">
        <w:tc>
          <w:tcPr>
            <w:tcW w:w="1558" w:type="dxa"/>
            <w:vMerge/>
            <w:vAlign w:val="center"/>
          </w:tcPr>
          <w:p w14:paraId="015EBEC3" w14:textId="77777777" w:rsidR="00D8645B" w:rsidRDefault="00D8645B" w:rsidP="00664D46">
            <w:pPr>
              <w:spacing w:line="360" w:lineRule="auto"/>
              <w:jc w:val="center"/>
            </w:pPr>
          </w:p>
        </w:tc>
        <w:tc>
          <w:tcPr>
            <w:tcW w:w="1558" w:type="dxa"/>
            <w:vAlign w:val="center"/>
          </w:tcPr>
          <w:p w14:paraId="2AC8FDEE" w14:textId="77777777" w:rsidR="00D8645B" w:rsidRDefault="00D8645B" w:rsidP="00664D46">
            <w:pPr>
              <w:spacing w:line="360" w:lineRule="auto"/>
              <w:jc w:val="center"/>
            </w:pPr>
            <w:r>
              <w:t>Equity Under-writing</w:t>
            </w:r>
          </w:p>
        </w:tc>
        <w:tc>
          <w:tcPr>
            <w:tcW w:w="1558" w:type="dxa"/>
            <w:vAlign w:val="center"/>
          </w:tcPr>
          <w:p w14:paraId="7BC26B0D" w14:textId="77777777" w:rsidR="00D8645B" w:rsidRDefault="00D8645B" w:rsidP="00664D46">
            <w:pPr>
              <w:spacing w:line="360" w:lineRule="auto"/>
              <w:jc w:val="center"/>
            </w:pPr>
            <w:r>
              <w:t>Equity Under-writing</w:t>
            </w:r>
          </w:p>
        </w:tc>
        <w:tc>
          <w:tcPr>
            <w:tcW w:w="1558" w:type="dxa"/>
            <w:vAlign w:val="center"/>
          </w:tcPr>
          <w:p w14:paraId="6C91C406" w14:textId="77777777" w:rsidR="00D8645B" w:rsidRDefault="00D8645B" w:rsidP="00664D46">
            <w:pPr>
              <w:spacing w:line="360" w:lineRule="auto"/>
              <w:jc w:val="center"/>
            </w:pPr>
            <w:r>
              <w:t>0</w:t>
            </w:r>
          </w:p>
        </w:tc>
        <w:tc>
          <w:tcPr>
            <w:tcW w:w="1559" w:type="dxa"/>
            <w:vAlign w:val="center"/>
          </w:tcPr>
          <w:p w14:paraId="2F1A0ACC" w14:textId="77777777" w:rsidR="00D8645B" w:rsidRDefault="00D8645B" w:rsidP="00664D46">
            <w:pPr>
              <w:spacing w:line="360" w:lineRule="auto"/>
              <w:jc w:val="center"/>
            </w:pPr>
            <w:r>
              <w:t>50</w:t>
            </w:r>
          </w:p>
        </w:tc>
        <w:tc>
          <w:tcPr>
            <w:tcW w:w="1559" w:type="dxa"/>
            <w:vAlign w:val="center"/>
          </w:tcPr>
          <w:p w14:paraId="151D0E40" w14:textId="77777777" w:rsidR="00D8645B" w:rsidRDefault="00D8645B" w:rsidP="00664D46">
            <w:pPr>
              <w:spacing w:line="360" w:lineRule="auto"/>
              <w:jc w:val="center"/>
            </w:pPr>
            <w:r>
              <w:t>50</w:t>
            </w:r>
          </w:p>
        </w:tc>
      </w:tr>
      <w:tr w:rsidR="00D8645B" w14:paraId="61042970" w14:textId="77777777" w:rsidTr="00664D46">
        <w:tc>
          <w:tcPr>
            <w:tcW w:w="1558" w:type="dxa"/>
            <w:vMerge/>
            <w:vAlign w:val="center"/>
          </w:tcPr>
          <w:p w14:paraId="3D578F3B" w14:textId="77777777" w:rsidR="00D8645B" w:rsidRDefault="00D8645B" w:rsidP="00664D46">
            <w:pPr>
              <w:spacing w:line="360" w:lineRule="auto"/>
              <w:jc w:val="center"/>
            </w:pPr>
          </w:p>
        </w:tc>
        <w:tc>
          <w:tcPr>
            <w:tcW w:w="1558" w:type="dxa"/>
            <w:vMerge w:val="restart"/>
            <w:vAlign w:val="center"/>
          </w:tcPr>
          <w:p w14:paraId="631E9A28" w14:textId="77777777" w:rsidR="00D8645B" w:rsidRDefault="00D8645B" w:rsidP="00664D46">
            <w:pPr>
              <w:spacing w:line="360" w:lineRule="auto"/>
              <w:jc w:val="center"/>
            </w:pPr>
            <w:r>
              <w:t>Fixed Income Under-writing</w:t>
            </w:r>
          </w:p>
        </w:tc>
        <w:tc>
          <w:tcPr>
            <w:tcW w:w="1558" w:type="dxa"/>
            <w:vAlign w:val="center"/>
          </w:tcPr>
          <w:p w14:paraId="280CD490" w14:textId="77777777" w:rsidR="00D8645B" w:rsidRDefault="00D8645B" w:rsidP="00664D46">
            <w:pPr>
              <w:spacing w:line="360" w:lineRule="auto"/>
              <w:jc w:val="center"/>
            </w:pPr>
            <w:r>
              <w:t>EM Bonds</w:t>
            </w:r>
          </w:p>
        </w:tc>
        <w:tc>
          <w:tcPr>
            <w:tcW w:w="1558" w:type="dxa"/>
            <w:vAlign w:val="center"/>
          </w:tcPr>
          <w:p w14:paraId="0F435E99" w14:textId="77777777" w:rsidR="00D8645B" w:rsidRDefault="00D8645B" w:rsidP="00664D46">
            <w:pPr>
              <w:spacing w:line="360" w:lineRule="auto"/>
              <w:jc w:val="center"/>
            </w:pPr>
            <w:r>
              <w:t>0</w:t>
            </w:r>
          </w:p>
        </w:tc>
        <w:tc>
          <w:tcPr>
            <w:tcW w:w="1559" w:type="dxa"/>
            <w:vAlign w:val="center"/>
          </w:tcPr>
          <w:p w14:paraId="2690D599" w14:textId="77777777" w:rsidR="00D8645B" w:rsidRDefault="00D8645B" w:rsidP="00664D46">
            <w:pPr>
              <w:spacing w:line="360" w:lineRule="auto"/>
              <w:jc w:val="center"/>
            </w:pPr>
            <w:r>
              <w:t>0</w:t>
            </w:r>
          </w:p>
        </w:tc>
        <w:tc>
          <w:tcPr>
            <w:tcW w:w="1559" w:type="dxa"/>
            <w:vAlign w:val="center"/>
          </w:tcPr>
          <w:p w14:paraId="1D5F0309" w14:textId="77777777" w:rsidR="00D8645B" w:rsidRDefault="00D8645B" w:rsidP="00664D46">
            <w:pPr>
              <w:spacing w:line="360" w:lineRule="auto"/>
              <w:jc w:val="center"/>
            </w:pPr>
            <w:r>
              <w:t>0</w:t>
            </w:r>
          </w:p>
        </w:tc>
      </w:tr>
      <w:tr w:rsidR="00D8645B" w14:paraId="5C173ABF" w14:textId="77777777" w:rsidTr="00664D46">
        <w:tc>
          <w:tcPr>
            <w:tcW w:w="1558" w:type="dxa"/>
            <w:vMerge/>
            <w:vAlign w:val="center"/>
          </w:tcPr>
          <w:p w14:paraId="77B69E3A" w14:textId="77777777" w:rsidR="00D8645B" w:rsidRDefault="00D8645B" w:rsidP="00664D46">
            <w:pPr>
              <w:spacing w:line="360" w:lineRule="auto"/>
              <w:jc w:val="center"/>
            </w:pPr>
          </w:p>
        </w:tc>
        <w:tc>
          <w:tcPr>
            <w:tcW w:w="1558" w:type="dxa"/>
            <w:vMerge/>
            <w:vAlign w:val="center"/>
          </w:tcPr>
          <w:p w14:paraId="33E11088" w14:textId="77777777" w:rsidR="00D8645B" w:rsidRDefault="00D8645B" w:rsidP="00664D46">
            <w:pPr>
              <w:spacing w:line="360" w:lineRule="auto"/>
              <w:jc w:val="center"/>
            </w:pPr>
          </w:p>
        </w:tc>
        <w:tc>
          <w:tcPr>
            <w:tcW w:w="1558" w:type="dxa"/>
            <w:vAlign w:val="center"/>
          </w:tcPr>
          <w:p w14:paraId="5C43F5D0" w14:textId="77777777" w:rsidR="00D8645B" w:rsidRDefault="00D8645B" w:rsidP="00664D46">
            <w:pPr>
              <w:spacing w:line="360" w:lineRule="auto"/>
              <w:jc w:val="center"/>
            </w:pPr>
            <w:r>
              <w:t>EM Primary Loans</w:t>
            </w:r>
          </w:p>
        </w:tc>
        <w:tc>
          <w:tcPr>
            <w:tcW w:w="1558" w:type="dxa"/>
            <w:vAlign w:val="center"/>
          </w:tcPr>
          <w:p w14:paraId="363A268C" w14:textId="77777777" w:rsidR="00D8645B" w:rsidRDefault="00D8645B" w:rsidP="00664D46">
            <w:pPr>
              <w:spacing w:line="360" w:lineRule="auto"/>
              <w:jc w:val="center"/>
            </w:pPr>
            <w:r>
              <w:t>0</w:t>
            </w:r>
          </w:p>
        </w:tc>
        <w:tc>
          <w:tcPr>
            <w:tcW w:w="1559" w:type="dxa"/>
            <w:vAlign w:val="center"/>
          </w:tcPr>
          <w:p w14:paraId="6FE5979B" w14:textId="77777777" w:rsidR="00D8645B" w:rsidRDefault="00D8645B" w:rsidP="00664D46">
            <w:pPr>
              <w:spacing w:line="360" w:lineRule="auto"/>
              <w:jc w:val="center"/>
            </w:pPr>
            <w:r>
              <w:t>0</w:t>
            </w:r>
          </w:p>
        </w:tc>
        <w:tc>
          <w:tcPr>
            <w:tcW w:w="1559" w:type="dxa"/>
            <w:vAlign w:val="center"/>
          </w:tcPr>
          <w:p w14:paraId="55F611D7" w14:textId="77777777" w:rsidR="00D8645B" w:rsidRDefault="00D8645B" w:rsidP="00664D46">
            <w:pPr>
              <w:spacing w:line="360" w:lineRule="auto"/>
              <w:jc w:val="center"/>
            </w:pPr>
            <w:r>
              <w:t>0</w:t>
            </w:r>
          </w:p>
        </w:tc>
      </w:tr>
      <w:tr w:rsidR="00D8645B" w14:paraId="585B5FD0" w14:textId="77777777" w:rsidTr="00664D46">
        <w:tc>
          <w:tcPr>
            <w:tcW w:w="1558" w:type="dxa"/>
            <w:vMerge/>
            <w:vAlign w:val="center"/>
          </w:tcPr>
          <w:p w14:paraId="0235A2D5" w14:textId="77777777" w:rsidR="00D8645B" w:rsidRDefault="00D8645B" w:rsidP="00664D46">
            <w:pPr>
              <w:spacing w:line="360" w:lineRule="auto"/>
              <w:jc w:val="center"/>
            </w:pPr>
          </w:p>
        </w:tc>
        <w:tc>
          <w:tcPr>
            <w:tcW w:w="1558" w:type="dxa"/>
            <w:vMerge/>
            <w:vAlign w:val="center"/>
          </w:tcPr>
          <w:p w14:paraId="5EB47901" w14:textId="77777777" w:rsidR="00D8645B" w:rsidRDefault="00D8645B" w:rsidP="00664D46">
            <w:pPr>
              <w:spacing w:line="360" w:lineRule="auto"/>
              <w:jc w:val="center"/>
            </w:pPr>
          </w:p>
        </w:tc>
        <w:tc>
          <w:tcPr>
            <w:tcW w:w="1558" w:type="dxa"/>
            <w:vAlign w:val="center"/>
          </w:tcPr>
          <w:p w14:paraId="4C92FAF9" w14:textId="77777777" w:rsidR="00D8645B" w:rsidRDefault="00D8645B" w:rsidP="00664D46">
            <w:pPr>
              <w:spacing w:line="360" w:lineRule="auto"/>
              <w:jc w:val="center"/>
            </w:pPr>
            <w:r>
              <w:t>IG Bonds</w:t>
            </w:r>
          </w:p>
        </w:tc>
        <w:tc>
          <w:tcPr>
            <w:tcW w:w="1558" w:type="dxa"/>
            <w:vAlign w:val="center"/>
          </w:tcPr>
          <w:p w14:paraId="3DB30A9C" w14:textId="77777777" w:rsidR="00D8645B" w:rsidRDefault="00D8645B" w:rsidP="00664D46">
            <w:pPr>
              <w:spacing w:line="360" w:lineRule="auto"/>
              <w:jc w:val="center"/>
            </w:pPr>
            <w:r>
              <w:t>0</w:t>
            </w:r>
          </w:p>
        </w:tc>
        <w:tc>
          <w:tcPr>
            <w:tcW w:w="1559" w:type="dxa"/>
            <w:vAlign w:val="center"/>
          </w:tcPr>
          <w:p w14:paraId="18AAC895" w14:textId="77777777" w:rsidR="00D8645B" w:rsidRDefault="00D8645B" w:rsidP="00664D46">
            <w:pPr>
              <w:spacing w:line="360" w:lineRule="auto"/>
              <w:jc w:val="center"/>
            </w:pPr>
            <w:r>
              <w:t>124</w:t>
            </w:r>
          </w:p>
        </w:tc>
        <w:tc>
          <w:tcPr>
            <w:tcW w:w="1559" w:type="dxa"/>
            <w:vAlign w:val="center"/>
          </w:tcPr>
          <w:p w14:paraId="6ADDC1A9" w14:textId="77777777" w:rsidR="00D8645B" w:rsidRDefault="00D8645B" w:rsidP="00664D46">
            <w:pPr>
              <w:spacing w:line="360" w:lineRule="auto"/>
              <w:jc w:val="center"/>
            </w:pPr>
            <w:r>
              <w:t>124</w:t>
            </w:r>
          </w:p>
        </w:tc>
      </w:tr>
      <w:tr w:rsidR="00D8645B" w14:paraId="6C0FF234" w14:textId="77777777" w:rsidTr="00664D46">
        <w:tc>
          <w:tcPr>
            <w:tcW w:w="1558" w:type="dxa"/>
            <w:vMerge/>
            <w:vAlign w:val="center"/>
          </w:tcPr>
          <w:p w14:paraId="44778C4C" w14:textId="77777777" w:rsidR="00D8645B" w:rsidRDefault="00D8645B" w:rsidP="00664D46">
            <w:pPr>
              <w:spacing w:line="360" w:lineRule="auto"/>
              <w:jc w:val="center"/>
            </w:pPr>
          </w:p>
        </w:tc>
        <w:tc>
          <w:tcPr>
            <w:tcW w:w="1558" w:type="dxa"/>
            <w:vMerge/>
            <w:vAlign w:val="center"/>
          </w:tcPr>
          <w:p w14:paraId="394E225E" w14:textId="77777777" w:rsidR="00D8645B" w:rsidRDefault="00D8645B" w:rsidP="00664D46">
            <w:pPr>
              <w:spacing w:line="360" w:lineRule="auto"/>
              <w:jc w:val="center"/>
            </w:pPr>
          </w:p>
        </w:tc>
        <w:tc>
          <w:tcPr>
            <w:tcW w:w="1558" w:type="dxa"/>
            <w:vAlign w:val="center"/>
          </w:tcPr>
          <w:p w14:paraId="05893310" w14:textId="77777777" w:rsidR="00D8645B" w:rsidRDefault="00D8645B" w:rsidP="00664D46">
            <w:pPr>
              <w:spacing w:line="360" w:lineRule="auto"/>
              <w:jc w:val="center"/>
            </w:pPr>
            <w:r>
              <w:t>IG Primary Loans</w:t>
            </w:r>
          </w:p>
        </w:tc>
        <w:tc>
          <w:tcPr>
            <w:tcW w:w="1558" w:type="dxa"/>
            <w:vAlign w:val="center"/>
          </w:tcPr>
          <w:p w14:paraId="7B78A827" w14:textId="77777777" w:rsidR="00D8645B" w:rsidRDefault="00D8645B" w:rsidP="00664D46">
            <w:pPr>
              <w:spacing w:line="360" w:lineRule="auto"/>
              <w:jc w:val="center"/>
            </w:pPr>
            <w:r>
              <w:t>0</w:t>
            </w:r>
          </w:p>
        </w:tc>
        <w:tc>
          <w:tcPr>
            <w:tcW w:w="1559" w:type="dxa"/>
            <w:vAlign w:val="center"/>
          </w:tcPr>
          <w:p w14:paraId="5ED7DAF9" w14:textId="77777777" w:rsidR="00D8645B" w:rsidRDefault="00D8645B" w:rsidP="00664D46">
            <w:pPr>
              <w:spacing w:line="360" w:lineRule="auto"/>
              <w:jc w:val="center"/>
            </w:pPr>
            <w:r>
              <w:t>0</w:t>
            </w:r>
          </w:p>
        </w:tc>
        <w:tc>
          <w:tcPr>
            <w:tcW w:w="1559" w:type="dxa"/>
            <w:vAlign w:val="center"/>
          </w:tcPr>
          <w:p w14:paraId="19F87793" w14:textId="77777777" w:rsidR="00D8645B" w:rsidRDefault="00D8645B" w:rsidP="00664D46">
            <w:pPr>
              <w:spacing w:line="360" w:lineRule="auto"/>
              <w:jc w:val="center"/>
            </w:pPr>
            <w:r>
              <w:t>0</w:t>
            </w:r>
          </w:p>
        </w:tc>
      </w:tr>
      <w:tr w:rsidR="00D8645B" w14:paraId="764C5B6D" w14:textId="77777777" w:rsidTr="00664D46">
        <w:tc>
          <w:tcPr>
            <w:tcW w:w="1558" w:type="dxa"/>
            <w:vMerge/>
            <w:vAlign w:val="center"/>
          </w:tcPr>
          <w:p w14:paraId="3ACBB0BF" w14:textId="77777777" w:rsidR="00D8645B" w:rsidRDefault="00D8645B" w:rsidP="00664D46">
            <w:pPr>
              <w:spacing w:line="360" w:lineRule="auto"/>
              <w:jc w:val="center"/>
            </w:pPr>
          </w:p>
        </w:tc>
        <w:tc>
          <w:tcPr>
            <w:tcW w:w="1558" w:type="dxa"/>
            <w:vMerge/>
            <w:vAlign w:val="center"/>
          </w:tcPr>
          <w:p w14:paraId="334872F8" w14:textId="77777777" w:rsidR="00D8645B" w:rsidRDefault="00D8645B" w:rsidP="00664D46">
            <w:pPr>
              <w:spacing w:line="360" w:lineRule="auto"/>
              <w:jc w:val="center"/>
            </w:pPr>
          </w:p>
        </w:tc>
        <w:tc>
          <w:tcPr>
            <w:tcW w:w="1558" w:type="dxa"/>
            <w:vAlign w:val="center"/>
          </w:tcPr>
          <w:p w14:paraId="7D6F56ED" w14:textId="77777777" w:rsidR="00D8645B" w:rsidRDefault="00D8645B" w:rsidP="00664D46">
            <w:pPr>
              <w:spacing w:line="360" w:lineRule="auto"/>
              <w:jc w:val="center"/>
            </w:pPr>
            <w:r>
              <w:t>Leveraged Finance</w:t>
            </w:r>
          </w:p>
        </w:tc>
        <w:tc>
          <w:tcPr>
            <w:tcW w:w="1558" w:type="dxa"/>
            <w:vAlign w:val="center"/>
          </w:tcPr>
          <w:p w14:paraId="3366C333" w14:textId="77777777" w:rsidR="00D8645B" w:rsidRDefault="00D8645B" w:rsidP="00664D46">
            <w:pPr>
              <w:spacing w:line="360" w:lineRule="auto"/>
              <w:jc w:val="center"/>
            </w:pPr>
            <w:r>
              <w:t>0</w:t>
            </w:r>
          </w:p>
        </w:tc>
        <w:tc>
          <w:tcPr>
            <w:tcW w:w="1559" w:type="dxa"/>
            <w:vAlign w:val="center"/>
          </w:tcPr>
          <w:p w14:paraId="085B542C" w14:textId="77777777" w:rsidR="00D8645B" w:rsidRDefault="00D8645B" w:rsidP="00664D46">
            <w:pPr>
              <w:spacing w:line="360" w:lineRule="auto"/>
              <w:jc w:val="center"/>
            </w:pPr>
            <w:r>
              <w:t>0</w:t>
            </w:r>
          </w:p>
        </w:tc>
        <w:tc>
          <w:tcPr>
            <w:tcW w:w="1559" w:type="dxa"/>
            <w:vAlign w:val="center"/>
          </w:tcPr>
          <w:p w14:paraId="32B8CAE4" w14:textId="77777777" w:rsidR="00D8645B" w:rsidRDefault="00D8645B" w:rsidP="00664D46">
            <w:pPr>
              <w:spacing w:line="360" w:lineRule="auto"/>
              <w:jc w:val="center"/>
            </w:pPr>
            <w:r>
              <w:t>0</w:t>
            </w:r>
          </w:p>
        </w:tc>
      </w:tr>
      <w:tr w:rsidR="00D8645B" w14:paraId="65CCAC5F" w14:textId="77777777" w:rsidTr="00664D46">
        <w:tc>
          <w:tcPr>
            <w:tcW w:w="1558" w:type="dxa"/>
            <w:vMerge/>
            <w:vAlign w:val="center"/>
          </w:tcPr>
          <w:p w14:paraId="6A5C5331" w14:textId="77777777" w:rsidR="00D8645B" w:rsidRDefault="00D8645B" w:rsidP="00664D46">
            <w:pPr>
              <w:spacing w:line="360" w:lineRule="auto"/>
              <w:jc w:val="center"/>
            </w:pPr>
          </w:p>
        </w:tc>
        <w:tc>
          <w:tcPr>
            <w:tcW w:w="1558" w:type="dxa"/>
            <w:vMerge/>
            <w:vAlign w:val="center"/>
          </w:tcPr>
          <w:p w14:paraId="72F05C89" w14:textId="77777777" w:rsidR="00D8645B" w:rsidRDefault="00D8645B" w:rsidP="00664D46">
            <w:pPr>
              <w:spacing w:line="360" w:lineRule="auto"/>
              <w:jc w:val="center"/>
            </w:pPr>
          </w:p>
        </w:tc>
        <w:tc>
          <w:tcPr>
            <w:tcW w:w="1558" w:type="dxa"/>
            <w:vAlign w:val="center"/>
          </w:tcPr>
          <w:p w14:paraId="0A1AD687" w14:textId="77777777" w:rsidR="00D8645B" w:rsidRDefault="00D8645B" w:rsidP="00664D46">
            <w:pPr>
              <w:spacing w:line="360" w:lineRule="auto"/>
              <w:jc w:val="center"/>
            </w:pPr>
            <w:r>
              <w:t>Other FI Under-writing</w:t>
            </w:r>
          </w:p>
        </w:tc>
        <w:tc>
          <w:tcPr>
            <w:tcW w:w="1558" w:type="dxa"/>
            <w:vAlign w:val="center"/>
          </w:tcPr>
          <w:p w14:paraId="42A4BC1B" w14:textId="77777777" w:rsidR="00D8645B" w:rsidRDefault="00D8645B" w:rsidP="00664D46">
            <w:pPr>
              <w:spacing w:line="360" w:lineRule="auto"/>
              <w:jc w:val="center"/>
            </w:pPr>
            <w:r>
              <w:t>0</w:t>
            </w:r>
          </w:p>
        </w:tc>
        <w:tc>
          <w:tcPr>
            <w:tcW w:w="1559" w:type="dxa"/>
            <w:vAlign w:val="center"/>
          </w:tcPr>
          <w:p w14:paraId="44D12117" w14:textId="77777777" w:rsidR="00D8645B" w:rsidRDefault="00D8645B" w:rsidP="00664D46">
            <w:pPr>
              <w:spacing w:line="360" w:lineRule="auto"/>
              <w:jc w:val="center"/>
            </w:pPr>
            <w:r>
              <w:t>75</w:t>
            </w:r>
          </w:p>
        </w:tc>
        <w:tc>
          <w:tcPr>
            <w:tcW w:w="1559" w:type="dxa"/>
            <w:vAlign w:val="center"/>
          </w:tcPr>
          <w:p w14:paraId="25EF3B8F" w14:textId="77777777" w:rsidR="00D8645B" w:rsidRDefault="00D8645B" w:rsidP="00664D46">
            <w:pPr>
              <w:spacing w:line="360" w:lineRule="auto"/>
              <w:jc w:val="center"/>
            </w:pPr>
            <w:r>
              <w:t>75</w:t>
            </w:r>
          </w:p>
        </w:tc>
      </w:tr>
      <w:tr w:rsidR="00D8645B" w14:paraId="6AE24C67" w14:textId="77777777" w:rsidTr="00664D46">
        <w:tc>
          <w:tcPr>
            <w:tcW w:w="1558" w:type="dxa"/>
            <w:vMerge/>
            <w:vAlign w:val="center"/>
          </w:tcPr>
          <w:p w14:paraId="77FDA707" w14:textId="77777777" w:rsidR="00D8645B" w:rsidRDefault="00D8645B" w:rsidP="00664D46">
            <w:pPr>
              <w:spacing w:line="360" w:lineRule="auto"/>
              <w:jc w:val="center"/>
            </w:pPr>
          </w:p>
        </w:tc>
        <w:tc>
          <w:tcPr>
            <w:tcW w:w="1558" w:type="dxa"/>
            <w:vMerge/>
            <w:vAlign w:val="center"/>
          </w:tcPr>
          <w:p w14:paraId="58FDB4AC" w14:textId="77777777" w:rsidR="00D8645B" w:rsidRDefault="00D8645B" w:rsidP="00664D46">
            <w:pPr>
              <w:spacing w:line="360" w:lineRule="auto"/>
              <w:jc w:val="center"/>
            </w:pPr>
          </w:p>
        </w:tc>
        <w:tc>
          <w:tcPr>
            <w:tcW w:w="1558" w:type="dxa"/>
            <w:vAlign w:val="center"/>
          </w:tcPr>
          <w:p w14:paraId="18091183" w14:textId="77777777" w:rsidR="00D8645B" w:rsidRDefault="00D8645B" w:rsidP="00664D46">
            <w:pPr>
              <w:spacing w:line="360" w:lineRule="auto"/>
              <w:jc w:val="center"/>
            </w:pPr>
            <w:r>
              <w:t>Project Finance</w:t>
            </w:r>
          </w:p>
        </w:tc>
        <w:tc>
          <w:tcPr>
            <w:tcW w:w="1558" w:type="dxa"/>
            <w:vAlign w:val="center"/>
          </w:tcPr>
          <w:p w14:paraId="2EF19F10" w14:textId="77777777" w:rsidR="00D8645B" w:rsidRDefault="00D8645B" w:rsidP="00664D46">
            <w:pPr>
              <w:spacing w:line="360" w:lineRule="auto"/>
              <w:jc w:val="center"/>
            </w:pPr>
            <w:r>
              <w:t>0</w:t>
            </w:r>
          </w:p>
        </w:tc>
        <w:tc>
          <w:tcPr>
            <w:tcW w:w="1559" w:type="dxa"/>
            <w:vAlign w:val="center"/>
          </w:tcPr>
          <w:p w14:paraId="067005CD" w14:textId="77777777" w:rsidR="00D8645B" w:rsidRDefault="00D8645B" w:rsidP="00664D46">
            <w:pPr>
              <w:spacing w:line="360" w:lineRule="auto"/>
              <w:jc w:val="center"/>
            </w:pPr>
            <w:r>
              <w:t>0</w:t>
            </w:r>
          </w:p>
        </w:tc>
        <w:tc>
          <w:tcPr>
            <w:tcW w:w="1559" w:type="dxa"/>
            <w:vAlign w:val="center"/>
          </w:tcPr>
          <w:p w14:paraId="129B4CE9" w14:textId="77777777" w:rsidR="00D8645B" w:rsidRDefault="00D8645B" w:rsidP="00664D46">
            <w:pPr>
              <w:spacing w:line="360" w:lineRule="auto"/>
              <w:jc w:val="center"/>
            </w:pPr>
            <w:r>
              <w:t>0</w:t>
            </w:r>
          </w:p>
        </w:tc>
      </w:tr>
      <w:tr w:rsidR="00D8645B" w14:paraId="10ABDA01" w14:textId="77777777" w:rsidTr="00664D46">
        <w:tc>
          <w:tcPr>
            <w:tcW w:w="1558" w:type="dxa"/>
            <w:vMerge/>
            <w:vAlign w:val="center"/>
          </w:tcPr>
          <w:p w14:paraId="0699E962" w14:textId="77777777" w:rsidR="00D8645B" w:rsidRDefault="00D8645B" w:rsidP="00664D46">
            <w:pPr>
              <w:spacing w:line="360" w:lineRule="auto"/>
              <w:jc w:val="center"/>
            </w:pPr>
          </w:p>
        </w:tc>
        <w:tc>
          <w:tcPr>
            <w:tcW w:w="1558" w:type="dxa"/>
            <w:vMerge w:val="restart"/>
            <w:vAlign w:val="center"/>
          </w:tcPr>
          <w:p w14:paraId="599AFFAF" w14:textId="77777777" w:rsidR="00D8645B" w:rsidRDefault="00D8645B" w:rsidP="00664D46">
            <w:pPr>
              <w:spacing w:line="360" w:lineRule="auto"/>
              <w:jc w:val="center"/>
            </w:pPr>
            <w:r>
              <w:t>FX Local Markets</w:t>
            </w:r>
          </w:p>
        </w:tc>
        <w:tc>
          <w:tcPr>
            <w:tcW w:w="1558" w:type="dxa"/>
            <w:vAlign w:val="center"/>
          </w:tcPr>
          <w:p w14:paraId="2A4FC76C" w14:textId="77777777" w:rsidR="00D8645B" w:rsidRDefault="00D8645B" w:rsidP="00664D46">
            <w:pPr>
              <w:spacing w:line="360" w:lineRule="auto"/>
              <w:jc w:val="center"/>
            </w:pPr>
            <w:r>
              <w:t>G10 FX</w:t>
            </w:r>
          </w:p>
        </w:tc>
        <w:tc>
          <w:tcPr>
            <w:tcW w:w="1558" w:type="dxa"/>
            <w:vAlign w:val="center"/>
          </w:tcPr>
          <w:p w14:paraId="51A254D2" w14:textId="77777777" w:rsidR="00D8645B" w:rsidRDefault="00D8645B" w:rsidP="00664D46">
            <w:pPr>
              <w:spacing w:line="360" w:lineRule="auto"/>
              <w:jc w:val="center"/>
            </w:pPr>
            <w:r>
              <w:t>424</w:t>
            </w:r>
          </w:p>
        </w:tc>
        <w:tc>
          <w:tcPr>
            <w:tcW w:w="1559" w:type="dxa"/>
            <w:vAlign w:val="center"/>
          </w:tcPr>
          <w:p w14:paraId="5B9CED48" w14:textId="77777777" w:rsidR="00D8645B" w:rsidRDefault="00D8645B" w:rsidP="00664D46">
            <w:pPr>
              <w:spacing w:line="360" w:lineRule="auto"/>
              <w:jc w:val="center"/>
            </w:pPr>
            <w:r>
              <w:t>666</w:t>
            </w:r>
          </w:p>
        </w:tc>
        <w:tc>
          <w:tcPr>
            <w:tcW w:w="1559" w:type="dxa"/>
            <w:vAlign w:val="center"/>
          </w:tcPr>
          <w:p w14:paraId="2E47B9B3" w14:textId="77777777" w:rsidR="00D8645B" w:rsidRDefault="00D8645B" w:rsidP="00664D46">
            <w:pPr>
              <w:spacing w:line="360" w:lineRule="auto"/>
              <w:jc w:val="center"/>
            </w:pPr>
            <w:r>
              <w:t>242</w:t>
            </w:r>
          </w:p>
        </w:tc>
      </w:tr>
      <w:tr w:rsidR="00D8645B" w14:paraId="799B99E4" w14:textId="77777777" w:rsidTr="00664D46">
        <w:tc>
          <w:tcPr>
            <w:tcW w:w="1558" w:type="dxa"/>
            <w:vMerge/>
            <w:vAlign w:val="center"/>
          </w:tcPr>
          <w:p w14:paraId="2BD700E7" w14:textId="77777777" w:rsidR="00D8645B" w:rsidRDefault="00D8645B" w:rsidP="00664D46">
            <w:pPr>
              <w:spacing w:line="360" w:lineRule="auto"/>
              <w:jc w:val="center"/>
            </w:pPr>
          </w:p>
        </w:tc>
        <w:tc>
          <w:tcPr>
            <w:tcW w:w="1558" w:type="dxa"/>
            <w:vMerge/>
            <w:vAlign w:val="center"/>
          </w:tcPr>
          <w:p w14:paraId="724A5BA8" w14:textId="77777777" w:rsidR="00D8645B" w:rsidRDefault="00D8645B" w:rsidP="00664D46">
            <w:pPr>
              <w:spacing w:line="360" w:lineRule="auto"/>
              <w:jc w:val="center"/>
            </w:pPr>
          </w:p>
        </w:tc>
        <w:tc>
          <w:tcPr>
            <w:tcW w:w="1558" w:type="dxa"/>
            <w:vAlign w:val="center"/>
          </w:tcPr>
          <w:p w14:paraId="29AB2FA6" w14:textId="77777777" w:rsidR="00D8645B" w:rsidRDefault="00D8645B" w:rsidP="00664D46">
            <w:pPr>
              <w:spacing w:line="360" w:lineRule="auto"/>
              <w:jc w:val="center"/>
            </w:pPr>
            <w:r>
              <w:t>Local Markets</w:t>
            </w:r>
          </w:p>
        </w:tc>
        <w:tc>
          <w:tcPr>
            <w:tcW w:w="1558" w:type="dxa"/>
            <w:vAlign w:val="center"/>
          </w:tcPr>
          <w:p w14:paraId="274FB146" w14:textId="77777777" w:rsidR="00D8645B" w:rsidRDefault="00D8645B" w:rsidP="00664D46">
            <w:pPr>
              <w:spacing w:line="360" w:lineRule="auto"/>
              <w:jc w:val="center"/>
            </w:pPr>
            <w:r>
              <w:t>208</w:t>
            </w:r>
          </w:p>
        </w:tc>
        <w:tc>
          <w:tcPr>
            <w:tcW w:w="1559" w:type="dxa"/>
            <w:vAlign w:val="center"/>
          </w:tcPr>
          <w:p w14:paraId="37508639" w14:textId="77777777" w:rsidR="00D8645B" w:rsidRDefault="00D8645B" w:rsidP="00664D46">
            <w:pPr>
              <w:spacing w:line="360" w:lineRule="auto"/>
              <w:jc w:val="center"/>
            </w:pPr>
            <w:r>
              <w:t>1769</w:t>
            </w:r>
          </w:p>
        </w:tc>
        <w:tc>
          <w:tcPr>
            <w:tcW w:w="1559" w:type="dxa"/>
            <w:vAlign w:val="center"/>
          </w:tcPr>
          <w:p w14:paraId="273A109A" w14:textId="77777777" w:rsidR="00D8645B" w:rsidRDefault="00D8645B" w:rsidP="00664D46">
            <w:pPr>
              <w:spacing w:line="360" w:lineRule="auto"/>
              <w:jc w:val="center"/>
            </w:pPr>
            <w:r>
              <w:t>1561</w:t>
            </w:r>
          </w:p>
        </w:tc>
      </w:tr>
      <w:tr w:rsidR="00D8645B" w14:paraId="55721B0A" w14:textId="77777777" w:rsidTr="00664D46">
        <w:tc>
          <w:tcPr>
            <w:tcW w:w="1558" w:type="dxa"/>
            <w:vMerge/>
            <w:vAlign w:val="center"/>
          </w:tcPr>
          <w:p w14:paraId="616BB7A3" w14:textId="77777777" w:rsidR="00D8645B" w:rsidRDefault="00D8645B" w:rsidP="00664D46">
            <w:pPr>
              <w:spacing w:line="360" w:lineRule="auto"/>
              <w:jc w:val="center"/>
            </w:pPr>
          </w:p>
        </w:tc>
        <w:tc>
          <w:tcPr>
            <w:tcW w:w="1558" w:type="dxa"/>
            <w:vAlign w:val="center"/>
          </w:tcPr>
          <w:p w14:paraId="7C70D322" w14:textId="77777777" w:rsidR="00D8645B" w:rsidRDefault="00D8645B" w:rsidP="00664D46">
            <w:pPr>
              <w:spacing w:line="360" w:lineRule="auto"/>
              <w:jc w:val="center"/>
            </w:pPr>
            <w:r>
              <w:t>G10 Rates</w:t>
            </w:r>
          </w:p>
        </w:tc>
        <w:tc>
          <w:tcPr>
            <w:tcW w:w="1558" w:type="dxa"/>
            <w:vAlign w:val="center"/>
          </w:tcPr>
          <w:p w14:paraId="0F60C746" w14:textId="77777777" w:rsidR="00D8645B" w:rsidRDefault="00D8645B" w:rsidP="00664D46">
            <w:pPr>
              <w:spacing w:line="360" w:lineRule="auto"/>
              <w:jc w:val="center"/>
            </w:pPr>
            <w:r>
              <w:t>G10 Rates</w:t>
            </w:r>
          </w:p>
        </w:tc>
        <w:tc>
          <w:tcPr>
            <w:tcW w:w="1558" w:type="dxa"/>
            <w:vAlign w:val="center"/>
          </w:tcPr>
          <w:p w14:paraId="0EC98F17" w14:textId="77777777" w:rsidR="00D8645B" w:rsidRDefault="00D8645B" w:rsidP="00664D46">
            <w:pPr>
              <w:spacing w:line="360" w:lineRule="auto"/>
              <w:jc w:val="center"/>
            </w:pPr>
            <w:r>
              <w:t>364</w:t>
            </w:r>
          </w:p>
        </w:tc>
        <w:tc>
          <w:tcPr>
            <w:tcW w:w="1559" w:type="dxa"/>
            <w:vAlign w:val="center"/>
          </w:tcPr>
          <w:p w14:paraId="658323D8" w14:textId="77777777" w:rsidR="00D8645B" w:rsidRDefault="00D8645B" w:rsidP="00664D46">
            <w:pPr>
              <w:spacing w:line="360" w:lineRule="auto"/>
              <w:jc w:val="center"/>
            </w:pPr>
            <w:r>
              <w:t>2081</w:t>
            </w:r>
          </w:p>
        </w:tc>
        <w:tc>
          <w:tcPr>
            <w:tcW w:w="1559" w:type="dxa"/>
            <w:vAlign w:val="center"/>
          </w:tcPr>
          <w:p w14:paraId="73030209" w14:textId="77777777" w:rsidR="00D8645B" w:rsidRDefault="00D8645B" w:rsidP="00664D46">
            <w:pPr>
              <w:spacing w:line="360" w:lineRule="auto"/>
              <w:jc w:val="center"/>
            </w:pPr>
            <w:r>
              <w:t>1717</w:t>
            </w:r>
          </w:p>
        </w:tc>
      </w:tr>
      <w:tr w:rsidR="00D8645B" w14:paraId="4AFD5691" w14:textId="77777777" w:rsidTr="00664D46">
        <w:tc>
          <w:tcPr>
            <w:tcW w:w="1558" w:type="dxa"/>
            <w:vMerge/>
            <w:vAlign w:val="center"/>
          </w:tcPr>
          <w:p w14:paraId="15842D92" w14:textId="77777777" w:rsidR="00D8645B" w:rsidRDefault="00D8645B" w:rsidP="00664D46">
            <w:pPr>
              <w:spacing w:line="360" w:lineRule="auto"/>
              <w:jc w:val="center"/>
            </w:pPr>
          </w:p>
        </w:tc>
        <w:tc>
          <w:tcPr>
            <w:tcW w:w="1558" w:type="dxa"/>
            <w:vMerge w:val="restart"/>
            <w:vAlign w:val="center"/>
          </w:tcPr>
          <w:p w14:paraId="0AD4F2D7" w14:textId="77777777" w:rsidR="00D8645B" w:rsidRDefault="00D8645B" w:rsidP="00664D46">
            <w:pPr>
              <w:spacing w:line="360" w:lineRule="auto"/>
              <w:jc w:val="center"/>
            </w:pPr>
            <w:r>
              <w:t>G10 Risk Treasury RV Finance</w:t>
            </w:r>
          </w:p>
        </w:tc>
        <w:tc>
          <w:tcPr>
            <w:tcW w:w="1558" w:type="dxa"/>
            <w:vAlign w:val="center"/>
          </w:tcPr>
          <w:p w14:paraId="2674C972" w14:textId="77777777" w:rsidR="00D8645B" w:rsidRDefault="00D8645B" w:rsidP="00664D46">
            <w:pPr>
              <w:spacing w:line="360" w:lineRule="auto"/>
              <w:jc w:val="center"/>
            </w:pPr>
            <w:r>
              <w:t>FIMA</w:t>
            </w:r>
          </w:p>
        </w:tc>
        <w:tc>
          <w:tcPr>
            <w:tcW w:w="1558" w:type="dxa"/>
            <w:vAlign w:val="center"/>
          </w:tcPr>
          <w:p w14:paraId="6960DBC0" w14:textId="77777777" w:rsidR="00D8645B" w:rsidRDefault="00D8645B" w:rsidP="00664D46">
            <w:pPr>
              <w:spacing w:line="360" w:lineRule="auto"/>
              <w:jc w:val="center"/>
            </w:pPr>
            <w:r>
              <w:t>0</w:t>
            </w:r>
          </w:p>
        </w:tc>
        <w:tc>
          <w:tcPr>
            <w:tcW w:w="1559" w:type="dxa"/>
            <w:vAlign w:val="center"/>
          </w:tcPr>
          <w:p w14:paraId="43DB3D93" w14:textId="77777777" w:rsidR="00D8645B" w:rsidRDefault="00D8645B" w:rsidP="00664D46">
            <w:pPr>
              <w:spacing w:line="360" w:lineRule="auto"/>
              <w:jc w:val="center"/>
            </w:pPr>
            <w:r>
              <w:t>0</w:t>
            </w:r>
          </w:p>
        </w:tc>
        <w:tc>
          <w:tcPr>
            <w:tcW w:w="1559" w:type="dxa"/>
            <w:vAlign w:val="center"/>
          </w:tcPr>
          <w:p w14:paraId="4CD60EA9" w14:textId="77777777" w:rsidR="00D8645B" w:rsidRDefault="00D8645B" w:rsidP="00664D46">
            <w:pPr>
              <w:spacing w:line="360" w:lineRule="auto"/>
              <w:jc w:val="center"/>
            </w:pPr>
            <w:r>
              <w:t>0</w:t>
            </w:r>
          </w:p>
        </w:tc>
      </w:tr>
      <w:tr w:rsidR="00D8645B" w14:paraId="0EE352DC" w14:textId="77777777" w:rsidTr="00664D46">
        <w:tc>
          <w:tcPr>
            <w:tcW w:w="1558" w:type="dxa"/>
            <w:vMerge/>
            <w:vAlign w:val="center"/>
          </w:tcPr>
          <w:p w14:paraId="73EEC51A" w14:textId="77777777" w:rsidR="00D8645B" w:rsidRDefault="00D8645B" w:rsidP="00664D46">
            <w:pPr>
              <w:spacing w:line="360" w:lineRule="auto"/>
              <w:jc w:val="center"/>
            </w:pPr>
          </w:p>
        </w:tc>
        <w:tc>
          <w:tcPr>
            <w:tcW w:w="1558" w:type="dxa"/>
            <w:vMerge/>
            <w:vAlign w:val="center"/>
          </w:tcPr>
          <w:p w14:paraId="2A0C5AC7" w14:textId="77777777" w:rsidR="00D8645B" w:rsidRDefault="00D8645B" w:rsidP="00664D46">
            <w:pPr>
              <w:spacing w:line="360" w:lineRule="auto"/>
              <w:jc w:val="center"/>
            </w:pPr>
          </w:p>
        </w:tc>
        <w:tc>
          <w:tcPr>
            <w:tcW w:w="1558" w:type="dxa"/>
            <w:vAlign w:val="center"/>
          </w:tcPr>
          <w:p w14:paraId="37034029" w14:textId="77777777" w:rsidR="00D8645B" w:rsidRDefault="00D8645B" w:rsidP="00664D46">
            <w:pPr>
              <w:spacing w:line="360" w:lineRule="auto"/>
              <w:jc w:val="center"/>
            </w:pPr>
            <w:r>
              <w:t>Finance</w:t>
            </w:r>
          </w:p>
        </w:tc>
        <w:tc>
          <w:tcPr>
            <w:tcW w:w="1558" w:type="dxa"/>
            <w:vAlign w:val="center"/>
          </w:tcPr>
          <w:p w14:paraId="12C143C2" w14:textId="77777777" w:rsidR="00D8645B" w:rsidRDefault="00D8645B" w:rsidP="00664D46">
            <w:pPr>
              <w:spacing w:line="360" w:lineRule="auto"/>
              <w:jc w:val="center"/>
            </w:pPr>
            <w:r>
              <w:t>0</w:t>
            </w:r>
          </w:p>
        </w:tc>
        <w:tc>
          <w:tcPr>
            <w:tcW w:w="1559" w:type="dxa"/>
            <w:vAlign w:val="center"/>
          </w:tcPr>
          <w:p w14:paraId="1B511B4E" w14:textId="77777777" w:rsidR="00D8645B" w:rsidRDefault="00D8645B" w:rsidP="00664D46">
            <w:pPr>
              <w:spacing w:line="360" w:lineRule="auto"/>
              <w:jc w:val="center"/>
            </w:pPr>
            <w:r>
              <w:t>147</w:t>
            </w:r>
          </w:p>
        </w:tc>
        <w:tc>
          <w:tcPr>
            <w:tcW w:w="1559" w:type="dxa"/>
            <w:vAlign w:val="center"/>
          </w:tcPr>
          <w:p w14:paraId="11915129" w14:textId="77777777" w:rsidR="00D8645B" w:rsidRDefault="00D8645B" w:rsidP="00664D46">
            <w:pPr>
              <w:spacing w:line="360" w:lineRule="auto"/>
              <w:jc w:val="center"/>
            </w:pPr>
            <w:r>
              <w:t>147</w:t>
            </w:r>
          </w:p>
        </w:tc>
      </w:tr>
      <w:tr w:rsidR="00D8645B" w14:paraId="6282C55B" w14:textId="77777777" w:rsidTr="00664D46">
        <w:tc>
          <w:tcPr>
            <w:tcW w:w="1558" w:type="dxa"/>
            <w:vMerge/>
            <w:vAlign w:val="center"/>
          </w:tcPr>
          <w:p w14:paraId="41EE87E8" w14:textId="77777777" w:rsidR="00D8645B" w:rsidRDefault="00D8645B" w:rsidP="00664D46">
            <w:pPr>
              <w:spacing w:line="360" w:lineRule="auto"/>
              <w:jc w:val="center"/>
            </w:pPr>
          </w:p>
        </w:tc>
        <w:tc>
          <w:tcPr>
            <w:tcW w:w="1558" w:type="dxa"/>
            <w:vMerge/>
            <w:vAlign w:val="center"/>
          </w:tcPr>
          <w:p w14:paraId="76E09BC8" w14:textId="77777777" w:rsidR="00D8645B" w:rsidRDefault="00D8645B" w:rsidP="00664D46">
            <w:pPr>
              <w:spacing w:line="360" w:lineRule="auto"/>
              <w:jc w:val="center"/>
            </w:pPr>
          </w:p>
        </w:tc>
        <w:tc>
          <w:tcPr>
            <w:tcW w:w="1558" w:type="dxa"/>
            <w:vAlign w:val="center"/>
          </w:tcPr>
          <w:p w14:paraId="21C532F5" w14:textId="77777777" w:rsidR="00D8645B" w:rsidRDefault="00D8645B" w:rsidP="00664D46">
            <w:pPr>
              <w:spacing w:line="360" w:lineRule="auto"/>
              <w:jc w:val="center"/>
            </w:pPr>
            <w:r>
              <w:t>Risk Treasury</w:t>
            </w:r>
          </w:p>
        </w:tc>
        <w:tc>
          <w:tcPr>
            <w:tcW w:w="1558" w:type="dxa"/>
            <w:vAlign w:val="center"/>
          </w:tcPr>
          <w:p w14:paraId="254098AD" w14:textId="77777777" w:rsidR="00D8645B" w:rsidRDefault="00D8645B" w:rsidP="00664D46">
            <w:pPr>
              <w:spacing w:line="360" w:lineRule="auto"/>
              <w:jc w:val="center"/>
            </w:pPr>
            <w:r>
              <w:t>0</w:t>
            </w:r>
          </w:p>
        </w:tc>
        <w:tc>
          <w:tcPr>
            <w:tcW w:w="1559" w:type="dxa"/>
            <w:vAlign w:val="center"/>
          </w:tcPr>
          <w:p w14:paraId="3A2DFD1D" w14:textId="77777777" w:rsidR="00D8645B" w:rsidRDefault="00D8645B" w:rsidP="00664D46">
            <w:pPr>
              <w:spacing w:line="360" w:lineRule="auto"/>
              <w:jc w:val="center"/>
            </w:pPr>
            <w:r>
              <w:t>1639</w:t>
            </w:r>
          </w:p>
        </w:tc>
        <w:tc>
          <w:tcPr>
            <w:tcW w:w="1559" w:type="dxa"/>
            <w:vAlign w:val="center"/>
          </w:tcPr>
          <w:p w14:paraId="11541A54" w14:textId="77777777" w:rsidR="00D8645B" w:rsidRDefault="00D8645B" w:rsidP="00664D46">
            <w:pPr>
              <w:spacing w:line="360" w:lineRule="auto"/>
              <w:jc w:val="center"/>
            </w:pPr>
            <w:r>
              <w:t>1639</w:t>
            </w:r>
          </w:p>
        </w:tc>
      </w:tr>
      <w:tr w:rsidR="00D8645B" w14:paraId="1A546AA2" w14:textId="77777777" w:rsidTr="00664D46">
        <w:tc>
          <w:tcPr>
            <w:tcW w:w="1558" w:type="dxa"/>
            <w:vMerge/>
            <w:vAlign w:val="center"/>
          </w:tcPr>
          <w:p w14:paraId="4DDA20C7" w14:textId="77777777" w:rsidR="00D8645B" w:rsidRDefault="00D8645B" w:rsidP="00664D46">
            <w:pPr>
              <w:spacing w:line="360" w:lineRule="auto"/>
              <w:jc w:val="center"/>
            </w:pPr>
          </w:p>
        </w:tc>
        <w:tc>
          <w:tcPr>
            <w:tcW w:w="1558" w:type="dxa"/>
            <w:vAlign w:val="center"/>
          </w:tcPr>
          <w:p w14:paraId="442861A3" w14:textId="77777777" w:rsidR="00D8645B" w:rsidRDefault="00D8645B" w:rsidP="00664D46">
            <w:pPr>
              <w:spacing w:line="360" w:lineRule="auto"/>
              <w:jc w:val="center"/>
            </w:pPr>
            <w:r>
              <w:t>GTS</w:t>
            </w:r>
          </w:p>
        </w:tc>
        <w:tc>
          <w:tcPr>
            <w:tcW w:w="1558" w:type="dxa"/>
            <w:vAlign w:val="center"/>
          </w:tcPr>
          <w:p w14:paraId="5C3680E8" w14:textId="77777777" w:rsidR="00D8645B" w:rsidRDefault="00D8645B" w:rsidP="00664D46">
            <w:pPr>
              <w:spacing w:line="360" w:lineRule="auto"/>
              <w:jc w:val="center"/>
            </w:pPr>
            <w:r>
              <w:t>GTS</w:t>
            </w:r>
          </w:p>
        </w:tc>
        <w:tc>
          <w:tcPr>
            <w:tcW w:w="1558" w:type="dxa"/>
            <w:vAlign w:val="center"/>
          </w:tcPr>
          <w:p w14:paraId="31FC2431" w14:textId="77777777" w:rsidR="00D8645B" w:rsidRDefault="00D8645B" w:rsidP="00664D46">
            <w:pPr>
              <w:spacing w:line="360" w:lineRule="auto"/>
              <w:jc w:val="center"/>
            </w:pPr>
            <w:r>
              <w:t>0</w:t>
            </w:r>
          </w:p>
        </w:tc>
        <w:tc>
          <w:tcPr>
            <w:tcW w:w="1559" w:type="dxa"/>
            <w:vAlign w:val="center"/>
          </w:tcPr>
          <w:p w14:paraId="31053276" w14:textId="77777777" w:rsidR="00D8645B" w:rsidRDefault="00D8645B" w:rsidP="00664D46">
            <w:pPr>
              <w:spacing w:line="360" w:lineRule="auto"/>
              <w:jc w:val="center"/>
            </w:pPr>
            <w:r>
              <w:t>98</w:t>
            </w:r>
          </w:p>
        </w:tc>
        <w:tc>
          <w:tcPr>
            <w:tcW w:w="1559" w:type="dxa"/>
            <w:vAlign w:val="center"/>
          </w:tcPr>
          <w:p w14:paraId="2F6D975C" w14:textId="77777777" w:rsidR="00D8645B" w:rsidRDefault="00D8645B" w:rsidP="00664D46">
            <w:pPr>
              <w:spacing w:line="360" w:lineRule="auto"/>
              <w:jc w:val="center"/>
            </w:pPr>
            <w:r>
              <w:t>98</w:t>
            </w:r>
          </w:p>
        </w:tc>
      </w:tr>
      <w:tr w:rsidR="00D8645B" w14:paraId="204A3C0D" w14:textId="77777777" w:rsidTr="00664D46">
        <w:tc>
          <w:tcPr>
            <w:tcW w:w="1558" w:type="dxa"/>
            <w:vMerge/>
            <w:vAlign w:val="center"/>
          </w:tcPr>
          <w:p w14:paraId="338B83E5" w14:textId="77777777" w:rsidR="00D8645B" w:rsidRDefault="00D8645B" w:rsidP="00664D46">
            <w:pPr>
              <w:spacing w:line="360" w:lineRule="auto"/>
              <w:jc w:val="center"/>
            </w:pPr>
          </w:p>
        </w:tc>
        <w:tc>
          <w:tcPr>
            <w:tcW w:w="1558" w:type="dxa"/>
            <w:vAlign w:val="center"/>
          </w:tcPr>
          <w:p w14:paraId="0A4FC721" w14:textId="77777777" w:rsidR="00D8645B" w:rsidRDefault="00D8645B" w:rsidP="00664D46">
            <w:pPr>
              <w:spacing w:line="360" w:lineRule="auto"/>
              <w:jc w:val="center"/>
            </w:pPr>
            <w:r>
              <w:t>GWM</w:t>
            </w:r>
          </w:p>
        </w:tc>
        <w:tc>
          <w:tcPr>
            <w:tcW w:w="1558" w:type="dxa"/>
            <w:vAlign w:val="center"/>
          </w:tcPr>
          <w:p w14:paraId="3196F5C9" w14:textId="77777777" w:rsidR="00D8645B" w:rsidRDefault="00D8645B" w:rsidP="00664D46">
            <w:pPr>
              <w:spacing w:line="360" w:lineRule="auto"/>
              <w:jc w:val="center"/>
            </w:pPr>
            <w:r>
              <w:t>GWM</w:t>
            </w:r>
          </w:p>
        </w:tc>
        <w:tc>
          <w:tcPr>
            <w:tcW w:w="1558" w:type="dxa"/>
            <w:vAlign w:val="center"/>
          </w:tcPr>
          <w:p w14:paraId="075FEDB9" w14:textId="77777777" w:rsidR="00D8645B" w:rsidRDefault="00D8645B" w:rsidP="00664D46">
            <w:pPr>
              <w:spacing w:line="360" w:lineRule="auto"/>
              <w:jc w:val="center"/>
            </w:pPr>
            <w:r>
              <w:t>0</w:t>
            </w:r>
          </w:p>
        </w:tc>
        <w:tc>
          <w:tcPr>
            <w:tcW w:w="1559" w:type="dxa"/>
            <w:vAlign w:val="center"/>
          </w:tcPr>
          <w:p w14:paraId="062F938C" w14:textId="77777777" w:rsidR="00D8645B" w:rsidRDefault="00D8645B" w:rsidP="00664D46">
            <w:pPr>
              <w:spacing w:line="360" w:lineRule="auto"/>
              <w:jc w:val="center"/>
            </w:pPr>
            <w:r>
              <w:t>53</w:t>
            </w:r>
          </w:p>
        </w:tc>
        <w:tc>
          <w:tcPr>
            <w:tcW w:w="1559" w:type="dxa"/>
            <w:vAlign w:val="center"/>
          </w:tcPr>
          <w:p w14:paraId="6A3C2452" w14:textId="77777777" w:rsidR="00D8645B" w:rsidRDefault="00D8645B" w:rsidP="00664D46">
            <w:pPr>
              <w:spacing w:line="360" w:lineRule="auto"/>
              <w:jc w:val="center"/>
            </w:pPr>
            <w:r>
              <w:t>53</w:t>
            </w:r>
          </w:p>
        </w:tc>
      </w:tr>
      <w:tr w:rsidR="00D8645B" w14:paraId="4D4E4713" w14:textId="77777777" w:rsidTr="00664D46">
        <w:tc>
          <w:tcPr>
            <w:tcW w:w="1558" w:type="dxa"/>
            <w:vMerge/>
            <w:vAlign w:val="center"/>
          </w:tcPr>
          <w:p w14:paraId="5AEE8587" w14:textId="77777777" w:rsidR="00D8645B" w:rsidRDefault="00D8645B" w:rsidP="00664D46">
            <w:pPr>
              <w:spacing w:line="360" w:lineRule="auto"/>
              <w:jc w:val="center"/>
            </w:pPr>
          </w:p>
        </w:tc>
        <w:tc>
          <w:tcPr>
            <w:tcW w:w="1558" w:type="dxa"/>
            <w:vAlign w:val="center"/>
          </w:tcPr>
          <w:p w14:paraId="0B857ED6" w14:textId="77777777" w:rsidR="00D8645B" w:rsidRDefault="00D8645B" w:rsidP="00664D46">
            <w:pPr>
              <w:spacing w:line="360" w:lineRule="auto"/>
              <w:jc w:val="center"/>
            </w:pPr>
            <w:r>
              <w:t>Hybrids</w:t>
            </w:r>
          </w:p>
        </w:tc>
        <w:tc>
          <w:tcPr>
            <w:tcW w:w="1558" w:type="dxa"/>
            <w:vAlign w:val="center"/>
          </w:tcPr>
          <w:p w14:paraId="1B5F95B6" w14:textId="77777777" w:rsidR="00D8645B" w:rsidRDefault="00D8645B" w:rsidP="00664D46">
            <w:pPr>
              <w:spacing w:line="360" w:lineRule="auto"/>
              <w:jc w:val="center"/>
            </w:pPr>
            <w:r>
              <w:t>Hybrids</w:t>
            </w:r>
          </w:p>
        </w:tc>
        <w:tc>
          <w:tcPr>
            <w:tcW w:w="1558" w:type="dxa"/>
            <w:vAlign w:val="center"/>
          </w:tcPr>
          <w:p w14:paraId="3CFF22E9" w14:textId="77777777" w:rsidR="00D8645B" w:rsidRDefault="00D8645B" w:rsidP="00664D46">
            <w:pPr>
              <w:spacing w:line="360" w:lineRule="auto"/>
              <w:jc w:val="center"/>
            </w:pPr>
            <w:r>
              <w:t>40</w:t>
            </w:r>
          </w:p>
        </w:tc>
        <w:tc>
          <w:tcPr>
            <w:tcW w:w="1559" w:type="dxa"/>
            <w:vAlign w:val="center"/>
          </w:tcPr>
          <w:p w14:paraId="22EB1C8A" w14:textId="77777777" w:rsidR="00D8645B" w:rsidRDefault="00D8645B" w:rsidP="00664D46">
            <w:pPr>
              <w:spacing w:line="360" w:lineRule="auto"/>
              <w:jc w:val="center"/>
            </w:pPr>
            <w:r>
              <w:t>417</w:t>
            </w:r>
          </w:p>
        </w:tc>
        <w:tc>
          <w:tcPr>
            <w:tcW w:w="1559" w:type="dxa"/>
            <w:vAlign w:val="center"/>
          </w:tcPr>
          <w:p w14:paraId="30B29015" w14:textId="77777777" w:rsidR="00D8645B" w:rsidRDefault="00D8645B" w:rsidP="00664D46">
            <w:pPr>
              <w:spacing w:line="360" w:lineRule="auto"/>
              <w:jc w:val="center"/>
            </w:pPr>
            <w:r>
              <w:t>377</w:t>
            </w:r>
          </w:p>
        </w:tc>
      </w:tr>
      <w:tr w:rsidR="00D8645B" w14:paraId="790712DC" w14:textId="77777777" w:rsidTr="00664D46">
        <w:tc>
          <w:tcPr>
            <w:tcW w:w="1558" w:type="dxa"/>
            <w:vMerge/>
            <w:vAlign w:val="center"/>
          </w:tcPr>
          <w:p w14:paraId="4F098EC0" w14:textId="77777777" w:rsidR="00D8645B" w:rsidRDefault="00D8645B" w:rsidP="00664D46">
            <w:pPr>
              <w:spacing w:line="360" w:lineRule="auto"/>
              <w:jc w:val="center"/>
            </w:pPr>
          </w:p>
        </w:tc>
        <w:tc>
          <w:tcPr>
            <w:tcW w:w="1558" w:type="dxa"/>
            <w:vAlign w:val="center"/>
          </w:tcPr>
          <w:p w14:paraId="3CB63657" w14:textId="77777777" w:rsidR="00D8645B" w:rsidRDefault="00D8645B" w:rsidP="00664D46">
            <w:pPr>
              <w:spacing w:line="360" w:lineRule="auto"/>
              <w:jc w:val="center"/>
            </w:pPr>
            <w:r>
              <w:t>Municipals</w:t>
            </w:r>
          </w:p>
        </w:tc>
        <w:tc>
          <w:tcPr>
            <w:tcW w:w="1558" w:type="dxa"/>
            <w:vAlign w:val="center"/>
          </w:tcPr>
          <w:p w14:paraId="354F723C" w14:textId="77777777" w:rsidR="00D8645B" w:rsidRDefault="00D8645B" w:rsidP="00664D46">
            <w:pPr>
              <w:spacing w:line="360" w:lineRule="auto"/>
              <w:jc w:val="center"/>
            </w:pPr>
            <w:r>
              <w:t>Municipals</w:t>
            </w:r>
          </w:p>
        </w:tc>
        <w:tc>
          <w:tcPr>
            <w:tcW w:w="1558" w:type="dxa"/>
            <w:vAlign w:val="center"/>
          </w:tcPr>
          <w:p w14:paraId="43DE3E57" w14:textId="77777777" w:rsidR="00D8645B" w:rsidRDefault="00D8645B" w:rsidP="00664D46">
            <w:pPr>
              <w:spacing w:line="360" w:lineRule="auto"/>
              <w:jc w:val="center"/>
            </w:pPr>
            <w:r>
              <w:t>169</w:t>
            </w:r>
          </w:p>
        </w:tc>
        <w:tc>
          <w:tcPr>
            <w:tcW w:w="1559" w:type="dxa"/>
            <w:vAlign w:val="center"/>
          </w:tcPr>
          <w:p w14:paraId="400A6194" w14:textId="77777777" w:rsidR="00D8645B" w:rsidRDefault="00D8645B" w:rsidP="00664D46">
            <w:pPr>
              <w:spacing w:line="360" w:lineRule="auto"/>
              <w:jc w:val="center"/>
            </w:pPr>
            <w:r>
              <w:t>2398</w:t>
            </w:r>
          </w:p>
        </w:tc>
        <w:tc>
          <w:tcPr>
            <w:tcW w:w="1559" w:type="dxa"/>
            <w:vAlign w:val="center"/>
          </w:tcPr>
          <w:p w14:paraId="694E39AA" w14:textId="77777777" w:rsidR="00D8645B" w:rsidRDefault="00D8645B" w:rsidP="00664D46">
            <w:pPr>
              <w:spacing w:line="360" w:lineRule="auto"/>
              <w:jc w:val="center"/>
            </w:pPr>
            <w:r>
              <w:t>2229</w:t>
            </w:r>
          </w:p>
        </w:tc>
      </w:tr>
      <w:tr w:rsidR="00D8645B" w14:paraId="3B13467A" w14:textId="77777777" w:rsidTr="00664D46">
        <w:tc>
          <w:tcPr>
            <w:tcW w:w="1558" w:type="dxa"/>
            <w:vMerge/>
            <w:vAlign w:val="center"/>
          </w:tcPr>
          <w:p w14:paraId="1F6B758A" w14:textId="77777777" w:rsidR="00D8645B" w:rsidRDefault="00D8645B" w:rsidP="00664D46">
            <w:pPr>
              <w:spacing w:line="360" w:lineRule="auto"/>
              <w:jc w:val="center"/>
            </w:pPr>
          </w:p>
        </w:tc>
        <w:tc>
          <w:tcPr>
            <w:tcW w:w="1558" w:type="dxa"/>
            <w:vAlign w:val="center"/>
          </w:tcPr>
          <w:p w14:paraId="7888ED18" w14:textId="77777777" w:rsidR="00D8645B" w:rsidRDefault="00D8645B" w:rsidP="00664D46">
            <w:pPr>
              <w:spacing w:line="360" w:lineRule="auto"/>
              <w:jc w:val="center"/>
            </w:pPr>
            <w:r>
              <w:t>Nikko Investments</w:t>
            </w:r>
          </w:p>
        </w:tc>
        <w:tc>
          <w:tcPr>
            <w:tcW w:w="1558" w:type="dxa"/>
            <w:vAlign w:val="center"/>
          </w:tcPr>
          <w:p w14:paraId="37FCBA3D" w14:textId="77777777" w:rsidR="00D8645B" w:rsidRDefault="00D8645B" w:rsidP="00664D46">
            <w:pPr>
              <w:spacing w:line="360" w:lineRule="auto"/>
              <w:jc w:val="center"/>
            </w:pPr>
            <w:r>
              <w:t>Nikko Investments</w:t>
            </w:r>
          </w:p>
        </w:tc>
        <w:tc>
          <w:tcPr>
            <w:tcW w:w="1558" w:type="dxa"/>
            <w:vAlign w:val="center"/>
          </w:tcPr>
          <w:p w14:paraId="75818E33" w14:textId="77777777" w:rsidR="00D8645B" w:rsidRDefault="00D8645B" w:rsidP="00664D46">
            <w:pPr>
              <w:spacing w:line="360" w:lineRule="auto"/>
              <w:jc w:val="center"/>
            </w:pPr>
            <w:r>
              <w:t>0</w:t>
            </w:r>
          </w:p>
        </w:tc>
        <w:tc>
          <w:tcPr>
            <w:tcW w:w="1559" w:type="dxa"/>
            <w:vAlign w:val="center"/>
          </w:tcPr>
          <w:p w14:paraId="063924C8" w14:textId="77777777" w:rsidR="00D8645B" w:rsidRDefault="00D8645B" w:rsidP="00664D46">
            <w:pPr>
              <w:spacing w:line="360" w:lineRule="auto"/>
              <w:jc w:val="center"/>
            </w:pPr>
            <w:r>
              <w:t>0</w:t>
            </w:r>
          </w:p>
        </w:tc>
        <w:tc>
          <w:tcPr>
            <w:tcW w:w="1559" w:type="dxa"/>
            <w:vAlign w:val="center"/>
          </w:tcPr>
          <w:p w14:paraId="5944AFA6" w14:textId="77777777" w:rsidR="00D8645B" w:rsidRDefault="00D8645B" w:rsidP="00664D46">
            <w:pPr>
              <w:spacing w:line="360" w:lineRule="auto"/>
              <w:jc w:val="center"/>
            </w:pPr>
            <w:r>
              <w:t>0</w:t>
            </w:r>
          </w:p>
        </w:tc>
      </w:tr>
      <w:tr w:rsidR="00D8645B" w14:paraId="0E60DCAD" w14:textId="77777777" w:rsidTr="00664D46">
        <w:tc>
          <w:tcPr>
            <w:tcW w:w="1558" w:type="dxa"/>
            <w:vMerge/>
            <w:vAlign w:val="center"/>
          </w:tcPr>
          <w:p w14:paraId="6D83819F" w14:textId="77777777" w:rsidR="00D8645B" w:rsidRDefault="00D8645B" w:rsidP="00664D46">
            <w:pPr>
              <w:spacing w:line="360" w:lineRule="auto"/>
              <w:jc w:val="center"/>
            </w:pPr>
          </w:p>
        </w:tc>
        <w:tc>
          <w:tcPr>
            <w:tcW w:w="1558" w:type="dxa"/>
            <w:vAlign w:val="center"/>
          </w:tcPr>
          <w:p w14:paraId="69109FA7" w14:textId="77777777" w:rsidR="00D8645B" w:rsidRDefault="00D8645B" w:rsidP="00664D46">
            <w:pPr>
              <w:spacing w:line="360" w:lineRule="auto"/>
              <w:jc w:val="center"/>
            </w:pPr>
            <w:r>
              <w:t>OS&amp;B</w:t>
            </w:r>
          </w:p>
        </w:tc>
        <w:tc>
          <w:tcPr>
            <w:tcW w:w="1558" w:type="dxa"/>
            <w:vAlign w:val="center"/>
          </w:tcPr>
          <w:p w14:paraId="3DC9C347" w14:textId="77777777" w:rsidR="00D8645B" w:rsidRDefault="00D8645B" w:rsidP="00664D46">
            <w:pPr>
              <w:spacing w:line="360" w:lineRule="auto"/>
              <w:jc w:val="center"/>
            </w:pPr>
            <w:r>
              <w:t>OS&amp;B</w:t>
            </w:r>
          </w:p>
        </w:tc>
        <w:tc>
          <w:tcPr>
            <w:tcW w:w="1558" w:type="dxa"/>
            <w:vAlign w:val="center"/>
          </w:tcPr>
          <w:p w14:paraId="00554D12" w14:textId="77777777" w:rsidR="00D8645B" w:rsidRDefault="00D8645B" w:rsidP="00664D46">
            <w:pPr>
              <w:spacing w:line="360" w:lineRule="auto"/>
              <w:jc w:val="center"/>
            </w:pPr>
            <w:r>
              <w:t>0</w:t>
            </w:r>
          </w:p>
        </w:tc>
        <w:tc>
          <w:tcPr>
            <w:tcW w:w="1559" w:type="dxa"/>
            <w:vAlign w:val="center"/>
          </w:tcPr>
          <w:p w14:paraId="637A4995" w14:textId="77777777" w:rsidR="00D8645B" w:rsidRDefault="00D8645B" w:rsidP="00664D46">
            <w:pPr>
              <w:spacing w:line="360" w:lineRule="auto"/>
              <w:jc w:val="center"/>
            </w:pPr>
            <w:r>
              <w:t>27</w:t>
            </w:r>
          </w:p>
        </w:tc>
        <w:tc>
          <w:tcPr>
            <w:tcW w:w="1559" w:type="dxa"/>
            <w:vAlign w:val="center"/>
          </w:tcPr>
          <w:p w14:paraId="6565D31D" w14:textId="77777777" w:rsidR="00D8645B" w:rsidRDefault="00D8645B" w:rsidP="00664D46">
            <w:pPr>
              <w:spacing w:line="360" w:lineRule="auto"/>
              <w:jc w:val="center"/>
            </w:pPr>
            <w:r>
              <w:t>27</w:t>
            </w:r>
          </w:p>
        </w:tc>
      </w:tr>
      <w:tr w:rsidR="00D8645B" w14:paraId="651AD331" w14:textId="77777777" w:rsidTr="00664D46">
        <w:tc>
          <w:tcPr>
            <w:tcW w:w="1558" w:type="dxa"/>
            <w:vMerge/>
            <w:vAlign w:val="center"/>
          </w:tcPr>
          <w:p w14:paraId="34FE83DC" w14:textId="77777777" w:rsidR="00D8645B" w:rsidRDefault="00D8645B" w:rsidP="00664D46">
            <w:pPr>
              <w:spacing w:line="360" w:lineRule="auto"/>
              <w:jc w:val="center"/>
            </w:pPr>
          </w:p>
        </w:tc>
        <w:tc>
          <w:tcPr>
            <w:tcW w:w="1558" w:type="dxa"/>
            <w:vAlign w:val="center"/>
          </w:tcPr>
          <w:p w14:paraId="23154C71" w14:textId="77777777" w:rsidR="00D8645B" w:rsidRDefault="00D8645B" w:rsidP="00664D46">
            <w:pPr>
              <w:spacing w:line="360" w:lineRule="auto"/>
              <w:jc w:val="center"/>
            </w:pPr>
            <w:r>
              <w:t>Other Global Markets</w:t>
            </w:r>
          </w:p>
        </w:tc>
        <w:tc>
          <w:tcPr>
            <w:tcW w:w="1558" w:type="dxa"/>
            <w:vAlign w:val="center"/>
          </w:tcPr>
          <w:p w14:paraId="03224367" w14:textId="77777777" w:rsidR="00D8645B" w:rsidRDefault="00D8645B" w:rsidP="00664D46">
            <w:pPr>
              <w:spacing w:line="360" w:lineRule="auto"/>
              <w:jc w:val="center"/>
            </w:pPr>
            <w:r>
              <w:t>Other Global Markets</w:t>
            </w:r>
          </w:p>
        </w:tc>
        <w:tc>
          <w:tcPr>
            <w:tcW w:w="1558" w:type="dxa"/>
            <w:vAlign w:val="center"/>
          </w:tcPr>
          <w:p w14:paraId="54806A4F" w14:textId="77777777" w:rsidR="00D8645B" w:rsidRDefault="00D8645B" w:rsidP="00664D46">
            <w:pPr>
              <w:spacing w:line="360" w:lineRule="auto"/>
              <w:jc w:val="center"/>
            </w:pPr>
            <w:r>
              <w:t>0</w:t>
            </w:r>
          </w:p>
        </w:tc>
        <w:tc>
          <w:tcPr>
            <w:tcW w:w="1559" w:type="dxa"/>
            <w:vAlign w:val="center"/>
          </w:tcPr>
          <w:p w14:paraId="5D7B32C4" w14:textId="77777777" w:rsidR="00D8645B" w:rsidRDefault="00D8645B" w:rsidP="00664D46">
            <w:pPr>
              <w:spacing w:line="360" w:lineRule="auto"/>
              <w:jc w:val="center"/>
            </w:pPr>
            <w:r>
              <w:t>166</w:t>
            </w:r>
          </w:p>
        </w:tc>
        <w:tc>
          <w:tcPr>
            <w:tcW w:w="1559" w:type="dxa"/>
            <w:vAlign w:val="center"/>
          </w:tcPr>
          <w:p w14:paraId="5A57606B" w14:textId="77777777" w:rsidR="00D8645B" w:rsidRDefault="00D8645B" w:rsidP="00664D46">
            <w:pPr>
              <w:spacing w:line="360" w:lineRule="auto"/>
              <w:jc w:val="center"/>
            </w:pPr>
            <w:r>
              <w:t>166</w:t>
            </w:r>
          </w:p>
        </w:tc>
      </w:tr>
      <w:tr w:rsidR="00D8645B" w14:paraId="69B0EB6B" w14:textId="77777777" w:rsidTr="00664D46">
        <w:tc>
          <w:tcPr>
            <w:tcW w:w="1558" w:type="dxa"/>
            <w:vMerge/>
            <w:vAlign w:val="center"/>
          </w:tcPr>
          <w:p w14:paraId="5124F556" w14:textId="77777777" w:rsidR="00D8645B" w:rsidRDefault="00D8645B" w:rsidP="00664D46">
            <w:pPr>
              <w:spacing w:line="360" w:lineRule="auto"/>
              <w:jc w:val="center"/>
            </w:pPr>
          </w:p>
        </w:tc>
        <w:tc>
          <w:tcPr>
            <w:tcW w:w="1558" w:type="dxa"/>
            <w:vAlign w:val="center"/>
          </w:tcPr>
          <w:p w14:paraId="11E4CBB9" w14:textId="77777777" w:rsidR="00D8645B" w:rsidRDefault="00D8645B" w:rsidP="00664D46">
            <w:pPr>
              <w:spacing w:line="360" w:lineRule="auto"/>
              <w:jc w:val="center"/>
            </w:pPr>
            <w:r>
              <w:t>Prime Finance</w:t>
            </w:r>
          </w:p>
        </w:tc>
        <w:tc>
          <w:tcPr>
            <w:tcW w:w="1558" w:type="dxa"/>
            <w:vAlign w:val="center"/>
          </w:tcPr>
          <w:p w14:paraId="116825C4" w14:textId="77777777" w:rsidR="00D8645B" w:rsidRDefault="00D8645B" w:rsidP="00664D46">
            <w:pPr>
              <w:spacing w:line="360" w:lineRule="auto"/>
              <w:jc w:val="center"/>
            </w:pPr>
            <w:r>
              <w:t>Prime Finance</w:t>
            </w:r>
          </w:p>
        </w:tc>
        <w:tc>
          <w:tcPr>
            <w:tcW w:w="1558" w:type="dxa"/>
            <w:vAlign w:val="center"/>
          </w:tcPr>
          <w:p w14:paraId="637D9476" w14:textId="77777777" w:rsidR="00D8645B" w:rsidRDefault="00D8645B" w:rsidP="00664D46">
            <w:pPr>
              <w:spacing w:line="360" w:lineRule="auto"/>
              <w:jc w:val="center"/>
            </w:pPr>
            <w:r>
              <w:t>0</w:t>
            </w:r>
          </w:p>
        </w:tc>
        <w:tc>
          <w:tcPr>
            <w:tcW w:w="1559" w:type="dxa"/>
            <w:vAlign w:val="center"/>
          </w:tcPr>
          <w:p w14:paraId="63B55EE9" w14:textId="77777777" w:rsidR="00D8645B" w:rsidRDefault="00D8645B" w:rsidP="00664D46">
            <w:pPr>
              <w:spacing w:line="360" w:lineRule="auto"/>
              <w:jc w:val="center"/>
            </w:pPr>
            <w:r>
              <w:t>31</w:t>
            </w:r>
          </w:p>
        </w:tc>
        <w:tc>
          <w:tcPr>
            <w:tcW w:w="1559" w:type="dxa"/>
            <w:vAlign w:val="center"/>
          </w:tcPr>
          <w:p w14:paraId="40070E00" w14:textId="77777777" w:rsidR="00D8645B" w:rsidRDefault="00D8645B" w:rsidP="00664D46">
            <w:pPr>
              <w:spacing w:line="360" w:lineRule="auto"/>
              <w:jc w:val="center"/>
            </w:pPr>
            <w:r>
              <w:t>31</w:t>
            </w:r>
          </w:p>
        </w:tc>
      </w:tr>
      <w:tr w:rsidR="00D8645B" w14:paraId="2D5A5895" w14:textId="77777777" w:rsidTr="00664D46">
        <w:tc>
          <w:tcPr>
            <w:tcW w:w="1558" w:type="dxa"/>
            <w:vMerge/>
            <w:vAlign w:val="center"/>
          </w:tcPr>
          <w:p w14:paraId="43444468" w14:textId="77777777" w:rsidR="00D8645B" w:rsidRDefault="00D8645B" w:rsidP="00664D46">
            <w:pPr>
              <w:spacing w:line="360" w:lineRule="auto"/>
              <w:jc w:val="center"/>
            </w:pPr>
          </w:p>
        </w:tc>
        <w:tc>
          <w:tcPr>
            <w:tcW w:w="1558" w:type="dxa"/>
            <w:vAlign w:val="center"/>
          </w:tcPr>
          <w:p w14:paraId="2D013023" w14:textId="77777777" w:rsidR="00D8645B" w:rsidRDefault="00D8645B" w:rsidP="00664D46">
            <w:pPr>
              <w:spacing w:line="360" w:lineRule="auto"/>
              <w:jc w:val="center"/>
            </w:pPr>
            <w:r>
              <w:t>Securitized Markets</w:t>
            </w:r>
          </w:p>
        </w:tc>
        <w:tc>
          <w:tcPr>
            <w:tcW w:w="1558" w:type="dxa"/>
            <w:vAlign w:val="center"/>
          </w:tcPr>
          <w:p w14:paraId="21A066D7" w14:textId="77777777" w:rsidR="00D8645B" w:rsidRDefault="00D8645B" w:rsidP="00664D46">
            <w:pPr>
              <w:spacing w:line="360" w:lineRule="auto"/>
              <w:jc w:val="center"/>
            </w:pPr>
            <w:r>
              <w:t>Securitized Markets</w:t>
            </w:r>
          </w:p>
        </w:tc>
        <w:tc>
          <w:tcPr>
            <w:tcW w:w="1558" w:type="dxa"/>
            <w:vAlign w:val="center"/>
          </w:tcPr>
          <w:p w14:paraId="2195FB75" w14:textId="77777777" w:rsidR="00D8645B" w:rsidRDefault="00D8645B" w:rsidP="00664D46">
            <w:pPr>
              <w:spacing w:line="360" w:lineRule="auto"/>
              <w:jc w:val="center"/>
            </w:pPr>
            <w:r>
              <w:t>155</w:t>
            </w:r>
          </w:p>
        </w:tc>
        <w:tc>
          <w:tcPr>
            <w:tcW w:w="1559" w:type="dxa"/>
            <w:vAlign w:val="center"/>
          </w:tcPr>
          <w:p w14:paraId="11DC7792" w14:textId="77777777" w:rsidR="00D8645B" w:rsidRDefault="00D8645B" w:rsidP="00664D46">
            <w:pPr>
              <w:spacing w:line="360" w:lineRule="auto"/>
              <w:jc w:val="center"/>
            </w:pPr>
            <w:r>
              <w:t>3176</w:t>
            </w:r>
          </w:p>
        </w:tc>
        <w:tc>
          <w:tcPr>
            <w:tcW w:w="1559" w:type="dxa"/>
            <w:vAlign w:val="center"/>
          </w:tcPr>
          <w:p w14:paraId="51E3DB21" w14:textId="77777777" w:rsidR="00D8645B" w:rsidRDefault="00D8645B" w:rsidP="00664D46">
            <w:pPr>
              <w:spacing w:line="360" w:lineRule="auto"/>
              <w:jc w:val="center"/>
            </w:pPr>
            <w:r>
              <w:t>3021</w:t>
            </w:r>
          </w:p>
        </w:tc>
      </w:tr>
      <w:tr w:rsidR="00D8645B" w:rsidRPr="001F0477" w14:paraId="37184DF8" w14:textId="77777777" w:rsidTr="00664D46">
        <w:tc>
          <w:tcPr>
            <w:tcW w:w="4674" w:type="dxa"/>
            <w:gridSpan w:val="3"/>
          </w:tcPr>
          <w:p w14:paraId="7E050C90" w14:textId="77777777" w:rsidR="00D8645B" w:rsidRPr="001F0477" w:rsidRDefault="00D8645B" w:rsidP="00664D46">
            <w:pPr>
              <w:spacing w:line="360" w:lineRule="auto"/>
              <w:jc w:val="center"/>
              <w:rPr>
                <w:b/>
              </w:rPr>
            </w:pPr>
            <w:r>
              <w:rPr>
                <w:b/>
              </w:rPr>
              <w:t>BHC-ICG Total</w:t>
            </w:r>
          </w:p>
        </w:tc>
        <w:tc>
          <w:tcPr>
            <w:tcW w:w="1558" w:type="dxa"/>
          </w:tcPr>
          <w:p w14:paraId="22BFF89C" w14:textId="77777777" w:rsidR="00D8645B" w:rsidRPr="001F0477" w:rsidRDefault="00D8645B" w:rsidP="00664D46">
            <w:pPr>
              <w:spacing w:line="360" w:lineRule="auto"/>
              <w:jc w:val="center"/>
              <w:rPr>
                <w:b/>
              </w:rPr>
            </w:pPr>
            <w:r>
              <w:rPr>
                <w:b/>
              </w:rPr>
              <w:t>1811</w:t>
            </w:r>
          </w:p>
        </w:tc>
        <w:tc>
          <w:tcPr>
            <w:tcW w:w="1559" w:type="dxa"/>
          </w:tcPr>
          <w:p w14:paraId="39B13BBC" w14:textId="77777777" w:rsidR="00D8645B" w:rsidRPr="001F0477" w:rsidRDefault="00D8645B" w:rsidP="00664D46">
            <w:pPr>
              <w:spacing w:line="360" w:lineRule="auto"/>
              <w:jc w:val="center"/>
              <w:rPr>
                <w:b/>
              </w:rPr>
            </w:pPr>
            <w:r>
              <w:rPr>
                <w:b/>
              </w:rPr>
              <w:t>11665</w:t>
            </w:r>
          </w:p>
        </w:tc>
        <w:tc>
          <w:tcPr>
            <w:tcW w:w="1559" w:type="dxa"/>
          </w:tcPr>
          <w:p w14:paraId="5F4D6493" w14:textId="77777777" w:rsidR="00D8645B" w:rsidRPr="001F0477" w:rsidRDefault="00D8645B" w:rsidP="00664D46">
            <w:pPr>
              <w:spacing w:line="360" w:lineRule="auto"/>
              <w:jc w:val="center"/>
              <w:rPr>
                <w:b/>
              </w:rPr>
            </w:pPr>
            <w:r>
              <w:rPr>
                <w:b/>
              </w:rPr>
              <w:t>9854</w:t>
            </w:r>
          </w:p>
        </w:tc>
      </w:tr>
    </w:tbl>
    <w:p w14:paraId="3A73F285" w14:textId="77777777" w:rsidR="00D8645B" w:rsidRDefault="00D8645B" w:rsidP="00D8645B">
      <w:pPr>
        <w:spacing w:line="360" w:lineRule="auto"/>
      </w:pPr>
    </w:p>
    <w:p w14:paraId="0D2BA07A" w14:textId="77777777" w:rsidR="00D8645B" w:rsidRPr="00DF1907" w:rsidRDefault="00D8645B" w:rsidP="0060309E">
      <w:pPr>
        <w:pStyle w:val="ListParagraph"/>
        <w:numPr>
          <w:ilvl w:val="0"/>
          <w:numId w:val="24"/>
        </w:numPr>
        <w:spacing w:after="160" w:line="360" w:lineRule="auto"/>
      </w:pPr>
      <w:r>
        <w:rPr>
          <w:u w:val="single"/>
        </w:rPr>
        <w:t>Effect of VaR and B</w:t>
      </w:r>
      <w:r w:rsidRPr="00DF1907">
        <w:rPr>
          <w:u w:val="single"/>
        </w:rPr>
        <w:t>SST</w:t>
      </w:r>
      <w:r w:rsidRPr="00DF1907">
        <w:t xml:space="preserve">: </w:t>
      </w:r>
      <w:r>
        <w:t xml:space="preserve">On setting the VaR and the BSST to zero, the RC should be completely be determined by the worst case of the GSST P&amp;L. At the ICG level, the worst </w:t>
      </w:r>
      <w:r>
        <w:lastRenderedPageBreak/>
        <w:t xml:space="preserve">GSST loss is $4821MM coming out of the 1974 Baseline scenario and the RC of $9642MM matches the $4821MM multiplied by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t xml:space="preserve">. At a business level, for example, EM Credit Trading RC of $252MM matches the Interest Rate Shock scenario loss of $126MM multiplied by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rPr>
          <w:rFonts w:eastAsiaTheme="minorEastAsia"/>
        </w:rPr>
        <w:t>.</w:t>
      </w:r>
    </w:p>
    <w:p w14:paraId="5DB818B9" w14:textId="77777777" w:rsidR="00D8645B" w:rsidRDefault="00D8645B" w:rsidP="0060309E">
      <w:pPr>
        <w:pStyle w:val="ListParagraph"/>
        <w:numPr>
          <w:ilvl w:val="0"/>
          <w:numId w:val="24"/>
        </w:numPr>
        <w:spacing w:after="160" w:line="360" w:lineRule="auto"/>
      </w:pPr>
      <w:r w:rsidRPr="00111089">
        <w:rPr>
          <w:u w:val="single"/>
        </w:rPr>
        <w:t xml:space="preserve">Standalone RC ($MM) with </w:t>
      </w:r>
      <w:r>
        <w:rPr>
          <w:u w:val="single"/>
        </w:rPr>
        <w:t>Zero VaR and BSST P&amp;L</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8645B" w14:paraId="43A88B39" w14:textId="77777777" w:rsidTr="00664D46">
        <w:tc>
          <w:tcPr>
            <w:tcW w:w="1558" w:type="dxa"/>
            <w:vAlign w:val="center"/>
          </w:tcPr>
          <w:p w14:paraId="7A995815" w14:textId="77777777" w:rsidR="00D8645B" w:rsidRPr="001F0477" w:rsidRDefault="00D8645B" w:rsidP="00664D46">
            <w:pPr>
              <w:spacing w:line="360" w:lineRule="auto"/>
              <w:jc w:val="center"/>
              <w:rPr>
                <w:b/>
              </w:rPr>
            </w:pPr>
            <w:r>
              <w:rPr>
                <w:b/>
              </w:rPr>
              <w:t>Group</w:t>
            </w:r>
          </w:p>
        </w:tc>
        <w:tc>
          <w:tcPr>
            <w:tcW w:w="1558" w:type="dxa"/>
            <w:vAlign w:val="center"/>
          </w:tcPr>
          <w:p w14:paraId="67D50687" w14:textId="77777777" w:rsidR="00D8645B" w:rsidRPr="001F0477" w:rsidRDefault="00D8645B" w:rsidP="00664D46">
            <w:pPr>
              <w:spacing w:line="360" w:lineRule="auto"/>
              <w:jc w:val="center"/>
              <w:rPr>
                <w:b/>
              </w:rPr>
            </w:pPr>
            <w:r>
              <w:rPr>
                <w:b/>
              </w:rPr>
              <w:t>Product</w:t>
            </w:r>
          </w:p>
        </w:tc>
        <w:tc>
          <w:tcPr>
            <w:tcW w:w="1558" w:type="dxa"/>
            <w:vAlign w:val="center"/>
          </w:tcPr>
          <w:p w14:paraId="72684E45" w14:textId="77777777" w:rsidR="00D8645B" w:rsidRPr="001F0477" w:rsidRDefault="00D8645B" w:rsidP="00664D46">
            <w:pPr>
              <w:spacing w:line="360" w:lineRule="auto"/>
              <w:jc w:val="center"/>
              <w:rPr>
                <w:b/>
              </w:rPr>
            </w:pPr>
            <w:r>
              <w:rPr>
                <w:b/>
              </w:rPr>
              <w:t>Business</w:t>
            </w:r>
          </w:p>
        </w:tc>
        <w:tc>
          <w:tcPr>
            <w:tcW w:w="1558" w:type="dxa"/>
            <w:vAlign w:val="center"/>
          </w:tcPr>
          <w:p w14:paraId="268F961E" w14:textId="77777777" w:rsidR="00D8645B" w:rsidRPr="001F0477" w:rsidRDefault="00D8645B" w:rsidP="00664D46">
            <w:pPr>
              <w:spacing w:line="360" w:lineRule="auto"/>
              <w:jc w:val="center"/>
              <w:rPr>
                <w:b/>
              </w:rPr>
            </w:pPr>
            <w:r>
              <w:rPr>
                <w:b/>
              </w:rPr>
              <w:t>New RC w/o Volatility Adjustment</w:t>
            </w:r>
          </w:p>
        </w:tc>
        <w:tc>
          <w:tcPr>
            <w:tcW w:w="1559" w:type="dxa"/>
            <w:vAlign w:val="center"/>
          </w:tcPr>
          <w:p w14:paraId="6D7EC9D9" w14:textId="77777777" w:rsidR="00D8645B" w:rsidRPr="001F0477" w:rsidRDefault="00D8645B" w:rsidP="00664D46">
            <w:pPr>
              <w:spacing w:line="360" w:lineRule="auto"/>
              <w:jc w:val="center"/>
              <w:rPr>
                <w:b/>
              </w:rPr>
            </w:pPr>
            <w:r>
              <w:rPr>
                <w:b/>
              </w:rPr>
              <w:t>Base Case RC</w:t>
            </w:r>
          </w:p>
        </w:tc>
        <w:tc>
          <w:tcPr>
            <w:tcW w:w="1559" w:type="dxa"/>
            <w:vAlign w:val="center"/>
          </w:tcPr>
          <w:p w14:paraId="34127894" w14:textId="77777777" w:rsidR="00D8645B" w:rsidRPr="001F0477" w:rsidRDefault="00D8645B" w:rsidP="00664D46">
            <w:pPr>
              <w:spacing w:line="360" w:lineRule="auto"/>
              <w:jc w:val="center"/>
              <w:rPr>
                <w:b/>
              </w:rPr>
            </w:pPr>
            <w:r>
              <w:rPr>
                <w:b/>
              </w:rPr>
              <w:t>Base Case - New</w:t>
            </w:r>
          </w:p>
        </w:tc>
      </w:tr>
      <w:tr w:rsidR="00D8645B" w14:paraId="4FE41EC7" w14:textId="77777777" w:rsidTr="00664D46">
        <w:tc>
          <w:tcPr>
            <w:tcW w:w="1558" w:type="dxa"/>
            <w:vMerge w:val="restart"/>
            <w:vAlign w:val="center"/>
          </w:tcPr>
          <w:p w14:paraId="33F1F228" w14:textId="77777777" w:rsidR="00D8645B" w:rsidRDefault="00D8645B" w:rsidP="00664D46">
            <w:pPr>
              <w:spacing w:line="360" w:lineRule="auto"/>
              <w:jc w:val="center"/>
            </w:pPr>
            <w:r>
              <w:t>BHC - ICG</w:t>
            </w:r>
          </w:p>
        </w:tc>
        <w:tc>
          <w:tcPr>
            <w:tcW w:w="1558" w:type="dxa"/>
            <w:vAlign w:val="center"/>
          </w:tcPr>
          <w:p w14:paraId="63E3CA50" w14:textId="77777777" w:rsidR="00D8645B" w:rsidRDefault="00D8645B" w:rsidP="00664D46">
            <w:pPr>
              <w:spacing w:line="360" w:lineRule="auto"/>
              <w:jc w:val="center"/>
            </w:pPr>
            <w:r>
              <w:t>Advisory</w:t>
            </w:r>
          </w:p>
        </w:tc>
        <w:tc>
          <w:tcPr>
            <w:tcW w:w="1558" w:type="dxa"/>
            <w:vAlign w:val="center"/>
          </w:tcPr>
          <w:p w14:paraId="34D53A7A" w14:textId="77777777" w:rsidR="00D8645B" w:rsidRDefault="00D8645B" w:rsidP="00664D46">
            <w:pPr>
              <w:spacing w:line="360" w:lineRule="auto"/>
              <w:jc w:val="center"/>
            </w:pPr>
            <w:r>
              <w:t>Advisory</w:t>
            </w:r>
          </w:p>
        </w:tc>
        <w:tc>
          <w:tcPr>
            <w:tcW w:w="1558" w:type="dxa"/>
            <w:vAlign w:val="center"/>
          </w:tcPr>
          <w:p w14:paraId="733124DF" w14:textId="77777777" w:rsidR="00D8645B" w:rsidRDefault="00D8645B" w:rsidP="00664D46">
            <w:pPr>
              <w:spacing w:line="360" w:lineRule="auto"/>
              <w:jc w:val="center"/>
            </w:pPr>
            <w:r>
              <w:t>0</w:t>
            </w:r>
          </w:p>
        </w:tc>
        <w:tc>
          <w:tcPr>
            <w:tcW w:w="1559" w:type="dxa"/>
            <w:vAlign w:val="center"/>
          </w:tcPr>
          <w:p w14:paraId="3F6074F3" w14:textId="77777777" w:rsidR="00D8645B" w:rsidRDefault="00D8645B" w:rsidP="00664D46">
            <w:pPr>
              <w:spacing w:line="360" w:lineRule="auto"/>
              <w:jc w:val="center"/>
            </w:pPr>
            <w:r>
              <w:t>0</w:t>
            </w:r>
          </w:p>
        </w:tc>
        <w:tc>
          <w:tcPr>
            <w:tcW w:w="1559" w:type="dxa"/>
            <w:vAlign w:val="center"/>
          </w:tcPr>
          <w:p w14:paraId="72736484" w14:textId="77777777" w:rsidR="00D8645B" w:rsidRDefault="00D8645B" w:rsidP="00664D46">
            <w:pPr>
              <w:spacing w:line="360" w:lineRule="auto"/>
              <w:jc w:val="center"/>
            </w:pPr>
            <w:r>
              <w:t>0</w:t>
            </w:r>
          </w:p>
        </w:tc>
      </w:tr>
      <w:tr w:rsidR="00D8645B" w14:paraId="109E7455" w14:textId="77777777" w:rsidTr="00664D46">
        <w:tc>
          <w:tcPr>
            <w:tcW w:w="1558" w:type="dxa"/>
            <w:vMerge/>
            <w:vAlign w:val="center"/>
          </w:tcPr>
          <w:p w14:paraId="7D7D97D3" w14:textId="77777777" w:rsidR="00D8645B" w:rsidRDefault="00D8645B" w:rsidP="00664D46">
            <w:pPr>
              <w:spacing w:line="360" w:lineRule="auto"/>
              <w:jc w:val="center"/>
            </w:pPr>
          </w:p>
        </w:tc>
        <w:tc>
          <w:tcPr>
            <w:tcW w:w="1558" w:type="dxa"/>
            <w:vAlign w:val="center"/>
          </w:tcPr>
          <w:p w14:paraId="56366A32" w14:textId="77777777" w:rsidR="00D8645B" w:rsidRDefault="00D8645B" w:rsidP="00664D46">
            <w:pPr>
              <w:spacing w:line="360" w:lineRule="auto"/>
              <w:jc w:val="center"/>
            </w:pPr>
            <w:r>
              <w:t>CAI</w:t>
            </w:r>
          </w:p>
        </w:tc>
        <w:tc>
          <w:tcPr>
            <w:tcW w:w="1558" w:type="dxa"/>
            <w:vAlign w:val="center"/>
          </w:tcPr>
          <w:p w14:paraId="0094D36A" w14:textId="77777777" w:rsidR="00D8645B" w:rsidRDefault="00D8645B" w:rsidP="00664D46">
            <w:pPr>
              <w:spacing w:line="360" w:lineRule="auto"/>
              <w:jc w:val="center"/>
            </w:pPr>
            <w:r>
              <w:t>CAI</w:t>
            </w:r>
          </w:p>
        </w:tc>
        <w:tc>
          <w:tcPr>
            <w:tcW w:w="1558" w:type="dxa"/>
            <w:vAlign w:val="center"/>
          </w:tcPr>
          <w:p w14:paraId="687F356A" w14:textId="77777777" w:rsidR="00D8645B" w:rsidRDefault="00D8645B" w:rsidP="00664D46">
            <w:pPr>
              <w:spacing w:line="360" w:lineRule="auto"/>
              <w:jc w:val="center"/>
            </w:pPr>
            <w:r>
              <w:t>0</w:t>
            </w:r>
          </w:p>
        </w:tc>
        <w:tc>
          <w:tcPr>
            <w:tcW w:w="1559" w:type="dxa"/>
            <w:vAlign w:val="center"/>
          </w:tcPr>
          <w:p w14:paraId="73310E47" w14:textId="77777777" w:rsidR="00D8645B" w:rsidRDefault="00D8645B" w:rsidP="00664D46">
            <w:pPr>
              <w:spacing w:line="360" w:lineRule="auto"/>
              <w:jc w:val="center"/>
            </w:pPr>
            <w:r>
              <w:t>11</w:t>
            </w:r>
          </w:p>
        </w:tc>
        <w:tc>
          <w:tcPr>
            <w:tcW w:w="1559" w:type="dxa"/>
            <w:vAlign w:val="center"/>
          </w:tcPr>
          <w:p w14:paraId="3BFDBF3E" w14:textId="77777777" w:rsidR="00D8645B" w:rsidRDefault="00D8645B" w:rsidP="00664D46">
            <w:pPr>
              <w:spacing w:line="360" w:lineRule="auto"/>
              <w:jc w:val="center"/>
            </w:pPr>
            <w:r>
              <w:t>11</w:t>
            </w:r>
          </w:p>
        </w:tc>
      </w:tr>
      <w:tr w:rsidR="00D8645B" w14:paraId="3CA968A4" w14:textId="77777777" w:rsidTr="00664D46">
        <w:tc>
          <w:tcPr>
            <w:tcW w:w="1558" w:type="dxa"/>
            <w:vMerge/>
            <w:vAlign w:val="center"/>
          </w:tcPr>
          <w:p w14:paraId="29E1AD4F" w14:textId="77777777" w:rsidR="00D8645B" w:rsidRDefault="00D8645B" w:rsidP="00664D46">
            <w:pPr>
              <w:spacing w:line="360" w:lineRule="auto"/>
              <w:jc w:val="center"/>
            </w:pPr>
          </w:p>
        </w:tc>
        <w:tc>
          <w:tcPr>
            <w:tcW w:w="1558" w:type="dxa"/>
            <w:vAlign w:val="center"/>
          </w:tcPr>
          <w:p w14:paraId="51C26DAA" w14:textId="77777777" w:rsidR="00D8645B" w:rsidRDefault="00D8645B" w:rsidP="00664D46">
            <w:pPr>
              <w:spacing w:line="360" w:lineRule="auto"/>
              <w:jc w:val="center"/>
            </w:pPr>
            <w:r>
              <w:t>Commodities</w:t>
            </w:r>
          </w:p>
        </w:tc>
        <w:tc>
          <w:tcPr>
            <w:tcW w:w="1558" w:type="dxa"/>
            <w:vAlign w:val="center"/>
          </w:tcPr>
          <w:p w14:paraId="2AF5F4EA" w14:textId="77777777" w:rsidR="00D8645B" w:rsidRDefault="00D8645B" w:rsidP="00664D46">
            <w:pPr>
              <w:spacing w:line="360" w:lineRule="auto"/>
              <w:jc w:val="center"/>
            </w:pPr>
            <w:r>
              <w:t>Commodities Houston</w:t>
            </w:r>
          </w:p>
        </w:tc>
        <w:tc>
          <w:tcPr>
            <w:tcW w:w="1558" w:type="dxa"/>
            <w:vAlign w:val="center"/>
          </w:tcPr>
          <w:p w14:paraId="38C18CE6" w14:textId="77777777" w:rsidR="00D8645B" w:rsidRDefault="00D8645B" w:rsidP="00664D46">
            <w:pPr>
              <w:spacing w:line="360" w:lineRule="auto"/>
              <w:jc w:val="center"/>
            </w:pPr>
            <w:r>
              <w:t>0</w:t>
            </w:r>
          </w:p>
        </w:tc>
        <w:tc>
          <w:tcPr>
            <w:tcW w:w="1559" w:type="dxa"/>
            <w:vAlign w:val="center"/>
          </w:tcPr>
          <w:p w14:paraId="74472FDD" w14:textId="77777777" w:rsidR="00D8645B" w:rsidRDefault="00D8645B" w:rsidP="00664D46">
            <w:pPr>
              <w:spacing w:line="360" w:lineRule="auto"/>
              <w:jc w:val="center"/>
            </w:pPr>
            <w:r>
              <w:t>405</w:t>
            </w:r>
          </w:p>
        </w:tc>
        <w:tc>
          <w:tcPr>
            <w:tcW w:w="1559" w:type="dxa"/>
            <w:vAlign w:val="center"/>
          </w:tcPr>
          <w:p w14:paraId="6A042918" w14:textId="77777777" w:rsidR="00D8645B" w:rsidRDefault="00D8645B" w:rsidP="00664D46">
            <w:pPr>
              <w:spacing w:line="360" w:lineRule="auto"/>
              <w:jc w:val="center"/>
            </w:pPr>
            <w:r>
              <w:t>405</w:t>
            </w:r>
          </w:p>
        </w:tc>
      </w:tr>
      <w:tr w:rsidR="00D8645B" w14:paraId="1E4F7F9B" w14:textId="77777777" w:rsidTr="00664D46">
        <w:tc>
          <w:tcPr>
            <w:tcW w:w="1558" w:type="dxa"/>
            <w:vMerge/>
            <w:vAlign w:val="center"/>
          </w:tcPr>
          <w:p w14:paraId="4A203D22" w14:textId="77777777" w:rsidR="00D8645B" w:rsidRDefault="00D8645B" w:rsidP="00664D46">
            <w:pPr>
              <w:spacing w:line="360" w:lineRule="auto"/>
              <w:jc w:val="center"/>
            </w:pPr>
          </w:p>
        </w:tc>
        <w:tc>
          <w:tcPr>
            <w:tcW w:w="1558" w:type="dxa"/>
            <w:vMerge w:val="restart"/>
            <w:vAlign w:val="center"/>
          </w:tcPr>
          <w:p w14:paraId="51D62E39" w14:textId="77777777" w:rsidR="00D8645B" w:rsidRDefault="00D8645B" w:rsidP="00664D46">
            <w:pPr>
              <w:spacing w:line="360" w:lineRule="auto"/>
              <w:jc w:val="center"/>
            </w:pPr>
            <w:r>
              <w:t>Credit</w:t>
            </w:r>
          </w:p>
        </w:tc>
        <w:tc>
          <w:tcPr>
            <w:tcW w:w="1558" w:type="dxa"/>
            <w:vAlign w:val="center"/>
          </w:tcPr>
          <w:p w14:paraId="20B817A0" w14:textId="77777777" w:rsidR="00D8645B" w:rsidRDefault="00D8645B" w:rsidP="00664D46">
            <w:pPr>
              <w:spacing w:line="360" w:lineRule="auto"/>
              <w:jc w:val="center"/>
            </w:pPr>
            <w:r>
              <w:t>Credit Trading</w:t>
            </w:r>
          </w:p>
        </w:tc>
        <w:tc>
          <w:tcPr>
            <w:tcW w:w="1558" w:type="dxa"/>
            <w:vAlign w:val="center"/>
          </w:tcPr>
          <w:p w14:paraId="516F2393" w14:textId="77777777" w:rsidR="00D8645B" w:rsidRDefault="00D8645B" w:rsidP="00664D46">
            <w:pPr>
              <w:spacing w:line="360" w:lineRule="auto"/>
              <w:jc w:val="center"/>
            </w:pPr>
            <w:r>
              <w:t>337</w:t>
            </w:r>
          </w:p>
        </w:tc>
        <w:tc>
          <w:tcPr>
            <w:tcW w:w="1559" w:type="dxa"/>
            <w:vAlign w:val="center"/>
          </w:tcPr>
          <w:p w14:paraId="2FB49F10" w14:textId="77777777" w:rsidR="00D8645B" w:rsidRDefault="00D8645B" w:rsidP="00664D46">
            <w:pPr>
              <w:spacing w:line="360" w:lineRule="auto"/>
              <w:jc w:val="center"/>
            </w:pPr>
            <w:r>
              <w:t>374</w:t>
            </w:r>
          </w:p>
        </w:tc>
        <w:tc>
          <w:tcPr>
            <w:tcW w:w="1559" w:type="dxa"/>
            <w:vAlign w:val="center"/>
          </w:tcPr>
          <w:p w14:paraId="3F46E86D" w14:textId="77777777" w:rsidR="00D8645B" w:rsidRDefault="00D8645B" w:rsidP="00664D46">
            <w:pPr>
              <w:spacing w:line="360" w:lineRule="auto"/>
              <w:jc w:val="center"/>
            </w:pPr>
            <w:r>
              <w:t>37</w:t>
            </w:r>
          </w:p>
        </w:tc>
      </w:tr>
      <w:tr w:rsidR="00D8645B" w14:paraId="073ED8F4" w14:textId="77777777" w:rsidTr="00664D46">
        <w:tc>
          <w:tcPr>
            <w:tcW w:w="1558" w:type="dxa"/>
            <w:vMerge/>
            <w:vAlign w:val="center"/>
          </w:tcPr>
          <w:p w14:paraId="6ADF2743" w14:textId="77777777" w:rsidR="00D8645B" w:rsidRDefault="00D8645B" w:rsidP="00664D46">
            <w:pPr>
              <w:spacing w:line="360" w:lineRule="auto"/>
              <w:jc w:val="center"/>
            </w:pPr>
          </w:p>
        </w:tc>
        <w:tc>
          <w:tcPr>
            <w:tcW w:w="1558" w:type="dxa"/>
            <w:vMerge/>
            <w:vAlign w:val="center"/>
          </w:tcPr>
          <w:p w14:paraId="0DF219E6" w14:textId="77777777" w:rsidR="00D8645B" w:rsidRDefault="00D8645B" w:rsidP="00664D46">
            <w:pPr>
              <w:spacing w:line="360" w:lineRule="auto"/>
              <w:jc w:val="center"/>
            </w:pPr>
          </w:p>
        </w:tc>
        <w:tc>
          <w:tcPr>
            <w:tcW w:w="1558" w:type="dxa"/>
            <w:vAlign w:val="center"/>
          </w:tcPr>
          <w:p w14:paraId="1BD8370B" w14:textId="77777777" w:rsidR="00D8645B" w:rsidRDefault="00D8645B" w:rsidP="00664D46">
            <w:pPr>
              <w:spacing w:line="360" w:lineRule="auto"/>
              <w:jc w:val="center"/>
            </w:pPr>
            <w:r>
              <w:t>Distressed</w:t>
            </w:r>
          </w:p>
        </w:tc>
        <w:tc>
          <w:tcPr>
            <w:tcW w:w="1558" w:type="dxa"/>
            <w:vAlign w:val="center"/>
          </w:tcPr>
          <w:p w14:paraId="50C45419" w14:textId="77777777" w:rsidR="00D8645B" w:rsidRDefault="00D8645B" w:rsidP="00664D46">
            <w:pPr>
              <w:spacing w:line="360" w:lineRule="auto"/>
              <w:jc w:val="center"/>
            </w:pPr>
            <w:r>
              <w:t>63</w:t>
            </w:r>
          </w:p>
        </w:tc>
        <w:tc>
          <w:tcPr>
            <w:tcW w:w="1559" w:type="dxa"/>
            <w:vAlign w:val="center"/>
          </w:tcPr>
          <w:p w14:paraId="16DB1847" w14:textId="77777777" w:rsidR="00D8645B" w:rsidRDefault="00D8645B" w:rsidP="00664D46">
            <w:pPr>
              <w:spacing w:line="360" w:lineRule="auto"/>
              <w:jc w:val="center"/>
            </w:pPr>
            <w:r>
              <w:t>216</w:t>
            </w:r>
          </w:p>
        </w:tc>
        <w:tc>
          <w:tcPr>
            <w:tcW w:w="1559" w:type="dxa"/>
            <w:vAlign w:val="center"/>
          </w:tcPr>
          <w:p w14:paraId="6E3F236C" w14:textId="77777777" w:rsidR="00D8645B" w:rsidRDefault="00D8645B" w:rsidP="00664D46">
            <w:pPr>
              <w:spacing w:line="360" w:lineRule="auto"/>
              <w:jc w:val="center"/>
            </w:pPr>
            <w:r>
              <w:t>154</w:t>
            </w:r>
          </w:p>
        </w:tc>
      </w:tr>
      <w:tr w:rsidR="00D8645B" w14:paraId="3744CEBD" w14:textId="77777777" w:rsidTr="00664D46">
        <w:tc>
          <w:tcPr>
            <w:tcW w:w="1558" w:type="dxa"/>
            <w:vMerge/>
            <w:vAlign w:val="center"/>
          </w:tcPr>
          <w:p w14:paraId="1115BFB7" w14:textId="77777777" w:rsidR="00D8645B" w:rsidRDefault="00D8645B" w:rsidP="00664D46">
            <w:pPr>
              <w:spacing w:line="360" w:lineRule="auto"/>
              <w:jc w:val="center"/>
            </w:pPr>
          </w:p>
        </w:tc>
        <w:tc>
          <w:tcPr>
            <w:tcW w:w="1558" w:type="dxa"/>
            <w:vMerge/>
            <w:vAlign w:val="center"/>
          </w:tcPr>
          <w:p w14:paraId="0A68965E" w14:textId="77777777" w:rsidR="00D8645B" w:rsidRDefault="00D8645B" w:rsidP="00664D46">
            <w:pPr>
              <w:spacing w:line="360" w:lineRule="auto"/>
              <w:jc w:val="center"/>
            </w:pPr>
          </w:p>
        </w:tc>
        <w:tc>
          <w:tcPr>
            <w:tcW w:w="1558" w:type="dxa"/>
            <w:vAlign w:val="center"/>
          </w:tcPr>
          <w:p w14:paraId="695D412E" w14:textId="77777777" w:rsidR="00D8645B" w:rsidRDefault="00D8645B" w:rsidP="00664D46">
            <w:pPr>
              <w:spacing w:line="360" w:lineRule="auto"/>
              <w:jc w:val="center"/>
            </w:pPr>
            <w:r>
              <w:t>EM Credit Trading</w:t>
            </w:r>
          </w:p>
        </w:tc>
        <w:tc>
          <w:tcPr>
            <w:tcW w:w="1558" w:type="dxa"/>
            <w:vAlign w:val="center"/>
          </w:tcPr>
          <w:p w14:paraId="399A61EB" w14:textId="77777777" w:rsidR="00D8645B" w:rsidRDefault="00D8645B" w:rsidP="00664D46">
            <w:pPr>
              <w:spacing w:line="360" w:lineRule="auto"/>
              <w:jc w:val="center"/>
            </w:pPr>
            <w:r>
              <w:t>252</w:t>
            </w:r>
          </w:p>
        </w:tc>
        <w:tc>
          <w:tcPr>
            <w:tcW w:w="1559" w:type="dxa"/>
            <w:vAlign w:val="center"/>
          </w:tcPr>
          <w:p w14:paraId="72AB56E6" w14:textId="77777777" w:rsidR="00D8645B" w:rsidRDefault="00D8645B" w:rsidP="00664D46">
            <w:pPr>
              <w:spacing w:line="360" w:lineRule="auto"/>
              <w:jc w:val="center"/>
            </w:pPr>
            <w:r>
              <w:t>445</w:t>
            </w:r>
          </w:p>
        </w:tc>
        <w:tc>
          <w:tcPr>
            <w:tcW w:w="1559" w:type="dxa"/>
            <w:vAlign w:val="center"/>
          </w:tcPr>
          <w:p w14:paraId="3231B04A" w14:textId="77777777" w:rsidR="00D8645B" w:rsidRDefault="00D8645B" w:rsidP="00664D46">
            <w:pPr>
              <w:spacing w:line="360" w:lineRule="auto"/>
              <w:jc w:val="center"/>
            </w:pPr>
            <w:r>
              <w:t>192</w:t>
            </w:r>
          </w:p>
        </w:tc>
      </w:tr>
      <w:tr w:rsidR="00D8645B" w14:paraId="42BD961D" w14:textId="77777777" w:rsidTr="00664D46">
        <w:tc>
          <w:tcPr>
            <w:tcW w:w="1558" w:type="dxa"/>
            <w:vMerge/>
            <w:vAlign w:val="center"/>
          </w:tcPr>
          <w:p w14:paraId="65BC09EA" w14:textId="77777777" w:rsidR="00D8645B" w:rsidRDefault="00D8645B" w:rsidP="00664D46">
            <w:pPr>
              <w:spacing w:line="360" w:lineRule="auto"/>
              <w:jc w:val="center"/>
            </w:pPr>
          </w:p>
        </w:tc>
        <w:tc>
          <w:tcPr>
            <w:tcW w:w="1558" w:type="dxa"/>
            <w:vMerge/>
            <w:vAlign w:val="center"/>
          </w:tcPr>
          <w:p w14:paraId="79D54D5E" w14:textId="77777777" w:rsidR="00D8645B" w:rsidRDefault="00D8645B" w:rsidP="00664D46">
            <w:pPr>
              <w:spacing w:line="360" w:lineRule="auto"/>
              <w:jc w:val="center"/>
            </w:pPr>
          </w:p>
        </w:tc>
        <w:tc>
          <w:tcPr>
            <w:tcW w:w="1558" w:type="dxa"/>
            <w:vAlign w:val="center"/>
          </w:tcPr>
          <w:p w14:paraId="0705F68E" w14:textId="77777777" w:rsidR="00D8645B" w:rsidRDefault="00D8645B" w:rsidP="00664D46">
            <w:pPr>
              <w:spacing w:line="360" w:lineRule="auto"/>
              <w:jc w:val="center"/>
            </w:pPr>
            <w:r>
              <w:t>Credit Macro Hedge</w:t>
            </w:r>
          </w:p>
        </w:tc>
        <w:tc>
          <w:tcPr>
            <w:tcW w:w="1558" w:type="dxa"/>
            <w:vAlign w:val="center"/>
          </w:tcPr>
          <w:p w14:paraId="0AD04C2D" w14:textId="77777777" w:rsidR="00D8645B" w:rsidRDefault="00D8645B" w:rsidP="00664D46">
            <w:pPr>
              <w:spacing w:line="360" w:lineRule="auto"/>
              <w:jc w:val="center"/>
            </w:pPr>
            <w:r>
              <w:t>0</w:t>
            </w:r>
          </w:p>
        </w:tc>
        <w:tc>
          <w:tcPr>
            <w:tcW w:w="1559" w:type="dxa"/>
            <w:vAlign w:val="center"/>
          </w:tcPr>
          <w:p w14:paraId="740722BA" w14:textId="77777777" w:rsidR="00D8645B" w:rsidRDefault="00D8645B" w:rsidP="00664D46">
            <w:pPr>
              <w:spacing w:line="360" w:lineRule="auto"/>
              <w:jc w:val="center"/>
            </w:pPr>
            <w:r>
              <w:t>0</w:t>
            </w:r>
          </w:p>
        </w:tc>
        <w:tc>
          <w:tcPr>
            <w:tcW w:w="1559" w:type="dxa"/>
            <w:vAlign w:val="center"/>
          </w:tcPr>
          <w:p w14:paraId="50CC253E" w14:textId="77777777" w:rsidR="00D8645B" w:rsidRDefault="00D8645B" w:rsidP="00664D46">
            <w:pPr>
              <w:spacing w:line="360" w:lineRule="auto"/>
              <w:jc w:val="center"/>
            </w:pPr>
            <w:r>
              <w:t>0</w:t>
            </w:r>
          </w:p>
        </w:tc>
      </w:tr>
      <w:tr w:rsidR="00D8645B" w14:paraId="5D52B9A2" w14:textId="77777777" w:rsidTr="00664D46">
        <w:tc>
          <w:tcPr>
            <w:tcW w:w="1558" w:type="dxa"/>
            <w:vMerge/>
            <w:vAlign w:val="center"/>
          </w:tcPr>
          <w:p w14:paraId="7E34A129" w14:textId="77777777" w:rsidR="00D8645B" w:rsidRDefault="00D8645B" w:rsidP="00664D46">
            <w:pPr>
              <w:spacing w:line="360" w:lineRule="auto"/>
              <w:jc w:val="center"/>
            </w:pPr>
          </w:p>
        </w:tc>
        <w:tc>
          <w:tcPr>
            <w:tcW w:w="1558" w:type="dxa"/>
            <w:vMerge/>
            <w:vAlign w:val="center"/>
          </w:tcPr>
          <w:p w14:paraId="44179ECD" w14:textId="77777777" w:rsidR="00D8645B" w:rsidRDefault="00D8645B" w:rsidP="00664D46">
            <w:pPr>
              <w:spacing w:line="360" w:lineRule="auto"/>
              <w:jc w:val="center"/>
            </w:pPr>
          </w:p>
        </w:tc>
        <w:tc>
          <w:tcPr>
            <w:tcW w:w="1558" w:type="dxa"/>
            <w:vAlign w:val="center"/>
          </w:tcPr>
          <w:p w14:paraId="5933F085" w14:textId="77777777" w:rsidR="00D8645B" w:rsidRDefault="00D8645B" w:rsidP="00664D46">
            <w:pPr>
              <w:spacing w:line="360" w:lineRule="auto"/>
              <w:jc w:val="center"/>
            </w:pPr>
            <w:r>
              <w:t>PECD</w:t>
            </w:r>
          </w:p>
        </w:tc>
        <w:tc>
          <w:tcPr>
            <w:tcW w:w="1558" w:type="dxa"/>
            <w:vAlign w:val="center"/>
          </w:tcPr>
          <w:p w14:paraId="389EF42F" w14:textId="77777777" w:rsidR="00D8645B" w:rsidRDefault="00D8645B" w:rsidP="00664D46">
            <w:pPr>
              <w:spacing w:line="360" w:lineRule="auto"/>
              <w:jc w:val="center"/>
            </w:pPr>
            <w:r>
              <w:t>1351</w:t>
            </w:r>
          </w:p>
        </w:tc>
        <w:tc>
          <w:tcPr>
            <w:tcW w:w="1559" w:type="dxa"/>
            <w:vAlign w:val="center"/>
          </w:tcPr>
          <w:p w14:paraId="450A8F0F" w14:textId="77777777" w:rsidR="00D8645B" w:rsidRDefault="00D8645B" w:rsidP="00664D46">
            <w:pPr>
              <w:spacing w:line="360" w:lineRule="auto"/>
              <w:jc w:val="center"/>
            </w:pPr>
            <w:r>
              <w:t>2363</w:t>
            </w:r>
          </w:p>
        </w:tc>
        <w:tc>
          <w:tcPr>
            <w:tcW w:w="1559" w:type="dxa"/>
            <w:vAlign w:val="center"/>
          </w:tcPr>
          <w:p w14:paraId="411F0013" w14:textId="77777777" w:rsidR="00D8645B" w:rsidRDefault="00D8645B" w:rsidP="00664D46">
            <w:pPr>
              <w:spacing w:line="360" w:lineRule="auto"/>
              <w:jc w:val="center"/>
            </w:pPr>
            <w:r>
              <w:t>1012</w:t>
            </w:r>
          </w:p>
        </w:tc>
      </w:tr>
      <w:tr w:rsidR="00D8645B" w14:paraId="4D895DA8" w14:textId="77777777" w:rsidTr="00664D46">
        <w:tc>
          <w:tcPr>
            <w:tcW w:w="1558" w:type="dxa"/>
            <w:vMerge/>
            <w:vAlign w:val="center"/>
          </w:tcPr>
          <w:p w14:paraId="49A868CC" w14:textId="77777777" w:rsidR="00D8645B" w:rsidRDefault="00D8645B" w:rsidP="00664D46">
            <w:pPr>
              <w:spacing w:line="360" w:lineRule="auto"/>
              <w:jc w:val="center"/>
            </w:pPr>
          </w:p>
        </w:tc>
        <w:tc>
          <w:tcPr>
            <w:tcW w:w="1558" w:type="dxa"/>
            <w:vMerge/>
            <w:vAlign w:val="center"/>
          </w:tcPr>
          <w:p w14:paraId="5CC937FE" w14:textId="77777777" w:rsidR="00D8645B" w:rsidRDefault="00D8645B" w:rsidP="00664D46">
            <w:pPr>
              <w:spacing w:line="360" w:lineRule="auto"/>
              <w:jc w:val="center"/>
            </w:pPr>
          </w:p>
        </w:tc>
        <w:tc>
          <w:tcPr>
            <w:tcW w:w="1558" w:type="dxa"/>
            <w:vAlign w:val="center"/>
          </w:tcPr>
          <w:p w14:paraId="2E75FBF8" w14:textId="77777777" w:rsidR="00D8645B" w:rsidRDefault="00D8645B" w:rsidP="00664D46">
            <w:pPr>
              <w:spacing w:line="360" w:lineRule="auto"/>
              <w:jc w:val="center"/>
            </w:pPr>
            <w:r>
              <w:t>Short Term</w:t>
            </w:r>
          </w:p>
        </w:tc>
        <w:tc>
          <w:tcPr>
            <w:tcW w:w="1558" w:type="dxa"/>
            <w:vAlign w:val="center"/>
          </w:tcPr>
          <w:p w14:paraId="7F5013C2" w14:textId="77777777" w:rsidR="00D8645B" w:rsidRDefault="00D8645B" w:rsidP="00664D46">
            <w:pPr>
              <w:spacing w:line="360" w:lineRule="auto"/>
              <w:jc w:val="center"/>
            </w:pPr>
            <w:r>
              <w:t>22</w:t>
            </w:r>
          </w:p>
        </w:tc>
        <w:tc>
          <w:tcPr>
            <w:tcW w:w="1559" w:type="dxa"/>
            <w:vAlign w:val="center"/>
          </w:tcPr>
          <w:p w14:paraId="3E13024C" w14:textId="77777777" w:rsidR="00D8645B" w:rsidRDefault="00D8645B" w:rsidP="00664D46">
            <w:pPr>
              <w:spacing w:line="360" w:lineRule="auto"/>
              <w:jc w:val="center"/>
            </w:pPr>
            <w:r>
              <w:t>24</w:t>
            </w:r>
          </w:p>
        </w:tc>
        <w:tc>
          <w:tcPr>
            <w:tcW w:w="1559" w:type="dxa"/>
            <w:vAlign w:val="center"/>
          </w:tcPr>
          <w:p w14:paraId="7A4BEB28" w14:textId="77777777" w:rsidR="00D8645B" w:rsidRDefault="00D8645B" w:rsidP="00664D46">
            <w:pPr>
              <w:spacing w:line="360" w:lineRule="auto"/>
              <w:jc w:val="center"/>
            </w:pPr>
            <w:r>
              <w:t>3</w:t>
            </w:r>
          </w:p>
        </w:tc>
      </w:tr>
      <w:tr w:rsidR="00D8645B" w14:paraId="3F3BB537" w14:textId="77777777" w:rsidTr="00664D46">
        <w:tc>
          <w:tcPr>
            <w:tcW w:w="1558" w:type="dxa"/>
            <w:vMerge/>
            <w:vAlign w:val="center"/>
          </w:tcPr>
          <w:p w14:paraId="29DAE740" w14:textId="77777777" w:rsidR="00D8645B" w:rsidRDefault="00D8645B" w:rsidP="00664D46">
            <w:pPr>
              <w:spacing w:line="360" w:lineRule="auto"/>
              <w:jc w:val="center"/>
            </w:pPr>
          </w:p>
        </w:tc>
        <w:tc>
          <w:tcPr>
            <w:tcW w:w="1558" w:type="dxa"/>
            <w:vMerge/>
            <w:vAlign w:val="center"/>
          </w:tcPr>
          <w:p w14:paraId="4DE64755" w14:textId="77777777" w:rsidR="00D8645B" w:rsidRDefault="00D8645B" w:rsidP="00664D46">
            <w:pPr>
              <w:spacing w:line="360" w:lineRule="auto"/>
              <w:jc w:val="center"/>
            </w:pPr>
          </w:p>
        </w:tc>
        <w:tc>
          <w:tcPr>
            <w:tcW w:w="1558" w:type="dxa"/>
            <w:vAlign w:val="center"/>
          </w:tcPr>
          <w:p w14:paraId="164B73DA" w14:textId="77777777" w:rsidR="00D8645B" w:rsidRDefault="00D8645B" w:rsidP="00664D46">
            <w:pPr>
              <w:spacing w:line="360" w:lineRule="auto"/>
              <w:jc w:val="center"/>
            </w:pPr>
            <w:r>
              <w:t>GSSG West</w:t>
            </w:r>
          </w:p>
        </w:tc>
        <w:tc>
          <w:tcPr>
            <w:tcW w:w="1558" w:type="dxa"/>
            <w:vAlign w:val="center"/>
          </w:tcPr>
          <w:p w14:paraId="67A84237" w14:textId="77777777" w:rsidR="00D8645B" w:rsidRDefault="00D8645B" w:rsidP="00664D46">
            <w:pPr>
              <w:spacing w:line="360" w:lineRule="auto"/>
              <w:jc w:val="center"/>
            </w:pPr>
            <w:r>
              <w:t>0</w:t>
            </w:r>
          </w:p>
        </w:tc>
        <w:tc>
          <w:tcPr>
            <w:tcW w:w="1559" w:type="dxa"/>
            <w:vAlign w:val="center"/>
          </w:tcPr>
          <w:p w14:paraId="3D0137E2" w14:textId="77777777" w:rsidR="00D8645B" w:rsidRDefault="00D8645B" w:rsidP="00664D46">
            <w:pPr>
              <w:spacing w:line="360" w:lineRule="auto"/>
              <w:jc w:val="center"/>
            </w:pPr>
            <w:r>
              <w:t>0</w:t>
            </w:r>
          </w:p>
        </w:tc>
        <w:tc>
          <w:tcPr>
            <w:tcW w:w="1559" w:type="dxa"/>
            <w:vAlign w:val="center"/>
          </w:tcPr>
          <w:p w14:paraId="72C9B543" w14:textId="77777777" w:rsidR="00D8645B" w:rsidRDefault="00D8645B" w:rsidP="00664D46">
            <w:pPr>
              <w:spacing w:line="360" w:lineRule="auto"/>
              <w:jc w:val="center"/>
            </w:pPr>
            <w:r>
              <w:t>0</w:t>
            </w:r>
          </w:p>
        </w:tc>
      </w:tr>
      <w:tr w:rsidR="00D8645B" w14:paraId="20FD39E1" w14:textId="77777777" w:rsidTr="00664D46">
        <w:tc>
          <w:tcPr>
            <w:tcW w:w="1558" w:type="dxa"/>
            <w:vMerge/>
            <w:vAlign w:val="center"/>
          </w:tcPr>
          <w:p w14:paraId="70A3CBC8" w14:textId="77777777" w:rsidR="00D8645B" w:rsidRDefault="00D8645B" w:rsidP="00664D46">
            <w:pPr>
              <w:spacing w:line="360" w:lineRule="auto"/>
              <w:jc w:val="center"/>
            </w:pPr>
          </w:p>
        </w:tc>
        <w:tc>
          <w:tcPr>
            <w:tcW w:w="1558" w:type="dxa"/>
            <w:vAlign w:val="center"/>
          </w:tcPr>
          <w:p w14:paraId="56CD9876" w14:textId="77777777" w:rsidR="00D8645B" w:rsidRDefault="00D8645B" w:rsidP="00664D46">
            <w:pPr>
              <w:spacing w:line="360" w:lineRule="auto"/>
              <w:jc w:val="center"/>
            </w:pPr>
            <w:r>
              <w:t>EM ABF</w:t>
            </w:r>
          </w:p>
        </w:tc>
        <w:tc>
          <w:tcPr>
            <w:tcW w:w="1558" w:type="dxa"/>
            <w:vAlign w:val="center"/>
          </w:tcPr>
          <w:p w14:paraId="285EDAC8" w14:textId="77777777" w:rsidR="00D8645B" w:rsidRDefault="00D8645B" w:rsidP="00664D46">
            <w:pPr>
              <w:spacing w:line="360" w:lineRule="auto"/>
              <w:jc w:val="center"/>
            </w:pPr>
            <w:r>
              <w:t>EM ABF</w:t>
            </w:r>
          </w:p>
        </w:tc>
        <w:tc>
          <w:tcPr>
            <w:tcW w:w="1558" w:type="dxa"/>
            <w:vAlign w:val="center"/>
          </w:tcPr>
          <w:p w14:paraId="59FC046B" w14:textId="77777777" w:rsidR="00D8645B" w:rsidRDefault="00D8645B" w:rsidP="00664D46">
            <w:pPr>
              <w:spacing w:line="360" w:lineRule="auto"/>
              <w:jc w:val="center"/>
            </w:pPr>
            <w:r>
              <w:t>0</w:t>
            </w:r>
          </w:p>
        </w:tc>
        <w:tc>
          <w:tcPr>
            <w:tcW w:w="1559" w:type="dxa"/>
            <w:vAlign w:val="center"/>
          </w:tcPr>
          <w:p w14:paraId="34426DF0" w14:textId="77777777" w:rsidR="00D8645B" w:rsidRDefault="00D8645B" w:rsidP="00664D46">
            <w:pPr>
              <w:spacing w:line="360" w:lineRule="auto"/>
              <w:jc w:val="center"/>
            </w:pPr>
            <w:r>
              <w:t>0</w:t>
            </w:r>
          </w:p>
        </w:tc>
        <w:tc>
          <w:tcPr>
            <w:tcW w:w="1559" w:type="dxa"/>
            <w:vAlign w:val="center"/>
          </w:tcPr>
          <w:p w14:paraId="73806DB2" w14:textId="77777777" w:rsidR="00D8645B" w:rsidRDefault="00D8645B" w:rsidP="00664D46">
            <w:pPr>
              <w:spacing w:line="360" w:lineRule="auto"/>
              <w:jc w:val="center"/>
            </w:pPr>
            <w:r>
              <w:t>0</w:t>
            </w:r>
          </w:p>
        </w:tc>
      </w:tr>
      <w:tr w:rsidR="00D8645B" w14:paraId="458F1713" w14:textId="77777777" w:rsidTr="00664D46">
        <w:tc>
          <w:tcPr>
            <w:tcW w:w="1558" w:type="dxa"/>
            <w:vMerge/>
            <w:vAlign w:val="center"/>
          </w:tcPr>
          <w:p w14:paraId="2DA23C17" w14:textId="77777777" w:rsidR="00D8645B" w:rsidRDefault="00D8645B" w:rsidP="00664D46">
            <w:pPr>
              <w:spacing w:line="360" w:lineRule="auto"/>
              <w:jc w:val="center"/>
            </w:pPr>
          </w:p>
        </w:tc>
        <w:tc>
          <w:tcPr>
            <w:tcW w:w="1558" w:type="dxa"/>
            <w:vMerge w:val="restart"/>
            <w:vAlign w:val="center"/>
          </w:tcPr>
          <w:p w14:paraId="43E7FF8B" w14:textId="77777777" w:rsidR="00D8645B" w:rsidRDefault="00D8645B" w:rsidP="00664D46">
            <w:pPr>
              <w:spacing w:line="360" w:lineRule="auto"/>
              <w:jc w:val="center"/>
            </w:pPr>
            <w:r>
              <w:t>Equities</w:t>
            </w:r>
          </w:p>
        </w:tc>
        <w:tc>
          <w:tcPr>
            <w:tcW w:w="1558" w:type="dxa"/>
            <w:vAlign w:val="center"/>
          </w:tcPr>
          <w:p w14:paraId="36435263" w14:textId="77777777" w:rsidR="00D8645B" w:rsidRDefault="00D8645B" w:rsidP="00664D46">
            <w:pPr>
              <w:spacing w:line="360" w:lineRule="auto"/>
              <w:jc w:val="center"/>
            </w:pPr>
            <w:r>
              <w:t>Cash</w:t>
            </w:r>
          </w:p>
        </w:tc>
        <w:tc>
          <w:tcPr>
            <w:tcW w:w="1558" w:type="dxa"/>
            <w:vAlign w:val="center"/>
          </w:tcPr>
          <w:p w14:paraId="4FBC601A" w14:textId="77777777" w:rsidR="00D8645B" w:rsidRDefault="00D8645B" w:rsidP="00664D46">
            <w:pPr>
              <w:spacing w:line="360" w:lineRule="auto"/>
              <w:jc w:val="center"/>
            </w:pPr>
            <w:r>
              <w:t>179</w:t>
            </w:r>
          </w:p>
        </w:tc>
        <w:tc>
          <w:tcPr>
            <w:tcW w:w="1559" w:type="dxa"/>
            <w:vAlign w:val="center"/>
          </w:tcPr>
          <w:p w14:paraId="08BFB1DF" w14:textId="77777777" w:rsidR="00D8645B" w:rsidRDefault="00D8645B" w:rsidP="00664D46">
            <w:pPr>
              <w:spacing w:line="360" w:lineRule="auto"/>
              <w:jc w:val="center"/>
            </w:pPr>
            <w:r>
              <w:t>203</w:t>
            </w:r>
          </w:p>
        </w:tc>
        <w:tc>
          <w:tcPr>
            <w:tcW w:w="1559" w:type="dxa"/>
            <w:vAlign w:val="center"/>
          </w:tcPr>
          <w:p w14:paraId="3D17651E" w14:textId="77777777" w:rsidR="00D8645B" w:rsidRDefault="00D8645B" w:rsidP="00664D46">
            <w:pPr>
              <w:spacing w:line="360" w:lineRule="auto"/>
              <w:jc w:val="center"/>
            </w:pPr>
            <w:r>
              <w:t>25</w:t>
            </w:r>
          </w:p>
        </w:tc>
      </w:tr>
      <w:tr w:rsidR="00D8645B" w14:paraId="0713893A" w14:textId="77777777" w:rsidTr="00664D46">
        <w:tc>
          <w:tcPr>
            <w:tcW w:w="1558" w:type="dxa"/>
            <w:vMerge/>
            <w:vAlign w:val="center"/>
          </w:tcPr>
          <w:p w14:paraId="1D751250" w14:textId="77777777" w:rsidR="00D8645B" w:rsidRDefault="00D8645B" w:rsidP="00664D46">
            <w:pPr>
              <w:spacing w:line="360" w:lineRule="auto"/>
              <w:jc w:val="center"/>
            </w:pPr>
          </w:p>
        </w:tc>
        <w:tc>
          <w:tcPr>
            <w:tcW w:w="1558" w:type="dxa"/>
            <w:vMerge/>
            <w:vAlign w:val="center"/>
          </w:tcPr>
          <w:p w14:paraId="2F4C5BCF" w14:textId="77777777" w:rsidR="00D8645B" w:rsidRDefault="00D8645B" w:rsidP="00664D46">
            <w:pPr>
              <w:spacing w:line="360" w:lineRule="auto"/>
              <w:jc w:val="center"/>
            </w:pPr>
          </w:p>
        </w:tc>
        <w:tc>
          <w:tcPr>
            <w:tcW w:w="1558" w:type="dxa"/>
            <w:vAlign w:val="center"/>
          </w:tcPr>
          <w:p w14:paraId="1F6AD863" w14:textId="77777777" w:rsidR="00D8645B" w:rsidRDefault="00D8645B" w:rsidP="00664D46">
            <w:pPr>
              <w:spacing w:line="360" w:lineRule="auto"/>
              <w:jc w:val="center"/>
            </w:pPr>
            <w:r>
              <w:t>Converts</w:t>
            </w:r>
          </w:p>
        </w:tc>
        <w:tc>
          <w:tcPr>
            <w:tcW w:w="1558" w:type="dxa"/>
            <w:vAlign w:val="center"/>
          </w:tcPr>
          <w:p w14:paraId="60FC0CAE" w14:textId="77777777" w:rsidR="00D8645B" w:rsidRDefault="00D8645B" w:rsidP="00664D46">
            <w:pPr>
              <w:spacing w:line="360" w:lineRule="auto"/>
              <w:jc w:val="center"/>
            </w:pPr>
            <w:r>
              <w:t>67</w:t>
            </w:r>
          </w:p>
        </w:tc>
        <w:tc>
          <w:tcPr>
            <w:tcW w:w="1559" w:type="dxa"/>
            <w:vAlign w:val="center"/>
          </w:tcPr>
          <w:p w14:paraId="407F4A53" w14:textId="77777777" w:rsidR="00D8645B" w:rsidRDefault="00D8645B" w:rsidP="00664D46">
            <w:pPr>
              <w:spacing w:line="360" w:lineRule="auto"/>
              <w:jc w:val="center"/>
            </w:pPr>
            <w:r>
              <w:t>94</w:t>
            </w:r>
          </w:p>
        </w:tc>
        <w:tc>
          <w:tcPr>
            <w:tcW w:w="1559" w:type="dxa"/>
            <w:vAlign w:val="center"/>
          </w:tcPr>
          <w:p w14:paraId="6E532732" w14:textId="77777777" w:rsidR="00D8645B" w:rsidRDefault="00D8645B" w:rsidP="00664D46">
            <w:pPr>
              <w:spacing w:line="360" w:lineRule="auto"/>
              <w:jc w:val="center"/>
            </w:pPr>
            <w:r>
              <w:t>27</w:t>
            </w:r>
          </w:p>
        </w:tc>
      </w:tr>
      <w:tr w:rsidR="00D8645B" w14:paraId="69B5CC6A" w14:textId="77777777" w:rsidTr="00664D46">
        <w:tc>
          <w:tcPr>
            <w:tcW w:w="1558" w:type="dxa"/>
            <w:vMerge/>
            <w:vAlign w:val="center"/>
          </w:tcPr>
          <w:p w14:paraId="13842474" w14:textId="77777777" w:rsidR="00D8645B" w:rsidRDefault="00D8645B" w:rsidP="00664D46">
            <w:pPr>
              <w:spacing w:line="360" w:lineRule="auto"/>
              <w:jc w:val="center"/>
            </w:pPr>
          </w:p>
        </w:tc>
        <w:tc>
          <w:tcPr>
            <w:tcW w:w="1558" w:type="dxa"/>
            <w:vMerge/>
            <w:vAlign w:val="center"/>
          </w:tcPr>
          <w:p w14:paraId="4F773A53" w14:textId="77777777" w:rsidR="00D8645B" w:rsidRDefault="00D8645B" w:rsidP="00664D46">
            <w:pPr>
              <w:spacing w:line="360" w:lineRule="auto"/>
              <w:jc w:val="center"/>
            </w:pPr>
          </w:p>
        </w:tc>
        <w:tc>
          <w:tcPr>
            <w:tcW w:w="1558" w:type="dxa"/>
            <w:vAlign w:val="center"/>
          </w:tcPr>
          <w:p w14:paraId="2C05673B" w14:textId="77777777" w:rsidR="00D8645B" w:rsidRDefault="00D8645B" w:rsidP="00664D46">
            <w:pPr>
              <w:spacing w:line="360" w:lineRule="auto"/>
              <w:jc w:val="center"/>
            </w:pPr>
            <w:r>
              <w:t>Equity Derivatives</w:t>
            </w:r>
          </w:p>
        </w:tc>
        <w:tc>
          <w:tcPr>
            <w:tcW w:w="1558" w:type="dxa"/>
            <w:vAlign w:val="center"/>
          </w:tcPr>
          <w:p w14:paraId="66561D8B" w14:textId="77777777" w:rsidR="00D8645B" w:rsidRDefault="00D8645B" w:rsidP="00664D46">
            <w:pPr>
              <w:spacing w:line="360" w:lineRule="auto"/>
              <w:jc w:val="center"/>
            </w:pPr>
            <w:r>
              <w:t>0</w:t>
            </w:r>
          </w:p>
        </w:tc>
        <w:tc>
          <w:tcPr>
            <w:tcW w:w="1559" w:type="dxa"/>
            <w:vAlign w:val="center"/>
          </w:tcPr>
          <w:p w14:paraId="10B858E8" w14:textId="77777777" w:rsidR="00D8645B" w:rsidRDefault="00D8645B" w:rsidP="00664D46">
            <w:pPr>
              <w:spacing w:line="360" w:lineRule="auto"/>
              <w:jc w:val="center"/>
            </w:pPr>
            <w:r>
              <w:t>327</w:t>
            </w:r>
          </w:p>
        </w:tc>
        <w:tc>
          <w:tcPr>
            <w:tcW w:w="1559" w:type="dxa"/>
            <w:vAlign w:val="center"/>
          </w:tcPr>
          <w:p w14:paraId="0B3775FB" w14:textId="77777777" w:rsidR="00D8645B" w:rsidRDefault="00D8645B" w:rsidP="00664D46">
            <w:pPr>
              <w:spacing w:line="360" w:lineRule="auto"/>
              <w:jc w:val="center"/>
            </w:pPr>
            <w:r>
              <w:t>327</w:t>
            </w:r>
          </w:p>
        </w:tc>
      </w:tr>
      <w:tr w:rsidR="00D8645B" w14:paraId="07651606" w14:textId="77777777" w:rsidTr="00664D46">
        <w:tc>
          <w:tcPr>
            <w:tcW w:w="1558" w:type="dxa"/>
            <w:vMerge/>
            <w:vAlign w:val="center"/>
          </w:tcPr>
          <w:p w14:paraId="7E6FDB1E" w14:textId="77777777" w:rsidR="00D8645B" w:rsidRDefault="00D8645B" w:rsidP="00664D46">
            <w:pPr>
              <w:spacing w:line="360" w:lineRule="auto"/>
              <w:jc w:val="center"/>
            </w:pPr>
          </w:p>
        </w:tc>
        <w:tc>
          <w:tcPr>
            <w:tcW w:w="1558" w:type="dxa"/>
            <w:vAlign w:val="center"/>
          </w:tcPr>
          <w:p w14:paraId="2435FB39" w14:textId="77777777" w:rsidR="00D8645B" w:rsidRDefault="00D8645B" w:rsidP="00664D46">
            <w:pPr>
              <w:spacing w:line="360" w:lineRule="auto"/>
              <w:jc w:val="center"/>
            </w:pPr>
            <w:r>
              <w:t>Equity Under-writing</w:t>
            </w:r>
          </w:p>
        </w:tc>
        <w:tc>
          <w:tcPr>
            <w:tcW w:w="1558" w:type="dxa"/>
            <w:vAlign w:val="center"/>
          </w:tcPr>
          <w:p w14:paraId="45F36DC8" w14:textId="77777777" w:rsidR="00D8645B" w:rsidRDefault="00D8645B" w:rsidP="00664D46">
            <w:pPr>
              <w:spacing w:line="360" w:lineRule="auto"/>
              <w:jc w:val="center"/>
            </w:pPr>
            <w:r>
              <w:t>Equity Under-writing</w:t>
            </w:r>
          </w:p>
        </w:tc>
        <w:tc>
          <w:tcPr>
            <w:tcW w:w="1558" w:type="dxa"/>
            <w:vAlign w:val="center"/>
          </w:tcPr>
          <w:p w14:paraId="26C774B7" w14:textId="77777777" w:rsidR="00D8645B" w:rsidRDefault="00D8645B" w:rsidP="00664D46">
            <w:pPr>
              <w:spacing w:line="360" w:lineRule="auto"/>
              <w:jc w:val="center"/>
            </w:pPr>
            <w:r>
              <w:t>50</w:t>
            </w:r>
          </w:p>
        </w:tc>
        <w:tc>
          <w:tcPr>
            <w:tcW w:w="1559" w:type="dxa"/>
            <w:vAlign w:val="center"/>
          </w:tcPr>
          <w:p w14:paraId="4CD548E7" w14:textId="77777777" w:rsidR="00D8645B" w:rsidRDefault="00D8645B" w:rsidP="00664D46">
            <w:pPr>
              <w:spacing w:line="360" w:lineRule="auto"/>
              <w:jc w:val="center"/>
            </w:pPr>
            <w:r>
              <w:t>50</w:t>
            </w:r>
          </w:p>
        </w:tc>
        <w:tc>
          <w:tcPr>
            <w:tcW w:w="1559" w:type="dxa"/>
            <w:vAlign w:val="center"/>
          </w:tcPr>
          <w:p w14:paraId="2D5A9724" w14:textId="77777777" w:rsidR="00D8645B" w:rsidRDefault="00D8645B" w:rsidP="00664D46">
            <w:pPr>
              <w:spacing w:line="360" w:lineRule="auto"/>
              <w:jc w:val="center"/>
            </w:pPr>
            <w:r>
              <w:t>0</w:t>
            </w:r>
          </w:p>
        </w:tc>
      </w:tr>
      <w:tr w:rsidR="00D8645B" w14:paraId="018BB2B0" w14:textId="77777777" w:rsidTr="00664D46">
        <w:tc>
          <w:tcPr>
            <w:tcW w:w="1558" w:type="dxa"/>
            <w:vMerge/>
            <w:vAlign w:val="center"/>
          </w:tcPr>
          <w:p w14:paraId="4C0AA4C4" w14:textId="77777777" w:rsidR="00D8645B" w:rsidRDefault="00D8645B" w:rsidP="00664D46">
            <w:pPr>
              <w:spacing w:line="360" w:lineRule="auto"/>
              <w:jc w:val="center"/>
            </w:pPr>
          </w:p>
        </w:tc>
        <w:tc>
          <w:tcPr>
            <w:tcW w:w="1558" w:type="dxa"/>
            <w:vMerge w:val="restart"/>
            <w:vAlign w:val="center"/>
          </w:tcPr>
          <w:p w14:paraId="4F5FE312" w14:textId="77777777" w:rsidR="00D8645B" w:rsidRDefault="00D8645B" w:rsidP="00664D46">
            <w:pPr>
              <w:spacing w:line="360" w:lineRule="auto"/>
              <w:jc w:val="center"/>
            </w:pPr>
            <w:r>
              <w:t>Fixed Income Under-writing</w:t>
            </w:r>
          </w:p>
        </w:tc>
        <w:tc>
          <w:tcPr>
            <w:tcW w:w="1558" w:type="dxa"/>
            <w:vAlign w:val="center"/>
          </w:tcPr>
          <w:p w14:paraId="2C970AA6" w14:textId="77777777" w:rsidR="00D8645B" w:rsidRDefault="00D8645B" w:rsidP="00664D46">
            <w:pPr>
              <w:spacing w:line="360" w:lineRule="auto"/>
              <w:jc w:val="center"/>
            </w:pPr>
            <w:r>
              <w:t>EM Bonds</w:t>
            </w:r>
          </w:p>
        </w:tc>
        <w:tc>
          <w:tcPr>
            <w:tcW w:w="1558" w:type="dxa"/>
            <w:vAlign w:val="center"/>
          </w:tcPr>
          <w:p w14:paraId="3980455E" w14:textId="77777777" w:rsidR="00D8645B" w:rsidRDefault="00D8645B" w:rsidP="00664D46">
            <w:pPr>
              <w:spacing w:line="360" w:lineRule="auto"/>
              <w:jc w:val="center"/>
            </w:pPr>
            <w:r>
              <w:t>0</w:t>
            </w:r>
          </w:p>
        </w:tc>
        <w:tc>
          <w:tcPr>
            <w:tcW w:w="1559" w:type="dxa"/>
            <w:vAlign w:val="center"/>
          </w:tcPr>
          <w:p w14:paraId="08F1F06F" w14:textId="77777777" w:rsidR="00D8645B" w:rsidRDefault="00D8645B" w:rsidP="00664D46">
            <w:pPr>
              <w:spacing w:line="360" w:lineRule="auto"/>
              <w:jc w:val="center"/>
            </w:pPr>
            <w:r>
              <w:t>0</w:t>
            </w:r>
          </w:p>
        </w:tc>
        <w:tc>
          <w:tcPr>
            <w:tcW w:w="1559" w:type="dxa"/>
            <w:vAlign w:val="center"/>
          </w:tcPr>
          <w:p w14:paraId="44A1782A" w14:textId="77777777" w:rsidR="00D8645B" w:rsidRDefault="00D8645B" w:rsidP="00664D46">
            <w:pPr>
              <w:spacing w:line="360" w:lineRule="auto"/>
              <w:jc w:val="center"/>
            </w:pPr>
            <w:r>
              <w:t>0</w:t>
            </w:r>
          </w:p>
        </w:tc>
      </w:tr>
      <w:tr w:rsidR="00D8645B" w14:paraId="5BDF3A9A" w14:textId="77777777" w:rsidTr="00664D46">
        <w:tc>
          <w:tcPr>
            <w:tcW w:w="1558" w:type="dxa"/>
            <w:vMerge/>
            <w:vAlign w:val="center"/>
          </w:tcPr>
          <w:p w14:paraId="6752ABBA" w14:textId="77777777" w:rsidR="00D8645B" w:rsidRDefault="00D8645B" w:rsidP="00664D46">
            <w:pPr>
              <w:spacing w:line="360" w:lineRule="auto"/>
              <w:jc w:val="center"/>
            </w:pPr>
          </w:p>
        </w:tc>
        <w:tc>
          <w:tcPr>
            <w:tcW w:w="1558" w:type="dxa"/>
            <w:vMerge/>
            <w:vAlign w:val="center"/>
          </w:tcPr>
          <w:p w14:paraId="6992FBB3" w14:textId="77777777" w:rsidR="00D8645B" w:rsidRDefault="00D8645B" w:rsidP="00664D46">
            <w:pPr>
              <w:spacing w:line="360" w:lineRule="auto"/>
              <w:jc w:val="center"/>
            </w:pPr>
          </w:p>
        </w:tc>
        <w:tc>
          <w:tcPr>
            <w:tcW w:w="1558" w:type="dxa"/>
            <w:vAlign w:val="center"/>
          </w:tcPr>
          <w:p w14:paraId="46CEF45E" w14:textId="77777777" w:rsidR="00D8645B" w:rsidRDefault="00D8645B" w:rsidP="00664D46">
            <w:pPr>
              <w:spacing w:line="360" w:lineRule="auto"/>
              <w:jc w:val="center"/>
            </w:pPr>
            <w:r>
              <w:t>EM Primary Loans</w:t>
            </w:r>
          </w:p>
        </w:tc>
        <w:tc>
          <w:tcPr>
            <w:tcW w:w="1558" w:type="dxa"/>
            <w:vAlign w:val="center"/>
          </w:tcPr>
          <w:p w14:paraId="0C819B09" w14:textId="77777777" w:rsidR="00D8645B" w:rsidRDefault="00D8645B" w:rsidP="00664D46">
            <w:pPr>
              <w:spacing w:line="360" w:lineRule="auto"/>
              <w:jc w:val="center"/>
            </w:pPr>
            <w:r>
              <w:t>0</w:t>
            </w:r>
          </w:p>
        </w:tc>
        <w:tc>
          <w:tcPr>
            <w:tcW w:w="1559" w:type="dxa"/>
            <w:vAlign w:val="center"/>
          </w:tcPr>
          <w:p w14:paraId="6325566C" w14:textId="77777777" w:rsidR="00D8645B" w:rsidRDefault="00D8645B" w:rsidP="00664D46">
            <w:pPr>
              <w:spacing w:line="360" w:lineRule="auto"/>
              <w:jc w:val="center"/>
            </w:pPr>
            <w:r>
              <w:t>0</w:t>
            </w:r>
          </w:p>
        </w:tc>
        <w:tc>
          <w:tcPr>
            <w:tcW w:w="1559" w:type="dxa"/>
            <w:vAlign w:val="center"/>
          </w:tcPr>
          <w:p w14:paraId="2A71693E" w14:textId="77777777" w:rsidR="00D8645B" w:rsidRDefault="00D8645B" w:rsidP="00664D46">
            <w:pPr>
              <w:spacing w:line="360" w:lineRule="auto"/>
              <w:jc w:val="center"/>
            </w:pPr>
            <w:r>
              <w:t>0</w:t>
            </w:r>
          </w:p>
        </w:tc>
      </w:tr>
      <w:tr w:rsidR="00D8645B" w14:paraId="59C5CF9E" w14:textId="77777777" w:rsidTr="00664D46">
        <w:tc>
          <w:tcPr>
            <w:tcW w:w="1558" w:type="dxa"/>
            <w:vMerge/>
            <w:vAlign w:val="center"/>
          </w:tcPr>
          <w:p w14:paraId="1DD7FFF0" w14:textId="77777777" w:rsidR="00D8645B" w:rsidRDefault="00D8645B" w:rsidP="00664D46">
            <w:pPr>
              <w:spacing w:line="360" w:lineRule="auto"/>
              <w:jc w:val="center"/>
            </w:pPr>
          </w:p>
        </w:tc>
        <w:tc>
          <w:tcPr>
            <w:tcW w:w="1558" w:type="dxa"/>
            <w:vMerge/>
            <w:vAlign w:val="center"/>
          </w:tcPr>
          <w:p w14:paraId="02825370" w14:textId="77777777" w:rsidR="00D8645B" w:rsidRDefault="00D8645B" w:rsidP="00664D46">
            <w:pPr>
              <w:spacing w:line="360" w:lineRule="auto"/>
              <w:jc w:val="center"/>
            </w:pPr>
          </w:p>
        </w:tc>
        <w:tc>
          <w:tcPr>
            <w:tcW w:w="1558" w:type="dxa"/>
            <w:vAlign w:val="center"/>
          </w:tcPr>
          <w:p w14:paraId="5CC79A78" w14:textId="77777777" w:rsidR="00D8645B" w:rsidRDefault="00D8645B" w:rsidP="00664D46">
            <w:pPr>
              <w:spacing w:line="360" w:lineRule="auto"/>
              <w:jc w:val="center"/>
            </w:pPr>
            <w:r>
              <w:t>IG Bonds</w:t>
            </w:r>
          </w:p>
        </w:tc>
        <w:tc>
          <w:tcPr>
            <w:tcW w:w="1558" w:type="dxa"/>
            <w:vAlign w:val="center"/>
          </w:tcPr>
          <w:p w14:paraId="707DE2EE" w14:textId="77777777" w:rsidR="00D8645B" w:rsidRDefault="00D8645B" w:rsidP="00664D46">
            <w:pPr>
              <w:spacing w:line="360" w:lineRule="auto"/>
              <w:jc w:val="center"/>
            </w:pPr>
            <w:r>
              <w:t>124</w:t>
            </w:r>
          </w:p>
        </w:tc>
        <w:tc>
          <w:tcPr>
            <w:tcW w:w="1559" w:type="dxa"/>
            <w:vAlign w:val="center"/>
          </w:tcPr>
          <w:p w14:paraId="2877C68A" w14:textId="77777777" w:rsidR="00D8645B" w:rsidRDefault="00D8645B" w:rsidP="00664D46">
            <w:pPr>
              <w:spacing w:line="360" w:lineRule="auto"/>
              <w:jc w:val="center"/>
            </w:pPr>
            <w:r>
              <w:t>124</w:t>
            </w:r>
          </w:p>
        </w:tc>
        <w:tc>
          <w:tcPr>
            <w:tcW w:w="1559" w:type="dxa"/>
            <w:vAlign w:val="center"/>
          </w:tcPr>
          <w:p w14:paraId="16085C33" w14:textId="77777777" w:rsidR="00D8645B" w:rsidRDefault="00D8645B" w:rsidP="00664D46">
            <w:pPr>
              <w:spacing w:line="360" w:lineRule="auto"/>
              <w:jc w:val="center"/>
            </w:pPr>
            <w:r>
              <w:t>0</w:t>
            </w:r>
          </w:p>
        </w:tc>
      </w:tr>
      <w:tr w:rsidR="00D8645B" w14:paraId="5AA34391" w14:textId="77777777" w:rsidTr="00664D46">
        <w:tc>
          <w:tcPr>
            <w:tcW w:w="1558" w:type="dxa"/>
            <w:vMerge/>
            <w:vAlign w:val="center"/>
          </w:tcPr>
          <w:p w14:paraId="14BAB7FE" w14:textId="77777777" w:rsidR="00D8645B" w:rsidRDefault="00D8645B" w:rsidP="00664D46">
            <w:pPr>
              <w:spacing w:line="360" w:lineRule="auto"/>
              <w:jc w:val="center"/>
            </w:pPr>
          </w:p>
        </w:tc>
        <w:tc>
          <w:tcPr>
            <w:tcW w:w="1558" w:type="dxa"/>
            <w:vMerge/>
            <w:vAlign w:val="center"/>
          </w:tcPr>
          <w:p w14:paraId="5A314BB6" w14:textId="77777777" w:rsidR="00D8645B" w:rsidRDefault="00D8645B" w:rsidP="00664D46">
            <w:pPr>
              <w:spacing w:line="360" w:lineRule="auto"/>
              <w:jc w:val="center"/>
            </w:pPr>
          </w:p>
        </w:tc>
        <w:tc>
          <w:tcPr>
            <w:tcW w:w="1558" w:type="dxa"/>
            <w:vAlign w:val="center"/>
          </w:tcPr>
          <w:p w14:paraId="3032670D" w14:textId="77777777" w:rsidR="00D8645B" w:rsidRDefault="00D8645B" w:rsidP="00664D46">
            <w:pPr>
              <w:spacing w:line="360" w:lineRule="auto"/>
              <w:jc w:val="center"/>
            </w:pPr>
            <w:r>
              <w:t>IG Primary Loans</w:t>
            </w:r>
          </w:p>
        </w:tc>
        <w:tc>
          <w:tcPr>
            <w:tcW w:w="1558" w:type="dxa"/>
            <w:vAlign w:val="center"/>
          </w:tcPr>
          <w:p w14:paraId="18A820B6" w14:textId="77777777" w:rsidR="00D8645B" w:rsidRDefault="00D8645B" w:rsidP="00664D46">
            <w:pPr>
              <w:spacing w:line="360" w:lineRule="auto"/>
              <w:jc w:val="center"/>
            </w:pPr>
            <w:r>
              <w:t>0</w:t>
            </w:r>
          </w:p>
        </w:tc>
        <w:tc>
          <w:tcPr>
            <w:tcW w:w="1559" w:type="dxa"/>
            <w:vAlign w:val="center"/>
          </w:tcPr>
          <w:p w14:paraId="04FBA86F" w14:textId="77777777" w:rsidR="00D8645B" w:rsidRDefault="00D8645B" w:rsidP="00664D46">
            <w:pPr>
              <w:spacing w:line="360" w:lineRule="auto"/>
              <w:jc w:val="center"/>
            </w:pPr>
            <w:r>
              <w:t>0</w:t>
            </w:r>
          </w:p>
        </w:tc>
        <w:tc>
          <w:tcPr>
            <w:tcW w:w="1559" w:type="dxa"/>
            <w:vAlign w:val="center"/>
          </w:tcPr>
          <w:p w14:paraId="45795449" w14:textId="77777777" w:rsidR="00D8645B" w:rsidRDefault="00D8645B" w:rsidP="00664D46">
            <w:pPr>
              <w:spacing w:line="360" w:lineRule="auto"/>
              <w:jc w:val="center"/>
            </w:pPr>
            <w:r>
              <w:t>0</w:t>
            </w:r>
          </w:p>
        </w:tc>
      </w:tr>
      <w:tr w:rsidR="00D8645B" w14:paraId="5FB2BA06" w14:textId="77777777" w:rsidTr="00664D46">
        <w:tc>
          <w:tcPr>
            <w:tcW w:w="1558" w:type="dxa"/>
            <w:vMerge/>
            <w:vAlign w:val="center"/>
          </w:tcPr>
          <w:p w14:paraId="446403B7" w14:textId="77777777" w:rsidR="00D8645B" w:rsidRDefault="00D8645B" w:rsidP="00664D46">
            <w:pPr>
              <w:spacing w:line="360" w:lineRule="auto"/>
              <w:jc w:val="center"/>
            </w:pPr>
          </w:p>
        </w:tc>
        <w:tc>
          <w:tcPr>
            <w:tcW w:w="1558" w:type="dxa"/>
            <w:vMerge/>
            <w:vAlign w:val="center"/>
          </w:tcPr>
          <w:p w14:paraId="4BEF6EDA" w14:textId="77777777" w:rsidR="00D8645B" w:rsidRDefault="00D8645B" w:rsidP="00664D46">
            <w:pPr>
              <w:spacing w:line="360" w:lineRule="auto"/>
              <w:jc w:val="center"/>
            </w:pPr>
          </w:p>
        </w:tc>
        <w:tc>
          <w:tcPr>
            <w:tcW w:w="1558" w:type="dxa"/>
            <w:vAlign w:val="center"/>
          </w:tcPr>
          <w:p w14:paraId="3B7C8633" w14:textId="77777777" w:rsidR="00D8645B" w:rsidRDefault="00D8645B" w:rsidP="00664D46">
            <w:pPr>
              <w:spacing w:line="360" w:lineRule="auto"/>
              <w:jc w:val="center"/>
            </w:pPr>
            <w:r>
              <w:t>Leveraged Finance</w:t>
            </w:r>
          </w:p>
        </w:tc>
        <w:tc>
          <w:tcPr>
            <w:tcW w:w="1558" w:type="dxa"/>
            <w:vAlign w:val="center"/>
          </w:tcPr>
          <w:p w14:paraId="333526AC" w14:textId="77777777" w:rsidR="00D8645B" w:rsidRDefault="00D8645B" w:rsidP="00664D46">
            <w:pPr>
              <w:spacing w:line="360" w:lineRule="auto"/>
              <w:jc w:val="center"/>
            </w:pPr>
            <w:r>
              <w:t>0</w:t>
            </w:r>
          </w:p>
        </w:tc>
        <w:tc>
          <w:tcPr>
            <w:tcW w:w="1559" w:type="dxa"/>
            <w:vAlign w:val="center"/>
          </w:tcPr>
          <w:p w14:paraId="19196DA7" w14:textId="77777777" w:rsidR="00D8645B" w:rsidRDefault="00D8645B" w:rsidP="00664D46">
            <w:pPr>
              <w:spacing w:line="360" w:lineRule="auto"/>
              <w:jc w:val="center"/>
            </w:pPr>
            <w:r>
              <w:t>0</w:t>
            </w:r>
          </w:p>
        </w:tc>
        <w:tc>
          <w:tcPr>
            <w:tcW w:w="1559" w:type="dxa"/>
            <w:vAlign w:val="center"/>
          </w:tcPr>
          <w:p w14:paraId="7F9058FC" w14:textId="77777777" w:rsidR="00D8645B" w:rsidRDefault="00D8645B" w:rsidP="00664D46">
            <w:pPr>
              <w:spacing w:line="360" w:lineRule="auto"/>
              <w:jc w:val="center"/>
            </w:pPr>
            <w:r>
              <w:t>0</w:t>
            </w:r>
          </w:p>
        </w:tc>
      </w:tr>
      <w:tr w:rsidR="00D8645B" w14:paraId="3D214AED" w14:textId="77777777" w:rsidTr="00664D46">
        <w:tc>
          <w:tcPr>
            <w:tcW w:w="1558" w:type="dxa"/>
            <w:vMerge/>
            <w:vAlign w:val="center"/>
          </w:tcPr>
          <w:p w14:paraId="66976965" w14:textId="77777777" w:rsidR="00D8645B" w:rsidRDefault="00D8645B" w:rsidP="00664D46">
            <w:pPr>
              <w:spacing w:line="360" w:lineRule="auto"/>
              <w:jc w:val="center"/>
            </w:pPr>
          </w:p>
        </w:tc>
        <w:tc>
          <w:tcPr>
            <w:tcW w:w="1558" w:type="dxa"/>
            <w:vMerge/>
            <w:vAlign w:val="center"/>
          </w:tcPr>
          <w:p w14:paraId="59B33323" w14:textId="77777777" w:rsidR="00D8645B" w:rsidRDefault="00D8645B" w:rsidP="00664D46">
            <w:pPr>
              <w:spacing w:line="360" w:lineRule="auto"/>
              <w:jc w:val="center"/>
            </w:pPr>
          </w:p>
        </w:tc>
        <w:tc>
          <w:tcPr>
            <w:tcW w:w="1558" w:type="dxa"/>
            <w:vAlign w:val="center"/>
          </w:tcPr>
          <w:p w14:paraId="4ABDB1B0" w14:textId="77777777" w:rsidR="00D8645B" w:rsidRDefault="00D8645B" w:rsidP="00664D46">
            <w:pPr>
              <w:spacing w:line="360" w:lineRule="auto"/>
              <w:jc w:val="center"/>
            </w:pPr>
            <w:r>
              <w:t>Other FI Under-writing</w:t>
            </w:r>
          </w:p>
        </w:tc>
        <w:tc>
          <w:tcPr>
            <w:tcW w:w="1558" w:type="dxa"/>
            <w:vAlign w:val="center"/>
          </w:tcPr>
          <w:p w14:paraId="6A567CF5" w14:textId="77777777" w:rsidR="00D8645B" w:rsidRDefault="00D8645B" w:rsidP="00664D46">
            <w:pPr>
              <w:spacing w:line="360" w:lineRule="auto"/>
              <w:jc w:val="center"/>
            </w:pPr>
            <w:r>
              <w:t>0</w:t>
            </w:r>
          </w:p>
        </w:tc>
        <w:tc>
          <w:tcPr>
            <w:tcW w:w="1559" w:type="dxa"/>
            <w:vAlign w:val="center"/>
          </w:tcPr>
          <w:p w14:paraId="1304C2E9" w14:textId="77777777" w:rsidR="00D8645B" w:rsidRDefault="00D8645B" w:rsidP="00664D46">
            <w:pPr>
              <w:spacing w:line="360" w:lineRule="auto"/>
              <w:jc w:val="center"/>
            </w:pPr>
            <w:r>
              <w:t>75</w:t>
            </w:r>
          </w:p>
        </w:tc>
        <w:tc>
          <w:tcPr>
            <w:tcW w:w="1559" w:type="dxa"/>
            <w:vAlign w:val="center"/>
          </w:tcPr>
          <w:p w14:paraId="38B61A72" w14:textId="77777777" w:rsidR="00D8645B" w:rsidRDefault="00D8645B" w:rsidP="00664D46">
            <w:pPr>
              <w:spacing w:line="360" w:lineRule="auto"/>
              <w:jc w:val="center"/>
            </w:pPr>
            <w:r>
              <w:t>75</w:t>
            </w:r>
          </w:p>
        </w:tc>
      </w:tr>
      <w:tr w:rsidR="00D8645B" w14:paraId="48CFF5F3" w14:textId="77777777" w:rsidTr="00664D46">
        <w:tc>
          <w:tcPr>
            <w:tcW w:w="1558" w:type="dxa"/>
            <w:vMerge/>
            <w:vAlign w:val="center"/>
          </w:tcPr>
          <w:p w14:paraId="414432D3" w14:textId="77777777" w:rsidR="00D8645B" w:rsidRDefault="00D8645B" w:rsidP="00664D46">
            <w:pPr>
              <w:spacing w:line="360" w:lineRule="auto"/>
              <w:jc w:val="center"/>
            </w:pPr>
          </w:p>
        </w:tc>
        <w:tc>
          <w:tcPr>
            <w:tcW w:w="1558" w:type="dxa"/>
            <w:vMerge/>
            <w:vAlign w:val="center"/>
          </w:tcPr>
          <w:p w14:paraId="705EA27D" w14:textId="77777777" w:rsidR="00D8645B" w:rsidRDefault="00D8645B" w:rsidP="00664D46">
            <w:pPr>
              <w:spacing w:line="360" w:lineRule="auto"/>
              <w:jc w:val="center"/>
            </w:pPr>
          </w:p>
        </w:tc>
        <w:tc>
          <w:tcPr>
            <w:tcW w:w="1558" w:type="dxa"/>
            <w:vAlign w:val="center"/>
          </w:tcPr>
          <w:p w14:paraId="798C8D71" w14:textId="77777777" w:rsidR="00D8645B" w:rsidRDefault="00D8645B" w:rsidP="00664D46">
            <w:pPr>
              <w:spacing w:line="360" w:lineRule="auto"/>
              <w:jc w:val="center"/>
            </w:pPr>
            <w:r>
              <w:t>Project Finance</w:t>
            </w:r>
          </w:p>
        </w:tc>
        <w:tc>
          <w:tcPr>
            <w:tcW w:w="1558" w:type="dxa"/>
            <w:vAlign w:val="center"/>
          </w:tcPr>
          <w:p w14:paraId="201B27F5" w14:textId="77777777" w:rsidR="00D8645B" w:rsidRDefault="00D8645B" w:rsidP="00664D46">
            <w:pPr>
              <w:spacing w:line="360" w:lineRule="auto"/>
              <w:jc w:val="center"/>
            </w:pPr>
            <w:r>
              <w:t>0</w:t>
            </w:r>
          </w:p>
        </w:tc>
        <w:tc>
          <w:tcPr>
            <w:tcW w:w="1559" w:type="dxa"/>
            <w:vAlign w:val="center"/>
          </w:tcPr>
          <w:p w14:paraId="4CD897E0" w14:textId="77777777" w:rsidR="00D8645B" w:rsidRDefault="00D8645B" w:rsidP="00664D46">
            <w:pPr>
              <w:spacing w:line="360" w:lineRule="auto"/>
              <w:jc w:val="center"/>
            </w:pPr>
            <w:r>
              <w:t>0</w:t>
            </w:r>
          </w:p>
        </w:tc>
        <w:tc>
          <w:tcPr>
            <w:tcW w:w="1559" w:type="dxa"/>
            <w:vAlign w:val="center"/>
          </w:tcPr>
          <w:p w14:paraId="2C475D38" w14:textId="77777777" w:rsidR="00D8645B" w:rsidRDefault="00D8645B" w:rsidP="00664D46">
            <w:pPr>
              <w:spacing w:line="360" w:lineRule="auto"/>
              <w:jc w:val="center"/>
            </w:pPr>
            <w:r>
              <w:t>0</w:t>
            </w:r>
          </w:p>
        </w:tc>
      </w:tr>
      <w:tr w:rsidR="00D8645B" w14:paraId="16D0941A" w14:textId="77777777" w:rsidTr="00664D46">
        <w:tc>
          <w:tcPr>
            <w:tcW w:w="1558" w:type="dxa"/>
            <w:vMerge/>
            <w:vAlign w:val="center"/>
          </w:tcPr>
          <w:p w14:paraId="6D1B457D" w14:textId="77777777" w:rsidR="00D8645B" w:rsidRDefault="00D8645B" w:rsidP="00664D46">
            <w:pPr>
              <w:spacing w:line="360" w:lineRule="auto"/>
              <w:jc w:val="center"/>
            </w:pPr>
          </w:p>
        </w:tc>
        <w:tc>
          <w:tcPr>
            <w:tcW w:w="1558" w:type="dxa"/>
            <w:vMerge w:val="restart"/>
            <w:vAlign w:val="center"/>
          </w:tcPr>
          <w:p w14:paraId="4A45C0EC" w14:textId="77777777" w:rsidR="00D8645B" w:rsidRDefault="00D8645B" w:rsidP="00664D46">
            <w:pPr>
              <w:spacing w:line="360" w:lineRule="auto"/>
              <w:jc w:val="center"/>
            </w:pPr>
            <w:r>
              <w:t>FX Local Markets</w:t>
            </w:r>
          </w:p>
        </w:tc>
        <w:tc>
          <w:tcPr>
            <w:tcW w:w="1558" w:type="dxa"/>
            <w:vAlign w:val="center"/>
          </w:tcPr>
          <w:p w14:paraId="710708F4" w14:textId="77777777" w:rsidR="00D8645B" w:rsidRDefault="00D8645B" w:rsidP="00664D46">
            <w:pPr>
              <w:spacing w:line="360" w:lineRule="auto"/>
              <w:jc w:val="center"/>
            </w:pPr>
            <w:r>
              <w:t>G10 FX</w:t>
            </w:r>
          </w:p>
        </w:tc>
        <w:tc>
          <w:tcPr>
            <w:tcW w:w="1558" w:type="dxa"/>
            <w:vAlign w:val="center"/>
          </w:tcPr>
          <w:p w14:paraId="35EF7612" w14:textId="77777777" w:rsidR="00D8645B" w:rsidRDefault="00D8645B" w:rsidP="00664D46">
            <w:pPr>
              <w:spacing w:line="360" w:lineRule="auto"/>
              <w:jc w:val="center"/>
            </w:pPr>
            <w:r>
              <w:t>613</w:t>
            </w:r>
          </w:p>
        </w:tc>
        <w:tc>
          <w:tcPr>
            <w:tcW w:w="1559" w:type="dxa"/>
            <w:vAlign w:val="center"/>
          </w:tcPr>
          <w:p w14:paraId="3E916D13" w14:textId="77777777" w:rsidR="00D8645B" w:rsidRDefault="00D8645B" w:rsidP="00664D46">
            <w:pPr>
              <w:spacing w:line="360" w:lineRule="auto"/>
              <w:jc w:val="center"/>
            </w:pPr>
            <w:r>
              <w:t>666</w:t>
            </w:r>
          </w:p>
        </w:tc>
        <w:tc>
          <w:tcPr>
            <w:tcW w:w="1559" w:type="dxa"/>
            <w:vAlign w:val="center"/>
          </w:tcPr>
          <w:p w14:paraId="6C125841" w14:textId="77777777" w:rsidR="00D8645B" w:rsidRDefault="00D8645B" w:rsidP="00664D46">
            <w:pPr>
              <w:spacing w:line="360" w:lineRule="auto"/>
              <w:jc w:val="center"/>
            </w:pPr>
            <w:r>
              <w:t>53</w:t>
            </w:r>
          </w:p>
        </w:tc>
      </w:tr>
      <w:tr w:rsidR="00D8645B" w14:paraId="0C315F50" w14:textId="77777777" w:rsidTr="00664D46">
        <w:tc>
          <w:tcPr>
            <w:tcW w:w="1558" w:type="dxa"/>
            <w:vMerge/>
            <w:vAlign w:val="center"/>
          </w:tcPr>
          <w:p w14:paraId="5ACE5EDE" w14:textId="77777777" w:rsidR="00D8645B" w:rsidRDefault="00D8645B" w:rsidP="00664D46">
            <w:pPr>
              <w:spacing w:line="360" w:lineRule="auto"/>
              <w:jc w:val="center"/>
            </w:pPr>
          </w:p>
        </w:tc>
        <w:tc>
          <w:tcPr>
            <w:tcW w:w="1558" w:type="dxa"/>
            <w:vMerge/>
            <w:vAlign w:val="center"/>
          </w:tcPr>
          <w:p w14:paraId="3A1A580B" w14:textId="77777777" w:rsidR="00D8645B" w:rsidRDefault="00D8645B" w:rsidP="00664D46">
            <w:pPr>
              <w:spacing w:line="360" w:lineRule="auto"/>
              <w:jc w:val="center"/>
            </w:pPr>
          </w:p>
        </w:tc>
        <w:tc>
          <w:tcPr>
            <w:tcW w:w="1558" w:type="dxa"/>
            <w:vAlign w:val="center"/>
          </w:tcPr>
          <w:p w14:paraId="1FB07F55" w14:textId="77777777" w:rsidR="00D8645B" w:rsidRDefault="00D8645B" w:rsidP="00664D46">
            <w:pPr>
              <w:spacing w:line="360" w:lineRule="auto"/>
              <w:jc w:val="center"/>
            </w:pPr>
            <w:r>
              <w:t>Local Markets</w:t>
            </w:r>
          </w:p>
        </w:tc>
        <w:tc>
          <w:tcPr>
            <w:tcW w:w="1558" w:type="dxa"/>
            <w:vAlign w:val="center"/>
          </w:tcPr>
          <w:p w14:paraId="5111917B" w14:textId="77777777" w:rsidR="00D8645B" w:rsidRDefault="00D8645B" w:rsidP="00664D46">
            <w:pPr>
              <w:spacing w:line="360" w:lineRule="auto"/>
              <w:jc w:val="center"/>
            </w:pPr>
            <w:r>
              <w:t>1708</w:t>
            </w:r>
          </w:p>
        </w:tc>
        <w:tc>
          <w:tcPr>
            <w:tcW w:w="1559" w:type="dxa"/>
            <w:vAlign w:val="center"/>
          </w:tcPr>
          <w:p w14:paraId="2A06FEF7" w14:textId="77777777" w:rsidR="00D8645B" w:rsidRDefault="00D8645B" w:rsidP="00664D46">
            <w:pPr>
              <w:spacing w:line="360" w:lineRule="auto"/>
              <w:jc w:val="center"/>
            </w:pPr>
            <w:r>
              <w:t>1769</w:t>
            </w:r>
          </w:p>
        </w:tc>
        <w:tc>
          <w:tcPr>
            <w:tcW w:w="1559" w:type="dxa"/>
            <w:vAlign w:val="center"/>
          </w:tcPr>
          <w:p w14:paraId="6970170E" w14:textId="77777777" w:rsidR="00D8645B" w:rsidRDefault="00D8645B" w:rsidP="00664D46">
            <w:pPr>
              <w:spacing w:line="360" w:lineRule="auto"/>
              <w:jc w:val="center"/>
            </w:pPr>
            <w:r>
              <w:t>61</w:t>
            </w:r>
          </w:p>
        </w:tc>
      </w:tr>
      <w:tr w:rsidR="00D8645B" w14:paraId="7102D4E5" w14:textId="77777777" w:rsidTr="00664D46">
        <w:tc>
          <w:tcPr>
            <w:tcW w:w="1558" w:type="dxa"/>
            <w:vMerge/>
            <w:vAlign w:val="center"/>
          </w:tcPr>
          <w:p w14:paraId="5D2230C4" w14:textId="77777777" w:rsidR="00D8645B" w:rsidRDefault="00D8645B" w:rsidP="00664D46">
            <w:pPr>
              <w:spacing w:line="360" w:lineRule="auto"/>
              <w:jc w:val="center"/>
            </w:pPr>
          </w:p>
        </w:tc>
        <w:tc>
          <w:tcPr>
            <w:tcW w:w="1558" w:type="dxa"/>
            <w:vAlign w:val="center"/>
          </w:tcPr>
          <w:p w14:paraId="03B5AB98" w14:textId="77777777" w:rsidR="00D8645B" w:rsidRDefault="00D8645B" w:rsidP="00664D46">
            <w:pPr>
              <w:spacing w:line="360" w:lineRule="auto"/>
              <w:jc w:val="center"/>
            </w:pPr>
            <w:r>
              <w:t>G10 Rates</w:t>
            </w:r>
          </w:p>
        </w:tc>
        <w:tc>
          <w:tcPr>
            <w:tcW w:w="1558" w:type="dxa"/>
            <w:vAlign w:val="center"/>
          </w:tcPr>
          <w:p w14:paraId="6B849845" w14:textId="77777777" w:rsidR="00D8645B" w:rsidRDefault="00D8645B" w:rsidP="00664D46">
            <w:pPr>
              <w:spacing w:line="360" w:lineRule="auto"/>
              <w:jc w:val="center"/>
            </w:pPr>
            <w:r>
              <w:t>G10 Rates</w:t>
            </w:r>
          </w:p>
        </w:tc>
        <w:tc>
          <w:tcPr>
            <w:tcW w:w="1558" w:type="dxa"/>
            <w:vAlign w:val="center"/>
          </w:tcPr>
          <w:p w14:paraId="58D275CB" w14:textId="77777777" w:rsidR="00D8645B" w:rsidRDefault="00D8645B" w:rsidP="00664D46">
            <w:pPr>
              <w:spacing w:line="360" w:lineRule="auto"/>
              <w:jc w:val="center"/>
            </w:pPr>
            <w:r>
              <w:t>1536</w:t>
            </w:r>
          </w:p>
        </w:tc>
        <w:tc>
          <w:tcPr>
            <w:tcW w:w="1559" w:type="dxa"/>
            <w:vAlign w:val="center"/>
          </w:tcPr>
          <w:p w14:paraId="1CFDC7C9" w14:textId="77777777" w:rsidR="00D8645B" w:rsidRDefault="00D8645B" w:rsidP="00664D46">
            <w:pPr>
              <w:spacing w:line="360" w:lineRule="auto"/>
              <w:jc w:val="center"/>
            </w:pPr>
            <w:r>
              <w:t>2081</w:t>
            </w:r>
          </w:p>
        </w:tc>
        <w:tc>
          <w:tcPr>
            <w:tcW w:w="1559" w:type="dxa"/>
            <w:vAlign w:val="center"/>
          </w:tcPr>
          <w:p w14:paraId="4EE63818" w14:textId="77777777" w:rsidR="00D8645B" w:rsidRDefault="00D8645B" w:rsidP="00664D46">
            <w:pPr>
              <w:spacing w:line="360" w:lineRule="auto"/>
              <w:jc w:val="center"/>
            </w:pPr>
            <w:r>
              <w:t>545</w:t>
            </w:r>
          </w:p>
        </w:tc>
      </w:tr>
      <w:tr w:rsidR="00D8645B" w14:paraId="2738C3EF" w14:textId="77777777" w:rsidTr="00664D46">
        <w:tc>
          <w:tcPr>
            <w:tcW w:w="1558" w:type="dxa"/>
            <w:vMerge/>
            <w:vAlign w:val="center"/>
          </w:tcPr>
          <w:p w14:paraId="14AE4FC7" w14:textId="77777777" w:rsidR="00D8645B" w:rsidRDefault="00D8645B" w:rsidP="00664D46">
            <w:pPr>
              <w:spacing w:line="360" w:lineRule="auto"/>
              <w:jc w:val="center"/>
            </w:pPr>
          </w:p>
        </w:tc>
        <w:tc>
          <w:tcPr>
            <w:tcW w:w="1558" w:type="dxa"/>
            <w:vMerge w:val="restart"/>
            <w:vAlign w:val="center"/>
          </w:tcPr>
          <w:p w14:paraId="7E373F0F" w14:textId="77777777" w:rsidR="00D8645B" w:rsidRDefault="00D8645B" w:rsidP="00664D46">
            <w:pPr>
              <w:spacing w:line="360" w:lineRule="auto"/>
              <w:jc w:val="center"/>
            </w:pPr>
            <w:r>
              <w:t>G10 Risk Treasury RV Finance</w:t>
            </w:r>
          </w:p>
        </w:tc>
        <w:tc>
          <w:tcPr>
            <w:tcW w:w="1558" w:type="dxa"/>
            <w:vAlign w:val="center"/>
          </w:tcPr>
          <w:p w14:paraId="287B2460" w14:textId="77777777" w:rsidR="00D8645B" w:rsidRDefault="00D8645B" w:rsidP="00664D46">
            <w:pPr>
              <w:spacing w:line="360" w:lineRule="auto"/>
              <w:jc w:val="center"/>
            </w:pPr>
            <w:r>
              <w:t>FIMA</w:t>
            </w:r>
          </w:p>
        </w:tc>
        <w:tc>
          <w:tcPr>
            <w:tcW w:w="1558" w:type="dxa"/>
            <w:vAlign w:val="center"/>
          </w:tcPr>
          <w:p w14:paraId="172F4F85" w14:textId="77777777" w:rsidR="00D8645B" w:rsidRDefault="00D8645B" w:rsidP="00664D46">
            <w:pPr>
              <w:spacing w:line="360" w:lineRule="auto"/>
              <w:jc w:val="center"/>
            </w:pPr>
            <w:r>
              <w:t>0</w:t>
            </w:r>
          </w:p>
        </w:tc>
        <w:tc>
          <w:tcPr>
            <w:tcW w:w="1559" w:type="dxa"/>
            <w:vAlign w:val="center"/>
          </w:tcPr>
          <w:p w14:paraId="0D0A503A" w14:textId="77777777" w:rsidR="00D8645B" w:rsidRDefault="00D8645B" w:rsidP="00664D46">
            <w:pPr>
              <w:spacing w:line="360" w:lineRule="auto"/>
              <w:jc w:val="center"/>
            </w:pPr>
            <w:r>
              <w:t>0</w:t>
            </w:r>
          </w:p>
        </w:tc>
        <w:tc>
          <w:tcPr>
            <w:tcW w:w="1559" w:type="dxa"/>
            <w:vAlign w:val="center"/>
          </w:tcPr>
          <w:p w14:paraId="5FB4694E" w14:textId="77777777" w:rsidR="00D8645B" w:rsidRDefault="00D8645B" w:rsidP="00664D46">
            <w:pPr>
              <w:spacing w:line="360" w:lineRule="auto"/>
              <w:jc w:val="center"/>
            </w:pPr>
            <w:r>
              <w:t>0</w:t>
            </w:r>
          </w:p>
        </w:tc>
      </w:tr>
      <w:tr w:rsidR="00D8645B" w14:paraId="131B8ACD" w14:textId="77777777" w:rsidTr="00664D46">
        <w:tc>
          <w:tcPr>
            <w:tcW w:w="1558" w:type="dxa"/>
            <w:vMerge/>
            <w:vAlign w:val="center"/>
          </w:tcPr>
          <w:p w14:paraId="47C15F32" w14:textId="77777777" w:rsidR="00D8645B" w:rsidRDefault="00D8645B" w:rsidP="00664D46">
            <w:pPr>
              <w:spacing w:line="360" w:lineRule="auto"/>
              <w:jc w:val="center"/>
            </w:pPr>
          </w:p>
        </w:tc>
        <w:tc>
          <w:tcPr>
            <w:tcW w:w="1558" w:type="dxa"/>
            <w:vMerge/>
            <w:vAlign w:val="center"/>
          </w:tcPr>
          <w:p w14:paraId="606DE3EB" w14:textId="77777777" w:rsidR="00D8645B" w:rsidRDefault="00D8645B" w:rsidP="00664D46">
            <w:pPr>
              <w:spacing w:line="360" w:lineRule="auto"/>
              <w:jc w:val="center"/>
            </w:pPr>
          </w:p>
        </w:tc>
        <w:tc>
          <w:tcPr>
            <w:tcW w:w="1558" w:type="dxa"/>
            <w:vAlign w:val="center"/>
          </w:tcPr>
          <w:p w14:paraId="72CD97A4" w14:textId="77777777" w:rsidR="00D8645B" w:rsidRDefault="00D8645B" w:rsidP="00664D46">
            <w:pPr>
              <w:spacing w:line="360" w:lineRule="auto"/>
              <w:jc w:val="center"/>
            </w:pPr>
            <w:r>
              <w:t>Finance</w:t>
            </w:r>
          </w:p>
        </w:tc>
        <w:tc>
          <w:tcPr>
            <w:tcW w:w="1558" w:type="dxa"/>
            <w:vAlign w:val="center"/>
          </w:tcPr>
          <w:p w14:paraId="543F76A6" w14:textId="77777777" w:rsidR="00D8645B" w:rsidRDefault="00D8645B" w:rsidP="00664D46">
            <w:pPr>
              <w:spacing w:line="360" w:lineRule="auto"/>
              <w:jc w:val="center"/>
            </w:pPr>
            <w:r>
              <w:t>112</w:t>
            </w:r>
          </w:p>
        </w:tc>
        <w:tc>
          <w:tcPr>
            <w:tcW w:w="1559" w:type="dxa"/>
            <w:vAlign w:val="center"/>
          </w:tcPr>
          <w:p w14:paraId="21B792C0" w14:textId="77777777" w:rsidR="00D8645B" w:rsidRDefault="00D8645B" w:rsidP="00664D46">
            <w:pPr>
              <w:spacing w:line="360" w:lineRule="auto"/>
              <w:jc w:val="center"/>
            </w:pPr>
            <w:r>
              <w:t>147</w:t>
            </w:r>
          </w:p>
        </w:tc>
        <w:tc>
          <w:tcPr>
            <w:tcW w:w="1559" w:type="dxa"/>
            <w:vAlign w:val="center"/>
          </w:tcPr>
          <w:p w14:paraId="1A859E6D" w14:textId="77777777" w:rsidR="00D8645B" w:rsidRDefault="00D8645B" w:rsidP="00664D46">
            <w:pPr>
              <w:spacing w:line="360" w:lineRule="auto"/>
              <w:jc w:val="center"/>
            </w:pPr>
            <w:r>
              <w:t>35</w:t>
            </w:r>
          </w:p>
        </w:tc>
      </w:tr>
      <w:tr w:rsidR="00D8645B" w14:paraId="739F1483" w14:textId="77777777" w:rsidTr="00664D46">
        <w:tc>
          <w:tcPr>
            <w:tcW w:w="1558" w:type="dxa"/>
            <w:vMerge/>
            <w:vAlign w:val="center"/>
          </w:tcPr>
          <w:p w14:paraId="22A88DBA" w14:textId="77777777" w:rsidR="00D8645B" w:rsidRDefault="00D8645B" w:rsidP="00664D46">
            <w:pPr>
              <w:spacing w:line="360" w:lineRule="auto"/>
              <w:jc w:val="center"/>
            </w:pPr>
          </w:p>
        </w:tc>
        <w:tc>
          <w:tcPr>
            <w:tcW w:w="1558" w:type="dxa"/>
            <w:vMerge/>
            <w:vAlign w:val="center"/>
          </w:tcPr>
          <w:p w14:paraId="3751D557" w14:textId="77777777" w:rsidR="00D8645B" w:rsidRDefault="00D8645B" w:rsidP="00664D46">
            <w:pPr>
              <w:spacing w:line="360" w:lineRule="auto"/>
              <w:jc w:val="center"/>
            </w:pPr>
          </w:p>
        </w:tc>
        <w:tc>
          <w:tcPr>
            <w:tcW w:w="1558" w:type="dxa"/>
            <w:vAlign w:val="center"/>
          </w:tcPr>
          <w:p w14:paraId="597229FE" w14:textId="77777777" w:rsidR="00D8645B" w:rsidRDefault="00D8645B" w:rsidP="00664D46">
            <w:pPr>
              <w:spacing w:line="360" w:lineRule="auto"/>
              <w:jc w:val="center"/>
            </w:pPr>
            <w:r>
              <w:t>Risk Treasury</w:t>
            </w:r>
          </w:p>
        </w:tc>
        <w:tc>
          <w:tcPr>
            <w:tcW w:w="1558" w:type="dxa"/>
            <w:vAlign w:val="center"/>
          </w:tcPr>
          <w:p w14:paraId="0BC1E8BE" w14:textId="77777777" w:rsidR="00D8645B" w:rsidRDefault="00D8645B" w:rsidP="00664D46">
            <w:pPr>
              <w:spacing w:line="360" w:lineRule="auto"/>
              <w:jc w:val="center"/>
            </w:pPr>
            <w:r>
              <w:t>1602</w:t>
            </w:r>
          </w:p>
        </w:tc>
        <w:tc>
          <w:tcPr>
            <w:tcW w:w="1559" w:type="dxa"/>
            <w:vAlign w:val="center"/>
          </w:tcPr>
          <w:p w14:paraId="290A70FB" w14:textId="77777777" w:rsidR="00D8645B" w:rsidRDefault="00D8645B" w:rsidP="00664D46">
            <w:pPr>
              <w:spacing w:line="360" w:lineRule="auto"/>
              <w:jc w:val="center"/>
            </w:pPr>
            <w:r>
              <w:t>1639</w:t>
            </w:r>
          </w:p>
        </w:tc>
        <w:tc>
          <w:tcPr>
            <w:tcW w:w="1559" w:type="dxa"/>
            <w:vAlign w:val="center"/>
          </w:tcPr>
          <w:p w14:paraId="109D0A41" w14:textId="77777777" w:rsidR="00D8645B" w:rsidRDefault="00D8645B" w:rsidP="00664D46">
            <w:pPr>
              <w:spacing w:line="360" w:lineRule="auto"/>
              <w:jc w:val="center"/>
            </w:pPr>
            <w:r>
              <w:t>37</w:t>
            </w:r>
          </w:p>
        </w:tc>
      </w:tr>
      <w:tr w:rsidR="00D8645B" w14:paraId="703759C7" w14:textId="77777777" w:rsidTr="00664D46">
        <w:tc>
          <w:tcPr>
            <w:tcW w:w="1558" w:type="dxa"/>
            <w:vMerge/>
            <w:vAlign w:val="center"/>
          </w:tcPr>
          <w:p w14:paraId="38E2C892" w14:textId="77777777" w:rsidR="00D8645B" w:rsidRDefault="00D8645B" w:rsidP="00664D46">
            <w:pPr>
              <w:spacing w:line="360" w:lineRule="auto"/>
              <w:jc w:val="center"/>
            </w:pPr>
          </w:p>
        </w:tc>
        <w:tc>
          <w:tcPr>
            <w:tcW w:w="1558" w:type="dxa"/>
            <w:vAlign w:val="center"/>
          </w:tcPr>
          <w:p w14:paraId="6F3560ED" w14:textId="77777777" w:rsidR="00D8645B" w:rsidRDefault="00D8645B" w:rsidP="00664D46">
            <w:pPr>
              <w:spacing w:line="360" w:lineRule="auto"/>
              <w:jc w:val="center"/>
            </w:pPr>
            <w:r>
              <w:t>GTS</w:t>
            </w:r>
          </w:p>
        </w:tc>
        <w:tc>
          <w:tcPr>
            <w:tcW w:w="1558" w:type="dxa"/>
            <w:vAlign w:val="center"/>
          </w:tcPr>
          <w:p w14:paraId="6DD466C5" w14:textId="77777777" w:rsidR="00D8645B" w:rsidRDefault="00D8645B" w:rsidP="00664D46">
            <w:pPr>
              <w:spacing w:line="360" w:lineRule="auto"/>
              <w:jc w:val="center"/>
            </w:pPr>
            <w:r>
              <w:t>GTS</w:t>
            </w:r>
          </w:p>
        </w:tc>
        <w:tc>
          <w:tcPr>
            <w:tcW w:w="1558" w:type="dxa"/>
            <w:vAlign w:val="center"/>
          </w:tcPr>
          <w:p w14:paraId="08778B61" w14:textId="77777777" w:rsidR="00D8645B" w:rsidRDefault="00D8645B" w:rsidP="00664D46">
            <w:pPr>
              <w:spacing w:line="360" w:lineRule="auto"/>
              <w:jc w:val="center"/>
            </w:pPr>
            <w:r>
              <w:t>98</w:t>
            </w:r>
          </w:p>
        </w:tc>
        <w:tc>
          <w:tcPr>
            <w:tcW w:w="1559" w:type="dxa"/>
            <w:vAlign w:val="center"/>
          </w:tcPr>
          <w:p w14:paraId="6D2ACCCC" w14:textId="77777777" w:rsidR="00D8645B" w:rsidRDefault="00D8645B" w:rsidP="00664D46">
            <w:pPr>
              <w:spacing w:line="360" w:lineRule="auto"/>
              <w:jc w:val="center"/>
            </w:pPr>
            <w:r>
              <w:t>98</w:t>
            </w:r>
          </w:p>
        </w:tc>
        <w:tc>
          <w:tcPr>
            <w:tcW w:w="1559" w:type="dxa"/>
            <w:vAlign w:val="center"/>
          </w:tcPr>
          <w:p w14:paraId="1DFF8FAB" w14:textId="77777777" w:rsidR="00D8645B" w:rsidRDefault="00D8645B" w:rsidP="00664D46">
            <w:pPr>
              <w:spacing w:line="360" w:lineRule="auto"/>
              <w:jc w:val="center"/>
            </w:pPr>
            <w:r>
              <w:t>0</w:t>
            </w:r>
          </w:p>
        </w:tc>
      </w:tr>
      <w:tr w:rsidR="00D8645B" w14:paraId="0B3BA116" w14:textId="77777777" w:rsidTr="00664D46">
        <w:tc>
          <w:tcPr>
            <w:tcW w:w="1558" w:type="dxa"/>
            <w:vMerge/>
            <w:vAlign w:val="center"/>
          </w:tcPr>
          <w:p w14:paraId="167C0C26" w14:textId="77777777" w:rsidR="00D8645B" w:rsidRDefault="00D8645B" w:rsidP="00664D46">
            <w:pPr>
              <w:spacing w:line="360" w:lineRule="auto"/>
              <w:jc w:val="center"/>
            </w:pPr>
          </w:p>
        </w:tc>
        <w:tc>
          <w:tcPr>
            <w:tcW w:w="1558" w:type="dxa"/>
            <w:vAlign w:val="center"/>
          </w:tcPr>
          <w:p w14:paraId="2FEAD42A" w14:textId="77777777" w:rsidR="00D8645B" w:rsidRDefault="00D8645B" w:rsidP="00664D46">
            <w:pPr>
              <w:spacing w:line="360" w:lineRule="auto"/>
              <w:jc w:val="center"/>
            </w:pPr>
            <w:r>
              <w:t>GWM</w:t>
            </w:r>
          </w:p>
        </w:tc>
        <w:tc>
          <w:tcPr>
            <w:tcW w:w="1558" w:type="dxa"/>
            <w:vAlign w:val="center"/>
          </w:tcPr>
          <w:p w14:paraId="5EDA183D" w14:textId="77777777" w:rsidR="00D8645B" w:rsidRDefault="00D8645B" w:rsidP="00664D46">
            <w:pPr>
              <w:spacing w:line="360" w:lineRule="auto"/>
              <w:jc w:val="center"/>
            </w:pPr>
            <w:r>
              <w:t>GWM</w:t>
            </w:r>
          </w:p>
        </w:tc>
        <w:tc>
          <w:tcPr>
            <w:tcW w:w="1558" w:type="dxa"/>
            <w:vAlign w:val="center"/>
          </w:tcPr>
          <w:p w14:paraId="6FE0B2D9" w14:textId="77777777" w:rsidR="00D8645B" w:rsidRDefault="00D8645B" w:rsidP="00664D46">
            <w:pPr>
              <w:spacing w:line="360" w:lineRule="auto"/>
              <w:jc w:val="center"/>
            </w:pPr>
            <w:r>
              <w:t>50</w:t>
            </w:r>
          </w:p>
        </w:tc>
        <w:tc>
          <w:tcPr>
            <w:tcW w:w="1559" w:type="dxa"/>
            <w:vAlign w:val="center"/>
          </w:tcPr>
          <w:p w14:paraId="1A3A351B" w14:textId="77777777" w:rsidR="00D8645B" w:rsidRDefault="00D8645B" w:rsidP="00664D46">
            <w:pPr>
              <w:spacing w:line="360" w:lineRule="auto"/>
              <w:jc w:val="center"/>
            </w:pPr>
            <w:r>
              <w:t>53</w:t>
            </w:r>
          </w:p>
        </w:tc>
        <w:tc>
          <w:tcPr>
            <w:tcW w:w="1559" w:type="dxa"/>
            <w:vAlign w:val="center"/>
          </w:tcPr>
          <w:p w14:paraId="46141377" w14:textId="77777777" w:rsidR="00D8645B" w:rsidRDefault="00D8645B" w:rsidP="00664D46">
            <w:pPr>
              <w:spacing w:line="360" w:lineRule="auto"/>
              <w:jc w:val="center"/>
            </w:pPr>
            <w:r>
              <w:t>2</w:t>
            </w:r>
          </w:p>
        </w:tc>
      </w:tr>
      <w:tr w:rsidR="00D8645B" w14:paraId="2E235694" w14:textId="77777777" w:rsidTr="00664D46">
        <w:tc>
          <w:tcPr>
            <w:tcW w:w="1558" w:type="dxa"/>
            <w:vMerge/>
            <w:vAlign w:val="center"/>
          </w:tcPr>
          <w:p w14:paraId="099F8F34" w14:textId="77777777" w:rsidR="00D8645B" w:rsidRDefault="00D8645B" w:rsidP="00664D46">
            <w:pPr>
              <w:spacing w:line="360" w:lineRule="auto"/>
              <w:jc w:val="center"/>
            </w:pPr>
          </w:p>
        </w:tc>
        <w:tc>
          <w:tcPr>
            <w:tcW w:w="1558" w:type="dxa"/>
            <w:vAlign w:val="center"/>
          </w:tcPr>
          <w:p w14:paraId="494578EF" w14:textId="77777777" w:rsidR="00D8645B" w:rsidRDefault="00D8645B" w:rsidP="00664D46">
            <w:pPr>
              <w:spacing w:line="360" w:lineRule="auto"/>
              <w:jc w:val="center"/>
            </w:pPr>
            <w:r>
              <w:t>Hybrids</w:t>
            </w:r>
          </w:p>
        </w:tc>
        <w:tc>
          <w:tcPr>
            <w:tcW w:w="1558" w:type="dxa"/>
            <w:vAlign w:val="center"/>
          </w:tcPr>
          <w:p w14:paraId="093D47C3" w14:textId="77777777" w:rsidR="00D8645B" w:rsidRDefault="00D8645B" w:rsidP="00664D46">
            <w:pPr>
              <w:spacing w:line="360" w:lineRule="auto"/>
              <w:jc w:val="center"/>
            </w:pPr>
            <w:r>
              <w:t>Hybrids</w:t>
            </w:r>
          </w:p>
        </w:tc>
        <w:tc>
          <w:tcPr>
            <w:tcW w:w="1558" w:type="dxa"/>
            <w:vAlign w:val="center"/>
          </w:tcPr>
          <w:p w14:paraId="0EF6BCA4" w14:textId="77777777" w:rsidR="00D8645B" w:rsidRDefault="00D8645B" w:rsidP="00664D46">
            <w:pPr>
              <w:spacing w:line="360" w:lineRule="auto"/>
              <w:jc w:val="center"/>
            </w:pPr>
            <w:r>
              <w:t>262</w:t>
            </w:r>
          </w:p>
        </w:tc>
        <w:tc>
          <w:tcPr>
            <w:tcW w:w="1559" w:type="dxa"/>
            <w:vAlign w:val="center"/>
          </w:tcPr>
          <w:p w14:paraId="2AAF86EB" w14:textId="77777777" w:rsidR="00D8645B" w:rsidRDefault="00D8645B" w:rsidP="00664D46">
            <w:pPr>
              <w:spacing w:line="360" w:lineRule="auto"/>
              <w:jc w:val="center"/>
            </w:pPr>
            <w:r>
              <w:t>417</w:t>
            </w:r>
          </w:p>
        </w:tc>
        <w:tc>
          <w:tcPr>
            <w:tcW w:w="1559" w:type="dxa"/>
            <w:vAlign w:val="center"/>
          </w:tcPr>
          <w:p w14:paraId="2AD7A6B6" w14:textId="77777777" w:rsidR="00D8645B" w:rsidRDefault="00D8645B" w:rsidP="00664D46">
            <w:pPr>
              <w:spacing w:line="360" w:lineRule="auto"/>
              <w:jc w:val="center"/>
            </w:pPr>
            <w:r>
              <w:t>155</w:t>
            </w:r>
          </w:p>
        </w:tc>
      </w:tr>
      <w:tr w:rsidR="00D8645B" w14:paraId="519E85CB" w14:textId="77777777" w:rsidTr="00664D46">
        <w:tc>
          <w:tcPr>
            <w:tcW w:w="1558" w:type="dxa"/>
            <w:vMerge/>
            <w:vAlign w:val="center"/>
          </w:tcPr>
          <w:p w14:paraId="1CBD4A07" w14:textId="77777777" w:rsidR="00D8645B" w:rsidRDefault="00D8645B" w:rsidP="00664D46">
            <w:pPr>
              <w:spacing w:line="360" w:lineRule="auto"/>
              <w:jc w:val="center"/>
            </w:pPr>
          </w:p>
        </w:tc>
        <w:tc>
          <w:tcPr>
            <w:tcW w:w="1558" w:type="dxa"/>
            <w:vAlign w:val="center"/>
          </w:tcPr>
          <w:p w14:paraId="24CDB55A" w14:textId="77777777" w:rsidR="00D8645B" w:rsidRDefault="00D8645B" w:rsidP="00664D46">
            <w:pPr>
              <w:spacing w:line="360" w:lineRule="auto"/>
              <w:jc w:val="center"/>
            </w:pPr>
            <w:r>
              <w:t>Municipals</w:t>
            </w:r>
          </w:p>
        </w:tc>
        <w:tc>
          <w:tcPr>
            <w:tcW w:w="1558" w:type="dxa"/>
            <w:vAlign w:val="center"/>
          </w:tcPr>
          <w:p w14:paraId="02B30A20" w14:textId="77777777" w:rsidR="00D8645B" w:rsidRDefault="00D8645B" w:rsidP="00664D46">
            <w:pPr>
              <w:spacing w:line="360" w:lineRule="auto"/>
              <w:jc w:val="center"/>
            </w:pPr>
            <w:r>
              <w:t>Municipals</w:t>
            </w:r>
          </w:p>
        </w:tc>
        <w:tc>
          <w:tcPr>
            <w:tcW w:w="1558" w:type="dxa"/>
            <w:vAlign w:val="center"/>
          </w:tcPr>
          <w:p w14:paraId="29982B98" w14:textId="77777777" w:rsidR="00D8645B" w:rsidRDefault="00D8645B" w:rsidP="00664D46">
            <w:pPr>
              <w:spacing w:line="360" w:lineRule="auto"/>
              <w:jc w:val="center"/>
            </w:pPr>
            <w:r>
              <w:t>2339</w:t>
            </w:r>
          </w:p>
        </w:tc>
        <w:tc>
          <w:tcPr>
            <w:tcW w:w="1559" w:type="dxa"/>
            <w:vAlign w:val="center"/>
          </w:tcPr>
          <w:p w14:paraId="4DCD2203" w14:textId="77777777" w:rsidR="00D8645B" w:rsidRDefault="00D8645B" w:rsidP="00664D46">
            <w:pPr>
              <w:spacing w:line="360" w:lineRule="auto"/>
              <w:jc w:val="center"/>
            </w:pPr>
            <w:r>
              <w:t>2398</w:t>
            </w:r>
          </w:p>
        </w:tc>
        <w:tc>
          <w:tcPr>
            <w:tcW w:w="1559" w:type="dxa"/>
            <w:vAlign w:val="center"/>
          </w:tcPr>
          <w:p w14:paraId="519EBBFC" w14:textId="77777777" w:rsidR="00D8645B" w:rsidRDefault="00D8645B" w:rsidP="00664D46">
            <w:pPr>
              <w:spacing w:line="360" w:lineRule="auto"/>
              <w:jc w:val="center"/>
            </w:pPr>
            <w:r>
              <w:t>60</w:t>
            </w:r>
          </w:p>
        </w:tc>
      </w:tr>
      <w:tr w:rsidR="00D8645B" w14:paraId="3BD34597" w14:textId="77777777" w:rsidTr="00664D46">
        <w:tc>
          <w:tcPr>
            <w:tcW w:w="1558" w:type="dxa"/>
            <w:vMerge/>
            <w:vAlign w:val="center"/>
          </w:tcPr>
          <w:p w14:paraId="497F8F04" w14:textId="77777777" w:rsidR="00D8645B" w:rsidRDefault="00D8645B" w:rsidP="00664D46">
            <w:pPr>
              <w:spacing w:line="360" w:lineRule="auto"/>
              <w:jc w:val="center"/>
            </w:pPr>
          </w:p>
        </w:tc>
        <w:tc>
          <w:tcPr>
            <w:tcW w:w="1558" w:type="dxa"/>
            <w:vAlign w:val="center"/>
          </w:tcPr>
          <w:p w14:paraId="3D9E773A" w14:textId="77777777" w:rsidR="00D8645B" w:rsidRDefault="00D8645B" w:rsidP="00664D46">
            <w:pPr>
              <w:spacing w:line="360" w:lineRule="auto"/>
              <w:jc w:val="center"/>
            </w:pPr>
            <w:r>
              <w:t>Nikko Investments</w:t>
            </w:r>
          </w:p>
        </w:tc>
        <w:tc>
          <w:tcPr>
            <w:tcW w:w="1558" w:type="dxa"/>
            <w:vAlign w:val="center"/>
          </w:tcPr>
          <w:p w14:paraId="0350BFB2" w14:textId="77777777" w:rsidR="00D8645B" w:rsidRDefault="00D8645B" w:rsidP="00664D46">
            <w:pPr>
              <w:spacing w:line="360" w:lineRule="auto"/>
              <w:jc w:val="center"/>
            </w:pPr>
            <w:r>
              <w:t>Nikko Investments</w:t>
            </w:r>
          </w:p>
        </w:tc>
        <w:tc>
          <w:tcPr>
            <w:tcW w:w="1558" w:type="dxa"/>
            <w:vAlign w:val="center"/>
          </w:tcPr>
          <w:p w14:paraId="4BD6B80D" w14:textId="77777777" w:rsidR="00D8645B" w:rsidRDefault="00D8645B" w:rsidP="00664D46">
            <w:pPr>
              <w:spacing w:line="360" w:lineRule="auto"/>
              <w:jc w:val="center"/>
            </w:pPr>
            <w:r>
              <w:t>0</w:t>
            </w:r>
          </w:p>
        </w:tc>
        <w:tc>
          <w:tcPr>
            <w:tcW w:w="1559" w:type="dxa"/>
            <w:vAlign w:val="center"/>
          </w:tcPr>
          <w:p w14:paraId="075FA0E5" w14:textId="77777777" w:rsidR="00D8645B" w:rsidRDefault="00D8645B" w:rsidP="00664D46">
            <w:pPr>
              <w:spacing w:line="360" w:lineRule="auto"/>
              <w:jc w:val="center"/>
            </w:pPr>
            <w:r>
              <w:t>0</w:t>
            </w:r>
          </w:p>
        </w:tc>
        <w:tc>
          <w:tcPr>
            <w:tcW w:w="1559" w:type="dxa"/>
            <w:vAlign w:val="center"/>
          </w:tcPr>
          <w:p w14:paraId="7AAC3752" w14:textId="77777777" w:rsidR="00D8645B" w:rsidRDefault="00D8645B" w:rsidP="00664D46">
            <w:pPr>
              <w:spacing w:line="360" w:lineRule="auto"/>
              <w:jc w:val="center"/>
            </w:pPr>
            <w:r>
              <w:t>0</w:t>
            </w:r>
          </w:p>
        </w:tc>
      </w:tr>
      <w:tr w:rsidR="00D8645B" w14:paraId="75215FC7" w14:textId="77777777" w:rsidTr="00664D46">
        <w:tc>
          <w:tcPr>
            <w:tcW w:w="1558" w:type="dxa"/>
            <w:vMerge/>
            <w:vAlign w:val="center"/>
          </w:tcPr>
          <w:p w14:paraId="332194FD" w14:textId="77777777" w:rsidR="00D8645B" w:rsidRDefault="00D8645B" w:rsidP="00664D46">
            <w:pPr>
              <w:spacing w:line="360" w:lineRule="auto"/>
              <w:jc w:val="center"/>
            </w:pPr>
          </w:p>
        </w:tc>
        <w:tc>
          <w:tcPr>
            <w:tcW w:w="1558" w:type="dxa"/>
            <w:vAlign w:val="center"/>
          </w:tcPr>
          <w:p w14:paraId="2A5D6D4D" w14:textId="77777777" w:rsidR="00D8645B" w:rsidRDefault="00D8645B" w:rsidP="00664D46">
            <w:pPr>
              <w:spacing w:line="360" w:lineRule="auto"/>
              <w:jc w:val="center"/>
            </w:pPr>
            <w:r>
              <w:t>OS&amp;B</w:t>
            </w:r>
          </w:p>
        </w:tc>
        <w:tc>
          <w:tcPr>
            <w:tcW w:w="1558" w:type="dxa"/>
            <w:vAlign w:val="center"/>
          </w:tcPr>
          <w:p w14:paraId="5D36F013" w14:textId="77777777" w:rsidR="00D8645B" w:rsidRDefault="00D8645B" w:rsidP="00664D46">
            <w:pPr>
              <w:spacing w:line="360" w:lineRule="auto"/>
              <w:jc w:val="center"/>
            </w:pPr>
            <w:r>
              <w:t>OS&amp;B</w:t>
            </w:r>
          </w:p>
        </w:tc>
        <w:tc>
          <w:tcPr>
            <w:tcW w:w="1558" w:type="dxa"/>
            <w:vAlign w:val="center"/>
          </w:tcPr>
          <w:p w14:paraId="1FA4DF39" w14:textId="77777777" w:rsidR="00D8645B" w:rsidRDefault="00D8645B" w:rsidP="00664D46">
            <w:pPr>
              <w:spacing w:line="360" w:lineRule="auto"/>
              <w:jc w:val="center"/>
            </w:pPr>
            <w:r>
              <w:t>21</w:t>
            </w:r>
          </w:p>
        </w:tc>
        <w:tc>
          <w:tcPr>
            <w:tcW w:w="1559" w:type="dxa"/>
            <w:vAlign w:val="center"/>
          </w:tcPr>
          <w:p w14:paraId="13144AC7" w14:textId="77777777" w:rsidR="00D8645B" w:rsidRDefault="00D8645B" w:rsidP="00664D46">
            <w:pPr>
              <w:spacing w:line="360" w:lineRule="auto"/>
              <w:jc w:val="center"/>
            </w:pPr>
            <w:r>
              <w:t>27</w:t>
            </w:r>
          </w:p>
        </w:tc>
        <w:tc>
          <w:tcPr>
            <w:tcW w:w="1559" w:type="dxa"/>
            <w:vAlign w:val="center"/>
          </w:tcPr>
          <w:p w14:paraId="0C856932" w14:textId="77777777" w:rsidR="00D8645B" w:rsidRDefault="00D8645B" w:rsidP="00664D46">
            <w:pPr>
              <w:spacing w:line="360" w:lineRule="auto"/>
              <w:jc w:val="center"/>
            </w:pPr>
            <w:r>
              <w:t>6</w:t>
            </w:r>
          </w:p>
        </w:tc>
      </w:tr>
      <w:tr w:rsidR="00D8645B" w14:paraId="1AE14D7B" w14:textId="77777777" w:rsidTr="00664D46">
        <w:tc>
          <w:tcPr>
            <w:tcW w:w="1558" w:type="dxa"/>
            <w:vMerge/>
            <w:vAlign w:val="center"/>
          </w:tcPr>
          <w:p w14:paraId="1C64537A" w14:textId="77777777" w:rsidR="00D8645B" w:rsidRDefault="00D8645B" w:rsidP="00664D46">
            <w:pPr>
              <w:spacing w:line="360" w:lineRule="auto"/>
              <w:jc w:val="center"/>
            </w:pPr>
          </w:p>
        </w:tc>
        <w:tc>
          <w:tcPr>
            <w:tcW w:w="1558" w:type="dxa"/>
            <w:vAlign w:val="center"/>
          </w:tcPr>
          <w:p w14:paraId="4FE31E4D" w14:textId="77777777" w:rsidR="00D8645B" w:rsidRDefault="00D8645B" w:rsidP="00664D46">
            <w:pPr>
              <w:spacing w:line="360" w:lineRule="auto"/>
              <w:jc w:val="center"/>
            </w:pPr>
            <w:r>
              <w:t>Other Global Markets</w:t>
            </w:r>
          </w:p>
        </w:tc>
        <w:tc>
          <w:tcPr>
            <w:tcW w:w="1558" w:type="dxa"/>
            <w:vAlign w:val="center"/>
          </w:tcPr>
          <w:p w14:paraId="570E458A" w14:textId="77777777" w:rsidR="00D8645B" w:rsidRDefault="00D8645B" w:rsidP="00664D46">
            <w:pPr>
              <w:spacing w:line="360" w:lineRule="auto"/>
              <w:jc w:val="center"/>
            </w:pPr>
            <w:r>
              <w:t>Other Global Markets</w:t>
            </w:r>
          </w:p>
        </w:tc>
        <w:tc>
          <w:tcPr>
            <w:tcW w:w="1558" w:type="dxa"/>
            <w:vAlign w:val="center"/>
          </w:tcPr>
          <w:p w14:paraId="598EA99B" w14:textId="77777777" w:rsidR="00D8645B" w:rsidRDefault="00D8645B" w:rsidP="00664D46">
            <w:pPr>
              <w:spacing w:line="360" w:lineRule="auto"/>
              <w:jc w:val="center"/>
            </w:pPr>
            <w:r>
              <w:t>166</w:t>
            </w:r>
          </w:p>
        </w:tc>
        <w:tc>
          <w:tcPr>
            <w:tcW w:w="1559" w:type="dxa"/>
            <w:vAlign w:val="center"/>
          </w:tcPr>
          <w:p w14:paraId="510D7D6B" w14:textId="77777777" w:rsidR="00D8645B" w:rsidRDefault="00D8645B" w:rsidP="00664D46">
            <w:pPr>
              <w:spacing w:line="360" w:lineRule="auto"/>
              <w:jc w:val="center"/>
            </w:pPr>
            <w:r>
              <w:t>166</w:t>
            </w:r>
          </w:p>
        </w:tc>
        <w:tc>
          <w:tcPr>
            <w:tcW w:w="1559" w:type="dxa"/>
            <w:vAlign w:val="center"/>
          </w:tcPr>
          <w:p w14:paraId="0D91511C" w14:textId="77777777" w:rsidR="00D8645B" w:rsidRDefault="00D8645B" w:rsidP="00664D46">
            <w:pPr>
              <w:spacing w:line="360" w:lineRule="auto"/>
              <w:jc w:val="center"/>
            </w:pPr>
            <w:r>
              <w:t>0</w:t>
            </w:r>
          </w:p>
        </w:tc>
      </w:tr>
      <w:tr w:rsidR="00D8645B" w14:paraId="47FFE388" w14:textId="77777777" w:rsidTr="00664D46">
        <w:tc>
          <w:tcPr>
            <w:tcW w:w="1558" w:type="dxa"/>
            <w:vMerge/>
            <w:vAlign w:val="center"/>
          </w:tcPr>
          <w:p w14:paraId="506624E6" w14:textId="77777777" w:rsidR="00D8645B" w:rsidRDefault="00D8645B" w:rsidP="00664D46">
            <w:pPr>
              <w:spacing w:line="360" w:lineRule="auto"/>
              <w:jc w:val="center"/>
            </w:pPr>
          </w:p>
        </w:tc>
        <w:tc>
          <w:tcPr>
            <w:tcW w:w="1558" w:type="dxa"/>
            <w:vAlign w:val="center"/>
          </w:tcPr>
          <w:p w14:paraId="79A274C0" w14:textId="77777777" w:rsidR="00D8645B" w:rsidRDefault="00D8645B" w:rsidP="00664D46">
            <w:pPr>
              <w:spacing w:line="360" w:lineRule="auto"/>
              <w:jc w:val="center"/>
            </w:pPr>
            <w:r>
              <w:t>Prime Finance</w:t>
            </w:r>
          </w:p>
        </w:tc>
        <w:tc>
          <w:tcPr>
            <w:tcW w:w="1558" w:type="dxa"/>
            <w:vAlign w:val="center"/>
          </w:tcPr>
          <w:p w14:paraId="6865EAD9" w14:textId="77777777" w:rsidR="00D8645B" w:rsidRDefault="00D8645B" w:rsidP="00664D46">
            <w:pPr>
              <w:spacing w:line="360" w:lineRule="auto"/>
              <w:jc w:val="center"/>
            </w:pPr>
            <w:r>
              <w:t>Prime Finance</w:t>
            </w:r>
          </w:p>
        </w:tc>
        <w:tc>
          <w:tcPr>
            <w:tcW w:w="1558" w:type="dxa"/>
            <w:vAlign w:val="center"/>
          </w:tcPr>
          <w:p w14:paraId="28EF85D6" w14:textId="77777777" w:rsidR="00D8645B" w:rsidRDefault="00D8645B" w:rsidP="00664D46">
            <w:pPr>
              <w:spacing w:line="360" w:lineRule="auto"/>
              <w:jc w:val="center"/>
            </w:pPr>
            <w:r>
              <w:t>30</w:t>
            </w:r>
          </w:p>
        </w:tc>
        <w:tc>
          <w:tcPr>
            <w:tcW w:w="1559" w:type="dxa"/>
            <w:vAlign w:val="center"/>
          </w:tcPr>
          <w:p w14:paraId="07EE3804" w14:textId="77777777" w:rsidR="00D8645B" w:rsidRDefault="00D8645B" w:rsidP="00664D46">
            <w:pPr>
              <w:spacing w:line="360" w:lineRule="auto"/>
              <w:jc w:val="center"/>
            </w:pPr>
            <w:r>
              <w:t>31</w:t>
            </w:r>
          </w:p>
        </w:tc>
        <w:tc>
          <w:tcPr>
            <w:tcW w:w="1559" w:type="dxa"/>
            <w:vAlign w:val="center"/>
          </w:tcPr>
          <w:p w14:paraId="58E799B0" w14:textId="77777777" w:rsidR="00D8645B" w:rsidRDefault="00D8645B" w:rsidP="00664D46">
            <w:pPr>
              <w:spacing w:line="360" w:lineRule="auto"/>
              <w:jc w:val="center"/>
            </w:pPr>
            <w:r>
              <w:t>1</w:t>
            </w:r>
          </w:p>
        </w:tc>
      </w:tr>
      <w:tr w:rsidR="00D8645B" w14:paraId="2D31A86E" w14:textId="77777777" w:rsidTr="00664D46">
        <w:tc>
          <w:tcPr>
            <w:tcW w:w="1558" w:type="dxa"/>
            <w:vMerge/>
            <w:vAlign w:val="center"/>
          </w:tcPr>
          <w:p w14:paraId="3EC8B624" w14:textId="77777777" w:rsidR="00D8645B" w:rsidRDefault="00D8645B" w:rsidP="00664D46">
            <w:pPr>
              <w:spacing w:line="360" w:lineRule="auto"/>
              <w:jc w:val="center"/>
            </w:pPr>
          </w:p>
        </w:tc>
        <w:tc>
          <w:tcPr>
            <w:tcW w:w="1558" w:type="dxa"/>
            <w:vAlign w:val="center"/>
          </w:tcPr>
          <w:p w14:paraId="350065D6" w14:textId="77777777" w:rsidR="00D8645B" w:rsidRDefault="00D8645B" w:rsidP="00664D46">
            <w:pPr>
              <w:spacing w:line="360" w:lineRule="auto"/>
              <w:jc w:val="center"/>
            </w:pPr>
            <w:r>
              <w:t>Securitized Markets</w:t>
            </w:r>
          </w:p>
        </w:tc>
        <w:tc>
          <w:tcPr>
            <w:tcW w:w="1558" w:type="dxa"/>
            <w:vAlign w:val="center"/>
          </w:tcPr>
          <w:p w14:paraId="6B4F85A7" w14:textId="77777777" w:rsidR="00D8645B" w:rsidRDefault="00D8645B" w:rsidP="00664D46">
            <w:pPr>
              <w:spacing w:line="360" w:lineRule="auto"/>
              <w:jc w:val="center"/>
            </w:pPr>
            <w:r>
              <w:t>Securitized Markets</w:t>
            </w:r>
          </w:p>
        </w:tc>
        <w:tc>
          <w:tcPr>
            <w:tcW w:w="1558" w:type="dxa"/>
            <w:vAlign w:val="center"/>
          </w:tcPr>
          <w:p w14:paraId="64C7395F" w14:textId="77777777" w:rsidR="00D8645B" w:rsidRDefault="00D8645B" w:rsidP="00664D46">
            <w:pPr>
              <w:spacing w:line="360" w:lineRule="auto"/>
              <w:jc w:val="center"/>
            </w:pPr>
            <w:r>
              <w:t>2939</w:t>
            </w:r>
          </w:p>
        </w:tc>
        <w:tc>
          <w:tcPr>
            <w:tcW w:w="1559" w:type="dxa"/>
            <w:vAlign w:val="center"/>
          </w:tcPr>
          <w:p w14:paraId="49F0EC52" w14:textId="77777777" w:rsidR="00D8645B" w:rsidRDefault="00D8645B" w:rsidP="00664D46">
            <w:pPr>
              <w:spacing w:line="360" w:lineRule="auto"/>
              <w:jc w:val="center"/>
            </w:pPr>
            <w:r>
              <w:t>3176</w:t>
            </w:r>
          </w:p>
        </w:tc>
        <w:tc>
          <w:tcPr>
            <w:tcW w:w="1559" w:type="dxa"/>
            <w:vAlign w:val="center"/>
          </w:tcPr>
          <w:p w14:paraId="3AA6D477" w14:textId="77777777" w:rsidR="00D8645B" w:rsidRDefault="00D8645B" w:rsidP="00664D46">
            <w:pPr>
              <w:spacing w:line="360" w:lineRule="auto"/>
              <w:jc w:val="center"/>
            </w:pPr>
            <w:r>
              <w:t>237</w:t>
            </w:r>
          </w:p>
        </w:tc>
      </w:tr>
      <w:tr w:rsidR="00D8645B" w:rsidRPr="001F0477" w14:paraId="5362D7F4" w14:textId="77777777" w:rsidTr="00664D46">
        <w:tc>
          <w:tcPr>
            <w:tcW w:w="4674" w:type="dxa"/>
            <w:gridSpan w:val="3"/>
          </w:tcPr>
          <w:p w14:paraId="65175D93" w14:textId="77777777" w:rsidR="00D8645B" w:rsidRPr="001F0477" w:rsidRDefault="00D8645B" w:rsidP="00664D46">
            <w:pPr>
              <w:spacing w:line="360" w:lineRule="auto"/>
              <w:jc w:val="center"/>
              <w:rPr>
                <w:b/>
              </w:rPr>
            </w:pPr>
            <w:r>
              <w:rPr>
                <w:b/>
              </w:rPr>
              <w:t>BHC-ICG Total</w:t>
            </w:r>
          </w:p>
        </w:tc>
        <w:tc>
          <w:tcPr>
            <w:tcW w:w="1558" w:type="dxa"/>
          </w:tcPr>
          <w:p w14:paraId="4C6DB388" w14:textId="77777777" w:rsidR="00D8645B" w:rsidRPr="001F0477" w:rsidRDefault="00D8645B" w:rsidP="00664D46">
            <w:pPr>
              <w:spacing w:line="360" w:lineRule="auto"/>
              <w:jc w:val="center"/>
              <w:rPr>
                <w:b/>
              </w:rPr>
            </w:pPr>
            <w:r>
              <w:rPr>
                <w:b/>
              </w:rPr>
              <w:t>9642</w:t>
            </w:r>
          </w:p>
        </w:tc>
        <w:tc>
          <w:tcPr>
            <w:tcW w:w="1559" w:type="dxa"/>
          </w:tcPr>
          <w:p w14:paraId="278D4E29" w14:textId="77777777" w:rsidR="00D8645B" w:rsidRPr="001F0477" w:rsidRDefault="00D8645B" w:rsidP="00664D46">
            <w:pPr>
              <w:spacing w:line="360" w:lineRule="auto"/>
              <w:jc w:val="center"/>
              <w:rPr>
                <w:b/>
              </w:rPr>
            </w:pPr>
            <w:r>
              <w:rPr>
                <w:b/>
              </w:rPr>
              <w:t>11665</w:t>
            </w:r>
          </w:p>
        </w:tc>
        <w:tc>
          <w:tcPr>
            <w:tcW w:w="1559" w:type="dxa"/>
          </w:tcPr>
          <w:p w14:paraId="72FC47FE" w14:textId="77777777" w:rsidR="00D8645B" w:rsidRPr="001F0477" w:rsidRDefault="00D8645B" w:rsidP="00664D46">
            <w:pPr>
              <w:spacing w:line="360" w:lineRule="auto"/>
              <w:jc w:val="center"/>
              <w:rPr>
                <w:b/>
              </w:rPr>
            </w:pPr>
            <w:r>
              <w:rPr>
                <w:b/>
              </w:rPr>
              <w:t>2023</w:t>
            </w:r>
          </w:p>
        </w:tc>
      </w:tr>
    </w:tbl>
    <w:p w14:paraId="12038F13" w14:textId="77777777" w:rsidR="00D8645B" w:rsidRDefault="00D8645B" w:rsidP="00D8645B">
      <w:pPr>
        <w:spacing w:line="360" w:lineRule="auto"/>
      </w:pPr>
    </w:p>
    <w:p w14:paraId="2D9480CE" w14:textId="77777777" w:rsidR="00D8645B" w:rsidRPr="00106DBD" w:rsidRDefault="00D8645B" w:rsidP="0060309E">
      <w:pPr>
        <w:pStyle w:val="ListParagraph"/>
        <w:numPr>
          <w:ilvl w:val="0"/>
          <w:numId w:val="24"/>
        </w:numPr>
        <w:spacing w:after="160" w:line="360" w:lineRule="auto"/>
      </w:pPr>
      <w:r w:rsidRPr="006A4D41">
        <w:rPr>
          <w:u w:val="single"/>
        </w:rPr>
        <w:t>Tests that indicate that the Numerical Error converges sufficiently, and is small for the Recommended Parameters</w:t>
      </w:r>
      <w:r w:rsidRPr="006A4D41">
        <w:t xml:space="preserve">: </w:t>
      </w:r>
      <w:r>
        <w:t xml:space="preserve">The model is subject to simulation noise. The effect is tested by running the model with </w:t>
      </w:r>
      <m:oMath>
        <m:r>
          <w:rPr>
            <w:rFonts w:ascii="Cambria Math" w:hAnsi="Cambria Math"/>
          </w:rPr>
          <m:t>10</m:t>
        </m:r>
      </m:oMath>
      <w:r>
        <w:rPr>
          <w:rFonts w:eastAsiaTheme="minorEastAsia"/>
        </w:rPr>
        <w:t xml:space="preserve"> different ransom seeds and looking at </w:t>
      </w:r>
      <m:oMath>
        <m:r>
          <w:rPr>
            <w:rFonts w:ascii="Cambria Math" w:hAnsi="Cambria Math"/>
          </w:rPr>
          <m:t>3</m:t>
        </m:r>
      </m:oMath>
      <w:r>
        <w:rPr>
          <w:rFonts w:eastAsiaTheme="minorEastAsia"/>
        </w:rPr>
        <w:t xml:space="preserve"> specific metrics – firm-level standalone RC, ICG level standalone RC, and ICG marginal to firm. The results in the Table below show the sufficiently small effect of the simulation noise.</w:t>
      </w:r>
    </w:p>
    <w:p w14:paraId="351E1B74" w14:textId="77777777" w:rsidR="00D8645B" w:rsidRDefault="00D8645B" w:rsidP="0060309E">
      <w:pPr>
        <w:pStyle w:val="ListParagraph"/>
        <w:numPr>
          <w:ilvl w:val="0"/>
          <w:numId w:val="24"/>
        </w:numPr>
        <w:spacing w:after="160" w:line="360" w:lineRule="auto"/>
      </w:pPr>
      <w:r>
        <w:rPr>
          <w:u w:val="single"/>
        </w:rPr>
        <w:t>Simulation Noise</w:t>
      </w:r>
      <w:r>
        <w:t>: All numbers in $MM.</w:t>
      </w:r>
    </w:p>
    <w:tbl>
      <w:tblPr>
        <w:tblStyle w:val="TableGrid"/>
        <w:tblW w:w="0" w:type="auto"/>
        <w:tblLook w:val="04A0" w:firstRow="1" w:lastRow="0" w:firstColumn="1" w:lastColumn="0" w:noHBand="0" w:noVBand="1"/>
      </w:tblPr>
      <w:tblGrid>
        <w:gridCol w:w="1737"/>
        <w:gridCol w:w="2491"/>
        <w:gridCol w:w="2328"/>
        <w:gridCol w:w="2794"/>
      </w:tblGrid>
      <w:tr w:rsidR="00D8645B" w14:paraId="62C18BA7" w14:textId="77777777" w:rsidTr="00664D46">
        <w:tc>
          <w:tcPr>
            <w:tcW w:w="1345" w:type="dxa"/>
            <w:vAlign w:val="center"/>
          </w:tcPr>
          <w:p w14:paraId="5F1008F4" w14:textId="77777777" w:rsidR="00D8645B" w:rsidRPr="00106DBD" w:rsidRDefault="00D8645B" w:rsidP="00664D46">
            <w:pPr>
              <w:spacing w:line="360" w:lineRule="auto"/>
              <w:jc w:val="center"/>
              <w:rPr>
                <w:b/>
              </w:rPr>
            </w:pPr>
            <w:r>
              <w:rPr>
                <w:b/>
              </w:rPr>
              <w:t>Seed</w:t>
            </w:r>
          </w:p>
        </w:tc>
        <w:tc>
          <w:tcPr>
            <w:tcW w:w="2610" w:type="dxa"/>
            <w:vAlign w:val="center"/>
          </w:tcPr>
          <w:p w14:paraId="0534745A" w14:textId="77777777" w:rsidR="00D8645B" w:rsidRPr="00106DBD" w:rsidRDefault="00D8645B" w:rsidP="00664D46">
            <w:pPr>
              <w:spacing w:line="360" w:lineRule="auto"/>
              <w:jc w:val="center"/>
              <w:rPr>
                <w:b/>
              </w:rPr>
            </w:pPr>
            <w:r>
              <w:rPr>
                <w:b/>
              </w:rPr>
              <w:t>BHC Standalone RC</w:t>
            </w:r>
          </w:p>
        </w:tc>
        <w:tc>
          <w:tcPr>
            <w:tcW w:w="2430" w:type="dxa"/>
            <w:vAlign w:val="center"/>
          </w:tcPr>
          <w:p w14:paraId="48604FE6" w14:textId="77777777" w:rsidR="00D8645B" w:rsidRPr="00106DBD" w:rsidRDefault="00D8645B" w:rsidP="00664D46">
            <w:pPr>
              <w:spacing w:line="360" w:lineRule="auto"/>
              <w:jc w:val="center"/>
              <w:rPr>
                <w:b/>
              </w:rPr>
            </w:pPr>
            <w:r>
              <w:rPr>
                <w:b/>
              </w:rPr>
              <w:t>ICG Standalone RC</w:t>
            </w:r>
          </w:p>
        </w:tc>
        <w:tc>
          <w:tcPr>
            <w:tcW w:w="2965" w:type="dxa"/>
            <w:vAlign w:val="center"/>
          </w:tcPr>
          <w:p w14:paraId="31E61507" w14:textId="77777777" w:rsidR="00D8645B" w:rsidRPr="00106DBD" w:rsidRDefault="00D8645B" w:rsidP="00664D46">
            <w:pPr>
              <w:spacing w:line="360" w:lineRule="auto"/>
              <w:jc w:val="center"/>
              <w:rPr>
                <w:b/>
              </w:rPr>
            </w:pPr>
            <w:r>
              <w:rPr>
                <w:b/>
              </w:rPr>
              <w:t>ICG Marginal to BHC</w:t>
            </w:r>
          </w:p>
        </w:tc>
      </w:tr>
      <w:tr w:rsidR="00D8645B" w14:paraId="6F532865" w14:textId="77777777" w:rsidTr="00664D46">
        <w:tc>
          <w:tcPr>
            <w:tcW w:w="1345" w:type="dxa"/>
            <w:vAlign w:val="center"/>
          </w:tcPr>
          <w:p w14:paraId="361764E7" w14:textId="77777777" w:rsidR="00D8645B" w:rsidRDefault="00D8645B" w:rsidP="00664D46">
            <w:pPr>
              <w:spacing w:line="360" w:lineRule="auto"/>
              <w:jc w:val="center"/>
            </w:pPr>
            <w:r>
              <w:t>Seed1</w:t>
            </w:r>
          </w:p>
        </w:tc>
        <w:tc>
          <w:tcPr>
            <w:tcW w:w="2610" w:type="dxa"/>
            <w:vAlign w:val="center"/>
          </w:tcPr>
          <w:p w14:paraId="3A86C696" w14:textId="77777777" w:rsidR="00D8645B" w:rsidRDefault="00D8645B" w:rsidP="00664D46">
            <w:pPr>
              <w:spacing w:line="360" w:lineRule="auto"/>
              <w:jc w:val="center"/>
            </w:pPr>
            <w:r>
              <w:t>17505</w:t>
            </w:r>
          </w:p>
        </w:tc>
        <w:tc>
          <w:tcPr>
            <w:tcW w:w="2430" w:type="dxa"/>
            <w:vAlign w:val="center"/>
          </w:tcPr>
          <w:p w14:paraId="5F7D4C12" w14:textId="77777777" w:rsidR="00D8645B" w:rsidRDefault="00D8645B" w:rsidP="00664D46">
            <w:pPr>
              <w:spacing w:line="360" w:lineRule="auto"/>
              <w:jc w:val="center"/>
            </w:pPr>
            <w:r>
              <w:t>11663</w:t>
            </w:r>
          </w:p>
        </w:tc>
        <w:tc>
          <w:tcPr>
            <w:tcW w:w="2965" w:type="dxa"/>
            <w:vAlign w:val="center"/>
          </w:tcPr>
          <w:p w14:paraId="64DC37BD" w14:textId="77777777" w:rsidR="00D8645B" w:rsidRDefault="00D8645B" w:rsidP="00664D46">
            <w:pPr>
              <w:spacing w:line="360" w:lineRule="auto"/>
              <w:jc w:val="center"/>
            </w:pPr>
            <w:r>
              <w:t>11553</w:t>
            </w:r>
          </w:p>
        </w:tc>
      </w:tr>
      <w:tr w:rsidR="00D8645B" w14:paraId="42BD49CA" w14:textId="77777777" w:rsidTr="00664D46">
        <w:tc>
          <w:tcPr>
            <w:tcW w:w="1345" w:type="dxa"/>
            <w:vAlign w:val="center"/>
          </w:tcPr>
          <w:p w14:paraId="6441A99E" w14:textId="77777777" w:rsidR="00D8645B" w:rsidRDefault="00D8645B" w:rsidP="00664D46">
            <w:pPr>
              <w:spacing w:line="360" w:lineRule="auto"/>
              <w:jc w:val="center"/>
            </w:pPr>
            <w:r>
              <w:t>Seed2</w:t>
            </w:r>
          </w:p>
        </w:tc>
        <w:tc>
          <w:tcPr>
            <w:tcW w:w="2610" w:type="dxa"/>
            <w:vAlign w:val="center"/>
          </w:tcPr>
          <w:p w14:paraId="46150736" w14:textId="77777777" w:rsidR="00D8645B" w:rsidRDefault="00D8645B" w:rsidP="00664D46">
            <w:pPr>
              <w:spacing w:line="360" w:lineRule="auto"/>
              <w:jc w:val="center"/>
            </w:pPr>
            <w:r>
              <w:t>17600</w:t>
            </w:r>
          </w:p>
        </w:tc>
        <w:tc>
          <w:tcPr>
            <w:tcW w:w="2430" w:type="dxa"/>
            <w:vAlign w:val="center"/>
          </w:tcPr>
          <w:p w14:paraId="2FC28347" w14:textId="77777777" w:rsidR="00D8645B" w:rsidRDefault="00D8645B" w:rsidP="00664D46">
            <w:pPr>
              <w:spacing w:line="360" w:lineRule="auto"/>
              <w:jc w:val="center"/>
            </w:pPr>
            <w:r>
              <w:t>11751</w:t>
            </w:r>
          </w:p>
        </w:tc>
        <w:tc>
          <w:tcPr>
            <w:tcW w:w="2965" w:type="dxa"/>
            <w:vAlign w:val="center"/>
          </w:tcPr>
          <w:p w14:paraId="5432FA68" w14:textId="77777777" w:rsidR="00D8645B" w:rsidRDefault="00D8645B" w:rsidP="00664D46">
            <w:pPr>
              <w:spacing w:line="360" w:lineRule="auto"/>
              <w:jc w:val="center"/>
            </w:pPr>
            <w:r>
              <w:t>11656</w:t>
            </w:r>
          </w:p>
        </w:tc>
      </w:tr>
      <w:tr w:rsidR="00D8645B" w14:paraId="4BEEA9BB" w14:textId="77777777" w:rsidTr="00664D46">
        <w:tc>
          <w:tcPr>
            <w:tcW w:w="1345" w:type="dxa"/>
            <w:vAlign w:val="center"/>
          </w:tcPr>
          <w:p w14:paraId="72C49456" w14:textId="77777777" w:rsidR="00D8645B" w:rsidRDefault="00D8645B" w:rsidP="00664D46">
            <w:pPr>
              <w:spacing w:line="360" w:lineRule="auto"/>
              <w:jc w:val="center"/>
            </w:pPr>
            <w:r>
              <w:t>Seed3</w:t>
            </w:r>
          </w:p>
        </w:tc>
        <w:tc>
          <w:tcPr>
            <w:tcW w:w="2610" w:type="dxa"/>
            <w:vAlign w:val="center"/>
          </w:tcPr>
          <w:p w14:paraId="7A7B8BCB" w14:textId="77777777" w:rsidR="00D8645B" w:rsidRDefault="00D8645B" w:rsidP="00664D46">
            <w:pPr>
              <w:spacing w:line="360" w:lineRule="auto"/>
              <w:jc w:val="center"/>
            </w:pPr>
            <w:r>
              <w:t>17483</w:t>
            </w:r>
          </w:p>
        </w:tc>
        <w:tc>
          <w:tcPr>
            <w:tcW w:w="2430" w:type="dxa"/>
            <w:vAlign w:val="center"/>
          </w:tcPr>
          <w:p w14:paraId="70AEE1F4" w14:textId="77777777" w:rsidR="00D8645B" w:rsidRDefault="00D8645B" w:rsidP="00664D46">
            <w:pPr>
              <w:spacing w:line="360" w:lineRule="auto"/>
              <w:jc w:val="center"/>
            </w:pPr>
            <w:r>
              <w:t>11680</w:t>
            </w:r>
          </w:p>
        </w:tc>
        <w:tc>
          <w:tcPr>
            <w:tcW w:w="2965" w:type="dxa"/>
            <w:vAlign w:val="center"/>
          </w:tcPr>
          <w:p w14:paraId="001F4D8C" w14:textId="77777777" w:rsidR="00D8645B" w:rsidRDefault="00D8645B" w:rsidP="00664D46">
            <w:pPr>
              <w:spacing w:line="360" w:lineRule="auto"/>
              <w:jc w:val="center"/>
            </w:pPr>
            <w:r>
              <w:t>11564</w:t>
            </w:r>
          </w:p>
        </w:tc>
      </w:tr>
      <w:tr w:rsidR="00D8645B" w14:paraId="04A88B90" w14:textId="77777777" w:rsidTr="00664D46">
        <w:tc>
          <w:tcPr>
            <w:tcW w:w="1345" w:type="dxa"/>
            <w:vAlign w:val="center"/>
          </w:tcPr>
          <w:p w14:paraId="1DF25BC8" w14:textId="77777777" w:rsidR="00D8645B" w:rsidRDefault="00D8645B" w:rsidP="00664D46">
            <w:pPr>
              <w:spacing w:line="360" w:lineRule="auto"/>
              <w:jc w:val="center"/>
            </w:pPr>
            <w:r>
              <w:t>Seed4</w:t>
            </w:r>
          </w:p>
        </w:tc>
        <w:tc>
          <w:tcPr>
            <w:tcW w:w="2610" w:type="dxa"/>
            <w:vAlign w:val="center"/>
          </w:tcPr>
          <w:p w14:paraId="75B7B848" w14:textId="77777777" w:rsidR="00D8645B" w:rsidRDefault="00D8645B" w:rsidP="00664D46">
            <w:pPr>
              <w:spacing w:line="360" w:lineRule="auto"/>
              <w:jc w:val="center"/>
            </w:pPr>
            <w:r>
              <w:t>17657</w:t>
            </w:r>
          </w:p>
        </w:tc>
        <w:tc>
          <w:tcPr>
            <w:tcW w:w="2430" w:type="dxa"/>
            <w:vAlign w:val="center"/>
          </w:tcPr>
          <w:p w14:paraId="24259DF1" w14:textId="77777777" w:rsidR="00D8645B" w:rsidRDefault="00D8645B" w:rsidP="00664D46">
            <w:pPr>
              <w:spacing w:line="360" w:lineRule="auto"/>
              <w:jc w:val="center"/>
            </w:pPr>
            <w:r>
              <w:t>11659</w:t>
            </w:r>
          </w:p>
        </w:tc>
        <w:tc>
          <w:tcPr>
            <w:tcW w:w="2965" w:type="dxa"/>
            <w:vAlign w:val="center"/>
          </w:tcPr>
          <w:p w14:paraId="5228DCB9" w14:textId="77777777" w:rsidR="00D8645B" w:rsidRDefault="00D8645B" w:rsidP="00664D46">
            <w:pPr>
              <w:spacing w:line="360" w:lineRule="auto"/>
              <w:jc w:val="center"/>
            </w:pPr>
            <w:r>
              <w:t>11566</w:t>
            </w:r>
          </w:p>
        </w:tc>
      </w:tr>
      <w:tr w:rsidR="00D8645B" w14:paraId="0B8408A5" w14:textId="77777777" w:rsidTr="00664D46">
        <w:tc>
          <w:tcPr>
            <w:tcW w:w="1345" w:type="dxa"/>
            <w:vAlign w:val="center"/>
          </w:tcPr>
          <w:p w14:paraId="50FECB6F" w14:textId="77777777" w:rsidR="00D8645B" w:rsidRDefault="00D8645B" w:rsidP="00664D46">
            <w:pPr>
              <w:spacing w:line="360" w:lineRule="auto"/>
              <w:jc w:val="center"/>
            </w:pPr>
            <w:r>
              <w:t>Seed5</w:t>
            </w:r>
          </w:p>
        </w:tc>
        <w:tc>
          <w:tcPr>
            <w:tcW w:w="2610" w:type="dxa"/>
            <w:vAlign w:val="center"/>
          </w:tcPr>
          <w:p w14:paraId="59CF3D09" w14:textId="77777777" w:rsidR="00D8645B" w:rsidRDefault="00D8645B" w:rsidP="00664D46">
            <w:pPr>
              <w:spacing w:line="360" w:lineRule="auto"/>
              <w:jc w:val="center"/>
            </w:pPr>
            <w:r>
              <w:t>17407</w:t>
            </w:r>
          </w:p>
        </w:tc>
        <w:tc>
          <w:tcPr>
            <w:tcW w:w="2430" w:type="dxa"/>
            <w:vAlign w:val="center"/>
          </w:tcPr>
          <w:p w14:paraId="7E6568B1" w14:textId="77777777" w:rsidR="00D8645B" w:rsidRDefault="00D8645B" w:rsidP="00664D46">
            <w:pPr>
              <w:spacing w:line="360" w:lineRule="auto"/>
              <w:jc w:val="center"/>
            </w:pPr>
            <w:r>
              <w:t>11596</w:t>
            </w:r>
          </w:p>
        </w:tc>
        <w:tc>
          <w:tcPr>
            <w:tcW w:w="2965" w:type="dxa"/>
            <w:vAlign w:val="center"/>
          </w:tcPr>
          <w:p w14:paraId="136E5A1F" w14:textId="77777777" w:rsidR="00D8645B" w:rsidRDefault="00D8645B" w:rsidP="00664D46">
            <w:pPr>
              <w:spacing w:line="360" w:lineRule="auto"/>
              <w:jc w:val="center"/>
            </w:pPr>
            <w:r>
              <w:t>11496</w:t>
            </w:r>
          </w:p>
        </w:tc>
      </w:tr>
      <w:tr w:rsidR="00D8645B" w14:paraId="5CC36C19" w14:textId="77777777" w:rsidTr="00664D46">
        <w:tc>
          <w:tcPr>
            <w:tcW w:w="1345" w:type="dxa"/>
            <w:vAlign w:val="center"/>
          </w:tcPr>
          <w:p w14:paraId="634C49F4" w14:textId="77777777" w:rsidR="00D8645B" w:rsidRDefault="00D8645B" w:rsidP="00664D46">
            <w:pPr>
              <w:spacing w:line="360" w:lineRule="auto"/>
              <w:jc w:val="center"/>
            </w:pPr>
            <w:r>
              <w:t>Seed6</w:t>
            </w:r>
          </w:p>
        </w:tc>
        <w:tc>
          <w:tcPr>
            <w:tcW w:w="2610" w:type="dxa"/>
            <w:vAlign w:val="center"/>
          </w:tcPr>
          <w:p w14:paraId="00BDEF55" w14:textId="77777777" w:rsidR="00D8645B" w:rsidRDefault="00D8645B" w:rsidP="00664D46">
            <w:pPr>
              <w:spacing w:line="360" w:lineRule="auto"/>
              <w:jc w:val="center"/>
            </w:pPr>
            <w:r>
              <w:t>17598</w:t>
            </w:r>
          </w:p>
        </w:tc>
        <w:tc>
          <w:tcPr>
            <w:tcW w:w="2430" w:type="dxa"/>
            <w:vAlign w:val="center"/>
          </w:tcPr>
          <w:p w14:paraId="1193539E" w14:textId="77777777" w:rsidR="00D8645B" w:rsidRDefault="00D8645B" w:rsidP="00664D46">
            <w:pPr>
              <w:spacing w:line="360" w:lineRule="auto"/>
              <w:jc w:val="center"/>
            </w:pPr>
            <w:r>
              <w:t>11702</w:t>
            </w:r>
          </w:p>
        </w:tc>
        <w:tc>
          <w:tcPr>
            <w:tcW w:w="2965" w:type="dxa"/>
            <w:vAlign w:val="center"/>
          </w:tcPr>
          <w:p w14:paraId="5BFB8FAB" w14:textId="77777777" w:rsidR="00D8645B" w:rsidRDefault="00D8645B" w:rsidP="00664D46">
            <w:pPr>
              <w:spacing w:line="360" w:lineRule="auto"/>
              <w:jc w:val="center"/>
            </w:pPr>
            <w:r>
              <w:t>11597</w:t>
            </w:r>
          </w:p>
        </w:tc>
      </w:tr>
      <w:tr w:rsidR="00D8645B" w14:paraId="03980FA4" w14:textId="77777777" w:rsidTr="00664D46">
        <w:tc>
          <w:tcPr>
            <w:tcW w:w="1345" w:type="dxa"/>
            <w:vAlign w:val="center"/>
          </w:tcPr>
          <w:p w14:paraId="5016DC7D" w14:textId="77777777" w:rsidR="00D8645B" w:rsidRDefault="00D8645B" w:rsidP="00664D46">
            <w:pPr>
              <w:spacing w:line="360" w:lineRule="auto"/>
              <w:jc w:val="center"/>
            </w:pPr>
            <w:r>
              <w:t>Seed7</w:t>
            </w:r>
          </w:p>
        </w:tc>
        <w:tc>
          <w:tcPr>
            <w:tcW w:w="2610" w:type="dxa"/>
            <w:vAlign w:val="center"/>
          </w:tcPr>
          <w:p w14:paraId="18158659" w14:textId="77777777" w:rsidR="00D8645B" w:rsidRDefault="00D8645B" w:rsidP="00664D46">
            <w:pPr>
              <w:spacing w:line="360" w:lineRule="auto"/>
              <w:jc w:val="center"/>
            </w:pPr>
            <w:r>
              <w:t>17443</w:t>
            </w:r>
          </w:p>
        </w:tc>
        <w:tc>
          <w:tcPr>
            <w:tcW w:w="2430" w:type="dxa"/>
            <w:vAlign w:val="center"/>
          </w:tcPr>
          <w:p w14:paraId="0CCFBD22" w14:textId="77777777" w:rsidR="00D8645B" w:rsidRDefault="00D8645B" w:rsidP="00664D46">
            <w:pPr>
              <w:spacing w:line="360" w:lineRule="auto"/>
              <w:jc w:val="center"/>
            </w:pPr>
            <w:r>
              <w:t>11619</w:t>
            </w:r>
          </w:p>
        </w:tc>
        <w:tc>
          <w:tcPr>
            <w:tcW w:w="2965" w:type="dxa"/>
            <w:vAlign w:val="center"/>
          </w:tcPr>
          <w:p w14:paraId="189768B1" w14:textId="77777777" w:rsidR="00D8645B" w:rsidRDefault="00D8645B" w:rsidP="00664D46">
            <w:pPr>
              <w:spacing w:line="360" w:lineRule="auto"/>
              <w:jc w:val="center"/>
            </w:pPr>
            <w:r>
              <w:t>11526</w:t>
            </w:r>
          </w:p>
        </w:tc>
      </w:tr>
      <w:tr w:rsidR="00D8645B" w14:paraId="3D18EBB5" w14:textId="77777777" w:rsidTr="00664D46">
        <w:tc>
          <w:tcPr>
            <w:tcW w:w="1345" w:type="dxa"/>
            <w:vAlign w:val="center"/>
          </w:tcPr>
          <w:p w14:paraId="7B9CC909" w14:textId="77777777" w:rsidR="00D8645B" w:rsidRDefault="00D8645B" w:rsidP="00664D46">
            <w:pPr>
              <w:spacing w:line="360" w:lineRule="auto"/>
              <w:jc w:val="center"/>
            </w:pPr>
            <w:r>
              <w:t>Seed8</w:t>
            </w:r>
          </w:p>
        </w:tc>
        <w:tc>
          <w:tcPr>
            <w:tcW w:w="2610" w:type="dxa"/>
            <w:vAlign w:val="center"/>
          </w:tcPr>
          <w:p w14:paraId="48D962E4" w14:textId="77777777" w:rsidR="00D8645B" w:rsidRDefault="00D8645B" w:rsidP="00664D46">
            <w:pPr>
              <w:spacing w:line="360" w:lineRule="auto"/>
              <w:jc w:val="center"/>
            </w:pPr>
            <w:r>
              <w:t>17506</w:t>
            </w:r>
          </w:p>
        </w:tc>
        <w:tc>
          <w:tcPr>
            <w:tcW w:w="2430" w:type="dxa"/>
            <w:vAlign w:val="center"/>
          </w:tcPr>
          <w:p w14:paraId="56B3B226" w14:textId="77777777" w:rsidR="00D8645B" w:rsidRDefault="00D8645B" w:rsidP="00664D46">
            <w:pPr>
              <w:spacing w:line="360" w:lineRule="auto"/>
              <w:jc w:val="center"/>
            </w:pPr>
            <w:r>
              <w:t>11592</w:t>
            </w:r>
          </w:p>
        </w:tc>
        <w:tc>
          <w:tcPr>
            <w:tcW w:w="2965" w:type="dxa"/>
            <w:vAlign w:val="center"/>
          </w:tcPr>
          <w:p w14:paraId="46C6362B" w14:textId="77777777" w:rsidR="00D8645B" w:rsidRDefault="00D8645B" w:rsidP="00664D46">
            <w:pPr>
              <w:spacing w:line="360" w:lineRule="auto"/>
              <w:jc w:val="center"/>
            </w:pPr>
            <w:r>
              <w:t>11497</w:t>
            </w:r>
          </w:p>
        </w:tc>
      </w:tr>
      <w:tr w:rsidR="00D8645B" w14:paraId="5B19BEE7" w14:textId="77777777" w:rsidTr="00664D46">
        <w:tc>
          <w:tcPr>
            <w:tcW w:w="1345" w:type="dxa"/>
            <w:vAlign w:val="center"/>
          </w:tcPr>
          <w:p w14:paraId="001761AA" w14:textId="77777777" w:rsidR="00D8645B" w:rsidRDefault="00D8645B" w:rsidP="00664D46">
            <w:pPr>
              <w:spacing w:line="360" w:lineRule="auto"/>
              <w:jc w:val="center"/>
            </w:pPr>
            <w:r>
              <w:t>Seed9</w:t>
            </w:r>
          </w:p>
        </w:tc>
        <w:tc>
          <w:tcPr>
            <w:tcW w:w="2610" w:type="dxa"/>
            <w:vAlign w:val="center"/>
          </w:tcPr>
          <w:p w14:paraId="1C0A613F" w14:textId="77777777" w:rsidR="00D8645B" w:rsidRDefault="00D8645B" w:rsidP="00664D46">
            <w:pPr>
              <w:spacing w:line="360" w:lineRule="auto"/>
              <w:jc w:val="center"/>
            </w:pPr>
            <w:r>
              <w:t>17422</w:t>
            </w:r>
          </w:p>
        </w:tc>
        <w:tc>
          <w:tcPr>
            <w:tcW w:w="2430" w:type="dxa"/>
            <w:vAlign w:val="center"/>
          </w:tcPr>
          <w:p w14:paraId="554160FD" w14:textId="77777777" w:rsidR="00D8645B" w:rsidRDefault="00D8645B" w:rsidP="00664D46">
            <w:pPr>
              <w:spacing w:line="360" w:lineRule="auto"/>
              <w:jc w:val="center"/>
            </w:pPr>
            <w:r>
              <w:t>11576</w:t>
            </w:r>
          </w:p>
        </w:tc>
        <w:tc>
          <w:tcPr>
            <w:tcW w:w="2965" w:type="dxa"/>
            <w:vAlign w:val="center"/>
          </w:tcPr>
          <w:p w14:paraId="4832ACBE" w14:textId="77777777" w:rsidR="00D8645B" w:rsidRDefault="00D8645B" w:rsidP="00664D46">
            <w:pPr>
              <w:spacing w:line="360" w:lineRule="auto"/>
              <w:jc w:val="center"/>
            </w:pPr>
            <w:r>
              <w:t>11494</w:t>
            </w:r>
          </w:p>
        </w:tc>
      </w:tr>
      <w:tr w:rsidR="00D8645B" w14:paraId="224B1888" w14:textId="77777777" w:rsidTr="00664D46">
        <w:tc>
          <w:tcPr>
            <w:tcW w:w="1345" w:type="dxa"/>
            <w:vAlign w:val="center"/>
          </w:tcPr>
          <w:p w14:paraId="05BD8182" w14:textId="77777777" w:rsidR="00D8645B" w:rsidRDefault="00D8645B" w:rsidP="00664D46">
            <w:pPr>
              <w:spacing w:line="360" w:lineRule="auto"/>
              <w:jc w:val="center"/>
            </w:pPr>
            <w:r>
              <w:t>Seed10</w:t>
            </w:r>
          </w:p>
        </w:tc>
        <w:tc>
          <w:tcPr>
            <w:tcW w:w="2610" w:type="dxa"/>
            <w:vAlign w:val="center"/>
          </w:tcPr>
          <w:p w14:paraId="521E06AE" w14:textId="77777777" w:rsidR="00D8645B" w:rsidRDefault="00D8645B" w:rsidP="00664D46">
            <w:pPr>
              <w:spacing w:line="360" w:lineRule="auto"/>
              <w:jc w:val="center"/>
            </w:pPr>
            <w:r>
              <w:t>17517</w:t>
            </w:r>
          </w:p>
        </w:tc>
        <w:tc>
          <w:tcPr>
            <w:tcW w:w="2430" w:type="dxa"/>
            <w:vAlign w:val="center"/>
          </w:tcPr>
          <w:p w14:paraId="64F332BA" w14:textId="77777777" w:rsidR="00D8645B" w:rsidRDefault="00D8645B" w:rsidP="00664D46">
            <w:pPr>
              <w:spacing w:line="360" w:lineRule="auto"/>
              <w:jc w:val="center"/>
            </w:pPr>
            <w:r>
              <w:t>11647</w:t>
            </w:r>
          </w:p>
        </w:tc>
        <w:tc>
          <w:tcPr>
            <w:tcW w:w="2965" w:type="dxa"/>
            <w:vAlign w:val="center"/>
          </w:tcPr>
          <w:p w14:paraId="60EDEA87" w14:textId="77777777" w:rsidR="00D8645B" w:rsidRDefault="00D8645B" w:rsidP="00664D46">
            <w:pPr>
              <w:spacing w:line="360" w:lineRule="auto"/>
              <w:jc w:val="center"/>
            </w:pPr>
            <w:r>
              <w:t>11542</w:t>
            </w:r>
          </w:p>
        </w:tc>
      </w:tr>
      <w:tr w:rsidR="00D8645B" w14:paraId="6A13DC2C" w14:textId="77777777" w:rsidTr="00664D46">
        <w:tc>
          <w:tcPr>
            <w:tcW w:w="1345" w:type="dxa"/>
            <w:vAlign w:val="center"/>
          </w:tcPr>
          <w:p w14:paraId="35F8EAEE" w14:textId="77777777" w:rsidR="00D8645B" w:rsidRPr="00106DBD" w:rsidRDefault="00D8645B" w:rsidP="00664D46">
            <w:pPr>
              <w:spacing w:line="360" w:lineRule="auto"/>
              <w:jc w:val="center"/>
              <w:rPr>
                <w:b/>
              </w:rPr>
            </w:pPr>
            <w:r>
              <w:rPr>
                <w:b/>
              </w:rPr>
              <w:t>Average</w:t>
            </w:r>
          </w:p>
        </w:tc>
        <w:tc>
          <w:tcPr>
            <w:tcW w:w="2610" w:type="dxa"/>
            <w:vAlign w:val="center"/>
          </w:tcPr>
          <w:p w14:paraId="295977EA" w14:textId="77777777" w:rsidR="00D8645B" w:rsidRPr="00106DBD" w:rsidRDefault="00D8645B" w:rsidP="00664D46">
            <w:pPr>
              <w:spacing w:line="360" w:lineRule="auto"/>
              <w:jc w:val="center"/>
              <w:rPr>
                <w:b/>
              </w:rPr>
            </w:pPr>
            <w:r>
              <w:rPr>
                <w:b/>
              </w:rPr>
              <w:t>17514</w:t>
            </w:r>
          </w:p>
        </w:tc>
        <w:tc>
          <w:tcPr>
            <w:tcW w:w="2430" w:type="dxa"/>
            <w:vAlign w:val="center"/>
          </w:tcPr>
          <w:p w14:paraId="685A2279" w14:textId="77777777" w:rsidR="00D8645B" w:rsidRPr="00106DBD" w:rsidRDefault="00D8645B" w:rsidP="00664D46">
            <w:pPr>
              <w:spacing w:line="360" w:lineRule="auto"/>
              <w:jc w:val="center"/>
              <w:rPr>
                <w:b/>
              </w:rPr>
            </w:pPr>
            <w:r>
              <w:rPr>
                <w:b/>
              </w:rPr>
              <w:t>11649</w:t>
            </w:r>
          </w:p>
        </w:tc>
        <w:tc>
          <w:tcPr>
            <w:tcW w:w="2965" w:type="dxa"/>
            <w:vAlign w:val="center"/>
          </w:tcPr>
          <w:p w14:paraId="64E96D52" w14:textId="77777777" w:rsidR="00D8645B" w:rsidRPr="00106DBD" w:rsidRDefault="00D8645B" w:rsidP="00664D46">
            <w:pPr>
              <w:spacing w:line="360" w:lineRule="auto"/>
              <w:jc w:val="center"/>
              <w:rPr>
                <w:b/>
              </w:rPr>
            </w:pPr>
            <w:r>
              <w:rPr>
                <w:b/>
              </w:rPr>
              <w:t>11549</w:t>
            </w:r>
          </w:p>
        </w:tc>
      </w:tr>
      <w:tr w:rsidR="00D8645B" w14:paraId="36C4B98A" w14:textId="77777777" w:rsidTr="00664D46">
        <w:tc>
          <w:tcPr>
            <w:tcW w:w="1345" w:type="dxa"/>
            <w:vAlign w:val="center"/>
          </w:tcPr>
          <w:p w14:paraId="16F267B7" w14:textId="77777777" w:rsidR="00D8645B" w:rsidRPr="00106DBD" w:rsidRDefault="00D8645B" w:rsidP="00664D46">
            <w:pPr>
              <w:spacing w:line="360" w:lineRule="auto"/>
              <w:jc w:val="center"/>
              <w:rPr>
                <w:b/>
              </w:rPr>
            </w:pPr>
            <w:r>
              <w:rPr>
                <w:b/>
              </w:rPr>
              <w:lastRenderedPageBreak/>
              <w:t>Standard Error</w:t>
            </w:r>
          </w:p>
        </w:tc>
        <w:tc>
          <w:tcPr>
            <w:tcW w:w="2610" w:type="dxa"/>
            <w:vAlign w:val="center"/>
          </w:tcPr>
          <w:p w14:paraId="6C81A840" w14:textId="77777777" w:rsidR="00D8645B" w:rsidRPr="00106DBD" w:rsidRDefault="00D8645B" w:rsidP="00664D46">
            <w:pPr>
              <w:spacing w:line="360" w:lineRule="auto"/>
              <w:jc w:val="center"/>
              <w:rPr>
                <w:b/>
              </w:rPr>
            </w:pPr>
            <w:r>
              <w:rPr>
                <w:b/>
              </w:rPr>
              <w:t>82</w:t>
            </w:r>
          </w:p>
        </w:tc>
        <w:tc>
          <w:tcPr>
            <w:tcW w:w="2430" w:type="dxa"/>
            <w:vAlign w:val="center"/>
          </w:tcPr>
          <w:p w14:paraId="4520981C" w14:textId="77777777" w:rsidR="00D8645B" w:rsidRPr="00106DBD" w:rsidRDefault="00D8645B" w:rsidP="00664D46">
            <w:pPr>
              <w:spacing w:line="360" w:lineRule="auto"/>
              <w:jc w:val="center"/>
              <w:rPr>
                <w:b/>
              </w:rPr>
            </w:pPr>
            <w:r>
              <w:rPr>
                <w:b/>
              </w:rPr>
              <w:t>54</w:t>
            </w:r>
          </w:p>
        </w:tc>
        <w:tc>
          <w:tcPr>
            <w:tcW w:w="2965" w:type="dxa"/>
            <w:vAlign w:val="center"/>
          </w:tcPr>
          <w:p w14:paraId="0E784391" w14:textId="77777777" w:rsidR="00D8645B" w:rsidRPr="00106DBD" w:rsidRDefault="00D8645B" w:rsidP="00664D46">
            <w:pPr>
              <w:spacing w:line="360" w:lineRule="auto"/>
              <w:jc w:val="center"/>
              <w:rPr>
                <w:b/>
              </w:rPr>
            </w:pPr>
            <w:r>
              <w:rPr>
                <w:b/>
              </w:rPr>
              <w:t>51</w:t>
            </w:r>
          </w:p>
        </w:tc>
      </w:tr>
      <w:tr w:rsidR="00D8645B" w14:paraId="23E69B9D" w14:textId="77777777" w:rsidTr="00664D46">
        <w:tc>
          <w:tcPr>
            <w:tcW w:w="1345" w:type="dxa"/>
            <w:vAlign w:val="center"/>
          </w:tcPr>
          <w:p w14:paraId="340EAEE3" w14:textId="77777777" w:rsidR="00D8645B" w:rsidRPr="00106DBD" w:rsidRDefault="00D8645B" w:rsidP="00664D46">
            <w:pPr>
              <w:spacing w:line="360" w:lineRule="auto"/>
              <w:jc w:val="center"/>
              <w:rPr>
                <w:b/>
              </w:rPr>
            </w:pPr>
            <w:r>
              <w:rPr>
                <w:b/>
              </w:rPr>
              <w:t>Standard Error/Average</w:t>
            </w:r>
          </w:p>
        </w:tc>
        <w:tc>
          <w:tcPr>
            <w:tcW w:w="2610" w:type="dxa"/>
            <w:vAlign w:val="center"/>
          </w:tcPr>
          <w:p w14:paraId="32580671" w14:textId="77777777" w:rsidR="00D8645B" w:rsidRPr="00106DBD" w:rsidRDefault="00D8645B" w:rsidP="00664D46">
            <w:pPr>
              <w:spacing w:line="360" w:lineRule="auto"/>
              <w:jc w:val="center"/>
              <w:rPr>
                <w:b/>
              </w:rPr>
            </w:pPr>
            <w:r>
              <w:rPr>
                <w:b/>
              </w:rPr>
              <w:t>0.47%</w:t>
            </w:r>
          </w:p>
        </w:tc>
        <w:tc>
          <w:tcPr>
            <w:tcW w:w="2430" w:type="dxa"/>
            <w:vAlign w:val="center"/>
          </w:tcPr>
          <w:p w14:paraId="75FBFDEE" w14:textId="77777777" w:rsidR="00D8645B" w:rsidRPr="00106DBD" w:rsidRDefault="00D8645B" w:rsidP="00664D46">
            <w:pPr>
              <w:spacing w:line="360" w:lineRule="auto"/>
              <w:jc w:val="center"/>
              <w:rPr>
                <w:b/>
              </w:rPr>
            </w:pPr>
            <w:r>
              <w:rPr>
                <w:b/>
              </w:rPr>
              <w:t>0.47%</w:t>
            </w:r>
          </w:p>
        </w:tc>
        <w:tc>
          <w:tcPr>
            <w:tcW w:w="2965" w:type="dxa"/>
            <w:vAlign w:val="center"/>
          </w:tcPr>
          <w:p w14:paraId="5F498E57" w14:textId="77777777" w:rsidR="00D8645B" w:rsidRPr="00106DBD" w:rsidRDefault="00D8645B" w:rsidP="00664D46">
            <w:pPr>
              <w:spacing w:line="360" w:lineRule="auto"/>
              <w:jc w:val="center"/>
              <w:rPr>
                <w:b/>
              </w:rPr>
            </w:pPr>
            <w:r>
              <w:rPr>
                <w:b/>
              </w:rPr>
              <w:t>0.44%</w:t>
            </w:r>
          </w:p>
        </w:tc>
      </w:tr>
    </w:tbl>
    <w:p w14:paraId="60ECA11D" w14:textId="77777777" w:rsidR="00D8645B" w:rsidRPr="00106DBD" w:rsidRDefault="00D8645B" w:rsidP="00D8645B">
      <w:pPr>
        <w:spacing w:line="360" w:lineRule="auto"/>
      </w:pPr>
    </w:p>
    <w:p w14:paraId="70EDAF85" w14:textId="77777777" w:rsidR="00D8645B" w:rsidRPr="00106DBD" w:rsidRDefault="00D8645B" w:rsidP="0060309E">
      <w:pPr>
        <w:pStyle w:val="ListParagraph"/>
        <w:numPr>
          <w:ilvl w:val="0"/>
          <w:numId w:val="24"/>
        </w:numPr>
        <w:spacing w:after="160" w:line="360" w:lineRule="auto"/>
      </w:pPr>
      <w:r w:rsidRPr="00106DBD">
        <w:rPr>
          <w:u w:val="single"/>
        </w:rPr>
        <w:t>Other Measures</w:t>
      </w:r>
      <w:r w:rsidRPr="00106DBD">
        <w:t xml:space="preserve">: </w:t>
      </w:r>
      <w:r>
        <w:t>As a basic sanity check on the marginal RC calculation, the sum of the ICG businesses marginal RC’s to the ICG is compared against ICG standalone RC. As shown in the table below, the sum $11,655MM matches the ICG standalone RC seen earlier.</w:t>
      </w:r>
    </w:p>
    <w:p w14:paraId="69738749" w14:textId="77777777" w:rsidR="00D8645B" w:rsidRDefault="00D8645B" w:rsidP="0060309E">
      <w:pPr>
        <w:pStyle w:val="ListParagraph"/>
        <w:numPr>
          <w:ilvl w:val="0"/>
          <w:numId w:val="24"/>
        </w:numPr>
        <w:spacing w:after="160" w:line="360" w:lineRule="auto"/>
      </w:pPr>
      <w:r>
        <w:rPr>
          <w:u w:val="single"/>
        </w:rPr>
        <w:t>Marginal</w:t>
      </w:r>
      <w:r w:rsidRPr="00111089">
        <w:rPr>
          <w:u w:val="single"/>
        </w:rPr>
        <w:t xml:space="preserve"> RC ($MM) </w:t>
      </w:r>
      <w:r>
        <w:rPr>
          <w:u w:val="single"/>
        </w:rPr>
        <w:t>to BHC-ICG</w:t>
      </w:r>
      <w:r>
        <w:t>:</w:t>
      </w:r>
    </w:p>
    <w:tbl>
      <w:tblPr>
        <w:tblStyle w:val="TableGrid"/>
        <w:tblW w:w="0" w:type="auto"/>
        <w:tblLook w:val="04A0" w:firstRow="1" w:lastRow="0" w:firstColumn="1" w:lastColumn="0" w:noHBand="0" w:noVBand="1"/>
      </w:tblPr>
      <w:tblGrid>
        <w:gridCol w:w="1558"/>
        <w:gridCol w:w="1558"/>
        <w:gridCol w:w="1558"/>
        <w:gridCol w:w="2431"/>
      </w:tblGrid>
      <w:tr w:rsidR="00D8645B" w14:paraId="6490A8ED" w14:textId="77777777" w:rsidTr="00664D46">
        <w:tc>
          <w:tcPr>
            <w:tcW w:w="1558" w:type="dxa"/>
            <w:vAlign w:val="center"/>
          </w:tcPr>
          <w:p w14:paraId="1019F309" w14:textId="77777777" w:rsidR="00D8645B" w:rsidRPr="001F0477" w:rsidRDefault="00D8645B" w:rsidP="00664D46">
            <w:pPr>
              <w:spacing w:line="360" w:lineRule="auto"/>
              <w:jc w:val="center"/>
              <w:rPr>
                <w:b/>
              </w:rPr>
            </w:pPr>
            <w:r>
              <w:rPr>
                <w:b/>
              </w:rPr>
              <w:t>Group</w:t>
            </w:r>
          </w:p>
        </w:tc>
        <w:tc>
          <w:tcPr>
            <w:tcW w:w="1558" w:type="dxa"/>
            <w:vAlign w:val="center"/>
          </w:tcPr>
          <w:p w14:paraId="4E8D48E1" w14:textId="77777777" w:rsidR="00D8645B" w:rsidRPr="001F0477" w:rsidRDefault="00D8645B" w:rsidP="00664D46">
            <w:pPr>
              <w:spacing w:line="360" w:lineRule="auto"/>
              <w:jc w:val="center"/>
              <w:rPr>
                <w:b/>
              </w:rPr>
            </w:pPr>
            <w:r>
              <w:rPr>
                <w:b/>
              </w:rPr>
              <w:t>Product</w:t>
            </w:r>
          </w:p>
        </w:tc>
        <w:tc>
          <w:tcPr>
            <w:tcW w:w="1558" w:type="dxa"/>
            <w:vAlign w:val="center"/>
          </w:tcPr>
          <w:p w14:paraId="1D31CAD0" w14:textId="77777777" w:rsidR="00D8645B" w:rsidRPr="001F0477" w:rsidRDefault="00D8645B" w:rsidP="00664D46">
            <w:pPr>
              <w:spacing w:line="360" w:lineRule="auto"/>
              <w:jc w:val="center"/>
              <w:rPr>
                <w:b/>
              </w:rPr>
            </w:pPr>
            <w:r>
              <w:rPr>
                <w:b/>
              </w:rPr>
              <w:t>Business</w:t>
            </w:r>
          </w:p>
        </w:tc>
        <w:tc>
          <w:tcPr>
            <w:tcW w:w="2431" w:type="dxa"/>
            <w:vAlign w:val="center"/>
          </w:tcPr>
          <w:p w14:paraId="1A3E56B2" w14:textId="77777777" w:rsidR="00D8645B" w:rsidRPr="001F0477" w:rsidRDefault="00D8645B" w:rsidP="00664D46">
            <w:pPr>
              <w:spacing w:line="360" w:lineRule="auto"/>
              <w:jc w:val="center"/>
              <w:rPr>
                <w:b/>
              </w:rPr>
            </w:pPr>
            <w:r>
              <w:rPr>
                <w:b/>
              </w:rPr>
              <w:t>Marginal RC to ICG</w:t>
            </w:r>
          </w:p>
        </w:tc>
      </w:tr>
      <w:tr w:rsidR="00D8645B" w14:paraId="055E6EDD" w14:textId="77777777" w:rsidTr="00664D46">
        <w:tc>
          <w:tcPr>
            <w:tcW w:w="1558" w:type="dxa"/>
            <w:vMerge w:val="restart"/>
            <w:vAlign w:val="center"/>
          </w:tcPr>
          <w:p w14:paraId="1CAD8A21" w14:textId="77777777" w:rsidR="00D8645B" w:rsidRDefault="00D8645B" w:rsidP="00664D46">
            <w:pPr>
              <w:spacing w:line="360" w:lineRule="auto"/>
              <w:jc w:val="center"/>
            </w:pPr>
            <w:r>
              <w:t>BHC - ICG</w:t>
            </w:r>
          </w:p>
        </w:tc>
        <w:tc>
          <w:tcPr>
            <w:tcW w:w="1558" w:type="dxa"/>
            <w:vAlign w:val="center"/>
          </w:tcPr>
          <w:p w14:paraId="4898DB65" w14:textId="77777777" w:rsidR="00D8645B" w:rsidRDefault="00D8645B" w:rsidP="00664D46">
            <w:pPr>
              <w:spacing w:line="360" w:lineRule="auto"/>
              <w:jc w:val="center"/>
            </w:pPr>
            <w:r>
              <w:t>Advisory</w:t>
            </w:r>
          </w:p>
        </w:tc>
        <w:tc>
          <w:tcPr>
            <w:tcW w:w="1558" w:type="dxa"/>
            <w:vAlign w:val="center"/>
          </w:tcPr>
          <w:p w14:paraId="2B258F81" w14:textId="77777777" w:rsidR="00D8645B" w:rsidRDefault="00D8645B" w:rsidP="00664D46">
            <w:pPr>
              <w:spacing w:line="360" w:lineRule="auto"/>
              <w:jc w:val="center"/>
            </w:pPr>
            <w:r>
              <w:t>Advisory</w:t>
            </w:r>
          </w:p>
        </w:tc>
        <w:tc>
          <w:tcPr>
            <w:tcW w:w="2431" w:type="dxa"/>
            <w:vAlign w:val="center"/>
          </w:tcPr>
          <w:p w14:paraId="5AFF0B39" w14:textId="77777777" w:rsidR="00D8645B" w:rsidRDefault="00D8645B" w:rsidP="00664D46">
            <w:pPr>
              <w:spacing w:line="360" w:lineRule="auto"/>
              <w:jc w:val="center"/>
            </w:pPr>
            <w:r>
              <w:t>0</w:t>
            </w:r>
          </w:p>
        </w:tc>
      </w:tr>
      <w:tr w:rsidR="00D8645B" w14:paraId="1052647D" w14:textId="77777777" w:rsidTr="00664D46">
        <w:tc>
          <w:tcPr>
            <w:tcW w:w="1558" w:type="dxa"/>
            <w:vMerge/>
            <w:vAlign w:val="center"/>
          </w:tcPr>
          <w:p w14:paraId="12CFD002" w14:textId="77777777" w:rsidR="00D8645B" w:rsidRDefault="00D8645B" w:rsidP="00664D46">
            <w:pPr>
              <w:spacing w:line="360" w:lineRule="auto"/>
              <w:jc w:val="center"/>
            </w:pPr>
          </w:p>
        </w:tc>
        <w:tc>
          <w:tcPr>
            <w:tcW w:w="1558" w:type="dxa"/>
            <w:vAlign w:val="center"/>
          </w:tcPr>
          <w:p w14:paraId="496B8749" w14:textId="77777777" w:rsidR="00D8645B" w:rsidRDefault="00D8645B" w:rsidP="00664D46">
            <w:pPr>
              <w:spacing w:line="360" w:lineRule="auto"/>
              <w:jc w:val="center"/>
            </w:pPr>
            <w:r>
              <w:t>CAI</w:t>
            </w:r>
          </w:p>
        </w:tc>
        <w:tc>
          <w:tcPr>
            <w:tcW w:w="1558" w:type="dxa"/>
            <w:vAlign w:val="center"/>
          </w:tcPr>
          <w:p w14:paraId="3D31DBF4" w14:textId="77777777" w:rsidR="00D8645B" w:rsidRDefault="00D8645B" w:rsidP="00664D46">
            <w:pPr>
              <w:spacing w:line="360" w:lineRule="auto"/>
              <w:jc w:val="center"/>
            </w:pPr>
            <w:r>
              <w:t>CAI</w:t>
            </w:r>
          </w:p>
        </w:tc>
        <w:tc>
          <w:tcPr>
            <w:tcW w:w="2431" w:type="dxa"/>
            <w:vAlign w:val="center"/>
          </w:tcPr>
          <w:p w14:paraId="3CCFF0B7" w14:textId="77777777" w:rsidR="00D8645B" w:rsidRDefault="00D8645B" w:rsidP="00664D46">
            <w:pPr>
              <w:spacing w:line="360" w:lineRule="auto"/>
              <w:jc w:val="center"/>
            </w:pPr>
            <w:r>
              <w:t>1</w:t>
            </w:r>
          </w:p>
        </w:tc>
      </w:tr>
      <w:tr w:rsidR="00D8645B" w14:paraId="7741832F" w14:textId="77777777" w:rsidTr="00664D46">
        <w:tc>
          <w:tcPr>
            <w:tcW w:w="1558" w:type="dxa"/>
            <w:vMerge/>
            <w:vAlign w:val="center"/>
          </w:tcPr>
          <w:p w14:paraId="43E5D83E" w14:textId="77777777" w:rsidR="00D8645B" w:rsidRDefault="00D8645B" w:rsidP="00664D46">
            <w:pPr>
              <w:spacing w:line="360" w:lineRule="auto"/>
              <w:jc w:val="center"/>
            </w:pPr>
          </w:p>
        </w:tc>
        <w:tc>
          <w:tcPr>
            <w:tcW w:w="1558" w:type="dxa"/>
            <w:vAlign w:val="center"/>
          </w:tcPr>
          <w:p w14:paraId="63A58B47" w14:textId="77777777" w:rsidR="00D8645B" w:rsidRDefault="00D8645B" w:rsidP="00664D46">
            <w:pPr>
              <w:spacing w:line="360" w:lineRule="auto"/>
              <w:jc w:val="center"/>
            </w:pPr>
            <w:r>
              <w:t>Commodities</w:t>
            </w:r>
          </w:p>
        </w:tc>
        <w:tc>
          <w:tcPr>
            <w:tcW w:w="1558" w:type="dxa"/>
            <w:vAlign w:val="center"/>
          </w:tcPr>
          <w:p w14:paraId="60DD0AF1" w14:textId="77777777" w:rsidR="00D8645B" w:rsidRDefault="00D8645B" w:rsidP="00664D46">
            <w:pPr>
              <w:spacing w:line="360" w:lineRule="auto"/>
              <w:jc w:val="center"/>
            </w:pPr>
            <w:r>
              <w:t>Commodities Houston</w:t>
            </w:r>
          </w:p>
        </w:tc>
        <w:tc>
          <w:tcPr>
            <w:tcW w:w="2431" w:type="dxa"/>
            <w:vAlign w:val="center"/>
          </w:tcPr>
          <w:p w14:paraId="1AF9ABD3" w14:textId="77777777" w:rsidR="00D8645B" w:rsidRDefault="00D8645B" w:rsidP="00664D46">
            <w:pPr>
              <w:spacing w:line="360" w:lineRule="auto"/>
              <w:jc w:val="center"/>
            </w:pPr>
            <w:r>
              <w:t>-1078</w:t>
            </w:r>
          </w:p>
        </w:tc>
      </w:tr>
      <w:tr w:rsidR="00D8645B" w14:paraId="45053936" w14:textId="77777777" w:rsidTr="00664D46">
        <w:tc>
          <w:tcPr>
            <w:tcW w:w="1558" w:type="dxa"/>
            <w:vMerge/>
            <w:vAlign w:val="center"/>
          </w:tcPr>
          <w:p w14:paraId="2752917F" w14:textId="77777777" w:rsidR="00D8645B" w:rsidRDefault="00D8645B" w:rsidP="00664D46">
            <w:pPr>
              <w:spacing w:line="360" w:lineRule="auto"/>
              <w:jc w:val="center"/>
            </w:pPr>
          </w:p>
        </w:tc>
        <w:tc>
          <w:tcPr>
            <w:tcW w:w="1558" w:type="dxa"/>
            <w:vMerge w:val="restart"/>
            <w:vAlign w:val="center"/>
          </w:tcPr>
          <w:p w14:paraId="25A46C83" w14:textId="77777777" w:rsidR="00D8645B" w:rsidRDefault="00D8645B" w:rsidP="00664D46">
            <w:pPr>
              <w:spacing w:line="360" w:lineRule="auto"/>
              <w:jc w:val="center"/>
            </w:pPr>
            <w:r>
              <w:t>Credit</w:t>
            </w:r>
          </w:p>
        </w:tc>
        <w:tc>
          <w:tcPr>
            <w:tcW w:w="1558" w:type="dxa"/>
            <w:vAlign w:val="center"/>
          </w:tcPr>
          <w:p w14:paraId="2FE399FC" w14:textId="77777777" w:rsidR="00D8645B" w:rsidRDefault="00D8645B" w:rsidP="00664D46">
            <w:pPr>
              <w:spacing w:line="360" w:lineRule="auto"/>
              <w:jc w:val="center"/>
            </w:pPr>
            <w:r>
              <w:t>Credit Trading</w:t>
            </w:r>
          </w:p>
        </w:tc>
        <w:tc>
          <w:tcPr>
            <w:tcW w:w="2431" w:type="dxa"/>
            <w:vAlign w:val="center"/>
          </w:tcPr>
          <w:p w14:paraId="49971B75" w14:textId="77777777" w:rsidR="00D8645B" w:rsidRDefault="00D8645B" w:rsidP="00664D46">
            <w:pPr>
              <w:spacing w:line="360" w:lineRule="auto"/>
              <w:jc w:val="center"/>
            </w:pPr>
            <w:r>
              <w:t>316</w:t>
            </w:r>
          </w:p>
        </w:tc>
      </w:tr>
      <w:tr w:rsidR="00D8645B" w14:paraId="03B5886F" w14:textId="77777777" w:rsidTr="00664D46">
        <w:tc>
          <w:tcPr>
            <w:tcW w:w="1558" w:type="dxa"/>
            <w:vMerge/>
            <w:vAlign w:val="center"/>
          </w:tcPr>
          <w:p w14:paraId="7470A10F" w14:textId="77777777" w:rsidR="00D8645B" w:rsidRDefault="00D8645B" w:rsidP="00664D46">
            <w:pPr>
              <w:spacing w:line="360" w:lineRule="auto"/>
              <w:jc w:val="center"/>
            </w:pPr>
          </w:p>
        </w:tc>
        <w:tc>
          <w:tcPr>
            <w:tcW w:w="1558" w:type="dxa"/>
            <w:vMerge/>
            <w:vAlign w:val="center"/>
          </w:tcPr>
          <w:p w14:paraId="1FDFB17D" w14:textId="77777777" w:rsidR="00D8645B" w:rsidRDefault="00D8645B" w:rsidP="00664D46">
            <w:pPr>
              <w:spacing w:line="360" w:lineRule="auto"/>
              <w:jc w:val="center"/>
            </w:pPr>
          </w:p>
        </w:tc>
        <w:tc>
          <w:tcPr>
            <w:tcW w:w="1558" w:type="dxa"/>
            <w:vAlign w:val="center"/>
          </w:tcPr>
          <w:p w14:paraId="63A8D7C2" w14:textId="77777777" w:rsidR="00D8645B" w:rsidRDefault="00D8645B" w:rsidP="00664D46">
            <w:pPr>
              <w:spacing w:line="360" w:lineRule="auto"/>
              <w:jc w:val="center"/>
            </w:pPr>
            <w:r>
              <w:t>Distressed</w:t>
            </w:r>
          </w:p>
        </w:tc>
        <w:tc>
          <w:tcPr>
            <w:tcW w:w="2431" w:type="dxa"/>
            <w:vAlign w:val="center"/>
          </w:tcPr>
          <w:p w14:paraId="5F6A1507" w14:textId="77777777" w:rsidR="00D8645B" w:rsidRDefault="00D8645B" w:rsidP="00664D46">
            <w:pPr>
              <w:spacing w:line="360" w:lineRule="auto"/>
              <w:jc w:val="center"/>
            </w:pPr>
            <w:r>
              <w:t>47</w:t>
            </w:r>
          </w:p>
        </w:tc>
      </w:tr>
      <w:tr w:rsidR="00D8645B" w14:paraId="7809EB6B" w14:textId="77777777" w:rsidTr="00664D46">
        <w:tc>
          <w:tcPr>
            <w:tcW w:w="1558" w:type="dxa"/>
            <w:vMerge/>
            <w:vAlign w:val="center"/>
          </w:tcPr>
          <w:p w14:paraId="663FCA76" w14:textId="77777777" w:rsidR="00D8645B" w:rsidRDefault="00D8645B" w:rsidP="00664D46">
            <w:pPr>
              <w:spacing w:line="360" w:lineRule="auto"/>
              <w:jc w:val="center"/>
            </w:pPr>
          </w:p>
        </w:tc>
        <w:tc>
          <w:tcPr>
            <w:tcW w:w="1558" w:type="dxa"/>
            <w:vMerge/>
            <w:vAlign w:val="center"/>
          </w:tcPr>
          <w:p w14:paraId="3846FD4A" w14:textId="77777777" w:rsidR="00D8645B" w:rsidRDefault="00D8645B" w:rsidP="00664D46">
            <w:pPr>
              <w:spacing w:line="360" w:lineRule="auto"/>
              <w:jc w:val="center"/>
            </w:pPr>
          </w:p>
        </w:tc>
        <w:tc>
          <w:tcPr>
            <w:tcW w:w="1558" w:type="dxa"/>
            <w:vAlign w:val="center"/>
          </w:tcPr>
          <w:p w14:paraId="166FD35B" w14:textId="77777777" w:rsidR="00D8645B" w:rsidRDefault="00D8645B" w:rsidP="00664D46">
            <w:pPr>
              <w:spacing w:line="360" w:lineRule="auto"/>
              <w:jc w:val="center"/>
            </w:pPr>
            <w:r>
              <w:t>EM Credit Trading</w:t>
            </w:r>
          </w:p>
        </w:tc>
        <w:tc>
          <w:tcPr>
            <w:tcW w:w="2431" w:type="dxa"/>
            <w:vAlign w:val="center"/>
          </w:tcPr>
          <w:p w14:paraId="5B0C0ADF" w14:textId="77777777" w:rsidR="00D8645B" w:rsidRDefault="00D8645B" w:rsidP="00664D46">
            <w:pPr>
              <w:spacing w:line="360" w:lineRule="auto"/>
              <w:jc w:val="center"/>
            </w:pPr>
            <w:r>
              <w:t>301</w:t>
            </w:r>
          </w:p>
        </w:tc>
      </w:tr>
      <w:tr w:rsidR="00D8645B" w14:paraId="49E50652" w14:textId="77777777" w:rsidTr="00664D46">
        <w:tc>
          <w:tcPr>
            <w:tcW w:w="1558" w:type="dxa"/>
            <w:vMerge/>
            <w:vAlign w:val="center"/>
          </w:tcPr>
          <w:p w14:paraId="2F9962FB" w14:textId="77777777" w:rsidR="00D8645B" w:rsidRDefault="00D8645B" w:rsidP="00664D46">
            <w:pPr>
              <w:spacing w:line="360" w:lineRule="auto"/>
              <w:jc w:val="center"/>
            </w:pPr>
          </w:p>
        </w:tc>
        <w:tc>
          <w:tcPr>
            <w:tcW w:w="1558" w:type="dxa"/>
            <w:vMerge/>
            <w:vAlign w:val="center"/>
          </w:tcPr>
          <w:p w14:paraId="2A76FB72" w14:textId="77777777" w:rsidR="00D8645B" w:rsidRDefault="00D8645B" w:rsidP="00664D46">
            <w:pPr>
              <w:spacing w:line="360" w:lineRule="auto"/>
              <w:jc w:val="center"/>
            </w:pPr>
          </w:p>
        </w:tc>
        <w:tc>
          <w:tcPr>
            <w:tcW w:w="1558" w:type="dxa"/>
            <w:vAlign w:val="center"/>
          </w:tcPr>
          <w:p w14:paraId="31990A19" w14:textId="77777777" w:rsidR="00D8645B" w:rsidRDefault="00D8645B" w:rsidP="00664D46">
            <w:pPr>
              <w:spacing w:line="360" w:lineRule="auto"/>
              <w:jc w:val="center"/>
            </w:pPr>
            <w:r>
              <w:t>Credit Macro Hedge</w:t>
            </w:r>
          </w:p>
        </w:tc>
        <w:tc>
          <w:tcPr>
            <w:tcW w:w="2431" w:type="dxa"/>
            <w:vAlign w:val="center"/>
          </w:tcPr>
          <w:p w14:paraId="57253813" w14:textId="77777777" w:rsidR="00D8645B" w:rsidRDefault="00D8645B" w:rsidP="00664D46">
            <w:pPr>
              <w:spacing w:line="360" w:lineRule="auto"/>
              <w:jc w:val="center"/>
            </w:pPr>
            <w:r>
              <w:t>-242</w:t>
            </w:r>
          </w:p>
        </w:tc>
      </w:tr>
      <w:tr w:rsidR="00D8645B" w14:paraId="3269D735" w14:textId="77777777" w:rsidTr="00664D46">
        <w:tc>
          <w:tcPr>
            <w:tcW w:w="1558" w:type="dxa"/>
            <w:vMerge/>
            <w:vAlign w:val="center"/>
          </w:tcPr>
          <w:p w14:paraId="72305453" w14:textId="77777777" w:rsidR="00D8645B" w:rsidRDefault="00D8645B" w:rsidP="00664D46">
            <w:pPr>
              <w:spacing w:line="360" w:lineRule="auto"/>
              <w:jc w:val="center"/>
            </w:pPr>
          </w:p>
        </w:tc>
        <w:tc>
          <w:tcPr>
            <w:tcW w:w="1558" w:type="dxa"/>
            <w:vMerge/>
            <w:vAlign w:val="center"/>
          </w:tcPr>
          <w:p w14:paraId="431FDA81" w14:textId="77777777" w:rsidR="00D8645B" w:rsidRDefault="00D8645B" w:rsidP="00664D46">
            <w:pPr>
              <w:spacing w:line="360" w:lineRule="auto"/>
              <w:jc w:val="center"/>
            </w:pPr>
          </w:p>
        </w:tc>
        <w:tc>
          <w:tcPr>
            <w:tcW w:w="1558" w:type="dxa"/>
            <w:vAlign w:val="center"/>
          </w:tcPr>
          <w:p w14:paraId="380E6580" w14:textId="77777777" w:rsidR="00D8645B" w:rsidRDefault="00D8645B" w:rsidP="00664D46">
            <w:pPr>
              <w:spacing w:line="360" w:lineRule="auto"/>
              <w:jc w:val="center"/>
            </w:pPr>
            <w:r>
              <w:t>PECD</w:t>
            </w:r>
          </w:p>
        </w:tc>
        <w:tc>
          <w:tcPr>
            <w:tcW w:w="2431" w:type="dxa"/>
            <w:vAlign w:val="center"/>
          </w:tcPr>
          <w:p w14:paraId="1B58A2CA" w14:textId="77777777" w:rsidR="00D8645B" w:rsidRDefault="00D8645B" w:rsidP="00664D46">
            <w:pPr>
              <w:spacing w:line="360" w:lineRule="auto"/>
              <w:jc w:val="center"/>
            </w:pPr>
            <w:r>
              <w:t>2148</w:t>
            </w:r>
          </w:p>
        </w:tc>
      </w:tr>
      <w:tr w:rsidR="00D8645B" w14:paraId="54E0E340" w14:textId="77777777" w:rsidTr="00664D46">
        <w:tc>
          <w:tcPr>
            <w:tcW w:w="1558" w:type="dxa"/>
            <w:vMerge/>
            <w:vAlign w:val="center"/>
          </w:tcPr>
          <w:p w14:paraId="2171CC18" w14:textId="77777777" w:rsidR="00D8645B" w:rsidRDefault="00D8645B" w:rsidP="00664D46">
            <w:pPr>
              <w:spacing w:line="360" w:lineRule="auto"/>
              <w:jc w:val="center"/>
            </w:pPr>
          </w:p>
        </w:tc>
        <w:tc>
          <w:tcPr>
            <w:tcW w:w="1558" w:type="dxa"/>
            <w:vMerge/>
            <w:vAlign w:val="center"/>
          </w:tcPr>
          <w:p w14:paraId="25AF8545" w14:textId="77777777" w:rsidR="00D8645B" w:rsidRDefault="00D8645B" w:rsidP="00664D46">
            <w:pPr>
              <w:spacing w:line="360" w:lineRule="auto"/>
              <w:jc w:val="center"/>
            </w:pPr>
          </w:p>
        </w:tc>
        <w:tc>
          <w:tcPr>
            <w:tcW w:w="1558" w:type="dxa"/>
            <w:vAlign w:val="center"/>
          </w:tcPr>
          <w:p w14:paraId="599865A8" w14:textId="77777777" w:rsidR="00D8645B" w:rsidRDefault="00D8645B" w:rsidP="00664D46">
            <w:pPr>
              <w:spacing w:line="360" w:lineRule="auto"/>
              <w:jc w:val="center"/>
            </w:pPr>
            <w:r>
              <w:t>Short Term</w:t>
            </w:r>
          </w:p>
        </w:tc>
        <w:tc>
          <w:tcPr>
            <w:tcW w:w="2431" w:type="dxa"/>
            <w:vAlign w:val="center"/>
          </w:tcPr>
          <w:p w14:paraId="4680C3B5" w14:textId="77777777" w:rsidR="00D8645B" w:rsidRDefault="00D8645B" w:rsidP="00664D46">
            <w:pPr>
              <w:spacing w:line="360" w:lineRule="auto"/>
              <w:jc w:val="center"/>
            </w:pPr>
            <w:r>
              <w:t>9</w:t>
            </w:r>
          </w:p>
        </w:tc>
      </w:tr>
      <w:tr w:rsidR="00D8645B" w14:paraId="5573C56D" w14:textId="77777777" w:rsidTr="00664D46">
        <w:tc>
          <w:tcPr>
            <w:tcW w:w="1558" w:type="dxa"/>
            <w:vMerge/>
            <w:vAlign w:val="center"/>
          </w:tcPr>
          <w:p w14:paraId="527AE8B0" w14:textId="77777777" w:rsidR="00D8645B" w:rsidRDefault="00D8645B" w:rsidP="00664D46">
            <w:pPr>
              <w:spacing w:line="360" w:lineRule="auto"/>
              <w:jc w:val="center"/>
            </w:pPr>
          </w:p>
        </w:tc>
        <w:tc>
          <w:tcPr>
            <w:tcW w:w="1558" w:type="dxa"/>
            <w:vMerge/>
            <w:vAlign w:val="center"/>
          </w:tcPr>
          <w:p w14:paraId="503D8AFE" w14:textId="77777777" w:rsidR="00D8645B" w:rsidRDefault="00D8645B" w:rsidP="00664D46">
            <w:pPr>
              <w:spacing w:line="360" w:lineRule="auto"/>
              <w:jc w:val="center"/>
            </w:pPr>
          </w:p>
        </w:tc>
        <w:tc>
          <w:tcPr>
            <w:tcW w:w="1558" w:type="dxa"/>
            <w:vAlign w:val="center"/>
          </w:tcPr>
          <w:p w14:paraId="640A110E" w14:textId="77777777" w:rsidR="00D8645B" w:rsidRDefault="00D8645B" w:rsidP="00664D46">
            <w:pPr>
              <w:spacing w:line="360" w:lineRule="auto"/>
              <w:jc w:val="center"/>
            </w:pPr>
            <w:r>
              <w:t>GSSG West</w:t>
            </w:r>
          </w:p>
        </w:tc>
        <w:tc>
          <w:tcPr>
            <w:tcW w:w="2431" w:type="dxa"/>
            <w:vAlign w:val="center"/>
          </w:tcPr>
          <w:p w14:paraId="713D3DAB" w14:textId="77777777" w:rsidR="00D8645B" w:rsidRDefault="00D8645B" w:rsidP="00664D46">
            <w:pPr>
              <w:spacing w:line="360" w:lineRule="auto"/>
              <w:jc w:val="center"/>
            </w:pPr>
            <w:r>
              <w:t>0</w:t>
            </w:r>
          </w:p>
        </w:tc>
      </w:tr>
      <w:tr w:rsidR="00D8645B" w14:paraId="3CAB8B14" w14:textId="77777777" w:rsidTr="00664D46">
        <w:tc>
          <w:tcPr>
            <w:tcW w:w="1558" w:type="dxa"/>
            <w:vMerge/>
            <w:vAlign w:val="center"/>
          </w:tcPr>
          <w:p w14:paraId="5569CDA0" w14:textId="77777777" w:rsidR="00D8645B" w:rsidRDefault="00D8645B" w:rsidP="00664D46">
            <w:pPr>
              <w:spacing w:line="360" w:lineRule="auto"/>
              <w:jc w:val="center"/>
            </w:pPr>
          </w:p>
        </w:tc>
        <w:tc>
          <w:tcPr>
            <w:tcW w:w="1558" w:type="dxa"/>
            <w:vAlign w:val="center"/>
          </w:tcPr>
          <w:p w14:paraId="57024399" w14:textId="77777777" w:rsidR="00D8645B" w:rsidRDefault="00D8645B" w:rsidP="00664D46">
            <w:pPr>
              <w:spacing w:line="360" w:lineRule="auto"/>
              <w:jc w:val="center"/>
            </w:pPr>
            <w:r>
              <w:t>EM ABF</w:t>
            </w:r>
          </w:p>
        </w:tc>
        <w:tc>
          <w:tcPr>
            <w:tcW w:w="1558" w:type="dxa"/>
            <w:vAlign w:val="center"/>
          </w:tcPr>
          <w:p w14:paraId="0CE82192" w14:textId="77777777" w:rsidR="00D8645B" w:rsidRDefault="00D8645B" w:rsidP="00664D46">
            <w:pPr>
              <w:spacing w:line="360" w:lineRule="auto"/>
              <w:jc w:val="center"/>
            </w:pPr>
            <w:r>
              <w:t>EM ABF</w:t>
            </w:r>
          </w:p>
        </w:tc>
        <w:tc>
          <w:tcPr>
            <w:tcW w:w="2431" w:type="dxa"/>
            <w:vAlign w:val="center"/>
          </w:tcPr>
          <w:p w14:paraId="405CA17A" w14:textId="77777777" w:rsidR="00D8645B" w:rsidRDefault="00D8645B" w:rsidP="00664D46">
            <w:pPr>
              <w:spacing w:line="360" w:lineRule="auto"/>
              <w:jc w:val="center"/>
            </w:pPr>
            <w:r>
              <w:t>0</w:t>
            </w:r>
          </w:p>
        </w:tc>
      </w:tr>
      <w:tr w:rsidR="00D8645B" w14:paraId="5CF05F09" w14:textId="77777777" w:rsidTr="00664D46">
        <w:tc>
          <w:tcPr>
            <w:tcW w:w="1558" w:type="dxa"/>
            <w:vMerge/>
            <w:vAlign w:val="center"/>
          </w:tcPr>
          <w:p w14:paraId="1C035C3A" w14:textId="77777777" w:rsidR="00D8645B" w:rsidRDefault="00D8645B" w:rsidP="00664D46">
            <w:pPr>
              <w:spacing w:line="360" w:lineRule="auto"/>
              <w:jc w:val="center"/>
            </w:pPr>
          </w:p>
        </w:tc>
        <w:tc>
          <w:tcPr>
            <w:tcW w:w="1558" w:type="dxa"/>
            <w:vMerge w:val="restart"/>
            <w:vAlign w:val="center"/>
          </w:tcPr>
          <w:p w14:paraId="47F5EE5E" w14:textId="77777777" w:rsidR="00D8645B" w:rsidRDefault="00D8645B" w:rsidP="00664D46">
            <w:pPr>
              <w:spacing w:line="360" w:lineRule="auto"/>
              <w:jc w:val="center"/>
            </w:pPr>
            <w:r>
              <w:t>Equities</w:t>
            </w:r>
          </w:p>
        </w:tc>
        <w:tc>
          <w:tcPr>
            <w:tcW w:w="1558" w:type="dxa"/>
            <w:vAlign w:val="center"/>
          </w:tcPr>
          <w:p w14:paraId="40C6690F" w14:textId="77777777" w:rsidR="00D8645B" w:rsidRDefault="00D8645B" w:rsidP="00664D46">
            <w:pPr>
              <w:spacing w:line="360" w:lineRule="auto"/>
              <w:jc w:val="center"/>
            </w:pPr>
            <w:r>
              <w:t>Cash</w:t>
            </w:r>
          </w:p>
        </w:tc>
        <w:tc>
          <w:tcPr>
            <w:tcW w:w="2431" w:type="dxa"/>
            <w:vAlign w:val="center"/>
          </w:tcPr>
          <w:p w14:paraId="16B94748" w14:textId="77777777" w:rsidR="00D8645B" w:rsidRDefault="00D8645B" w:rsidP="00664D46">
            <w:pPr>
              <w:spacing w:line="360" w:lineRule="auto"/>
              <w:jc w:val="center"/>
            </w:pPr>
            <w:r>
              <w:t>152</w:t>
            </w:r>
          </w:p>
        </w:tc>
      </w:tr>
      <w:tr w:rsidR="00D8645B" w14:paraId="6CB25001" w14:textId="77777777" w:rsidTr="00664D46">
        <w:tc>
          <w:tcPr>
            <w:tcW w:w="1558" w:type="dxa"/>
            <w:vMerge/>
            <w:vAlign w:val="center"/>
          </w:tcPr>
          <w:p w14:paraId="0C7AB9DC" w14:textId="77777777" w:rsidR="00D8645B" w:rsidRDefault="00D8645B" w:rsidP="00664D46">
            <w:pPr>
              <w:spacing w:line="360" w:lineRule="auto"/>
              <w:jc w:val="center"/>
            </w:pPr>
          </w:p>
        </w:tc>
        <w:tc>
          <w:tcPr>
            <w:tcW w:w="1558" w:type="dxa"/>
            <w:vMerge/>
            <w:vAlign w:val="center"/>
          </w:tcPr>
          <w:p w14:paraId="5B38DB60" w14:textId="77777777" w:rsidR="00D8645B" w:rsidRDefault="00D8645B" w:rsidP="00664D46">
            <w:pPr>
              <w:spacing w:line="360" w:lineRule="auto"/>
              <w:jc w:val="center"/>
            </w:pPr>
          </w:p>
        </w:tc>
        <w:tc>
          <w:tcPr>
            <w:tcW w:w="1558" w:type="dxa"/>
            <w:vAlign w:val="center"/>
          </w:tcPr>
          <w:p w14:paraId="2F44E365" w14:textId="77777777" w:rsidR="00D8645B" w:rsidRDefault="00D8645B" w:rsidP="00664D46">
            <w:pPr>
              <w:spacing w:line="360" w:lineRule="auto"/>
              <w:jc w:val="center"/>
            </w:pPr>
            <w:r>
              <w:t>Converts</w:t>
            </w:r>
          </w:p>
        </w:tc>
        <w:tc>
          <w:tcPr>
            <w:tcW w:w="2431" w:type="dxa"/>
            <w:vAlign w:val="center"/>
          </w:tcPr>
          <w:p w14:paraId="00D4544A" w14:textId="77777777" w:rsidR="00D8645B" w:rsidRDefault="00D8645B" w:rsidP="00664D46">
            <w:pPr>
              <w:spacing w:line="360" w:lineRule="auto"/>
              <w:jc w:val="center"/>
            </w:pPr>
            <w:r>
              <w:t>77</w:t>
            </w:r>
          </w:p>
        </w:tc>
      </w:tr>
      <w:tr w:rsidR="00D8645B" w14:paraId="43340F6B" w14:textId="77777777" w:rsidTr="00664D46">
        <w:tc>
          <w:tcPr>
            <w:tcW w:w="1558" w:type="dxa"/>
            <w:vMerge/>
            <w:vAlign w:val="center"/>
          </w:tcPr>
          <w:p w14:paraId="0FB42E41" w14:textId="77777777" w:rsidR="00D8645B" w:rsidRDefault="00D8645B" w:rsidP="00664D46">
            <w:pPr>
              <w:spacing w:line="360" w:lineRule="auto"/>
              <w:jc w:val="center"/>
            </w:pPr>
          </w:p>
        </w:tc>
        <w:tc>
          <w:tcPr>
            <w:tcW w:w="1558" w:type="dxa"/>
            <w:vMerge/>
            <w:vAlign w:val="center"/>
          </w:tcPr>
          <w:p w14:paraId="0E5F243F" w14:textId="77777777" w:rsidR="00D8645B" w:rsidRDefault="00D8645B" w:rsidP="00664D46">
            <w:pPr>
              <w:spacing w:line="360" w:lineRule="auto"/>
              <w:jc w:val="center"/>
            </w:pPr>
          </w:p>
        </w:tc>
        <w:tc>
          <w:tcPr>
            <w:tcW w:w="1558" w:type="dxa"/>
            <w:vAlign w:val="center"/>
          </w:tcPr>
          <w:p w14:paraId="72FE33F0" w14:textId="77777777" w:rsidR="00D8645B" w:rsidRDefault="00D8645B" w:rsidP="00664D46">
            <w:pPr>
              <w:spacing w:line="360" w:lineRule="auto"/>
              <w:jc w:val="center"/>
            </w:pPr>
            <w:r>
              <w:t>Equity Derivatives</w:t>
            </w:r>
          </w:p>
        </w:tc>
        <w:tc>
          <w:tcPr>
            <w:tcW w:w="2431" w:type="dxa"/>
            <w:vAlign w:val="center"/>
          </w:tcPr>
          <w:p w14:paraId="1D1B8117" w14:textId="77777777" w:rsidR="00D8645B" w:rsidRDefault="00D8645B" w:rsidP="00664D46">
            <w:pPr>
              <w:spacing w:line="360" w:lineRule="auto"/>
              <w:jc w:val="center"/>
            </w:pPr>
            <w:r>
              <w:t>-869</w:t>
            </w:r>
          </w:p>
        </w:tc>
      </w:tr>
      <w:tr w:rsidR="00D8645B" w14:paraId="4B78E87A" w14:textId="77777777" w:rsidTr="00664D46">
        <w:tc>
          <w:tcPr>
            <w:tcW w:w="1558" w:type="dxa"/>
            <w:vMerge/>
            <w:vAlign w:val="center"/>
          </w:tcPr>
          <w:p w14:paraId="3F406153" w14:textId="77777777" w:rsidR="00D8645B" w:rsidRDefault="00D8645B" w:rsidP="00664D46">
            <w:pPr>
              <w:spacing w:line="360" w:lineRule="auto"/>
              <w:jc w:val="center"/>
            </w:pPr>
          </w:p>
        </w:tc>
        <w:tc>
          <w:tcPr>
            <w:tcW w:w="1558" w:type="dxa"/>
            <w:vAlign w:val="center"/>
          </w:tcPr>
          <w:p w14:paraId="23E284BF" w14:textId="77777777" w:rsidR="00D8645B" w:rsidRDefault="00D8645B" w:rsidP="00664D46">
            <w:pPr>
              <w:spacing w:line="360" w:lineRule="auto"/>
              <w:jc w:val="center"/>
            </w:pPr>
            <w:r>
              <w:t>Equity Under-writing</w:t>
            </w:r>
          </w:p>
        </w:tc>
        <w:tc>
          <w:tcPr>
            <w:tcW w:w="1558" w:type="dxa"/>
            <w:vAlign w:val="center"/>
          </w:tcPr>
          <w:p w14:paraId="440B53D3" w14:textId="77777777" w:rsidR="00D8645B" w:rsidRDefault="00D8645B" w:rsidP="00664D46">
            <w:pPr>
              <w:spacing w:line="360" w:lineRule="auto"/>
              <w:jc w:val="center"/>
            </w:pPr>
            <w:r>
              <w:t>Equity Under-writing</w:t>
            </w:r>
          </w:p>
        </w:tc>
        <w:tc>
          <w:tcPr>
            <w:tcW w:w="2431" w:type="dxa"/>
            <w:vAlign w:val="center"/>
          </w:tcPr>
          <w:p w14:paraId="019BA796" w14:textId="77777777" w:rsidR="00D8645B" w:rsidRDefault="00D8645B" w:rsidP="00664D46">
            <w:pPr>
              <w:spacing w:line="360" w:lineRule="auto"/>
              <w:jc w:val="center"/>
            </w:pPr>
            <w:r>
              <w:t>38</w:t>
            </w:r>
          </w:p>
        </w:tc>
      </w:tr>
      <w:tr w:rsidR="00D8645B" w14:paraId="5DB56525" w14:textId="77777777" w:rsidTr="00664D46">
        <w:tc>
          <w:tcPr>
            <w:tcW w:w="1558" w:type="dxa"/>
            <w:vMerge/>
            <w:vAlign w:val="center"/>
          </w:tcPr>
          <w:p w14:paraId="787B78FE" w14:textId="77777777" w:rsidR="00D8645B" w:rsidRDefault="00D8645B" w:rsidP="00664D46">
            <w:pPr>
              <w:spacing w:line="360" w:lineRule="auto"/>
              <w:jc w:val="center"/>
            </w:pPr>
          </w:p>
        </w:tc>
        <w:tc>
          <w:tcPr>
            <w:tcW w:w="1558" w:type="dxa"/>
            <w:vMerge w:val="restart"/>
            <w:vAlign w:val="center"/>
          </w:tcPr>
          <w:p w14:paraId="33DDAA6D" w14:textId="77777777" w:rsidR="00D8645B" w:rsidRDefault="00D8645B" w:rsidP="00664D46">
            <w:pPr>
              <w:spacing w:line="360" w:lineRule="auto"/>
              <w:jc w:val="center"/>
            </w:pPr>
            <w:r>
              <w:t>Fixed Income Under-writing</w:t>
            </w:r>
          </w:p>
        </w:tc>
        <w:tc>
          <w:tcPr>
            <w:tcW w:w="1558" w:type="dxa"/>
            <w:vAlign w:val="center"/>
          </w:tcPr>
          <w:p w14:paraId="59DFDEB4" w14:textId="77777777" w:rsidR="00D8645B" w:rsidRDefault="00D8645B" w:rsidP="00664D46">
            <w:pPr>
              <w:spacing w:line="360" w:lineRule="auto"/>
              <w:jc w:val="center"/>
            </w:pPr>
            <w:r>
              <w:t>EM Bonds</w:t>
            </w:r>
          </w:p>
        </w:tc>
        <w:tc>
          <w:tcPr>
            <w:tcW w:w="2431" w:type="dxa"/>
            <w:vAlign w:val="center"/>
          </w:tcPr>
          <w:p w14:paraId="7C6F87B0" w14:textId="77777777" w:rsidR="00D8645B" w:rsidRDefault="00D8645B" w:rsidP="00664D46">
            <w:pPr>
              <w:spacing w:line="360" w:lineRule="auto"/>
              <w:jc w:val="center"/>
            </w:pPr>
            <w:r>
              <w:t>0</w:t>
            </w:r>
          </w:p>
        </w:tc>
      </w:tr>
      <w:tr w:rsidR="00D8645B" w14:paraId="36228430" w14:textId="77777777" w:rsidTr="00664D46">
        <w:tc>
          <w:tcPr>
            <w:tcW w:w="1558" w:type="dxa"/>
            <w:vMerge/>
            <w:vAlign w:val="center"/>
          </w:tcPr>
          <w:p w14:paraId="12F6202D" w14:textId="77777777" w:rsidR="00D8645B" w:rsidRDefault="00D8645B" w:rsidP="00664D46">
            <w:pPr>
              <w:spacing w:line="360" w:lineRule="auto"/>
              <w:jc w:val="center"/>
            </w:pPr>
          </w:p>
        </w:tc>
        <w:tc>
          <w:tcPr>
            <w:tcW w:w="1558" w:type="dxa"/>
            <w:vMerge/>
            <w:vAlign w:val="center"/>
          </w:tcPr>
          <w:p w14:paraId="073D08C3" w14:textId="77777777" w:rsidR="00D8645B" w:rsidRDefault="00D8645B" w:rsidP="00664D46">
            <w:pPr>
              <w:spacing w:line="360" w:lineRule="auto"/>
              <w:jc w:val="center"/>
            </w:pPr>
          </w:p>
        </w:tc>
        <w:tc>
          <w:tcPr>
            <w:tcW w:w="1558" w:type="dxa"/>
            <w:vAlign w:val="center"/>
          </w:tcPr>
          <w:p w14:paraId="4B85CCF9" w14:textId="77777777" w:rsidR="00D8645B" w:rsidRDefault="00D8645B" w:rsidP="00664D46">
            <w:pPr>
              <w:spacing w:line="360" w:lineRule="auto"/>
              <w:jc w:val="center"/>
            </w:pPr>
            <w:r>
              <w:t>EM Primary Loans</w:t>
            </w:r>
          </w:p>
        </w:tc>
        <w:tc>
          <w:tcPr>
            <w:tcW w:w="2431" w:type="dxa"/>
            <w:vAlign w:val="center"/>
          </w:tcPr>
          <w:p w14:paraId="671545C5" w14:textId="77777777" w:rsidR="00D8645B" w:rsidRDefault="00D8645B" w:rsidP="00664D46">
            <w:pPr>
              <w:spacing w:line="360" w:lineRule="auto"/>
              <w:jc w:val="center"/>
            </w:pPr>
            <w:r>
              <w:t>0</w:t>
            </w:r>
          </w:p>
        </w:tc>
      </w:tr>
      <w:tr w:rsidR="00D8645B" w14:paraId="3DEF6496" w14:textId="77777777" w:rsidTr="00664D46">
        <w:tc>
          <w:tcPr>
            <w:tcW w:w="1558" w:type="dxa"/>
            <w:vMerge/>
            <w:vAlign w:val="center"/>
          </w:tcPr>
          <w:p w14:paraId="6535F54F" w14:textId="77777777" w:rsidR="00D8645B" w:rsidRDefault="00D8645B" w:rsidP="00664D46">
            <w:pPr>
              <w:spacing w:line="360" w:lineRule="auto"/>
              <w:jc w:val="center"/>
            </w:pPr>
          </w:p>
        </w:tc>
        <w:tc>
          <w:tcPr>
            <w:tcW w:w="1558" w:type="dxa"/>
            <w:vMerge/>
            <w:vAlign w:val="center"/>
          </w:tcPr>
          <w:p w14:paraId="6210C9AA" w14:textId="77777777" w:rsidR="00D8645B" w:rsidRDefault="00D8645B" w:rsidP="00664D46">
            <w:pPr>
              <w:spacing w:line="360" w:lineRule="auto"/>
              <w:jc w:val="center"/>
            </w:pPr>
          </w:p>
        </w:tc>
        <w:tc>
          <w:tcPr>
            <w:tcW w:w="1558" w:type="dxa"/>
            <w:vAlign w:val="center"/>
          </w:tcPr>
          <w:p w14:paraId="3915632A" w14:textId="77777777" w:rsidR="00D8645B" w:rsidRDefault="00D8645B" w:rsidP="00664D46">
            <w:pPr>
              <w:spacing w:line="360" w:lineRule="auto"/>
              <w:jc w:val="center"/>
            </w:pPr>
            <w:r>
              <w:t>IG Bonds</w:t>
            </w:r>
          </w:p>
        </w:tc>
        <w:tc>
          <w:tcPr>
            <w:tcW w:w="2431" w:type="dxa"/>
            <w:vAlign w:val="center"/>
          </w:tcPr>
          <w:p w14:paraId="048A0506" w14:textId="77777777" w:rsidR="00D8645B" w:rsidRDefault="00D8645B" w:rsidP="00664D46">
            <w:pPr>
              <w:spacing w:line="360" w:lineRule="auto"/>
              <w:jc w:val="center"/>
            </w:pPr>
            <w:r>
              <w:t>122</w:t>
            </w:r>
          </w:p>
        </w:tc>
      </w:tr>
      <w:tr w:rsidR="00D8645B" w14:paraId="4429E71D" w14:textId="77777777" w:rsidTr="00664D46">
        <w:tc>
          <w:tcPr>
            <w:tcW w:w="1558" w:type="dxa"/>
            <w:vMerge/>
            <w:vAlign w:val="center"/>
          </w:tcPr>
          <w:p w14:paraId="23F2AB2E" w14:textId="77777777" w:rsidR="00D8645B" w:rsidRDefault="00D8645B" w:rsidP="00664D46">
            <w:pPr>
              <w:spacing w:line="360" w:lineRule="auto"/>
              <w:jc w:val="center"/>
            </w:pPr>
          </w:p>
        </w:tc>
        <w:tc>
          <w:tcPr>
            <w:tcW w:w="1558" w:type="dxa"/>
            <w:vMerge/>
            <w:vAlign w:val="center"/>
          </w:tcPr>
          <w:p w14:paraId="2F9DD1A3" w14:textId="77777777" w:rsidR="00D8645B" w:rsidRDefault="00D8645B" w:rsidP="00664D46">
            <w:pPr>
              <w:spacing w:line="360" w:lineRule="auto"/>
              <w:jc w:val="center"/>
            </w:pPr>
          </w:p>
        </w:tc>
        <w:tc>
          <w:tcPr>
            <w:tcW w:w="1558" w:type="dxa"/>
            <w:vAlign w:val="center"/>
          </w:tcPr>
          <w:p w14:paraId="54803075" w14:textId="77777777" w:rsidR="00D8645B" w:rsidRDefault="00D8645B" w:rsidP="00664D46">
            <w:pPr>
              <w:spacing w:line="360" w:lineRule="auto"/>
              <w:jc w:val="center"/>
            </w:pPr>
            <w:r>
              <w:t>IG Primary Loans</w:t>
            </w:r>
          </w:p>
        </w:tc>
        <w:tc>
          <w:tcPr>
            <w:tcW w:w="2431" w:type="dxa"/>
            <w:vAlign w:val="center"/>
          </w:tcPr>
          <w:p w14:paraId="54CFD4F7" w14:textId="77777777" w:rsidR="00D8645B" w:rsidRDefault="00D8645B" w:rsidP="00664D46">
            <w:pPr>
              <w:spacing w:line="360" w:lineRule="auto"/>
              <w:jc w:val="center"/>
            </w:pPr>
            <w:r>
              <w:t>0</w:t>
            </w:r>
          </w:p>
        </w:tc>
      </w:tr>
      <w:tr w:rsidR="00D8645B" w14:paraId="0A945840" w14:textId="77777777" w:rsidTr="00664D46">
        <w:tc>
          <w:tcPr>
            <w:tcW w:w="1558" w:type="dxa"/>
            <w:vMerge/>
            <w:vAlign w:val="center"/>
          </w:tcPr>
          <w:p w14:paraId="16942625" w14:textId="77777777" w:rsidR="00D8645B" w:rsidRDefault="00D8645B" w:rsidP="00664D46">
            <w:pPr>
              <w:spacing w:line="360" w:lineRule="auto"/>
              <w:jc w:val="center"/>
            </w:pPr>
          </w:p>
        </w:tc>
        <w:tc>
          <w:tcPr>
            <w:tcW w:w="1558" w:type="dxa"/>
            <w:vMerge/>
            <w:vAlign w:val="center"/>
          </w:tcPr>
          <w:p w14:paraId="4C880E6A" w14:textId="77777777" w:rsidR="00D8645B" w:rsidRDefault="00D8645B" w:rsidP="00664D46">
            <w:pPr>
              <w:spacing w:line="360" w:lineRule="auto"/>
              <w:jc w:val="center"/>
            </w:pPr>
          </w:p>
        </w:tc>
        <w:tc>
          <w:tcPr>
            <w:tcW w:w="1558" w:type="dxa"/>
            <w:vAlign w:val="center"/>
          </w:tcPr>
          <w:p w14:paraId="1A9DE276" w14:textId="77777777" w:rsidR="00D8645B" w:rsidRDefault="00D8645B" w:rsidP="00664D46">
            <w:pPr>
              <w:spacing w:line="360" w:lineRule="auto"/>
              <w:jc w:val="center"/>
            </w:pPr>
            <w:r>
              <w:t>Leveraged Finance</w:t>
            </w:r>
          </w:p>
        </w:tc>
        <w:tc>
          <w:tcPr>
            <w:tcW w:w="2431" w:type="dxa"/>
            <w:vAlign w:val="center"/>
          </w:tcPr>
          <w:p w14:paraId="36057633" w14:textId="77777777" w:rsidR="00D8645B" w:rsidRDefault="00D8645B" w:rsidP="00664D46">
            <w:pPr>
              <w:spacing w:line="360" w:lineRule="auto"/>
              <w:jc w:val="center"/>
            </w:pPr>
            <w:r>
              <w:t>0</w:t>
            </w:r>
          </w:p>
        </w:tc>
      </w:tr>
      <w:tr w:rsidR="00D8645B" w14:paraId="1102F3F5" w14:textId="77777777" w:rsidTr="00664D46">
        <w:tc>
          <w:tcPr>
            <w:tcW w:w="1558" w:type="dxa"/>
            <w:vMerge/>
            <w:vAlign w:val="center"/>
          </w:tcPr>
          <w:p w14:paraId="780A3AEE" w14:textId="77777777" w:rsidR="00D8645B" w:rsidRDefault="00D8645B" w:rsidP="00664D46">
            <w:pPr>
              <w:spacing w:line="360" w:lineRule="auto"/>
              <w:jc w:val="center"/>
            </w:pPr>
          </w:p>
        </w:tc>
        <w:tc>
          <w:tcPr>
            <w:tcW w:w="1558" w:type="dxa"/>
            <w:vMerge/>
            <w:vAlign w:val="center"/>
          </w:tcPr>
          <w:p w14:paraId="3B83B8B1" w14:textId="77777777" w:rsidR="00D8645B" w:rsidRDefault="00D8645B" w:rsidP="00664D46">
            <w:pPr>
              <w:spacing w:line="360" w:lineRule="auto"/>
              <w:jc w:val="center"/>
            </w:pPr>
          </w:p>
        </w:tc>
        <w:tc>
          <w:tcPr>
            <w:tcW w:w="1558" w:type="dxa"/>
            <w:vAlign w:val="center"/>
          </w:tcPr>
          <w:p w14:paraId="47513E6F" w14:textId="77777777" w:rsidR="00D8645B" w:rsidRDefault="00D8645B" w:rsidP="00664D46">
            <w:pPr>
              <w:spacing w:line="360" w:lineRule="auto"/>
              <w:jc w:val="center"/>
            </w:pPr>
            <w:r>
              <w:t>Other FI Under-writing</w:t>
            </w:r>
          </w:p>
        </w:tc>
        <w:tc>
          <w:tcPr>
            <w:tcW w:w="2431" w:type="dxa"/>
            <w:vAlign w:val="center"/>
          </w:tcPr>
          <w:p w14:paraId="12D503E4" w14:textId="77777777" w:rsidR="00D8645B" w:rsidRDefault="00D8645B" w:rsidP="00664D46">
            <w:pPr>
              <w:spacing w:line="360" w:lineRule="auto"/>
              <w:jc w:val="center"/>
            </w:pPr>
            <w:r>
              <w:t>-1</w:t>
            </w:r>
          </w:p>
        </w:tc>
      </w:tr>
      <w:tr w:rsidR="00D8645B" w14:paraId="3B11A1E6" w14:textId="77777777" w:rsidTr="00664D46">
        <w:tc>
          <w:tcPr>
            <w:tcW w:w="1558" w:type="dxa"/>
            <w:vMerge/>
            <w:vAlign w:val="center"/>
          </w:tcPr>
          <w:p w14:paraId="3955C556" w14:textId="77777777" w:rsidR="00D8645B" w:rsidRDefault="00D8645B" w:rsidP="00664D46">
            <w:pPr>
              <w:spacing w:line="360" w:lineRule="auto"/>
              <w:jc w:val="center"/>
            </w:pPr>
          </w:p>
        </w:tc>
        <w:tc>
          <w:tcPr>
            <w:tcW w:w="1558" w:type="dxa"/>
            <w:vMerge/>
            <w:vAlign w:val="center"/>
          </w:tcPr>
          <w:p w14:paraId="2A804B16" w14:textId="77777777" w:rsidR="00D8645B" w:rsidRDefault="00D8645B" w:rsidP="00664D46">
            <w:pPr>
              <w:spacing w:line="360" w:lineRule="auto"/>
              <w:jc w:val="center"/>
            </w:pPr>
          </w:p>
        </w:tc>
        <w:tc>
          <w:tcPr>
            <w:tcW w:w="1558" w:type="dxa"/>
            <w:vAlign w:val="center"/>
          </w:tcPr>
          <w:p w14:paraId="16CD527A" w14:textId="77777777" w:rsidR="00D8645B" w:rsidRDefault="00D8645B" w:rsidP="00664D46">
            <w:pPr>
              <w:spacing w:line="360" w:lineRule="auto"/>
              <w:jc w:val="center"/>
            </w:pPr>
            <w:r>
              <w:t>Project Finance</w:t>
            </w:r>
          </w:p>
        </w:tc>
        <w:tc>
          <w:tcPr>
            <w:tcW w:w="2431" w:type="dxa"/>
            <w:vAlign w:val="center"/>
          </w:tcPr>
          <w:p w14:paraId="5DE1D0BC" w14:textId="77777777" w:rsidR="00D8645B" w:rsidRDefault="00D8645B" w:rsidP="00664D46">
            <w:pPr>
              <w:spacing w:line="360" w:lineRule="auto"/>
              <w:jc w:val="center"/>
            </w:pPr>
            <w:r>
              <w:t>0</w:t>
            </w:r>
          </w:p>
        </w:tc>
      </w:tr>
      <w:tr w:rsidR="00D8645B" w14:paraId="4C66AFB8" w14:textId="77777777" w:rsidTr="00664D46">
        <w:tc>
          <w:tcPr>
            <w:tcW w:w="1558" w:type="dxa"/>
            <w:vMerge/>
            <w:vAlign w:val="center"/>
          </w:tcPr>
          <w:p w14:paraId="2E7CDA15" w14:textId="77777777" w:rsidR="00D8645B" w:rsidRDefault="00D8645B" w:rsidP="00664D46">
            <w:pPr>
              <w:spacing w:line="360" w:lineRule="auto"/>
              <w:jc w:val="center"/>
            </w:pPr>
          </w:p>
        </w:tc>
        <w:tc>
          <w:tcPr>
            <w:tcW w:w="1558" w:type="dxa"/>
            <w:vMerge w:val="restart"/>
            <w:vAlign w:val="center"/>
          </w:tcPr>
          <w:p w14:paraId="06C73631" w14:textId="77777777" w:rsidR="00D8645B" w:rsidRDefault="00D8645B" w:rsidP="00664D46">
            <w:pPr>
              <w:spacing w:line="360" w:lineRule="auto"/>
              <w:jc w:val="center"/>
            </w:pPr>
            <w:r>
              <w:t>FX Local Markets</w:t>
            </w:r>
          </w:p>
        </w:tc>
        <w:tc>
          <w:tcPr>
            <w:tcW w:w="1558" w:type="dxa"/>
            <w:vAlign w:val="center"/>
          </w:tcPr>
          <w:p w14:paraId="2376B21F" w14:textId="77777777" w:rsidR="00D8645B" w:rsidRDefault="00D8645B" w:rsidP="00664D46">
            <w:pPr>
              <w:spacing w:line="360" w:lineRule="auto"/>
              <w:jc w:val="center"/>
            </w:pPr>
            <w:r>
              <w:t>G10 FX</w:t>
            </w:r>
          </w:p>
        </w:tc>
        <w:tc>
          <w:tcPr>
            <w:tcW w:w="2431" w:type="dxa"/>
            <w:vAlign w:val="center"/>
          </w:tcPr>
          <w:p w14:paraId="1B9C0B35" w14:textId="77777777" w:rsidR="00D8645B" w:rsidRDefault="00D8645B" w:rsidP="00664D46">
            <w:pPr>
              <w:spacing w:line="360" w:lineRule="auto"/>
              <w:jc w:val="center"/>
            </w:pPr>
            <w:r>
              <w:t>292</w:t>
            </w:r>
          </w:p>
        </w:tc>
      </w:tr>
      <w:tr w:rsidR="00D8645B" w14:paraId="7CA2AE27" w14:textId="77777777" w:rsidTr="00664D46">
        <w:tc>
          <w:tcPr>
            <w:tcW w:w="1558" w:type="dxa"/>
            <w:vMerge/>
            <w:vAlign w:val="center"/>
          </w:tcPr>
          <w:p w14:paraId="1A6FF9EA" w14:textId="77777777" w:rsidR="00D8645B" w:rsidRDefault="00D8645B" w:rsidP="00664D46">
            <w:pPr>
              <w:spacing w:line="360" w:lineRule="auto"/>
              <w:jc w:val="center"/>
            </w:pPr>
          </w:p>
        </w:tc>
        <w:tc>
          <w:tcPr>
            <w:tcW w:w="1558" w:type="dxa"/>
            <w:vMerge/>
            <w:vAlign w:val="center"/>
          </w:tcPr>
          <w:p w14:paraId="54D35834" w14:textId="77777777" w:rsidR="00D8645B" w:rsidRDefault="00D8645B" w:rsidP="00664D46">
            <w:pPr>
              <w:spacing w:line="360" w:lineRule="auto"/>
              <w:jc w:val="center"/>
            </w:pPr>
          </w:p>
        </w:tc>
        <w:tc>
          <w:tcPr>
            <w:tcW w:w="1558" w:type="dxa"/>
            <w:vAlign w:val="center"/>
          </w:tcPr>
          <w:p w14:paraId="4AEBA6B2" w14:textId="77777777" w:rsidR="00D8645B" w:rsidRDefault="00D8645B" w:rsidP="00664D46">
            <w:pPr>
              <w:spacing w:line="360" w:lineRule="auto"/>
              <w:jc w:val="center"/>
            </w:pPr>
            <w:r>
              <w:t>Local Markets</w:t>
            </w:r>
          </w:p>
        </w:tc>
        <w:tc>
          <w:tcPr>
            <w:tcW w:w="2431" w:type="dxa"/>
            <w:vAlign w:val="center"/>
          </w:tcPr>
          <w:p w14:paraId="4D66D268" w14:textId="77777777" w:rsidR="00D8645B" w:rsidRDefault="00D8645B" w:rsidP="00664D46">
            <w:pPr>
              <w:spacing w:line="360" w:lineRule="auto"/>
              <w:jc w:val="center"/>
            </w:pPr>
            <w:r>
              <w:t>1600</w:t>
            </w:r>
          </w:p>
        </w:tc>
      </w:tr>
      <w:tr w:rsidR="00D8645B" w14:paraId="0792E4BA" w14:textId="77777777" w:rsidTr="00664D46">
        <w:tc>
          <w:tcPr>
            <w:tcW w:w="1558" w:type="dxa"/>
            <w:vMerge/>
            <w:vAlign w:val="center"/>
          </w:tcPr>
          <w:p w14:paraId="08000E39" w14:textId="77777777" w:rsidR="00D8645B" w:rsidRDefault="00D8645B" w:rsidP="00664D46">
            <w:pPr>
              <w:spacing w:line="360" w:lineRule="auto"/>
              <w:jc w:val="center"/>
            </w:pPr>
          </w:p>
        </w:tc>
        <w:tc>
          <w:tcPr>
            <w:tcW w:w="1558" w:type="dxa"/>
            <w:vAlign w:val="center"/>
          </w:tcPr>
          <w:p w14:paraId="052E6485" w14:textId="77777777" w:rsidR="00D8645B" w:rsidRDefault="00D8645B" w:rsidP="00664D46">
            <w:pPr>
              <w:spacing w:line="360" w:lineRule="auto"/>
              <w:jc w:val="center"/>
            </w:pPr>
            <w:r>
              <w:t>G10 Rates</w:t>
            </w:r>
          </w:p>
        </w:tc>
        <w:tc>
          <w:tcPr>
            <w:tcW w:w="1558" w:type="dxa"/>
            <w:vAlign w:val="center"/>
          </w:tcPr>
          <w:p w14:paraId="5FD3048D" w14:textId="77777777" w:rsidR="00D8645B" w:rsidRDefault="00D8645B" w:rsidP="00664D46">
            <w:pPr>
              <w:spacing w:line="360" w:lineRule="auto"/>
              <w:jc w:val="center"/>
            </w:pPr>
            <w:r>
              <w:t>G10 Rates</w:t>
            </w:r>
          </w:p>
        </w:tc>
        <w:tc>
          <w:tcPr>
            <w:tcW w:w="2431" w:type="dxa"/>
            <w:vAlign w:val="center"/>
          </w:tcPr>
          <w:p w14:paraId="3D6284F1" w14:textId="77777777" w:rsidR="00D8645B" w:rsidRDefault="00D8645B" w:rsidP="00664D46">
            <w:pPr>
              <w:spacing w:line="360" w:lineRule="auto"/>
              <w:jc w:val="center"/>
            </w:pPr>
            <w:r>
              <w:t>1917</w:t>
            </w:r>
          </w:p>
        </w:tc>
      </w:tr>
      <w:tr w:rsidR="00D8645B" w14:paraId="7BAAEDC7" w14:textId="77777777" w:rsidTr="00664D46">
        <w:tc>
          <w:tcPr>
            <w:tcW w:w="1558" w:type="dxa"/>
            <w:vMerge/>
            <w:vAlign w:val="center"/>
          </w:tcPr>
          <w:p w14:paraId="295D5883" w14:textId="77777777" w:rsidR="00D8645B" w:rsidRDefault="00D8645B" w:rsidP="00664D46">
            <w:pPr>
              <w:spacing w:line="360" w:lineRule="auto"/>
              <w:jc w:val="center"/>
            </w:pPr>
          </w:p>
        </w:tc>
        <w:tc>
          <w:tcPr>
            <w:tcW w:w="1558" w:type="dxa"/>
            <w:vMerge w:val="restart"/>
            <w:vAlign w:val="center"/>
          </w:tcPr>
          <w:p w14:paraId="7D19621E" w14:textId="77777777" w:rsidR="00D8645B" w:rsidRDefault="00D8645B" w:rsidP="00664D46">
            <w:pPr>
              <w:spacing w:line="360" w:lineRule="auto"/>
              <w:jc w:val="center"/>
            </w:pPr>
            <w:r>
              <w:t>G10 Risk Treasury RV Finance</w:t>
            </w:r>
          </w:p>
        </w:tc>
        <w:tc>
          <w:tcPr>
            <w:tcW w:w="1558" w:type="dxa"/>
            <w:vAlign w:val="center"/>
          </w:tcPr>
          <w:p w14:paraId="51D61282" w14:textId="77777777" w:rsidR="00D8645B" w:rsidRDefault="00D8645B" w:rsidP="00664D46">
            <w:pPr>
              <w:spacing w:line="360" w:lineRule="auto"/>
              <w:jc w:val="center"/>
            </w:pPr>
            <w:r>
              <w:t>FIMA</w:t>
            </w:r>
          </w:p>
        </w:tc>
        <w:tc>
          <w:tcPr>
            <w:tcW w:w="2431" w:type="dxa"/>
            <w:vAlign w:val="center"/>
          </w:tcPr>
          <w:p w14:paraId="1C90D793" w14:textId="77777777" w:rsidR="00D8645B" w:rsidRDefault="00D8645B" w:rsidP="00664D46">
            <w:pPr>
              <w:spacing w:line="360" w:lineRule="auto"/>
              <w:jc w:val="center"/>
            </w:pPr>
            <w:r>
              <w:t>0</w:t>
            </w:r>
          </w:p>
        </w:tc>
      </w:tr>
      <w:tr w:rsidR="00D8645B" w14:paraId="0A3CE1AB" w14:textId="77777777" w:rsidTr="00664D46">
        <w:tc>
          <w:tcPr>
            <w:tcW w:w="1558" w:type="dxa"/>
            <w:vMerge/>
            <w:vAlign w:val="center"/>
          </w:tcPr>
          <w:p w14:paraId="6770E127" w14:textId="77777777" w:rsidR="00D8645B" w:rsidRDefault="00D8645B" w:rsidP="00664D46">
            <w:pPr>
              <w:spacing w:line="360" w:lineRule="auto"/>
              <w:jc w:val="center"/>
            </w:pPr>
          </w:p>
        </w:tc>
        <w:tc>
          <w:tcPr>
            <w:tcW w:w="1558" w:type="dxa"/>
            <w:vMerge/>
            <w:vAlign w:val="center"/>
          </w:tcPr>
          <w:p w14:paraId="707A8ABA" w14:textId="77777777" w:rsidR="00D8645B" w:rsidRDefault="00D8645B" w:rsidP="00664D46">
            <w:pPr>
              <w:spacing w:line="360" w:lineRule="auto"/>
              <w:jc w:val="center"/>
            </w:pPr>
          </w:p>
        </w:tc>
        <w:tc>
          <w:tcPr>
            <w:tcW w:w="1558" w:type="dxa"/>
            <w:vAlign w:val="center"/>
          </w:tcPr>
          <w:p w14:paraId="2829018D" w14:textId="77777777" w:rsidR="00D8645B" w:rsidRDefault="00D8645B" w:rsidP="00664D46">
            <w:pPr>
              <w:spacing w:line="360" w:lineRule="auto"/>
              <w:jc w:val="center"/>
            </w:pPr>
            <w:r>
              <w:t>Finance</w:t>
            </w:r>
          </w:p>
        </w:tc>
        <w:tc>
          <w:tcPr>
            <w:tcW w:w="2431" w:type="dxa"/>
            <w:vAlign w:val="center"/>
          </w:tcPr>
          <w:p w14:paraId="482D3AFD" w14:textId="77777777" w:rsidR="00D8645B" w:rsidRDefault="00D8645B" w:rsidP="00664D46">
            <w:pPr>
              <w:spacing w:line="360" w:lineRule="auto"/>
              <w:jc w:val="center"/>
            </w:pPr>
            <w:r>
              <w:t>-6</w:t>
            </w:r>
          </w:p>
        </w:tc>
      </w:tr>
      <w:tr w:rsidR="00D8645B" w14:paraId="04AA7159" w14:textId="77777777" w:rsidTr="00664D46">
        <w:tc>
          <w:tcPr>
            <w:tcW w:w="1558" w:type="dxa"/>
            <w:vMerge/>
            <w:vAlign w:val="center"/>
          </w:tcPr>
          <w:p w14:paraId="5CAA03DC" w14:textId="77777777" w:rsidR="00D8645B" w:rsidRDefault="00D8645B" w:rsidP="00664D46">
            <w:pPr>
              <w:spacing w:line="360" w:lineRule="auto"/>
              <w:jc w:val="center"/>
            </w:pPr>
          </w:p>
        </w:tc>
        <w:tc>
          <w:tcPr>
            <w:tcW w:w="1558" w:type="dxa"/>
            <w:vMerge/>
            <w:vAlign w:val="center"/>
          </w:tcPr>
          <w:p w14:paraId="0162E53E" w14:textId="77777777" w:rsidR="00D8645B" w:rsidRDefault="00D8645B" w:rsidP="00664D46">
            <w:pPr>
              <w:spacing w:line="360" w:lineRule="auto"/>
              <w:jc w:val="center"/>
            </w:pPr>
          </w:p>
        </w:tc>
        <w:tc>
          <w:tcPr>
            <w:tcW w:w="1558" w:type="dxa"/>
            <w:vAlign w:val="center"/>
          </w:tcPr>
          <w:p w14:paraId="4A013897" w14:textId="77777777" w:rsidR="00D8645B" w:rsidRDefault="00D8645B" w:rsidP="00664D46">
            <w:pPr>
              <w:spacing w:line="360" w:lineRule="auto"/>
              <w:jc w:val="center"/>
            </w:pPr>
            <w:r>
              <w:t>Risk Treasury</w:t>
            </w:r>
          </w:p>
        </w:tc>
        <w:tc>
          <w:tcPr>
            <w:tcW w:w="2431" w:type="dxa"/>
            <w:vAlign w:val="center"/>
          </w:tcPr>
          <w:p w14:paraId="2BE4D41F" w14:textId="77777777" w:rsidR="00D8645B" w:rsidRDefault="00D8645B" w:rsidP="00664D46">
            <w:pPr>
              <w:spacing w:line="360" w:lineRule="auto"/>
              <w:jc w:val="center"/>
            </w:pPr>
            <w:r>
              <w:t>1247</w:t>
            </w:r>
          </w:p>
        </w:tc>
      </w:tr>
      <w:tr w:rsidR="00D8645B" w14:paraId="167E7B40" w14:textId="77777777" w:rsidTr="00664D46">
        <w:tc>
          <w:tcPr>
            <w:tcW w:w="1558" w:type="dxa"/>
            <w:vMerge/>
            <w:vAlign w:val="center"/>
          </w:tcPr>
          <w:p w14:paraId="19CB0CC5" w14:textId="77777777" w:rsidR="00D8645B" w:rsidRDefault="00D8645B" w:rsidP="00664D46">
            <w:pPr>
              <w:spacing w:line="360" w:lineRule="auto"/>
              <w:jc w:val="center"/>
            </w:pPr>
          </w:p>
        </w:tc>
        <w:tc>
          <w:tcPr>
            <w:tcW w:w="1558" w:type="dxa"/>
            <w:vAlign w:val="center"/>
          </w:tcPr>
          <w:p w14:paraId="1DB5A634" w14:textId="77777777" w:rsidR="00D8645B" w:rsidRDefault="00D8645B" w:rsidP="00664D46">
            <w:pPr>
              <w:spacing w:line="360" w:lineRule="auto"/>
              <w:jc w:val="center"/>
            </w:pPr>
            <w:r>
              <w:t>GTS</w:t>
            </w:r>
          </w:p>
        </w:tc>
        <w:tc>
          <w:tcPr>
            <w:tcW w:w="1558" w:type="dxa"/>
            <w:vAlign w:val="center"/>
          </w:tcPr>
          <w:p w14:paraId="5CB5DB0D" w14:textId="77777777" w:rsidR="00D8645B" w:rsidRDefault="00D8645B" w:rsidP="00664D46">
            <w:pPr>
              <w:spacing w:line="360" w:lineRule="auto"/>
              <w:jc w:val="center"/>
            </w:pPr>
            <w:r>
              <w:t>GTS</w:t>
            </w:r>
          </w:p>
        </w:tc>
        <w:tc>
          <w:tcPr>
            <w:tcW w:w="2431" w:type="dxa"/>
            <w:vAlign w:val="center"/>
          </w:tcPr>
          <w:p w14:paraId="47A16A79" w14:textId="77777777" w:rsidR="00D8645B" w:rsidRDefault="00D8645B" w:rsidP="00664D46">
            <w:pPr>
              <w:spacing w:line="360" w:lineRule="auto"/>
              <w:jc w:val="center"/>
            </w:pPr>
            <w:r>
              <w:t>96</w:t>
            </w:r>
          </w:p>
        </w:tc>
      </w:tr>
      <w:tr w:rsidR="00D8645B" w14:paraId="43EB580C" w14:textId="77777777" w:rsidTr="00664D46">
        <w:tc>
          <w:tcPr>
            <w:tcW w:w="1558" w:type="dxa"/>
            <w:vMerge/>
            <w:vAlign w:val="center"/>
          </w:tcPr>
          <w:p w14:paraId="0D4B112F" w14:textId="77777777" w:rsidR="00D8645B" w:rsidRDefault="00D8645B" w:rsidP="00664D46">
            <w:pPr>
              <w:spacing w:line="360" w:lineRule="auto"/>
              <w:jc w:val="center"/>
            </w:pPr>
          </w:p>
        </w:tc>
        <w:tc>
          <w:tcPr>
            <w:tcW w:w="1558" w:type="dxa"/>
            <w:vAlign w:val="center"/>
          </w:tcPr>
          <w:p w14:paraId="13DEDDC4" w14:textId="77777777" w:rsidR="00D8645B" w:rsidRDefault="00D8645B" w:rsidP="00664D46">
            <w:pPr>
              <w:spacing w:line="360" w:lineRule="auto"/>
              <w:jc w:val="center"/>
            </w:pPr>
            <w:r>
              <w:t>GWM</w:t>
            </w:r>
          </w:p>
        </w:tc>
        <w:tc>
          <w:tcPr>
            <w:tcW w:w="1558" w:type="dxa"/>
            <w:vAlign w:val="center"/>
          </w:tcPr>
          <w:p w14:paraId="67EE69B0" w14:textId="77777777" w:rsidR="00D8645B" w:rsidRDefault="00D8645B" w:rsidP="00664D46">
            <w:pPr>
              <w:spacing w:line="360" w:lineRule="auto"/>
              <w:jc w:val="center"/>
            </w:pPr>
            <w:r>
              <w:t>GWM</w:t>
            </w:r>
          </w:p>
        </w:tc>
        <w:tc>
          <w:tcPr>
            <w:tcW w:w="2431" w:type="dxa"/>
            <w:vAlign w:val="center"/>
          </w:tcPr>
          <w:p w14:paraId="40597BB3" w14:textId="77777777" w:rsidR="00D8645B" w:rsidRDefault="00D8645B" w:rsidP="00664D46">
            <w:pPr>
              <w:spacing w:line="360" w:lineRule="auto"/>
              <w:jc w:val="center"/>
            </w:pPr>
            <w:r>
              <w:t>47</w:t>
            </w:r>
          </w:p>
        </w:tc>
      </w:tr>
      <w:tr w:rsidR="00D8645B" w14:paraId="783BB54C" w14:textId="77777777" w:rsidTr="00664D46">
        <w:tc>
          <w:tcPr>
            <w:tcW w:w="1558" w:type="dxa"/>
            <w:vMerge/>
            <w:vAlign w:val="center"/>
          </w:tcPr>
          <w:p w14:paraId="369D8BEB" w14:textId="77777777" w:rsidR="00D8645B" w:rsidRDefault="00D8645B" w:rsidP="00664D46">
            <w:pPr>
              <w:spacing w:line="360" w:lineRule="auto"/>
              <w:jc w:val="center"/>
            </w:pPr>
          </w:p>
        </w:tc>
        <w:tc>
          <w:tcPr>
            <w:tcW w:w="1558" w:type="dxa"/>
            <w:vAlign w:val="center"/>
          </w:tcPr>
          <w:p w14:paraId="550D7BC1" w14:textId="77777777" w:rsidR="00D8645B" w:rsidRDefault="00D8645B" w:rsidP="00664D46">
            <w:pPr>
              <w:spacing w:line="360" w:lineRule="auto"/>
              <w:jc w:val="center"/>
            </w:pPr>
            <w:r>
              <w:t>Hybrids</w:t>
            </w:r>
          </w:p>
        </w:tc>
        <w:tc>
          <w:tcPr>
            <w:tcW w:w="1558" w:type="dxa"/>
            <w:vAlign w:val="center"/>
          </w:tcPr>
          <w:p w14:paraId="01517C99" w14:textId="77777777" w:rsidR="00D8645B" w:rsidRDefault="00D8645B" w:rsidP="00664D46">
            <w:pPr>
              <w:spacing w:line="360" w:lineRule="auto"/>
              <w:jc w:val="center"/>
            </w:pPr>
            <w:r>
              <w:t>Hybrids</w:t>
            </w:r>
          </w:p>
        </w:tc>
        <w:tc>
          <w:tcPr>
            <w:tcW w:w="2431" w:type="dxa"/>
            <w:vAlign w:val="center"/>
          </w:tcPr>
          <w:p w14:paraId="2E25B91F" w14:textId="77777777" w:rsidR="00D8645B" w:rsidRDefault="00D8645B" w:rsidP="00664D46">
            <w:pPr>
              <w:spacing w:line="360" w:lineRule="auto"/>
              <w:jc w:val="center"/>
            </w:pPr>
            <w:r>
              <w:t>30</w:t>
            </w:r>
          </w:p>
        </w:tc>
      </w:tr>
      <w:tr w:rsidR="00D8645B" w14:paraId="4A0C42D2" w14:textId="77777777" w:rsidTr="00664D46">
        <w:tc>
          <w:tcPr>
            <w:tcW w:w="1558" w:type="dxa"/>
            <w:vMerge/>
            <w:vAlign w:val="center"/>
          </w:tcPr>
          <w:p w14:paraId="25A7248D" w14:textId="77777777" w:rsidR="00D8645B" w:rsidRDefault="00D8645B" w:rsidP="00664D46">
            <w:pPr>
              <w:spacing w:line="360" w:lineRule="auto"/>
              <w:jc w:val="center"/>
            </w:pPr>
          </w:p>
        </w:tc>
        <w:tc>
          <w:tcPr>
            <w:tcW w:w="1558" w:type="dxa"/>
            <w:vAlign w:val="center"/>
          </w:tcPr>
          <w:p w14:paraId="183201BA" w14:textId="77777777" w:rsidR="00D8645B" w:rsidRDefault="00D8645B" w:rsidP="00664D46">
            <w:pPr>
              <w:spacing w:line="360" w:lineRule="auto"/>
              <w:jc w:val="center"/>
            </w:pPr>
            <w:r>
              <w:t>Municipals</w:t>
            </w:r>
          </w:p>
        </w:tc>
        <w:tc>
          <w:tcPr>
            <w:tcW w:w="1558" w:type="dxa"/>
            <w:vAlign w:val="center"/>
          </w:tcPr>
          <w:p w14:paraId="51790181" w14:textId="77777777" w:rsidR="00D8645B" w:rsidRDefault="00D8645B" w:rsidP="00664D46">
            <w:pPr>
              <w:spacing w:line="360" w:lineRule="auto"/>
              <w:jc w:val="center"/>
            </w:pPr>
            <w:r>
              <w:t>Municipals</w:t>
            </w:r>
          </w:p>
        </w:tc>
        <w:tc>
          <w:tcPr>
            <w:tcW w:w="2431" w:type="dxa"/>
            <w:vAlign w:val="center"/>
          </w:tcPr>
          <w:p w14:paraId="2A3B8FE6" w14:textId="77777777" w:rsidR="00D8645B" w:rsidRDefault="00D8645B" w:rsidP="00664D46">
            <w:pPr>
              <w:spacing w:line="360" w:lineRule="auto"/>
              <w:jc w:val="center"/>
            </w:pPr>
            <w:r>
              <w:t>2256</w:t>
            </w:r>
          </w:p>
        </w:tc>
      </w:tr>
      <w:tr w:rsidR="00D8645B" w14:paraId="1E36D559" w14:textId="77777777" w:rsidTr="00664D46">
        <w:tc>
          <w:tcPr>
            <w:tcW w:w="1558" w:type="dxa"/>
            <w:vMerge/>
            <w:vAlign w:val="center"/>
          </w:tcPr>
          <w:p w14:paraId="536C4B14" w14:textId="77777777" w:rsidR="00D8645B" w:rsidRDefault="00D8645B" w:rsidP="00664D46">
            <w:pPr>
              <w:spacing w:line="360" w:lineRule="auto"/>
              <w:jc w:val="center"/>
            </w:pPr>
          </w:p>
        </w:tc>
        <w:tc>
          <w:tcPr>
            <w:tcW w:w="1558" w:type="dxa"/>
            <w:vAlign w:val="center"/>
          </w:tcPr>
          <w:p w14:paraId="7C892178" w14:textId="77777777" w:rsidR="00D8645B" w:rsidRDefault="00D8645B" w:rsidP="00664D46">
            <w:pPr>
              <w:spacing w:line="360" w:lineRule="auto"/>
              <w:jc w:val="center"/>
            </w:pPr>
            <w:r>
              <w:t>Nikko Investments</w:t>
            </w:r>
          </w:p>
        </w:tc>
        <w:tc>
          <w:tcPr>
            <w:tcW w:w="1558" w:type="dxa"/>
            <w:vAlign w:val="center"/>
          </w:tcPr>
          <w:p w14:paraId="33D5E551" w14:textId="77777777" w:rsidR="00D8645B" w:rsidRDefault="00D8645B" w:rsidP="00664D46">
            <w:pPr>
              <w:spacing w:line="360" w:lineRule="auto"/>
              <w:jc w:val="center"/>
            </w:pPr>
            <w:r>
              <w:t>Nikko Investments</w:t>
            </w:r>
          </w:p>
        </w:tc>
        <w:tc>
          <w:tcPr>
            <w:tcW w:w="2431" w:type="dxa"/>
            <w:vAlign w:val="center"/>
          </w:tcPr>
          <w:p w14:paraId="2FCB1D7B" w14:textId="77777777" w:rsidR="00D8645B" w:rsidRDefault="00D8645B" w:rsidP="00664D46">
            <w:pPr>
              <w:spacing w:line="360" w:lineRule="auto"/>
              <w:jc w:val="center"/>
            </w:pPr>
            <w:r>
              <w:t>0</w:t>
            </w:r>
          </w:p>
        </w:tc>
      </w:tr>
      <w:tr w:rsidR="00D8645B" w14:paraId="73708A28" w14:textId="77777777" w:rsidTr="00664D46">
        <w:tc>
          <w:tcPr>
            <w:tcW w:w="1558" w:type="dxa"/>
            <w:vMerge/>
            <w:vAlign w:val="center"/>
          </w:tcPr>
          <w:p w14:paraId="38A36CC2" w14:textId="77777777" w:rsidR="00D8645B" w:rsidRDefault="00D8645B" w:rsidP="00664D46">
            <w:pPr>
              <w:spacing w:line="360" w:lineRule="auto"/>
              <w:jc w:val="center"/>
            </w:pPr>
          </w:p>
        </w:tc>
        <w:tc>
          <w:tcPr>
            <w:tcW w:w="1558" w:type="dxa"/>
            <w:vAlign w:val="center"/>
          </w:tcPr>
          <w:p w14:paraId="70901582" w14:textId="77777777" w:rsidR="00D8645B" w:rsidRDefault="00D8645B" w:rsidP="00664D46">
            <w:pPr>
              <w:spacing w:line="360" w:lineRule="auto"/>
              <w:jc w:val="center"/>
            </w:pPr>
            <w:r>
              <w:t>OS&amp;B</w:t>
            </w:r>
          </w:p>
        </w:tc>
        <w:tc>
          <w:tcPr>
            <w:tcW w:w="1558" w:type="dxa"/>
            <w:vAlign w:val="center"/>
          </w:tcPr>
          <w:p w14:paraId="6295FD8E" w14:textId="77777777" w:rsidR="00D8645B" w:rsidRDefault="00D8645B" w:rsidP="00664D46">
            <w:pPr>
              <w:spacing w:line="360" w:lineRule="auto"/>
              <w:jc w:val="center"/>
            </w:pPr>
            <w:r>
              <w:t>OS&amp;B</w:t>
            </w:r>
          </w:p>
        </w:tc>
        <w:tc>
          <w:tcPr>
            <w:tcW w:w="2431" w:type="dxa"/>
            <w:vAlign w:val="center"/>
          </w:tcPr>
          <w:p w14:paraId="2F2D2EFE" w14:textId="77777777" w:rsidR="00D8645B" w:rsidRDefault="00D8645B" w:rsidP="00664D46">
            <w:pPr>
              <w:spacing w:line="360" w:lineRule="auto"/>
              <w:jc w:val="center"/>
            </w:pPr>
            <w:r>
              <w:t>5</w:t>
            </w:r>
          </w:p>
        </w:tc>
      </w:tr>
      <w:tr w:rsidR="00D8645B" w14:paraId="492D3878" w14:textId="77777777" w:rsidTr="00664D46">
        <w:tc>
          <w:tcPr>
            <w:tcW w:w="1558" w:type="dxa"/>
            <w:vMerge/>
            <w:vAlign w:val="center"/>
          </w:tcPr>
          <w:p w14:paraId="3F71101A" w14:textId="77777777" w:rsidR="00D8645B" w:rsidRDefault="00D8645B" w:rsidP="00664D46">
            <w:pPr>
              <w:spacing w:line="360" w:lineRule="auto"/>
              <w:jc w:val="center"/>
            </w:pPr>
          </w:p>
        </w:tc>
        <w:tc>
          <w:tcPr>
            <w:tcW w:w="1558" w:type="dxa"/>
            <w:vAlign w:val="center"/>
          </w:tcPr>
          <w:p w14:paraId="6F837AC0" w14:textId="77777777" w:rsidR="00D8645B" w:rsidRDefault="00D8645B" w:rsidP="00664D46">
            <w:pPr>
              <w:spacing w:line="360" w:lineRule="auto"/>
              <w:jc w:val="center"/>
            </w:pPr>
            <w:r>
              <w:t>Other Global Markets</w:t>
            </w:r>
          </w:p>
        </w:tc>
        <w:tc>
          <w:tcPr>
            <w:tcW w:w="1558" w:type="dxa"/>
            <w:vAlign w:val="center"/>
          </w:tcPr>
          <w:p w14:paraId="220918A1" w14:textId="77777777" w:rsidR="00D8645B" w:rsidRDefault="00D8645B" w:rsidP="00664D46">
            <w:pPr>
              <w:spacing w:line="360" w:lineRule="auto"/>
              <w:jc w:val="center"/>
            </w:pPr>
            <w:r>
              <w:t>Other Global Markets</w:t>
            </w:r>
          </w:p>
        </w:tc>
        <w:tc>
          <w:tcPr>
            <w:tcW w:w="2431" w:type="dxa"/>
            <w:vAlign w:val="center"/>
          </w:tcPr>
          <w:p w14:paraId="52029C26" w14:textId="77777777" w:rsidR="00D8645B" w:rsidRDefault="00D8645B" w:rsidP="00664D46">
            <w:pPr>
              <w:spacing w:line="360" w:lineRule="auto"/>
              <w:jc w:val="center"/>
            </w:pPr>
            <w:r>
              <w:t>51</w:t>
            </w:r>
          </w:p>
        </w:tc>
      </w:tr>
      <w:tr w:rsidR="00D8645B" w14:paraId="24A084BB" w14:textId="77777777" w:rsidTr="00664D46">
        <w:tc>
          <w:tcPr>
            <w:tcW w:w="1558" w:type="dxa"/>
            <w:vMerge/>
            <w:vAlign w:val="center"/>
          </w:tcPr>
          <w:p w14:paraId="66DC2530" w14:textId="77777777" w:rsidR="00D8645B" w:rsidRDefault="00D8645B" w:rsidP="00664D46">
            <w:pPr>
              <w:spacing w:line="360" w:lineRule="auto"/>
              <w:jc w:val="center"/>
            </w:pPr>
          </w:p>
        </w:tc>
        <w:tc>
          <w:tcPr>
            <w:tcW w:w="1558" w:type="dxa"/>
            <w:vAlign w:val="center"/>
          </w:tcPr>
          <w:p w14:paraId="268B9B39" w14:textId="77777777" w:rsidR="00D8645B" w:rsidRDefault="00D8645B" w:rsidP="00664D46">
            <w:pPr>
              <w:spacing w:line="360" w:lineRule="auto"/>
              <w:jc w:val="center"/>
            </w:pPr>
            <w:r>
              <w:t>Prime Finance</w:t>
            </w:r>
          </w:p>
        </w:tc>
        <w:tc>
          <w:tcPr>
            <w:tcW w:w="1558" w:type="dxa"/>
            <w:vAlign w:val="center"/>
          </w:tcPr>
          <w:p w14:paraId="54CEAC0D" w14:textId="77777777" w:rsidR="00D8645B" w:rsidRDefault="00D8645B" w:rsidP="00664D46">
            <w:pPr>
              <w:spacing w:line="360" w:lineRule="auto"/>
              <w:jc w:val="center"/>
            </w:pPr>
            <w:r>
              <w:t>Prime Finance</w:t>
            </w:r>
          </w:p>
        </w:tc>
        <w:tc>
          <w:tcPr>
            <w:tcW w:w="2431" w:type="dxa"/>
            <w:vAlign w:val="center"/>
          </w:tcPr>
          <w:p w14:paraId="17AB6077" w14:textId="77777777" w:rsidR="00D8645B" w:rsidRDefault="00D8645B" w:rsidP="00664D46">
            <w:pPr>
              <w:spacing w:line="360" w:lineRule="auto"/>
              <w:jc w:val="center"/>
            </w:pPr>
            <w:r>
              <w:t>22</w:t>
            </w:r>
          </w:p>
        </w:tc>
      </w:tr>
      <w:tr w:rsidR="00D8645B" w14:paraId="782D8FA7" w14:textId="77777777" w:rsidTr="00664D46">
        <w:tc>
          <w:tcPr>
            <w:tcW w:w="1558" w:type="dxa"/>
            <w:vMerge/>
            <w:vAlign w:val="center"/>
          </w:tcPr>
          <w:p w14:paraId="3D10C90F" w14:textId="77777777" w:rsidR="00D8645B" w:rsidRDefault="00D8645B" w:rsidP="00664D46">
            <w:pPr>
              <w:spacing w:line="360" w:lineRule="auto"/>
              <w:jc w:val="center"/>
            </w:pPr>
          </w:p>
        </w:tc>
        <w:tc>
          <w:tcPr>
            <w:tcW w:w="1558" w:type="dxa"/>
            <w:vAlign w:val="center"/>
          </w:tcPr>
          <w:p w14:paraId="47FE1718" w14:textId="77777777" w:rsidR="00D8645B" w:rsidRDefault="00D8645B" w:rsidP="00664D46">
            <w:pPr>
              <w:spacing w:line="360" w:lineRule="auto"/>
              <w:jc w:val="center"/>
            </w:pPr>
            <w:r>
              <w:t>Securitized Markets</w:t>
            </w:r>
          </w:p>
        </w:tc>
        <w:tc>
          <w:tcPr>
            <w:tcW w:w="1558" w:type="dxa"/>
            <w:vAlign w:val="center"/>
          </w:tcPr>
          <w:p w14:paraId="79C8DAF7" w14:textId="77777777" w:rsidR="00D8645B" w:rsidRDefault="00D8645B" w:rsidP="00664D46">
            <w:pPr>
              <w:spacing w:line="360" w:lineRule="auto"/>
              <w:jc w:val="center"/>
            </w:pPr>
            <w:r>
              <w:t>Securitized Markets</w:t>
            </w:r>
          </w:p>
        </w:tc>
        <w:tc>
          <w:tcPr>
            <w:tcW w:w="2431" w:type="dxa"/>
            <w:vAlign w:val="center"/>
          </w:tcPr>
          <w:p w14:paraId="29854179" w14:textId="77777777" w:rsidR="00D8645B" w:rsidRDefault="00D8645B" w:rsidP="00664D46">
            <w:pPr>
              <w:spacing w:line="360" w:lineRule="auto"/>
              <w:jc w:val="center"/>
            </w:pPr>
            <w:r>
              <w:t>2795</w:t>
            </w:r>
          </w:p>
        </w:tc>
      </w:tr>
      <w:tr w:rsidR="00D8645B" w:rsidRPr="001F0477" w14:paraId="3C365ED9" w14:textId="77777777" w:rsidTr="00664D46">
        <w:tc>
          <w:tcPr>
            <w:tcW w:w="4674" w:type="dxa"/>
            <w:gridSpan w:val="3"/>
          </w:tcPr>
          <w:p w14:paraId="06ECEB90" w14:textId="77777777" w:rsidR="00D8645B" w:rsidRPr="001F0477" w:rsidRDefault="00D8645B" w:rsidP="00664D46">
            <w:pPr>
              <w:spacing w:line="360" w:lineRule="auto"/>
              <w:jc w:val="center"/>
              <w:rPr>
                <w:b/>
              </w:rPr>
            </w:pPr>
            <w:r>
              <w:rPr>
                <w:b/>
              </w:rPr>
              <w:t>Total</w:t>
            </w:r>
          </w:p>
        </w:tc>
        <w:tc>
          <w:tcPr>
            <w:tcW w:w="2431" w:type="dxa"/>
          </w:tcPr>
          <w:p w14:paraId="4A15AA62" w14:textId="77777777" w:rsidR="00D8645B" w:rsidRPr="001F0477" w:rsidRDefault="00D8645B" w:rsidP="00664D46">
            <w:pPr>
              <w:spacing w:line="360" w:lineRule="auto"/>
              <w:jc w:val="center"/>
              <w:rPr>
                <w:b/>
              </w:rPr>
            </w:pPr>
            <w:r>
              <w:rPr>
                <w:b/>
              </w:rPr>
              <w:t>11665</w:t>
            </w:r>
          </w:p>
        </w:tc>
      </w:tr>
    </w:tbl>
    <w:p w14:paraId="0CE17E3B" w14:textId="77777777" w:rsidR="00D8645B" w:rsidRDefault="00D8645B" w:rsidP="00D8645B">
      <w:pPr>
        <w:spacing w:line="360" w:lineRule="auto"/>
      </w:pPr>
    </w:p>
    <w:p w14:paraId="41B45747" w14:textId="77777777" w:rsidR="00D8645B" w:rsidRPr="00370B00" w:rsidRDefault="00D8645B" w:rsidP="0060309E">
      <w:pPr>
        <w:pStyle w:val="ListParagraph"/>
        <w:numPr>
          <w:ilvl w:val="0"/>
          <w:numId w:val="24"/>
        </w:numPr>
        <w:spacing w:after="160" w:line="360" w:lineRule="auto"/>
      </w:pPr>
      <w:r w:rsidRPr="00370B00">
        <w:rPr>
          <w:u w:val="single"/>
        </w:rPr>
        <w:t>Performance Metrics Definition and Rationale</w:t>
      </w:r>
      <w:r w:rsidRPr="00370B00">
        <w:t xml:space="preserve">: </w:t>
      </w:r>
      <w:r>
        <w:t>Ongoing performance monitoring should focus on period-over-period changes of the model output as the model is expected to produce relatively stable capital numbers.</w:t>
      </w:r>
    </w:p>
    <w:p w14:paraId="3E852153" w14:textId="77777777" w:rsidR="00D8645B" w:rsidRDefault="00D8645B" w:rsidP="00D8645B">
      <w:r>
        <w:br w:type="page"/>
      </w:r>
    </w:p>
    <w:p w14:paraId="145C4186" w14:textId="77777777" w:rsidR="00D8645B" w:rsidRPr="00E84977" w:rsidRDefault="00D8645B" w:rsidP="00D8645B">
      <w:pPr>
        <w:spacing w:line="360" w:lineRule="auto"/>
      </w:pPr>
    </w:p>
    <w:p w14:paraId="324A7963" w14:textId="0E33555D" w:rsidR="00D8645B" w:rsidRPr="00E644AB" w:rsidRDefault="00D8645B" w:rsidP="00D8645B">
      <w:pPr>
        <w:spacing w:line="360" w:lineRule="auto"/>
        <w:jc w:val="center"/>
        <w:rPr>
          <w:b/>
          <w:sz w:val="32"/>
          <w:szCs w:val="32"/>
        </w:rPr>
      </w:pPr>
      <w:r w:rsidRPr="00E644AB">
        <w:rPr>
          <w:b/>
          <w:sz w:val="32"/>
          <w:szCs w:val="32"/>
        </w:rPr>
        <w:t>Integrated VaR and Stress Testing Risk Capital Methodology</w:t>
      </w:r>
      <w:r>
        <w:rPr>
          <w:b/>
          <w:sz w:val="32"/>
          <w:szCs w:val="32"/>
        </w:rPr>
        <w:t xml:space="preserve"> Validation</w:t>
      </w:r>
    </w:p>
    <w:p w14:paraId="6E1F9E48" w14:textId="77777777" w:rsidR="00D8645B" w:rsidRDefault="00D8645B" w:rsidP="00D8645B">
      <w:pPr>
        <w:spacing w:line="360" w:lineRule="auto"/>
      </w:pPr>
    </w:p>
    <w:p w14:paraId="4E082FC2" w14:textId="77777777" w:rsidR="00D8645B" w:rsidRDefault="00D8645B" w:rsidP="00D8645B">
      <w:pPr>
        <w:spacing w:line="360" w:lineRule="auto"/>
      </w:pPr>
    </w:p>
    <w:p w14:paraId="2B1D0C34" w14:textId="77777777" w:rsidR="00D8645B" w:rsidRPr="00E644AB" w:rsidRDefault="00D8645B" w:rsidP="00D8645B">
      <w:pPr>
        <w:spacing w:line="360" w:lineRule="auto"/>
        <w:rPr>
          <w:b/>
          <w:sz w:val="28"/>
          <w:szCs w:val="28"/>
        </w:rPr>
      </w:pPr>
      <w:r>
        <w:rPr>
          <w:b/>
          <w:sz w:val="28"/>
          <w:szCs w:val="28"/>
        </w:rPr>
        <w:t>Brief Description of the Purpose of this Model</w:t>
      </w:r>
    </w:p>
    <w:p w14:paraId="146A01DB" w14:textId="77777777" w:rsidR="00D8645B" w:rsidRDefault="00D8645B" w:rsidP="00D8645B">
      <w:pPr>
        <w:spacing w:line="360" w:lineRule="auto"/>
      </w:pPr>
    </w:p>
    <w:p w14:paraId="41D5F5AA" w14:textId="0C5FACFE" w:rsidR="00D8645B" w:rsidRDefault="00D8645B" w:rsidP="0060309E">
      <w:pPr>
        <w:pStyle w:val="ListParagraph"/>
        <w:numPr>
          <w:ilvl w:val="0"/>
          <w:numId w:val="25"/>
        </w:numPr>
        <w:spacing w:after="160" w:line="360" w:lineRule="auto"/>
      </w:pPr>
      <w:r w:rsidRPr="00BD3C47">
        <w:rPr>
          <w:u w:val="single"/>
        </w:rPr>
        <w:t>Enhanced Estimate of Risk Capital</w:t>
      </w:r>
      <w:r w:rsidRPr="00BD3C47">
        <w:t xml:space="preserve">: The purpose of the </w:t>
      </w:r>
      <w:r w:rsidR="00D8120B">
        <w:t>m</w:t>
      </w:r>
      <w:r w:rsidRPr="00BD3C47">
        <w:t>odel is to provide a better method to estimate the economic risk capital – ERC – that is used to review the performance of the businesses within the BHC.</w:t>
      </w:r>
    </w:p>
    <w:p w14:paraId="483E630F" w14:textId="77777777" w:rsidR="00D8645B" w:rsidRDefault="00D8645B" w:rsidP="0060309E">
      <w:pPr>
        <w:pStyle w:val="ListParagraph"/>
        <w:numPr>
          <w:ilvl w:val="0"/>
          <w:numId w:val="25"/>
        </w:numPr>
        <w:spacing w:after="160" w:line="360" w:lineRule="auto"/>
      </w:pPr>
      <w:r>
        <w:rPr>
          <w:u w:val="single"/>
        </w:rPr>
        <w:t>Coverage - Assets with Price Risk</w:t>
      </w:r>
      <w:r w:rsidRPr="00BD3C47">
        <w:t>:</w:t>
      </w:r>
      <w:r>
        <w:t xml:space="preserve"> The model intends to cover all assets that have price risk, including trading assets, CVA, and AFS assets.</w:t>
      </w:r>
    </w:p>
    <w:p w14:paraId="1C6B0A4C" w14:textId="77777777" w:rsidR="00D8645B" w:rsidRDefault="00D8645B" w:rsidP="0060309E">
      <w:pPr>
        <w:pStyle w:val="ListParagraph"/>
        <w:numPr>
          <w:ilvl w:val="0"/>
          <w:numId w:val="25"/>
        </w:numPr>
        <w:spacing w:after="160" w:line="360" w:lineRule="auto"/>
      </w:pPr>
      <w:r>
        <w:rPr>
          <w:u w:val="single"/>
        </w:rPr>
        <w:t>Stress Tests and Statistical P&amp;L Combination</w:t>
      </w:r>
      <w:r>
        <w:t>: It combines the stress tests and the statistical P&amp;L calculations as an enhancement to the current RC model that is based solely on the statistical approach.</w:t>
      </w:r>
    </w:p>
    <w:p w14:paraId="5176C2E6" w14:textId="77777777" w:rsidR="00D8645B" w:rsidRDefault="00D8645B" w:rsidP="0060309E">
      <w:pPr>
        <w:pStyle w:val="ListParagraph"/>
        <w:numPr>
          <w:ilvl w:val="0"/>
          <w:numId w:val="25"/>
        </w:numPr>
        <w:spacing w:after="160" w:line="360" w:lineRule="auto"/>
      </w:pPr>
      <w:r>
        <w:rPr>
          <w:u w:val="single"/>
        </w:rPr>
        <w:t>Annual Losses at 99</w:t>
      </w:r>
      <w:r w:rsidRPr="00BD3C47">
        <w:rPr>
          <w:u w:val="single"/>
        </w:rPr>
        <w:t>.97% Confidence</w:t>
      </w:r>
      <w:r>
        <w:t>: The new RC model will satisfy the following criteria as much as possible. First, it will measure the potential losses over the next year under a severely adverse scenario, notionally equivalent to the 99.97</w:t>
      </w:r>
      <w:r w:rsidRPr="00F01513">
        <w:rPr>
          <w:vertAlign w:val="superscript"/>
        </w:rPr>
        <w:t>th</w:t>
      </w:r>
      <w:r>
        <w:t xml:space="preserve"> percentile of the model loss distribution.</w:t>
      </w:r>
    </w:p>
    <w:p w14:paraId="541FE1B9" w14:textId="77777777" w:rsidR="00D8645B" w:rsidRDefault="00D8645B" w:rsidP="0060309E">
      <w:pPr>
        <w:pStyle w:val="ListParagraph"/>
        <w:numPr>
          <w:ilvl w:val="0"/>
          <w:numId w:val="25"/>
        </w:numPr>
        <w:spacing w:after="160" w:line="360" w:lineRule="auto"/>
      </w:pPr>
      <w:r>
        <w:rPr>
          <w:u w:val="single"/>
        </w:rPr>
        <w:t>Assumption - Constant Level of Risk</w:t>
      </w:r>
      <w:r w:rsidRPr="00F01513">
        <w:t>:</w:t>
      </w:r>
      <w:r>
        <w:t xml:space="preserve"> Second, it must be consistent with a constant level of risk assumption, i.e., it assumes that the businesses will maintain the same level of risk exposure over the next year, and will not materially increase or reduce their risk taking as market conditions change.</w:t>
      </w:r>
    </w:p>
    <w:p w14:paraId="66234CD2" w14:textId="77777777" w:rsidR="00D8645B" w:rsidRDefault="00D8645B" w:rsidP="0060309E">
      <w:pPr>
        <w:pStyle w:val="ListParagraph"/>
        <w:numPr>
          <w:ilvl w:val="0"/>
          <w:numId w:val="25"/>
        </w:numPr>
        <w:spacing w:after="160" w:line="360" w:lineRule="auto"/>
      </w:pPr>
      <w:r>
        <w:rPr>
          <w:u w:val="single"/>
        </w:rPr>
        <w:t>Identifying Assets with Price Risk</w:t>
      </w:r>
      <w:r w:rsidRPr="00F01513">
        <w:t>:</w:t>
      </w:r>
      <w:r>
        <w:t xml:space="preserve"> Third, it must clearly identify assets subject to </w:t>
      </w:r>
      <w:r>
        <w:rPr>
          <w:i/>
        </w:rPr>
        <w:t>price risk</w:t>
      </w:r>
      <w:r>
        <w:t xml:space="preserve"> – those whose valuation and impact on book equity depends primarily on market observed prices as opposed to, for example, assets which are valued primarily based on their contractual status, assets such as defaulted loans in the banking book.</w:t>
      </w:r>
    </w:p>
    <w:p w14:paraId="73471397" w14:textId="77777777" w:rsidR="00D8645B" w:rsidRDefault="00D8645B" w:rsidP="0060309E">
      <w:pPr>
        <w:pStyle w:val="ListParagraph"/>
        <w:numPr>
          <w:ilvl w:val="0"/>
          <w:numId w:val="25"/>
        </w:numPr>
        <w:spacing w:after="160" w:line="360" w:lineRule="auto"/>
      </w:pPr>
      <w:r>
        <w:rPr>
          <w:u w:val="single"/>
        </w:rPr>
        <w:lastRenderedPageBreak/>
        <w:t>Full Inclusion of Tail Events</w:t>
      </w:r>
      <w:r w:rsidRPr="00535D06">
        <w:t>:</w:t>
      </w:r>
      <w:r>
        <w:t xml:space="preserve"> Fourth, it must provide a full inclusion of </w:t>
      </w:r>
      <w:r>
        <w:rPr>
          <w:i/>
        </w:rPr>
        <w:t>tail events</w:t>
      </w:r>
      <w:r>
        <w:t xml:space="preserve"> including non-normal behavior of individual market factors, high correlation during stress periods, and illiquidity as markets crash.</w:t>
      </w:r>
    </w:p>
    <w:p w14:paraId="08C77900" w14:textId="77777777" w:rsidR="00D8645B" w:rsidRDefault="00D8645B" w:rsidP="0060309E">
      <w:pPr>
        <w:pStyle w:val="ListParagraph"/>
        <w:numPr>
          <w:ilvl w:val="0"/>
          <w:numId w:val="25"/>
        </w:numPr>
        <w:spacing w:after="160" w:line="360" w:lineRule="auto"/>
      </w:pPr>
      <w:proofErr w:type="gramStart"/>
      <w:r>
        <w:rPr>
          <w:u w:val="single"/>
        </w:rPr>
        <w:t>Non Pro-</w:t>
      </w:r>
      <w:proofErr w:type="gramEnd"/>
      <w:r>
        <w:rPr>
          <w:u w:val="single"/>
        </w:rPr>
        <w:t>cyclical Risk Capital</w:t>
      </w:r>
      <w:r>
        <w:t>: Provides an approximately stable level of risk capital over the economic cycle, avoiding the potentially volatile risk capital associated with, for example, a VaR model calibrated to recent data or a credit loss calibrated to market implied PD’s.</w:t>
      </w:r>
    </w:p>
    <w:p w14:paraId="6779B343" w14:textId="77777777" w:rsidR="00D8645B" w:rsidRDefault="00D8645B" w:rsidP="00D8645B">
      <w:pPr>
        <w:spacing w:line="360" w:lineRule="auto"/>
      </w:pPr>
    </w:p>
    <w:p w14:paraId="42DF0F5F" w14:textId="77777777" w:rsidR="00D8645B" w:rsidRDefault="00D8645B" w:rsidP="00D8645B">
      <w:pPr>
        <w:spacing w:line="360" w:lineRule="auto"/>
      </w:pPr>
    </w:p>
    <w:p w14:paraId="025D76EC" w14:textId="77777777" w:rsidR="00D8645B" w:rsidRPr="004863B9" w:rsidRDefault="00D8645B" w:rsidP="00D8645B">
      <w:pPr>
        <w:spacing w:line="360" w:lineRule="auto"/>
        <w:rPr>
          <w:b/>
          <w:sz w:val="28"/>
          <w:szCs w:val="28"/>
        </w:rPr>
      </w:pPr>
      <w:r w:rsidRPr="004863B9">
        <w:rPr>
          <w:b/>
          <w:sz w:val="28"/>
          <w:szCs w:val="28"/>
        </w:rPr>
        <w:t>General Modeling Approach</w:t>
      </w:r>
    </w:p>
    <w:p w14:paraId="56A7F32E" w14:textId="77777777" w:rsidR="00D8645B" w:rsidRDefault="00D8645B" w:rsidP="00D8645B">
      <w:pPr>
        <w:spacing w:line="360" w:lineRule="auto"/>
      </w:pPr>
    </w:p>
    <w:p w14:paraId="04291571" w14:textId="77777777" w:rsidR="00D8645B" w:rsidRDefault="00D8645B" w:rsidP="0060309E">
      <w:pPr>
        <w:pStyle w:val="ListParagraph"/>
        <w:numPr>
          <w:ilvl w:val="0"/>
          <w:numId w:val="26"/>
        </w:numPr>
        <w:spacing w:after="160" w:line="360" w:lineRule="auto"/>
      </w:pPr>
      <w:r w:rsidRPr="004863B9">
        <w:rPr>
          <w:u w:val="single"/>
        </w:rPr>
        <w:t>iVAST Losses from Stress Scenarios</w:t>
      </w:r>
      <w:r w:rsidRPr="004863B9">
        <w:t>: The iVAST losses of a portfolio are driven by the stress losses calculated based on a set of carefully specified stress scenarios.</w:t>
      </w:r>
    </w:p>
    <w:p w14:paraId="37283F7B" w14:textId="77777777" w:rsidR="00D8645B" w:rsidRDefault="00D8645B" w:rsidP="0060309E">
      <w:pPr>
        <w:pStyle w:val="ListParagraph"/>
        <w:numPr>
          <w:ilvl w:val="0"/>
          <w:numId w:val="26"/>
        </w:numPr>
        <w:spacing w:after="160" w:line="360" w:lineRule="auto"/>
      </w:pPr>
      <w:r>
        <w:rPr>
          <w:u w:val="single"/>
        </w:rPr>
        <w:t>VaR/Stress Component Loss Correlation</w:t>
      </w:r>
      <w:r w:rsidRPr="004863B9">
        <w:t>:</w:t>
      </w:r>
      <w:r>
        <w:t xml:space="preserve"> Also included is the contribution of VaR P&amp;L’s directly from Market Risk. These two components are not correlated.</w:t>
      </w:r>
    </w:p>
    <w:p w14:paraId="1E182AB3" w14:textId="77777777" w:rsidR="00D8645B" w:rsidRDefault="00D8645B" w:rsidP="0060309E">
      <w:pPr>
        <w:pStyle w:val="ListParagraph"/>
        <w:numPr>
          <w:ilvl w:val="0"/>
          <w:numId w:val="26"/>
        </w:numPr>
        <w:spacing w:after="160" w:line="360" w:lineRule="auto"/>
      </w:pPr>
      <w:r>
        <w:rPr>
          <w:u w:val="single"/>
        </w:rPr>
        <w:t>Estimation of the Stress Loss Distribution</w:t>
      </w:r>
      <w:r w:rsidRPr="004863B9">
        <w:t>:</w:t>
      </w:r>
      <w:r>
        <w:t xml:space="preserve"> On top of the VaR P&amp;Ls, stress losses are simulated based on loss levels calculated from business stress tests and the associated probabilities of the stress scenarios.</w:t>
      </w:r>
    </w:p>
    <w:p w14:paraId="202AE6C7" w14:textId="77777777" w:rsidR="00D8645B" w:rsidRDefault="00D8645B" w:rsidP="0060309E">
      <w:pPr>
        <w:pStyle w:val="ListParagraph"/>
        <w:numPr>
          <w:ilvl w:val="0"/>
          <w:numId w:val="26"/>
        </w:numPr>
        <w:spacing w:after="160" w:line="360" w:lineRule="auto"/>
      </w:pPr>
      <w:r>
        <w:rPr>
          <w:u w:val="single"/>
        </w:rPr>
        <w:t>Types of Stress Scenarios</w:t>
      </w:r>
      <w:r w:rsidRPr="004863B9">
        <w:t>:</w:t>
      </w:r>
      <w:r>
        <w:t xml:space="preserve"> There are three types of stress tests – the Global Systemic Stress Tests (GSST), the idiosyncratic Business Specific Stress Tests (iBSST), and the correlated Business Specific Stress Tests (cBSST).</w:t>
      </w:r>
    </w:p>
    <w:p w14:paraId="28E41A4A" w14:textId="77777777" w:rsidR="00D8645B" w:rsidRDefault="00D8645B" w:rsidP="0060309E">
      <w:pPr>
        <w:pStyle w:val="ListParagraph"/>
        <w:numPr>
          <w:ilvl w:val="0"/>
          <w:numId w:val="26"/>
        </w:numPr>
        <w:spacing w:after="160" w:line="360" w:lineRule="auto"/>
      </w:pPr>
      <w:r>
        <w:rPr>
          <w:u w:val="single"/>
        </w:rPr>
        <w:t>Correlation between Stress Test Scenarios</w:t>
      </w:r>
      <w:r w:rsidRPr="004863B9">
        <w:t>:</w:t>
      </w:r>
      <w:r>
        <w:t xml:space="preserve"> The GSST is fully correlated with the associated cBSST, and uncorrelated with all </w:t>
      </w:r>
      <w:proofErr w:type="spellStart"/>
      <w:r>
        <w:t>iBSSTs</w:t>
      </w:r>
      <w:proofErr w:type="spellEnd"/>
      <w:r>
        <w:t>.</w:t>
      </w:r>
    </w:p>
    <w:p w14:paraId="51D152FC" w14:textId="77777777" w:rsidR="00D8645B" w:rsidRDefault="00D8645B" w:rsidP="0060309E">
      <w:pPr>
        <w:pStyle w:val="ListParagraph"/>
        <w:numPr>
          <w:ilvl w:val="0"/>
          <w:numId w:val="26"/>
        </w:numPr>
        <w:spacing w:after="160" w:line="360" w:lineRule="auto"/>
      </w:pPr>
      <w:r>
        <w:rPr>
          <w:u w:val="single"/>
        </w:rPr>
        <w:t>98% Loss to 99</w:t>
      </w:r>
      <w:r w:rsidRPr="007B2F19">
        <w:rPr>
          <w:u w:val="single"/>
        </w:rPr>
        <w:t>.97% VaR</w:t>
      </w:r>
      <w:r>
        <w:t>: Extrapolation treatment is needed to translate iVAST losses at a practical confidence level, e.g., 98%, to that required by the RC at 99.97%. This is achieved by assuming a certain tail distribution of the losses.</w:t>
      </w:r>
    </w:p>
    <w:p w14:paraId="66698009" w14:textId="77777777" w:rsidR="00D8645B" w:rsidRDefault="00D8645B" w:rsidP="0060309E">
      <w:pPr>
        <w:pStyle w:val="ListParagraph"/>
        <w:numPr>
          <w:ilvl w:val="0"/>
          <w:numId w:val="26"/>
        </w:numPr>
        <w:spacing w:after="160" w:line="360" w:lineRule="auto"/>
      </w:pPr>
      <w:r>
        <w:rPr>
          <w:u w:val="single"/>
        </w:rPr>
        <w:t>Breakdown of the Risk Capital</w:t>
      </w:r>
      <w:r w:rsidRPr="007B2F19">
        <w:t>:</w:t>
      </w:r>
      <w:r>
        <w:t xml:space="preserve"> The RC breakdown by businesses is calculated in two flavors – the standalone and the marginal – and both are reported by the model.</w:t>
      </w:r>
    </w:p>
    <w:p w14:paraId="7861C816" w14:textId="77777777" w:rsidR="00D8645B" w:rsidRDefault="00D8645B" w:rsidP="00D8645B">
      <w:pPr>
        <w:spacing w:line="360" w:lineRule="auto"/>
      </w:pPr>
    </w:p>
    <w:p w14:paraId="5A45E6A2" w14:textId="77777777" w:rsidR="00D8645B" w:rsidRDefault="00D8645B" w:rsidP="00D8645B">
      <w:pPr>
        <w:spacing w:line="360" w:lineRule="auto"/>
      </w:pPr>
    </w:p>
    <w:p w14:paraId="46ADAB65" w14:textId="77777777" w:rsidR="00D8645B" w:rsidRPr="007B2F19" w:rsidRDefault="00D8645B" w:rsidP="00D8645B">
      <w:pPr>
        <w:spacing w:line="360" w:lineRule="auto"/>
        <w:rPr>
          <w:b/>
          <w:sz w:val="28"/>
          <w:szCs w:val="28"/>
        </w:rPr>
      </w:pPr>
      <w:r w:rsidRPr="007B2F19">
        <w:rPr>
          <w:b/>
          <w:sz w:val="28"/>
          <w:szCs w:val="28"/>
        </w:rPr>
        <w:lastRenderedPageBreak/>
        <w:t>Approximations or Algorithms</w:t>
      </w:r>
    </w:p>
    <w:p w14:paraId="0F9513AB" w14:textId="77777777" w:rsidR="00D8645B" w:rsidRDefault="00D8645B" w:rsidP="00D8645B">
      <w:pPr>
        <w:spacing w:line="360" w:lineRule="auto"/>
      </w:pPr>
    </w:p>
    <w:p w14:paraId="65202FA8" w14:textId="77777777" w:rsidR="00D8645B" w:rsidRDefault="00D8645B" w:rsidP="0060309E">
      <w:pPr>
        <w:pStyle w:val="ListParagraph"/>
        <w:numPr>
          <w:ilvl w:val="0"/>
          <w:numId w:val="27"/>
        </w:numPr>
        <w:spacing w:after="160" w:line="360" w:lineRule="auto"/>
      </w:pPr>
      <w:r w:rsidRPr="007B2F19">
        <w:rPr>
          <w:u w:val="single"/>
        </w:rPr>
        <w:t>Lack of History – Expert Call</w:t>
      </w:r>
      <w:r w:rsidRPr="007B2F19">
        <w:t>: For RC calculations, it is necessary to incorporate some expert judgements due to lack of historical data.</w:t>
      </w:r>
    </w:p>
    <w:p w14:paraId="1ED12423" w14:textId="77777777" w:rsidR="00D8645B" w:rsidRDefault="00D8645B" w:rsidP="0060309E">
      <w:pPr>
        <w:pStyle w:val="ListParagraph"/>
        <w:numPr>
          <w:ilvl w:val="0"/>
          <w:numId w:val="27"/>
        </w:numPr>
        <w:spacing w:after="160" w:line="360" w:lineRule="auto"/>
      </w:pPr>
      <w:r>
        <w:rPr>
          <w:u w:val="single"/>
        </w:rPr>
        <w:t>Stress Scenario Probability and Averaging Horizon</w:t>
      </w:r>
      <w:r w:rsidRPr="007B2F19">
        <w:t>:</w:t>
      </w:r>
      <w:r>
        <w:t xml:space="preserve"> In the iVAST model, the probability for each stress scenario to occur is set to a fixed value, say, 2%. The stress loss is the average over the 3 months’ stress tests.</w:t>
      </w:r>
    </w:p>
    <w:p w14:paraId="58641FF7" w14:textId="77777777" w:rsidR="00D8645B" w:rsidRDefault="00D8645B" w:rsidP="0060309E">
      <w:pPr>
        <w:pStyle w:val="ListParagraph"/>
        <w:numPr>
          <w:ilvl w:val="0"/>
          <w:numId w:val="27"/>
        </w:numPr>
        <w:spacing w:after="160" w:line="360" w:lineRule="auto"/>
      </w:pPr>
      <w:r>
        <w:rPr>
          <w:u w:val="single"/>
        </w:rPr>
        <w:t>Correlation between GSST and cBSST</w:t>
      </w:r>
      <w:r w:rsidRPr="007B2F19">
        <w:t>:</w:t>
      </w:r>
      <w:r>
        <w:t xml:space="preserve"> The correlation factor of cBSST severity with the GSST severity is based on the risk managers’ judgement.</w:t>
      </w:r>
    </w:p>
    <w:p w14:paraId="142B2AFD" w14:textId="77777777" w:rsidR="00D8645B" w:rsidRDefault="00D8645B" w:rsidP="0060309E">
      <w:pPr>
        <w:pStyle w:val="ListParagraph"/>
        <w:numPr>
          <w:ilvl w:val="0"/>
          <w:numId w:val="27"/>
        </w:numPr>
        <w:spacing w:after="160" w:line="360" w:lineRule="auto"/>
      </w:pPr>
      <w:r>
        <w:rPr>
          <w:u w:val="single"/>
        </w:rPr>
        <w:t>VaR/Stress Loss Tail Distribution</w:t>
      </w:r>
      <w:r w:rsidRPr="007B2F19">
        <w:t>:</w:t>
      </w:r>
      <w:r>
        <w:t xml:space="preserve"> The scaling factors for the VaR P&amp;Ls and the stress losses are determined by the tail distributions applied to them – normal distribution for VaR P&amp;Ls and Student-t distribution with 5 degrees of freedom for stress losses.</w:t>
      </w:r>
    </w:p>
    <w:p w14:paraId="571CE0BC" w14:textId="77777777" w:rsidR="00D8645B" w:rsidRDefault="00D8645B" w:rsidP="00D8645B">
      <w:pPr>
        <w:spacing w:line="360" w:lineRule="auto"/>
      </w:pPr>
    </w:p>
    <w:p w14:paraId="09E66850" w14:textId="77777777" w:rsidR="00D8645B" w:rsidRDefault="00D8645B" w:rsidP="00D8645B">
      <w:pPr>
        <w:spacing w:line="360" w:lineRule="auto"/>
      </w:pPr>
    </w:p>
    <w:p w14:paraId="673C7AA2" w14:textId="77777777" w:rsidR="00D8645B" w:rsidRPr="00B07A76" w:rsidRDefault="00D8645B" w:rsidP="00D8645B">
      <w:pPr>
        <w:spacing w:line="360" w:lineRule="auto"/>
        <w:rPr>
          <w:b/>
          <w:sz w:val="28"/>
          <w:szCs w:val="28"/>
        </w:rPr>
      </w:pPr>
      <w:r w:rsidRPr="00B07A76">
        <w:rPr>
          <w:b/>
          <w:sz w:val="28"/>
          <w:szCs w:val="28"/>
        </w:rPr>
        <w:t>Brief Description of the Main Assumptions Underlying the Model</w:t>
      </w:r>
    </w:p>
    <w:p w14:paraId="16399430" w14:textId="77777777" w:rsidR="00D8645B" w:rsidRDefault="00D8645B" w:rsidP="00D8645B">
      <w:pPr>
        <w:spacing w:line="360" w:lineRule="auto"/>
      </w:pPr>
    </w:p>
    <w:p w14:paraId="39F6A82A" w14:textId="77777777" w:rsidR="00D8645B" w:rsidRDefault="00D8645B" w:rsidP="0060309E">
      <w:pPr>
        <w:pStyle w:val="ListParagraph"/>
        <w:numPr>
          <w:ilvl w:val="0"/>
          <w:numId w:val="28"/>
        </w:numPr>
        <w:spacing w:after="160" w:line="360" w:lineRule="auto"/>
      </w:pPr>
      <w:r w:rsidRPr="00EA045A">
        <w:rPr>
          <w:u w:val="single"/>
        </w:rPr>
        <w:t>Losses under Normal Market Conditions</w:t>
      </w:r>
      <w:r w:rsidRPr="00EA045A">
        <w:t>: Losses under the normal market conditions handled by the statistical risk model, losses under extreme market conditions handled by global systemic stress tests – combined with the correlated business specific stress tests – and the idiosyncratic stress tests are considered uncorrelated.</w:t>
      </w:r>
    </w:p>
    <w:p w14:paraId="469E2BF9" w14:textId="77777777" w:rsidR="00D8645B" w:rsidRDefault="00D8645B" w:rsidP="0060309E">
      <w:pPr>
        <w:pStyle w:val="ListParagraph"/>
        <w:numPr>
          <w:ilvl w:val="0"/>
          <w:numId w:val="28"/>
        </w:numPr>
        <w:spacing w:after="160" w:line="360" w:lineRule="auto"/>
      </w:pPr>
      <w:r>
        <w:rPr>
          <w:u w:val="single"/>
        </w:rPr>
        <w:t>Tail of the Loss Distribution</w:t>
      </w:r>
      <w:r w:rsidRPr="00EA045A">
        <w:t>:</w:t>
      </w:r>
      <w:r>
        <w:t xml:space="preserve"> Based on historical data analysis, the tails of the VaR P&amp;L’s and the stress losses can be described with a normal distribution and a Student’s t-distribution with 5 degrees of freedom, respectively, to reasonably capture the fat tail behavior of the financial market.</w:t>
      </w:r>
    </w:p>
    <w:p w14:paraId="3D09CBB2" w14:textId="77777777" w:rsidR="00D8645B" w:rsidRDefault="00D8645B" w:rsidP="0060309E">
      <w:pPr>
        <w:pStyle w:val="ListParagraph"/>
        <w:numPr>
          <w:ilvl w:val="0"/>
          <w:numId w:val="28"/>
        </w:numPr>
        <w:spacing w:after="160" w:line="360" w:lineRule="auto"/>
      </w:pPr>
      <w:r>
        <w:rPr>
          <w:u w:val="single"/>
        </w:rPr>
        <w:t>Stress Event Losses and Probabilities</w:t>
      </w:r>
      <w:r w:rsidRPr="00EA045A">
        <w:t>:</w:t>
      </w:r>
      <w:r>
        <w:t xml:space="preserve"> The losses and probabilities of stress events can be quantified using expert judgement.</w:t>
      </w:r>
    </w:p>
    <w:p w14:paraId="3BD83625" w14:textId="77777777" w:rsidR="00D8645B" w:rsidRDefault="00D8645B" w:rsidP="0060309E">
      <w:pPr>
        <w:pStyle w:val="ListParagraph"/>
        <w:numPr>
          <w:ilvl w:val="0"/>
          <w:numId w:val="28"/>
        </w:numPr>
        <w:spacing w:after="160" w:line="360" w:lineRule="auto"/>
      </w:pPr>
      <w:r>
        <w:rPr>
          <w:u w:val="single"/>
        </w:rPr>
        <w:t>Completeness of Historical Stress Logic</w:t>
      </w:r>
      <w:r w:rsidRPr="0025216A">
        <w:t>:</w:t>
      </w:r>
      <w:r>
        <w:t xml:space="preserve"> The existing stress test scenarios based on historical data and business judgement provide a reasonably comprehensive coverage of possible stress situations.</w:t>
      </w:r>
    </w:p>
    <w:p w14:paraId="70A1F20B" w14:textId="77777777" w:rsidR="00D8645B" w:rsidRDefault="00D8645B" w:rsidP="0060309E">
      <w:pPr>
        <w:pStyle w:val="ListParagraph"/>
        <w:numPr>
          <w:ilvl w:val="0"/>
          <w:numId w:val="28"/>
        </w:numPr>
        <w:spacing w:after="160" w:line="360" w:lineRule="auto"/>
      </w:pPr>
      <w:r>
        <w:rPr>
          <w:u w:val="single"/>
        </w:rPr>
        <w:lastRenderedPageBreak/>
        <w:t>cBSST/GSST Correlation Severity Judgement</w:t>
      </w:r>
      <w:r w:rsidRPr="0025216A">
        <w:t>:</w:t>
      </w:r>
      <w:r>
        <w:t xml:space="preserve"> The risk manager’s judgement on the corr4elation factor of severity between cBSST and GSST is reasonable.</w:t>
      </w:r>
    </w:p>
    <w:p w14:paraId="0FCF9094" w14:textId="77777777" w:rsidR="00D8645B" w:rsidRDefault="00D8645B" w:rsidP="0060309E">
      <w:pPr>
        <w:pStyle w:val="ListParagraph"/>
        <w:numPr>
          <w:ilvl w:val="0"/>
          <w:numId w:val="28"/>
        </w:numPr>
        <w:spacing w:after="160" w:line="360" w:lineRule="auto"/>
      </w:pPr>
      <w:r>
        <w:rPr>
          <w:u w:val="single"/>
        </w:rPr>
        <w:t>Probabilities of the Stress Scenarios</w:t>
      </w:r>
      <w:r w:rsidRPr="0025216A">
        <w:t>:</w:t>
      </w:r>
      <w:r>
        <w:t xml:space="preserve"> The probabilities of the systemic stress scenarios are all set to 2%.</w:t>
      </w:r>
    </w:p>
    <w:p w14:paraId="28EA258E" w14:textId="77777777" w:rsidR="00D8645B" w:rsidRDefault="00D8645B" w:rsidP="0060309E">
      <w:pPr>
        <w:pStyle w:val="ListParagraph"/>
        <w:numPr>
          <w:ilvl w:val="0"/>
          <w:numId w:val="28"/>
        </w:numPr>
        <w:spacing w:after="160" w:line="360" w:lineRule="auto"/>
      </w:pPr>
      <w:r>
        <w:rPr>
          <w:u w:val="single"/>
        </w:rPr>
        <w:t>Expected Shortfall Confidence Level</w:t>
      </w:r>
      <w:r w:rsidRPr="0025216A">
        <w:t>:</w:t>
      </w:r>
      <w:r>
        <w:t xml:space="preserve"> Expected shortfall is measured at a judgmental percentile corresponding to</w:t>
      </w:r>
    </w:p>
    <w:p w14:paraId="39AF7D5F" w14:textId="77777777" w:rsidR="00D8645B" w:rsidRPr="0025216A" w:rsidRDefault="00D8645B" w:rsidP="00D8645B">
      <w:pPr>
        <w:spacing w:line="360" w:lineRule="auto"/>
        <w:rPr>
          <w:u w:val="single"/>
        </w:rPr>
      </w:pPr>
    </w:p>
    <w:p w14:paraId="1C69759D" w14:textId="77777777" w:rsidR="00D8645B" w:rsidRPr="0025216A" w:rsidRDefault="00D8645B" w:rsidP="00D8645B">
      <w:pPr>
        <w:pStyle w:val="ListParagraph"/>
        <w:spacing w:line="360" w:lineRule="auto"/>
        <w:ind w:left="360"/>
      </w:pPr>
      <m:oMathPara>
        <m:oMath>
          <m:r>
            <w:rPr>
              <w:rFonts w:ascii="Cambria Math" w:hAnsi="Cambria Math"/>
            </w:rPr>
            <m:t>α=2%</m:t>
          </m:r>
        </m:oMath>
      </m:oMathPara>
    </w:p>
    <w:p w14:paraId="14D1C22F" w14:textId="77777777" w:rsidR="00D8645B" w:rsidRDefault="00D8645B" w:rsidP="00D8645B">
      <w:pPr>
        <w:spacing w:line="360" w:lineRule="auto"/>
      </w:pPr>
    </w:p>
    <w:p w14:paraId="4E1336C0" w14:textId="77777777" w:rsidR="00D8645B" w:rsidRDefault="00D8645B" w:rsidP="00D8645B">
      <w:pPr>
        <w:spacing w:line="360" w:lineRule="auto"/>
      </w:pPr>
    </w:p>
    <w:p w14:paraId="52284DFF" w14:textId="77777777" w:rsidR="00D8645B" w:rsidRPr="0025216A" w:rsidRDefault="00D8645B" w:rsidP="00D8645B">
      <w:pPr>
        <w:spacing w:line="360" w:lineRule="auto"/>
        <w:rPr>
          <w:b/>
          <w:sz w:val="28"/>
          <w:szCs w:val="28"/>
        </w:rPr>
      </w:pPr>
      <w:r w:rsidRPr="0025216A">
        <w:rPr>
          <w:b/>
          <w:sz w:val="28"/>
          <w:szCs w:val="28"/>
        </w:rPr>
        <w:t>General Review</w:t>
      </w:r>
    </w:p>
    <w:p w14:paraId="6F451F34" w14:textId="77777777" w:rsidR="00D8645B" w:rsidRDefault="00D8645B" w:rsidP="00D8645B">
      <w:pPr>
        <w:spacing w:line="360" w:lineRule="auto"/>
      </w:pPr>
    </w:p>
    <w:p w14:paraId="49CAF97D" w14:textId="77777777" w:rsidR="00D8645B" w:rsidRDefault="00D8645B" w:rsidP="0060309E">
      <w:pPr>
        <w:pStyle w:val="ListParagraph"/>
        <w:numPr>
          <w:ilvl w:val="0"/>
          <w:numId w:val="29"/>
        </w:numPr>
        <w:spacing w:after="160" w:line="360" w:lineRule="auto"/>
      </w:pPr>
      <w:r w:rsidRPr="00787212">
        <w:rPr>
          <w:u w:val="single"/>
        </w:rPr>
        <w:t>Importance of Stress Testing Capital</w:t>
      </w:r>
      <w:r w:rsidRPr="00787212">
        <w:t xml:space="preserve">: As Basel II requires that the stress testing processes be implemented to assess a bank’s capital adequacy, the incorporation of stress tests </w:t>
      </w:r>
      <w:r>
        <w:t>i</w:t>
      </w:r>
      <w:r w:rsidRPr="00787212">
        <w:t>n regulatory capital and economic risk capital is becoming a</w:t>
      </w:r>
      <w:r>
        <w:t>n</w:t>
      </w:r>
      <w:r w:rsidRPr="00787212">
        <w:t xml:space="preserve"> industry standard.</w:t>
      </w:r>
    </w:p>
    <w:p w14:paraId="0AD203F5" w14:textId="77777777" w:rsidR="00D8645B" w:rsidRDefault="00D8645B" w:rsidP="0060309E">
      <w:pPr>
        <w:pStyle w:val="ListParagraph"/>
        <w:numPr>
          <w:ilvl w:val="0"/>
          <w:numId w:val="29"/>
        </w:numPr>
        <w:spacing w:after="160" w:line="360" w:lineRule="auto"/>
      </w:pPr>
      <w:r>
        <w:rPr>
          <w:u w:val="single"/>
        </w:rPr>
        <w:t>Better Estimate of Risk Capital</w:t>
      </w:r>
      <w:r w:rsidRPr="00993783">
        <w:t>:</w:t>
      </w:r>
      <w:r>
        <w:t xml:space="preserve"> The iVAST model attempts to combine the statistical model and stress testing in order to better estimate the economic risk capital in risk management.</w:t>
      </w:r>
    </w:p>
    <w:p w14:paraId="35EE95C9" w14:textId="77777777" w:rsidR="00D8645B" w:rsidRDefault="00D8645B" w:rsidP="0060309E">
      <w:pPr>
        <w:pStyle w:val="ListParagraph"/>
        <w:numPr>
          <w:ilvl w:val="0"/>
          <w:numId w:val="29"/>
        </w:numPr>
        <w:spacing w:after="160" w:line="360" w:lineRule="auto"/>
      </w:pPr>
      <w:r>
        <w:rPr>
          <w:u w:val="single"/>
        </w:rPr>
        <w:t>Advantages of Statistical/Scenario Approach</w:t>
      </w:r>
      <w:r w:rsidRPr="00993783">
        <w:t>:</w:t>
      </w:r>
      <w:r>
        <w:t xml:space="preserve"> This model has the advantages from both approaches, although the stress test losses are more judgmental and conditional on particular stress scenarios.</w:t>
      </w:r>
    </w:p>
    <w:p w14:paraId="1CF51A50" w14:textId="77777777" w:rsidR="00D8645B" w:rsidRDefault="00D8645B" w:rsidP="0060309E">
      <w:pPr>
        <w:pStyle w:val="ListParagraph"/>
        <w:numPr>
          <w:ilvl w:val="0"/>
          <w:numId w:val="29"/>
        </w:numPr>
        <w:spacing w:after="160" w:line="360" w:lineRule="auto"/>
      </w:pPr>
      <w:r>
        <w:rPr>
          <w:u w:val="single"/>
        </w:rPr>
        <w:t>Challenges with Simulating Stress Scenarios</w:t>
      </w:r>
      <w:r w:rsidRPr="00993783">
        <w:t>:</w:t>
      </w:r>
      <w:r>
        <w:t xml:space="preserve"> Alternative approaches may include the attempts to simulate the stress scenarios, but this seems not quite feasible owing to insufficient historical data of extreme events at such confidence level.</w:t>
      </w:r>
    </w:p>
    <w:p w14:paraId="01FF1DD2" w14:textId="77777777" w:rsidR="00D8645B" w:rsidRDefault="00D8645B" w:rsidP="0060309E">
      <w:pPr>
        <w:pStyle w:val="ListParagraph"/>
        <w:numPr>
          <w:ilvl w:val="0"/>
          <w:numId w:val="29"/>
        </w:numPr>
        <w:spacing w:after="160" w:line="360" w:lineRule="auto"/>
      </w:pPr>
      <w:r>
        <w:rPr>
          <w:u w:val="single"/>
        </w:rPr>
        <w:t>RC Estimation using Stress Tests</w:t>
      </w:r>
      <w:r w:rsidRPr="00993783">
        <w:t>:</w:t>
      </w:r>
      <w:r>
        <w:t xml:space="preserve"> This model shifts the focus in RC estimation from statistical analysis to stress tests, which is a revolutionary change.</w:t>
      </w:r>
    </w:p>
    <w:p w14:paraId="3327C1F4" w14:textId="77777777" w:rsidR="00D8645B" w:rsidRDefault="00D8645B" w:rsidP="0060309E">
      <w:pPr>
        <w:pStyle w:val="ListParagraph"/>
        <w:numPr>
          <w:ilvl w:val="0"/>
          <w:numId w:val="29"/>
        </w:numPr>
        <w:spacing w:after="160" w:line="360" w:lineRule="auto"/>
      </w:pPr>
      <w:r>
        <w:rPr>
          <w:u w:val="single"/>
        </w:rPr>
        <w:t>Stress Impact on RC Numbers</w:t>
      </w:r>
      <w:r w:rsidRPr="00993783">
        <w:t>:</w:t>
      </w:r>
      <w:r>
        <w:t xml:space="preserve"> Consequently, the RC level can be much larger than before, capturing the historically worst market scenario, but it also becomes much more judgmental.</w:t>
      </w:r>
    </w:p>
    <w:p w14:paraId="17487E1E" w14:textId="77777777" w:rsidR="00D8645B" w:rsidRDefault="00D8645B" w:rsidP="0060309E">
      <w:pPr>
        <w:pStyle w:val="ListParagraph"/>
        <w:numPr>
          <w:ilvl w:val="0"/>
          <w:numId w:val="29"/>
        </w:numPr>
        <w:spacing w:after="160" w:line="360" w:lineRule="auto"/>
      </w:pPr>
      <w:r>
        <w:rPr>
          <w:u w:val="single"/>
        </w:rPr>
        <w:t>Best Historical Estimate of Losses</w:t>
      </w:r>
      <w:r w:rsidRPr="00457D95">
        <w:t>:</w:t>
      </w:r>
      <w:r>
        <w:t xml:space="preserve"> The RC can be understood as the best estimate of capital loss based on existing historical scenarios, and the RC may be adjusted accordingly as new market data becomes available.</w:t>
      </w:r>
    </w:p>
    <w:p w14:paraId="531B1286" w14:textId="77777777" w:rsidR="00D8645B" w:rsidRDefault="00D8645B" w:rsidP="0060309E">
      <w:pPr>
        <w:pStyle w:val="ListParagraph"/>
        <w:numPr>
          <w:ilvl w:val="0"/>
          <w:numId w:val="29"/>
        </w:numPr>
        <w:spacing w:after="160" w:line="360" w:lineRule="auto"/>
      </w:pPr>
      <w:r>
        <w:rPr>
          <w:u w:val="single"/>
        </w:rPr>
        <w:lastRenderedPageBreak/>
        <w:t>Extrapolation from 2% to 0</w:t>
      </w:r>
      <w:r w:rsidRPr="00134F9C">
        <w:rPr>
          <w:u w:val="single"/>
        </w:rPr>
        <w:t>.03%</w:t>
      </w:r>
      <w:r>
        <w:t xml:space="preserve">: The basic reason for the iVAST model be considered </w:t>
      </w:r>
      <w:r>
        <w:rPr>
          <w:i/>
        </w:rPr>
        <w:t>judgmental</w:t>
      </w:r>
      <w:r>
        <w:t xml:space="preserve"> is essentially due to stress loss extrapolation from 2% probability down to 0.03% probability.</w:t>
      </w:r>
    </w:p>
    <w:p w14:paraId="50A27F69" w14:textId="77777777" w:rsidR="00D8645B" w:rsidRPr="00134F9C" w:rsidRDefault="00D8645B" w:rsidP="0060309E">
      <w:pPr>
        <w:pStyle w:val="ListParagraph"/>
        <w:numPr>
          <w:ilvl w:val="0"/>
          <w:numId w:val="29"/>
        </w:numPr>
        <w:spacing w:after="160" w:line="360" w:lineRule="auto"/>
      </w:pPr>
      <w:r>
        <w:rPr>
          <w:u w:val="single"/>
        </w:rPr>
        <w:t>iVAST Stress Loss Factor Scaling</w:t>
      </w:r>
      <w:r w:rsidRPr="00134F9C">
        <w:t>:</w:t>
      </w:r>
      <w:r>
        <w:t xml:space="preserve"> In iVAST the stress loss is scaled by a factor of </w:t>
      </w:r>
      <m:oMath>
        <m:r>
          <w:rPr>
            <w:rFonts w:ascii="Cambria Math" w:hAnsi="Cambria Math"/>
          </w:rPr>
          <m:t>2.0</m:t>
        </m:r>
      </m:oMath>
      <w:r>
        <w:rPr>
          <w:rFonts w:eastAsiaTheme="minorEastAsia"/>
        </w:rPr>
        <w:t xml:space="preserve">, consistent with the tail behavior suggested by the Student’s t-distribution with </w:t>
      </w:r>
      <m:oMath>
        <m:r>
          <w:rPr>
            <w:rFonts w:ascii="Cambria Math" w:hAnsi="Cambria Math"/>
          </w:rPr>
          <m:t>5</m:t>
        </m:r>
      </m:oMath>
      <w:r>
        <w:rPr>
          <w:rFonts w:eastAsiaTheme="minorEastAsia"/>
        </w:rPr>
        <w:t xml:space="preserve"> degrees of freedom.</w:t>
      </w:r>
    </w:p>
    <w:p w14:paraId="04FECC18" w14:textId="77777777" w:rsidR="00D8645B" w:rsidRDefault="00D8645B" w:rsidP="0060309E">
      <w:pPr>
        <w:pStyle w:val="ListParagraph"/>
        <w:numPr>
          <w:ilvl w:val="0"/>
          <w:numId w:val="29"/>
        </w:numPr>
        <w:spacing w:after="160" w:line="360" w:lineRule="auto"/>
      </w:pPr>
      <w:r>
        <w:rPr>
          <w:u w:val="single"/>
        </w:rPr>
        <w:t>Evidence for Stress Loss Distribution</w:t>
      </w:r>
      <w:r>
        <w:t>: This is based on judgement, although historical analysis on some corporate bonds suggests that the spreads fit the t-distribution better than other distributions. For further improvement of the model, one may focus on how to extrapolate the stress loss to a very low probability.</w:t>
      </w:r>
    </w:p>
    <w:p w14:paraId="3DE86C3E" w14:textId="77777777" w:rsidR="00D8645B" w:rsidRDefault="00D8645B" w:rsidP="00D8645B">
      <w:pPr>
        <w:spacing w:line="360" w:lineRule="auto"/>
      </w:pPr>
    </w:p>
    <w:p w14:paraId="188D50DB" w14:textId="77777777" w:rsidR="00D8645B" w:rsidRDefault="00D8645B" w:rsidP="00D8645B">
      <w:pPr>
        <w:spacing w:line="360" w:lineRule="auto"/>
      </w:pPr>
    </w:p>
    <w:p w14:paraId="00639C3B" w14:textId="77777777" w:rsidR="00D8645B" w:rsidRPr="00134F9C" w:rsidRDefault="00D8645B" w:rsidP="00D8645B">
      <w:pPr>
        <w:spacing w:line="360" w:lineRule="auto"/>
        <w:rPr>
          <w:b/>
          <w:sz w:val="28"/>
          <w:szCs w:val="28"/>
        </w:rPr>
      </w:pPr>
      <w:r w:rsidRPr="00134F9C">
        <w:rPr>
          <w:b/>
          <w:sz w:val="28"/>
          <w:szCs w:val="28"/>
        </w:rPr>
        <w:t>Alternative Approaches</w:t>
      </w:r>
    </w:p>
    <w:p w14:paraId="086D3F88" w14:textId="77777777" w:rsidR="00D8645B" w:rsidRDefault="00D8645B" w:rsidP="00D8645B">
      <w:pPr>
        <w:spacing w:line="360" w:lineRule="auto"/>
      </w:pPr>
    </w:p>
    <w:p w14:paraId="622AEB72" w14:textId="77777777" w:rsidR="00D8645B" w:rsidRDefault="00D8645B" w:rsidP="0060309E">
      <w:pPr>
        <w:pStyle w:val="ListParagraph"/>
        <w:numPr>
          <w:ilvl w:val="0"/>
          <w:numId w:val="30"/>
        </w:numPr>
        <w:spacing w:after="160" w:line="360" w:lineRule="auto"/>
      </w:pPr>
      <w:r w:rsidRPr="00134F9C">
        <w:rPr>
          <w:u w:val="single"/>
        </w:rPr>
        <w:t>Simulation of Extreme Loss Scenarios</w:t>
      </w:r>
      <w:r w:rsidRPr="00134F9C">
        <w:t>: For alternative approaches, one may consider simulating the extreme stress scenarios. But as indicated above, this is an extremely hard task due to the lack of historical data for extreme events. The covariance and the tail distribution may have to be based on pure assumptions.</w:t>
      </w:r>
    </w:p>
    <w:p w14:paraId="23974E9F" w14:textId="77777777" w:rsidR="00D8645B" w:rsidRDefault="00D8645B" w:rsidP="0060309E">
      <w:pPr>
        <w:pStyle w:val="ListParagraph"/>
        <w:numPr>
          <w:ilvl w:val="0"/>
          <w:numId w:val="30"/>
        </w:numPr>
        <w:spacing w:after="160" w:line="360" w:lineRule="auto"/>
      </w:pPr>
      <w:r>
        <w:rPr>
          <w:u w:val="single"/>
        </w:rPr>
        <w:t>Maintaining Total Portfolio Loss Constraint</w:t>
      </w:r>
      <w:r w:rsidRPr="008D1DF1">
        <w:t>:</w:t>
      </w:r>
      <w:r>
        <w:t xml:space="preserve"> An easier approach may be to simulate the stress losses using a loss distribution, but the constraint that the total portfolio loss should be a sum of the sub-portfolio losses may be hard to maintain, and one may still be unable to benefit from the richness of the losses by simulation.</w:t>
      </w:r>
    </w:p>
    <w:p w14:paraId="7EAFE8A0" w14:textId="77777777" w:rsidR="00D8645B" w:rsidRDefault="00D8645B" w:rsidP="0060309E">
      <w:pPr>
        <w:pStyle w:val="ListParagraph"/>
        <w:numPr>
          <w:ilvl w:val="0"/>
          <w:numId w:val="30"/>
        </w:numPr>
        <w:spacing w:after="160" w:line="360" w:lineRule="auto"/>
      </w:pPr>
      <w:r>
        <w:rPr>
          <w:u w:val="single"/>
        </w:rPr>
        <w:t>iVAST Simplicity, Feasibility, and Transparency</w:t>
      </w:r>
      <w:r w:rsidRPr="008D1DF1">
        <w:t>:</w:t>
      </w:r>
      <w:r>
        <w:t xml:space="preserve"> Considering simplicity, feasibility, and transparency, the iVAST model seems to be a best choice.</w:t>
      </w:r>
    </w:p>
    <w:p w14:paraId="3D7C2B2D" w14:textId="77777777" w:rsidR="00D8645B" w:rsidRDefault="00D8645B" w:rsidP="00D8645B">
      <w:pPr>
        <w:spacing w:line="360" w:lineRule="auto"/>
      </w:pPr>
    </w:p>
    <w:p w14:paraId="5F912A4C" w14:textId="77777777" w:rsidR="00D8645B" w:rsidRDefault="00D8645B" w:rsidP="00D8645B">
      <w:pPr>
        <w:spacing w:line="360" w:lineRule="auto"/>
      </w:pPr>
    </w:p>
    <w:p w14:paraId="5F10945A" w14:textId="77777777" w:rsidR="00D8645B" w:rsidRPr="008D1DF1" w:rsidRDefault="00D8645B" w:rsidP="00D8645B">
      <w:pPr>
        <w:spacing w:line="360" w:lineRule="auto"/>
        <w:rPr>
          <w:b/>
          <w:sz w:val="28"/>
          <w:szCs w:val="28"/>
        </w:rPr>
      </w:pPr>
      <w:r w:rsidRPr="008D1DF1">
        <w:rPr>
          <w:b/>
          <w:sz w:val="28"/>
          <w:szCs w:val="28"/>
        </w:rPr>
        <w:t>Limitations of the General Modeling Framework</w:t>
      </w:r>
    </w:p>
    <w:p w14:paraId="1A182C5F" w14:textId="77777777" w:rsidR="00D8645B" w:rsidRDefault="00D8645B" w:rsidP="00D8645B">
      <w:pPr>
        <w:spacing w:line="360" w:lineRule="auto"/>
      </w:pPr>
    </w:p>
    <w:p w14:paraId="2C6AECAA" w14:textId="77777777" w:rsidR="00D8645B" w:rsidRDefault="00D8645B" w:rsidP="0060309E">
      <w:pPr>
        <w:pStyle w:val="ListParagraph"/>
        <w:numPr>
          <w:ilvl w:val="0"/>
          <w:numId w:val="31"/>
        </w:numPr>
        <w:spacing w:after="160" w:line="360" w:lineRule="auto"/>
      </w:pPr>
      <w:r w:rsidRPr="008D1DF1">
        <w:rPr>
          <w:u w:val="single"/>
        </w:rPr>
        <w:lastRenderedPageBreak/>
        <w:t>Expert Judgement Stress Scenario Specification</w:t>
      </w:r>
      <w:r w:rsidRPr="008D1DF1">
        <w:t>: The RC depends highly on a small set of stress scenarios – even a single one. Specification of stress scenarios and their associated probabilities relies on expert judgement.</w:t>
      </w:r>
    </w:p>
    <w:p w14:paraId="1D05F96C" w14:textId="77777777" w:rsidR="00D8645B" w:rsidRDefault="00D8645B" w:rsidP="0060309E">
      <w:pPr>
        <w:pStyle w:val="ListParagraph"/>
        <w:numPr>
          <w:ilvl w:val="0"/>
          <w:numId w:val="31"/>
        </w:numPr>
        <w:spacing w:after="160" w:line="360" w:lineRule="auto"/>
      </w:pPr>
      <w:r>
        <w:rPr>
          <w:u w:val="single"/>
        </w:rPr>
        <w:t>RC as a Loss Guide</w:t>
      </w:r>
      <w:r w:rsidRPr="008D1DF1">
        <w:t>:</w:t>
      </w:r>
      <w:r>
        <w:t xml:space="preserve"> The RC estimated from iVAST can be treated as judgmental to a certain extent, and it may serve as a guide for the risk of unexpected capital loss of a business rather than an accurate measure.</w:t>
      </w:r>
    </w:p>
    <w:p w14:paraId="093E588A" w14:textId="77777777" w:rsidR="00D8645B" w:rsidRDefault="00D8645B" w:rsidP="0060309E">
      <w:pPr>
        <w:pStyle w:val="ListParagraph"/>
        <w:numPr>
          <w:ilvl w:val="0"/>
          <w:numId w:val="31"/>
        </w:numPr>
        <w:spacing w:after="160" w:line="360" w:lineRule="auto"/>
      </w:pPr>
      <w:r>
        <w:rPr>
          <w:u w:val="single"/>
        </w:rPr>
        <w:t>Parameters Determining the RC Estimate</w:t>
      </w:r>
      <w:r w:rsidRPr="008D1DF1">
        <w:t>:</w:t>
      </w:r>
      <w:r>
        <w:t xml:space="preserve"> In iVAST, the RC estimation depends on the choices of the following model parameters:</w:t>
      </w:r>
    </w:p>
    <w:p w14:paraId="37D7515E" w14:textId="77777777" w:rsidR="00D8645B" w:rsidRDefault="00D8645B" w:rsidP="0060309E">
      <w:pPr>
        <w:pStyle w:val="ListParagraph"/>
        <w:numPr>
          <w:ilvl w:val="1"/>
          <w:numId w:val="31"/>
        </w:numPr>
        <w:spacing w:after="160" w:line="360" w:lineRule="auto"/>
      </w:pPr>
      <w:r>
        <w:t>The set of stress scenarios and their associated probabilities</w:t>
      </w:r>
    </w:p>
    <w:p w14:paraId="5A595591" w14:textId="77777777" w:rsidR="00D8645B" w:rsidRDefault="00D8645B" w:rsidP="0060309E">
      <w:pPr>
        <w:pStyle w:val="ListParagraph"/>
        <w:numPr>
          <w:ilvl w:val="1"/>
          <w:numId w:val="31"/>
        </w:numPr>
        <w:spacing w:after="160" w:line="360" w:lineRule="auto"/>
      </w:pPr>
      <w:r>
        <w:t>The distribution type of the stress loss tail</w:t>
      </w:r>
    </w:p>
    <w:p w14:paraId="30349463" w14:textId="77777777" w:rsidR="00D8645B" w:rsidRDefault="00D8645B" w:rsidP="0060309E">
      <w:pPr>
        <w:pStyle w:val="ListParagraph"/>
        <w:numPr>
          <w:ilvl w:val="1"/>
          <w:numId w:val="31"/>
        </w:numPr>
        <w:spacing w:after="160" w:line="360" w:lineRule="auto"/>
      </w:pPr>
      <w:r>
        <w:t>The correlation factors for the cBSST severity</w:t>
      </w:r>
    </w:p>
    <w:p w14:paraId="6C2D6557" w14:textId="77777777" w:rsidR="00D8645B" w:rsidRDefault="00D8645B" w:rsidP="0060309E">
      <w:pPr>
        <w:pStyle w:val="ListParagraph"/>
        <w:numPr>
          <w:ilvl w:val="0"/>
          <w:numId w:val="31"/>
        </w:numPr>
        <w:spacing w:after="160" w:line="360" w:lineRule="auto"/>
      </w:pPr>
      <w:r w:rsidRPr="00563CDE">
        <w:rPr>
          <w:u w:val="single"/>
        </w:rPr>
        <w:t>GSST/cBSST Impact on RC</w:t>
      </w:r>
      <w:r>
        <w:t>: For example, it is observed that the RC depends largely on the worst GSST scenario – plus cBSST.</w:t>
      </w:r>
    </w:p>
    <w:p w14:paraId="2495B078" w14:textId="77777777" w:rsidR="00D8645B" w:rsidRDefault="00D8645B" w:rsidP="0060309E">
      <w:pPr>
        <w:pStyle w:val="ListParagraph"/>
        <w:numPr>
          <w:ilvl w:val="0"/>
          <w:numId w:val="31"/>
        </w:numPr>
        <w:spacing w:after="160" w:line="360" w:lineRule="auto"/>
      </w:pPr>
      <w:r>
        <w:rPr>
          <w:u w:val="single"/>
        </w:rPr>
        <w:t>Duration of the GSST Scenarios</w:t>
      </w:r>
      <w:r w:rsidRPr="00563CDE">
        <w:t>:</w:t>
      </w:r>
      <w:r>
        <w:t xml:space="preserve"> It is, therefore, natural to ask if the existing GSST scenarios can reach the depth of the stress losses for a larger period of time.</w:t>
      </w:r>
    </w:p>
    <w:p w14:paraId="1D9FBACC" w14:textId="77777777" w:rsidR="00D8645B" w:rsidRDefault="00D8645B" w:rsidP="0060309E">
      <w:pPr>
        <w:pStyle w:val="ListParagraph"/>
        <w:numPr>
          <w:ilvl w:val="0"/>
          <w:numId w:val="31"/>
        </w:numPr>
        <w:spacing w:after="160" w:line="360" w:lineRule="auto"/>
      </w:pPr>
      <w:r>
        <w:rPr>
          <w:u w:val="single"/>
        </w:rPr>
        <w:t>Equivalence of 98% to 99</w:t>
      </w:r>
      <w:r w:rsidRPr="00563CDE">
        <w:rPr>
          <w:u w:val="single"/>
        </w:rPr>
        <w:t>.97%</w:t>
      </w:r>
      <w:r>
        <w:t>: It also makes sense to investigate the representation power of the stress scenario at 98% ES to capture the stress losses at 99.97% VaR.</w:t>
      </w:r>
    </w:p>
    <w:p w14:paraId="13CDD75D" w14:textId="77777777" w:rsidR="00D8645B" w:rsidRDefault="00D8645B" w:rsidP="00D8645B">
      <w:pPr>
        <w:spacing w:line="360" w:lineRule="auto"/>
      </w:pPr>
    </w:p>
    <w:p w14:paraId="5ACBC78D" w14:textId="77777777" w:rsidR="00D8645B" w:rsidRDefault="00D8645B" w:rsidP="00D8645B">
      <w:pPr>
        <w:spacing w:line="360" w:lineRule="auto"/>
      </w:pPr>
    </w:p>
    <w:p w14:paraId="56B351F9" w14:textId="77777777" w:rsidR="00D8645B" w:rsidRPr="00563CDE" w:rsidRDefault="00D8645B" w:rsidP="00D8645B">
      <w:pPr>
        <w:spacing w:line="360" w:lineRule="auto"/>
        <w:rPr>
          <w:b/>
          <w:sz w:val="28"/>
          <w:szCs w:val="28"/>
        </w:rPr>
      </w:pPr>
      <w:r w:rsidRPr="00563CDE">
        <w:rPr>
          <w:b/>
          <w:sz w:val="28"/>
          <w:szCs w:val="28"/>
        </w:rPr>
        <w:t>Limitations of any Particular Algorithms or Approximations</w:t>
      </w:r>
    </w:p>
    <w:p w14:paraId="385CB0EC" w14:textId="77777777" w:rsidR="00D8645B" w:rsidRDefault="00D8645B" w:rsidP="00D8645B">
      <w:pPr>
        <w:spacing w:line="360" w:lineRule="auto"/>
      </w:pPr>
    </w:p>
    <w:p w14:paraId="56FC240D" w14:textId="77777777" w:rsidR="00D8645B" w:rsidRDefault="00D8645B" w:rsidP="00D8645B">
      <w:pPr>
        <w:spacing w:line="360" w:lineRule="auto"/>
      </w:pPr>
      <w:r>
        <w:t>Monte Carlo Simulation in iVAST has certain statistical error, though it may be much less significant than the impact of the possible uncertainty in model parameters.</w:t>
      </w:r>
    </w:p>
    <w:p w14:paraId="21FFEA28" w14:textId="77777777" w:rsidR="00D8645B" w:rsidRDefault="00D8645B" w:rsidP="00D8645B">
      <w:pPr>
        <w:spacing w:line="360" w:lineRule="auto"/>
      </w:pPr>
    </w:p>
    <w:p w14:paraId="71C6B56E" w14:textId="77777777" w:rsidR="00D8645B" w:rsidRDefault="00D8645B" w:rsidP="00D8645B">
      <w:pPr>
        <w:spacing w:line="360" w:lineRule="auto"/>
      </w:pPr>
    </w:p>
    <w:p w14:paraId="6F2B1FF0" w14:textId="77777777" w:rsidR="00D8645B" w:rsidRPr="00563CDE" w:rsidRDefault="00D8645B" w:rsidP="00D8645B">
      <w:pPr>
        <w:spacing w:line="360" w:lineRule="auto"/>
        <w:rPr>
          <w:b/>
          <w:sz w:val="28"/>
          <w:szCs w:val="28"/>
        </w:rPr>
      </w:pPr>
      <w:r w:rsidRPr="00563CDE">
        <w:rPr>
          <w:b/>
          <w:sz w:val="28"/>
          <w:szCs w:val="28"/>
        </w:rPr>
        <w:t>Error Analysis/Convergence Testing</w:t>
      </w:r>
    </w:p>
    <w:p w14:paraId="64753871" w14:textId="77777777" w:rsidR="00D8645B" w:rsidRDefault="00D8645B" w:rsidP="00D8645B">
      <w:pPr>
        <w:spacing w:line="360" w:lineRule="auto"/>
      </w:pPr>
    </w:p>
    <w:p w14:paraId="00032371" w14:textId="77777777" w:rsidR="00D8645B" w:rsidRDefault="00D8645B" w:rsidP="00D8645B">
      <w:pPr>
        <w:spacing w:line="360" w:lineRule="auto"/>
      </w:pPr>
      <w:r>
        <w:t>The focus here is on the Monte Carlo error and the investigation is on how the error depends on the number of simulations.</w:t>
      </w:r>
    </w:p>
    <w:p w14:paraId="1373581B" w14:textId="77777777" w:rsidR="00D8645B" w:rsidRDefault="00D8645B" w:rsidP="00D8645B">
      <w:pPr>
        <w:spacing w:line="360" w:lineRule="auto"/>
      </w:pPr>
    </w:p>
    <w:p w14:paraId="4B07C42C" w14:textId="77777777" w:rsidR="00D8645B" w:rsidRDefault="00D8645B" w:rsidP="00D8645B">
      <w:pPr>
        <w:spacing w:line="360" w:lineRule="auto"/>
      </w:pPr>
    </w:p>
    <w:p w14:paraId="03FDB4C7" w14:textId="77777777" w:rsidR="00D8645B" w:rsidRPr="00F3312F" w:rsidRDefault="00D8645B" w:rsidP="00D8645B">
      <w:pPr>
        <w:spacing w:line="360" w:lineRule="auto"/>
        <w:rPr>
          <w:b/>
          <w:sz w:val="28"/>
          <w:szCs w:val="28"/>
        </w:rPr>
      </w:pPr>
      <w:r w:rsidRPr="00F3312F">
        <w:rPr>
          <w:b/>
          <w:sz w:val="28"/>
          <w:szCs w:val="28"/>
        </w:rPr>
        <w:t>Cases Used in Testing</w:t>
      </w:r>
    </w:p>
    <w:p w14:paraId="370CD790" w14:textId="77777777" w:rsidR="00D8645B" w:rsidRDefault="00D8645B" w:rsidP="00D8645B">
      <w:pPr>
        <w:spacing w:line="360" w:lineRule="auto"/>
      </w:pPr>
    </w:p>
    <w:p w14:paraId="02B67BAB" w14:textId="77777777" w:rsidR="00D8645B" w:rsidRDefault="00D8645B" w:rsidP="00D8645B">
      <w:pPr>
        <w:spacing w:line="360" w:lineRule="auto"/>
      </w:pPr>
      <w:r>
        <w:t>The hierarchical RC’s calculated from iVAST are reviewed. The properties of the iVAST loss distribution are reviewed. Comparison against a pure statistical model is conducted. The impact of through-the-cycle VaR Correction is reviewed. Contributions of VaR, FSST, and BSST (cBSST and iBSST) to RC are compared.</w:t>
      </w:r>
    </w:p>
    <w:p w14:paraId="2DB3061F" w14:textId="77777777" w:rsidR="00D8645B" w:rsidRDefault="00D8645B" w:rsidP="00D8645B">
      <w:pPr>
        <w:spacing w:line="360" w:lineRule="auto"/>
      </w:pPr>
    </w:p>
    <w:p w14:paraId="47FE932E" w14:textId="77777777" w:rsidR="00D8645B" w:rsidRDefault="00D8645B" w:rsidP="00D8645B">
      <w:pPr>
        <w:spacing w:line="360" w:lineRule="auto"/>
      </w:pPr>
    </w:p>
    <w:p w14:paraId="0C6113DF" w14:textId="77777777" w:rsidR="00D8645B" w:rsidRPr="00FF2B65" w:rsidRDefault="00D8645B" w:rsidP="00D8645B">
      <w:pPr>
        <w:spacing w:line="360" w:lineRule="auto"/>
        <w:rPr>
          <w:b/>
          <w:sz w:val="28"/>
          <w:szCs w:val="28"/>
        </w:rPr>
      </w:pPr>
      <w:r w:rsidRPr="00FF2B65">
        <w:rPr>
          <w:b/>
          <w:sz w:val="28"/>
          <w:szCs w:val="28"/>
        </w:rPr>
        <w:t>Stress Testing</w:t>
      </w:r>
    </w:p>
    <w:p w14:paraId="0344026B" w14:textId="77777777" w:rsidR="00D8645B" w:rsidRDefault="00D8645B" w:rsidP="00D8645B">
      <w:pPr>
        <w:spacing w:line="360" w:lineRule="auto"/>
      </w:pPr>
    </w:p>
    <w:p w14:paraId="631D8362" w14:textId="77777777" w:rsidR="00D8645B" w:rsidRDefault="00D8645B" w:rsidP="00D8645B">
      <w:pPr>
        <w:spacing w:line="360" w:lineRule="auto"/>
      </w:pPr>
      <w:r>
        <w:t>iVAST is a statistical model, and there is no conceivable situation under which the model would fail. Thus, the performance of the model under a wide range of probabilities for the stress events must be tested.</w:t>
      </w:r>
    </w:p>
    <w:p w14:paraId="7E462F80" w14:textId="77777777" w:rsidR="00D8645B" w:rsidRDefault="00D8645B" w:rsidP="00D8645B">
      <w:pPr>
        <w:spacing w:line="360" w:lineRule="auto"/>
      </w:pPr>
    </w:p>
    <w:p w14:paraId="65993DBB" w14:textId="77777777" w:rsidR="00D8645B" w:rsidRDefault="00D8645B" w:rsidP="00D8645B">
      <w:pPr>
        <w:spacing w:line="360" w:lineRule="auto"/>
      </w:pPr>
    </w:p>
    <w:p w14:paraId="42E20F11" w14:textId="77777777" w:rsidR="00D8645B" w:rsidRPr="00FF2B65" w:rsidRDefault="00D8645B" w:rsidP="00D8645B">
      <w:pPr>
        <w:spacing w:line="360" w:lineRule="auto"/>
        <w:rPr>
          <w:b/>
          <w:sz w:val="28"/>
          <w:szCs w:val="28"/>
        </w:rPr>
      </w:pPr>
      <w:r w:rsidRPr="00FF2B65">
        <w:rPr>
          <w:b/>
          <w:sz w:val="28"/>
          <w:szCs w:val="28"/>
        </w:rPr>
        <w:t>Benchmarking</w:t>
      </w:r>
    </w:p>
    <w:p w14:paraId="7568DABC" w14:textId="77777777" w:rsidR="00D8645B" w:rsidRDefault="00D8645B" w:rsidP="00D8645B">
      <w:pPr>
        <w:spacing w:line="360" w:lineRule="auto"/>
      </w:pPr>
    </w:p>
    <w:p w14:paraId="529C5D26" w14:textId="77777777" w:rsidR="00D8645B" w:rsidRDefault="00D8645B" w:rsidP="00D8645B">
      <w:pPr>
        <w:spacing w:line="360" w:lineRule="auto"/>
      </w:pPr>
      <w:r>
        <w:t>In this test, the cutoff rang for expected shortfall calculation at the same level of stress probability is maintained, and the behavior of the RC over a wide range of probabilities is examined.</w:t>
      </w:r>
    </w:p>
    <w:p w14:paraId="53AE6893" w14:textId="77777777" w:rsidR="00D8645B" w:rsidRDefault="00D8645B" w:rsidP="00D8645B">
      <w:pPr>
        <w:spacing w:line="360" w:lineRule="auto"/>
      </w:pPr>
    </w:p>
    <w:p w14:paraId="64EEAD36" w14:textId="77777777" w:rsidR="00D8645B" w:rsidRDefault="00D8645B" w:rsidP="00D8645B">
      <w:pPr>
        <w:spacing w:line="360" w:lineRule="auto"/>
      </w:pPr>
    </w:p>
    <w:p w14:paraId="3377DA58" w14:textId="77777777" w:rsidR="00D8645B" w:rsidRPr="00FF2B65" w:rsidRDefault="00D8645B" w:rsidP="00D8645B">
      <w:pPr>
        <w:spacing w:line="360" w:lineRule="auto"/>
        <w:rPr>
          <w:b/>
          <w:sz w:val="28"/>
          <w:szCs w:val="28"/>
        </w:rPr>
      </w:pPr>
      <w:r w:rsidRPr="00FF2B65">
        <w:rPr>
          <w:b/>
          <w:sz w:val="28"/>
          <w:szCs w:val="28"/>
        </w:rPr>
        <w:t>Sensitivity Analysis</w:t>
      </w:r>
    </w:p>
    <w:p w14:paraId="180020C3" w14:textId="77777777" w:rsidR="00D8645B" w:rsidRDefault="00D8645B" w:rsidP="00D8645B">
      <w:pPr>
        <w:spacing w:line="360" w:lineRule="auto"/>
      </w:pPr>
    </w:p>
    <w:p w14:paraId="57F5948E" w14:textId="77777777" w:rsidR="00D8645B" w:rsidRDefault="00D8645B" w:rsidP="00D8645B">
      <w:pPr>
        <w:spacing w:line="360" w:lineRule="auto"/>
      </w:pPr>
      <w:r>
        <w:t>The sensitivity of RC on several model parameters is tested – probabilities associated with the stress scenarios, choice of the GSST scenarios, and tail distribution of the stress losses using a very fat tail distribution, and a normal distribution without a tail.</w:t>
      </w:r>
    </w:p>
    <w:p w14:paraId="035102E0" w14:textId="77777777" w:rsidR="00D8645B" w:rsidRDefault="00D8645B" w:rsidP="00D8645B">
      <w:pPr>
        <w:spacing w:line="360" w:lineRule="auto"/>
      </w:pPr>
    </w:p>
    <w:p w14:paraId="55E80572" w14:textId="77777777" w:rsidR="00D8645B" w:rsidRDefault="00D8645B" w:rsidP="00D8645B">
      <w:pPr>
        <w:spacing w:line="360" w:lineRule="auto"/>
      </w:pPr>
    </w:p>
    <w:p w14:paraId="4125B77D" w14:textId="77777777" w:rsidR="00D8645B" w:rsidRPr="00A26325" w:rsidRDefault="00D8645B" w:rsidP="00D8645B">
      <w:pPr>
        <w:spacing w:line="360" w:lineRule="auto"/>
        <w:rPr>
          <w:b/>
          <w:sz w:val="28"/>
          <w:szCs w:val="28"/>
        </w:rPr>
      </w:pPr>
      <w:r w:rsidRPr="00A26325">
        <w:rPr>
          <w:b/>
          <w:sz w:val="28"/>
          <w:szCs w:val="28"/>
        </w:rPr>
        <w:lastRenderedPageBreak/>
        <w:t>Conclusions</w:t>
      </w:r>
    </w:p>
    <w:p w14:paraId="5EFD156B" w14:textId="77777777" w:rsidR="00D8645B" w:rsidRDefault="00D8645B" w:rsidP="00D8645B">
      <w:pPr>
        <w:spacing w:line="360" w:lineRule="auto"/>
      </w:pPr>
    </w:p>
    <w:p w14:paraId="2E2B9000" w14:textId="77777777" w:rsidR="00D8645B" w:rsidRDefault="00D8645B" w:rsidP="0060309E">
      <w:pPr>
        <w:pStyle w:val="ListParagraph"/>
        <w:numPr>
          <w:ilvl w:val="0"/>
          <w:numId w:val="32"/>
        </w:numPr>
        <w:spacing w:after="160" w:line="360" w:lineRule="auto"/>
      </w:pPr>
      <w:r w:rsidRPr="00A26325">
        <w:rPr>
          <w:u w:val="single"/>
        </w:rPr>
        <w:t>Monte Carlo Error Convergence Analysis</w:t>
      </w:r>
      <w:r w:rsidRPr="00A26325">
        <w:t xml:space="preserve">: The convergence analysis shows that the Monte Carlo error is proportional to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SIM</m:t>
                    </m:r>
                  </m:sub>
                </m:sSub>
              </m:e>
            </m:rad>
          </m:den>
        </m:f>
      </m:oMath>
      <w:r w:rsidRPr="00A26325">
        <w:t>, fully as expected, and that 5,000 simulations are sufficient for the RC estimation.</w:t>
      </w:r>
    </w:p>
    <w:p w14:paraId="58401994" w14:textId="77777777" w:rsidR="00D8645B" w:rsidRDefault="00D8645B" w:rsidP="0060309E">
      <w:pPr>
        <w:pStyle w:val="ListParagraph"/>
        <w:numPr>
          <w:ilvl w:val="0"/>
          <w:numId w:val="32"/>
        </w:numPr>
        <w:spacing w:after="160" w:line="360" w:lineRule="auto"/>
      </w:pPr>
      <w:r>
        <w:rPr>
          <w:u w:val="single"/>
        </w:rPr>
        <w:t>Non-normality of Loss Distribution</w:t>
      </w:r>
      <w:r w:rsidRPr="00A26325">
        <w:t>:</w:t>
      </w:r>
      <w:r>
        <w:t xml:space="preserve"> The loss distribution shows highly non-normal behavior, and different responses of businesses to the stress scenarios can be distinguished in the model.</w:t>
      </w:r>
    </w:p>
    <w:p w14:paraId="2E222AD8" w14:textId="77777777" w:rsidR="00D8645B" w:rsidRDefault="00D8645B" w:rsidP="0060309E">
      <w:pPr>
        <w:pStyle w:val="ListParagraph"/>
        <w:numPr>
          <w:ilvl w:val="0"/>
          <w:numId w:val="32"/>
        </w:numPr>
        <w:spacing w:after="160" w:line="360" w:lineRule="auto"/>
      </w:pPr>
      <w:r>
        <w:rPr>
          <w:u w:val="single"/>
        </w:rPr>
        <w:t>Impact of the Stress RC</w:t>
      </w:r>
      <w:r w:rsidRPr="00A26325">
        <w:t>:</w:t>
      </w:r>
      <w:r>
        <w:t xml:space="preserve"> Analysis of the RC shows that the stress scenarios play a far more important role in RC estimation than the statistical scenarios, and it is observed that the single worst GSST scenario largely determines the RC level. This is reasonable, as the RC is intended to capture the losses under extreme market conditions.</w:t>
      </w:r>
    </w:p>
    <w:p w14:paraId="6FD25F68" w14:textId="77777777" w:rsidR="00D8645B" w:rsidRDefault="00D8645B" w:rsidP="0060309E">
      <w:pPr>
        <w:pStyle w:val="ListParagraph"/>
        <w:numPr>
          <w:ilvl w:val="0"/>
          <w:numId w:val="32"/>
        </w:numPr>
        <w:spacing w:after="160" w:line="360" w:lineRule="auto"/>
      </w:pPr>
      <w:r>
        <w:rPr>
          <w:u w:val="single"/>
        </w:rPr>
        <w:t>Through-the-Cycle VaR Impact</w:t>
      </w:r>
      <w:r w:rsidRPr="00F01FD7">
        <w:t>:</w:t>
      </w:r>
      <w:r>
        <w:t xml:space="preserve"> Through-the-cycle VaR correction displays a relatively small correction to the RC.</w:t>
      </w:r>
    </w:p>
    <w:p w14:paraId="74A308CC" w14:textId="77777777" w:rsidR="00D8645B" w:rsidRDefault="00D8645B" w:rsidP="0060309E">
      <w:pPr>
        <w:pStyle w:val="ListParagraph"/>
        <w:numPr>
          <w:ilvl w:val="0"/>
          <w:numId w:val="32"/>
        </w:numPr>
        <w:spacing w:after="160" w:line="360" w:lineRule="auto"/>
      </w:pPr>
      <w:r>
        <w:rPr>
          <w:u w:val="single"/>
        </w:rPr>
        <w:t>Risk Capital Stress Probability Dependence</w:t>
      </w:r>
      <w:r w:rsidRPr="00F01FD7">
        <w:t>:</w:t>
      </w:r>
      <w:r>
        <w:t xml:space="preserve"> The benchmarking test observes the dependency between the RC and the stress probabilities with alpha taken at the probability level. The RC shows the same behavior as </w:t>
      </w:r>
      <m:oMath>
        <m:sSub>
          <m:sSubPr>
            <m:ctrlPr>
              <w:rPr>
                <w:rFonts w:ascii="Cambria Math" w:hAnsi="Cambria Math"/>
                <w:i/>
              </w:rPr>
            </m:ctrlPr>
          </m:sSubPr>
          <m:e>
            <m:r>
              <w:rPr>
                <w:rFonts w:ascii="Cambria Math" w:hAnsi="Cambria Math"/>
              </w:rPr>
              <m:t>k</m:t>
            </m:r>
          </m:e>
          <m:sub>
            <m:r>
              <w:rPr>
                <w:rFonts w:ascii="Cambria Math" w:hAnsi="Cambria Math"/>
              </w:rPr>
              <m:t>STRESS</m:t>
            </m:r>
          </m:sub>
        </m:sSub>
      </m:oMath>
      <w:r>
        <w:t>, meaning that the RC has a major dependence on the stress tests.</w:t>
      </w:r>
    </w:p>
    <w:p w14:paraId="2D95693B" w14:textId="77777777" w:rsidR="00D8645B" w:rsidRDefault="00D8645B" w:rsidP="0060309E">
      <w:pPr>
        <w:pStyle w:val="ListParagraph"/>
        <w:numPr>
          <w:ilvl w:val="0"/>
          <w:numId w:val="32"/>
        </w:numPr>
        <w:spacing w:after="160" w:line="360" w:lineRule="auto"/>
      </w:pPr>
      <w:r>
        <w:rPr>
          <w:u w:val="single"/>
        </w:rPr>
        <w:t>RC Sensitivity to Stress Probabilities</w:t>
      </w:r>
      <w:r w:rsidRPr="00F01FD7">
        <w:t>:</w:t>
      </w:r>
      <w:r>
        <w:t xml:space="preserve"> Sensitivity analysis shows that the RC is not sensitive to the stress probabilities, given that the ES range is kept constant.</w:t>
      </w:r>
    </w:p>
    <w:p w14:paraId="57F2BE4B" w14:textId="77777777" w:rsidR="00D8645B" w:rsidRDefault="00D8645B" w:rsidP="0060309E">
      <w:pPr>
        <w:pStyle w:val="ListParagraph"/>
        <w:numPr>
          <w:ilvl w:val="0"/>
          <w:numId w:val="32"/>
        </w:numPr>
        <w:spacing w:after="160" w:line="360" w:lineRule="auto"/>
      </w:pPr>
      <w:r>
        <w:rPr>
          <w:u w:val="single"/>
        </w:rPr>
        <w:t>Asymptotic Nature of the Risk Capital</w:t>
      </w:r>
      <w:r w:rsidRPr="00F01FD7">
        <w:t>:</w:t>
      </w:r>
      <w:r>
        <w:t xml:space="preserve"> The RC decreases as expected on reducing the size of the scenario set gradually by removing the most severe stress scenarios, but it seems to show asymptotic behavior, which may support the estimate of the RC level.</w:t>
      </w:r>
    </w:p>
    <w:p w14:paraId="167B367D" w14:textId="77777777" w:rsidR="00D8645B" w:rsidRDefault="00D8645B" w:rsidP="0060309E">
      <w:pPr>
        <w:pStyle w:val="ListParagraph"/>
        <w:numPr>
          <w:ilvl w:val="0"/>
          <w:numId w:val="32"/>
        </w:numPr>
        <w:spacing w:after="160" w:line="360" w:lineRule="auto"/>
      </w:pPr>
      <w:r>
        <w:rPr>
          <w:u w:val="single"/>
        </w:rPr>
        <w:t>Stress Loss under Fat Tail</w:t>
      </w:r>
      <w:r w:rsidRPr="00F01FD7">
        <w:t>:</w:t>
      </w:r>
      <w:r>
        <w:t xml:space="preserve"> The RC is sensitive to the choice of the fat tail distribution of the stress losses. But the two cases corresponding to a very fat tail or no fat tail at all seem to set up the upper and the lower bounds for the RC.</w:t>
      </w:r>
    </w:p>
    <w:p w14:paraId="0FE61AD3" w14:textId="77777777" w:rsidR="00D8645B" w:rsidRDefault="00D8645B" w:rsidP="00D8645B">
      <w:pPr>
        <w:spacing w:line="360" w:lineRule="auto"/>
      </w:pPr>
    </w:p>
    <w:p w14:paraId="099FDA16" w14:textId="77777777" w:rsidR="00D8645B" w:rsidRDefault="00D8645B" w:rsidP="00D8645B">
      <w:pPr>
        <w:spacing w:line="360" w:lineRule="auto"/>
      </w:pPr>
    </w:p>
    <w:p w14:paraId="547E31C4" w14:textId="77777777" w:rsidR="00D8645B" w:rsidRPr="007533E9" w:rsidRDefault="00D8645B" w:rsidP="00D8645B">
      <w:pPr>
        <w:spacing w:line="360" w:lineRule="auto"/>
        <w:rPr>
          <w:b/>
          <w:sz w:val="28"/>
          <w:szCs w:val="28"/>
        </w:rPr>
      </w:pPr>
      <w:r w:rsidRPr="007533E9">
        <w:rPr>
          <w:b/>
          <w:sz w:val="28"/>
          <w:szCs w:val="28"/>
        </w:rPr>
        <w:t>Model Description</w:t>
      </w:r>
    </w:p>
    <w:p w14:paraId="084819C1" w14:textId="77777777" w:rsidR="00D8645B" w:rsidRDefault="00D8645B" w:rsidP="00D8645B">
      <w:pPr>
        <w:spacing w:line="360" w:lineRule="auto"/>
      </w:pPr>
    </w:p>
    <w:p w14:paraId="5110A3A8" w14:textId="77777777" w:rsidR="00D8645B" w:rsidRDefault="00D8645B" w:rsidP="0060309E">
      <w:pPr>
        <w:pStyle w:val="ListParagraph"/>
        <w:numPr>
          <w:ilvl w:val="0"/>
          <w:numId w:val="33"/>
        </w:numPr>
        <w:spacing w:after="160" w:line="360" w:lineRule="auto"/>
      </w:pPr>
      <w:r w:rsidRPr="007533E9">
        <w:rPr>
          <w:u w:val="single"/>
        </w:rPr>
        <w:t>Parameters Determining the RC Estimation</w:t>
      </w:r>
      <w:r w:rsidRPr="007533E9">
        <w:t>: The economic risk capital RC is defined as the amount the BHC needs to absorb as unexpected loses over a certain time horizon at a given confidence level. Typically, the time horizon is set as one year, and the confidence level is 99.97%. Historically, the RC has been estimated by scaling up the VaR numbers of the businesses that are used for regulatory capital reporting. During the crisis of 2007/08, it was that this old RC method was not adequate to fully explain the losses of the BHC.</w:t>
      </w:r>
    </w:p>
    <w:p w14:paraId="066333C2" w14:textId="77777777" w:rsidR="00D8645B" w:rsidRDefault="00D8645B" w:rsidP="0060309E">
      <w:pPr>
        <w:pStyle w:val="ListParagraph"/>
        <w:numPr>
          <w:ilvl w:val="0"/>
          <w:numId w:val="33"/>
        </w:numPr>
        <w:spacing w:after="160" w:line="360" w:lineRule="auto"/>
      </w:pPr>
      <w:r>
        <w:rPr>
          <w:u w:val="single"/>
        </w:rPr>
        <w:t>Combining Statistical and Stress Scenarios</w:t>
      </w:r>
      <w:r w:rsidRPr="00296DA3">
        <w:t>:</w:t>
      </w:r>
      <w:r>
        <w:t xml:space="preserve"> The iVAST risk capital methodology tries to combine the outputs from an objectively calibrated statistical risk model and the stress tests quantified using expert judgement.</w:t>
      </w:r>
    </w:p>
    <w:p w14:paraId="26C55725" w14:textId="77777777" w:rsidR="00D8645B" w:rsidRDefault="00D8645B" w:rsidP="0060309E">
      <w:pPr>
        <w:pStyle w:val="ListParagraph"/>
        <w:numPr>
          <w:ilvl w:val="0"/>
          <w:numId w:val="33"/>
        </w:numPr>
        <w:spacing w:after="160" w:line="360" w:lineRule="auto"/>
      </w:pPr>
      <w:r>
        <w:rPr>
          <w:u w:val="single"/>
        </w:rPr>
        <w:t>Advantages of Calibrated Statistical Model</w:t>
      </w:r>
      <w:r w:rsidRPr="00296DA3">
        <w:t>:</w:t>
      </w:r>
      <w:r>
        <w:t xml:space="preserve"> This way, it takes advantage of the strengths of the statistical approach:</w:t>
      </w:r>
    </w:p>
    <w:p w14:paraId="7BACECB9" w14:textId="77777777" w:rsidR="00D8645B" w:rsidRDefault="00D8645B" w:rsidP="0060309E">
      <w:pPr>
        <w:pStyle w:val="ListParagraph"/>
        <w:numPr>
          <w:ilvl w:val="1"/>
          <w:numId w:val="33"/>
        </w:numPr>
        <w:spacing w:after="160" w:line="360" w:lineRule="auto"/>
      </w:pPr>
      <w:r>
        <w:t>Infinitely many objective scenarios to examine a wide range of potential portfolio weaknesses</w:t>
      </w:r>
    </w:p>
    <w:p w14:paraId="34025D95" w14:textId="77777777" w:rsidR="00D8645B" w:rsidRDefault="00D8645B" w:rsidP="0060309E">
      <w:pPr>
        <w:pStyle w:val="ListParagraph"/>
        <w:numPr>
          <w:ilvl w:val="1"/>
          <w:numId w:val="33"/>
        </w:numPr>
        <w:spacing w:after="160" w:line="360" w:lineRule="auto"/>
      </w:pPr>
      <w:r>
        <w:t>Testable through back-testing to check how well VaR captures the risks</w:t>
      </w:r>
    </w:p>
    <w:p w14:paraId="59CCF804" w14:textId="77777777" w:rsidR="00D8645B" w:rsidRDefault="00D8645B" w:rsidP="0060309E">
      <w:pPr>
        <w:pStyle w:val="ListParagraph"/>
        <w:numPr>
          <w:ilvl w:val="1"/>
          <w:numId w:val="33"/>
        </w:numPr>
        <w:spacing w:after="160" w:line="360" w:lineRule="auto"/>
      </w:pPr>
      <w:r>
        <w:t>Risks easily aggregated</w:t>
      </w:r>
    </w:p>
    <w:p w14:paraId="275397F5" w14:textId="77777777" w:rsidR="00D8645B" w:rsidRDefault="00D8645B" w:rsidP="0060309E">
      <w:pPr>
        <w:pStyle w:val="ListParagraph"/>
        <w:numPr>
          <w:ilvl w:val="0"/>
          <w:numId w:val="33"/>
        </w:numPr>
        <w:spacing w:after="160" w:line="360" w:lineRule="auto"/>
      </w:pPr>
      <w:r w:rsidRPr="00296DA3">
        <w:rPr>
          <w:u w:val="single"/>
        </w:rPr>
        <w:t>Advantages of Stress Testing Approach</w:t>
      </w:r>
      <w:r>
        <w:t>:</w:t>
      </w:r>
    </w:p>
    <w:p w14:paraId="4CF95810" w14:textId="77777777" w:rsidR="00D8645B" w:rsidRDefault="00D8645B" w:rsidP="0060309E">
      <w:pPr>
        <w:pStyle w:val="ListParagraph"/>
        <w:numPr>
          <w:ilvl w:val="1"/>
          <w:numId w:val="33"/>
        </w:numPr>
        <w:spacing w:after="160" w:line="360" w:lineRule="auto"/>
      </w:pPr>
      <w:r>
        <w:t xml:space="preserve">Can incorporate </w:t>
      </w:r>
      <w:r>
        <w:rPr>
          <w:i/>
        </w:rPr>
        <w:t>severe but plausible</w:t>
      </w:r>
      <w:r>
        <w:t xml:space="preserve"> events that may be missed by the statistical models due to its weaknesses</w:t>
      </w:r>
    </w:p>
    <w:p w14:paraId="14B43149" w14:textId="77777777" w:rsidR="00D8645B" w:rsidRDefault="00D8645B" w:rsidP="0060309E">
      <w:pPr>
        <w:pStyle w:val="ListParagraph"/>
        <w:numPr>
          <w:ilvl w:val="1"/>
          <w:numId w:val="33"/>
        </w:numPr>
        <w:spacing w:after="160" w:line="360" w:lineRule="auto"/>
      </w:pPr>
      <w:r>
        <w:t>No limit for creating stress scenarios, not constrained by history</w:t>
      </w:r>
    </w:p>
    <w:p w14:paraId="5FD37E55" w14:textId="77777777" w:rsidR="00D8645B" w:rsidRDefault="00D8645B" w:rsidP="0060309E">
      <w:pPr>
        <w:pStyle w:val="ListParagraph"/>
        <w:numPr>
          <w:ilvl w:val="1"/>
          <w:numId w:val="33"/>
        </w:numPr>
        <w:spacing w:after="160" w:line="360" w:lineRule="auto"/>
      </w:pPr>
      <w:r>
        <w:t>In probing extreme events, reveals possible negative convexity on the portfolio</w:t>
      </w:r>
    </w:p>
    <w:p w14:paraId="4FA2614A" w14:textId="77777777" w:rsidR="00D8645B" w:rsidRDefault="00D8645B" w:rsidP="0060309E">
      <w:pPr>
        <w:pStyle w:val="ListParagraph"/>
        <w:numPr>
          <w:ilvl w:val="0"/>
          <w:numId w:val="33"/>
        </w:numPr>
        <w:spacing w:after="160" w:line="360" w:lineRule="auto"/>
      </w:pPr>
      <w:r w:rsidRPr="00296DA3">
        <w:rPr>
          <w:u w:val="single"/>
        </w:rPr>
        <w:t>Motivation behind the VaR-Stress Model</w:t>
      </w:r>
      <w:r>
        <w:t>: In view of the large losses taken by the BHC’s during the 2007/08 financial crisis that well exceeded the risk capital levels calculated using the statistical model that relies on a short distribution window, it became necessary to develop an RC model to further incorporate the stress testing results. The model is developed to satisfy, as much as possible, all the following criteria.</w:t>
      </w:r>
    </w:p>
    <w:p w14:paraId="237B28A1" w14:textId="77777777" w:rsidR="00D8645B" w:rsidRDefault="00D8645B" w:rsidP="0060309E">
      <w:pPr>
        <w:pStyle w:val="ListParagraph"/>
        <w:numPr>
          <w:ilvl w:val="0"/>
          <w:numId w:val="33"/>
        </w:numPr>
        <w:spacing w:after="160" w:line="360" w:lineRule="auto"/>
      </w:pPr>
      <w:r>
        <w:rPr>
          <w:u w:val="single"/>
        </w:rPr>
        <w:t xml:space="preserve">Horizon </w:t>
      </w:r>
      <w:r w:rsidRPr="00296DA3">
        <w:rPr>
          <w:u w:val="single"/>
        </w:rPr>
        <w:t>– 1Y; Confidence Level – 99.97%</w:t>
      </w:r>
      <w:r>
        <w:t>: Measure potential losses over the next year in a severely adverse scenario, notionally equivalent to 99.97</w:t>
      </w:r>
      <w:r w:rsidRPr="000968FD">
        <w:rPr>
          <w:vertAlign w:val="superscript"/>
        </w:rPr>
        <w:t>th</w:t>
      </w:r>
      <w:r>
        <w:t xml:space="preserve"> percentile of the model loss distribution.</w:t>
      </w:r>
    </w:p>
    <w:p w14:paraId="46D26CAC" w14:textId="77777777" w:rsidR="00D8645B" w:rsidRDefault="00D8645B" w:rsidP="0060309E">
      <w:pPr>
        <w:pStyle w:val="ListParagraph"/>
        <w:numPr>
          <w:ilvl w:val="0"/>
          <w:numId w:val="33"/>
        </w:numPr>
        <w:spacing w:after="160" w:line="360" w:lineRule="auto"/>
      </w:pPr>
      <w:r>
        <w:rPr>
          <w:u w:val="single"/>
        </w:rPr>
        <w:lastRenderedPageBreak/>
        <w:t>Constant Level of Risk Assumption</w:t>
      </w:r>
      <w:r w:rsidRPr="000968FD">
        <w:t>:</w:t>
      </w:r>
      <w:r>
        <w:t xml:space="preserve"> Be consistent with a constant level of risk assumption, i.e., assume that the businesses will maintain the risk exposure over the next year, and will not materially increase or reduce risk-taking as the market conditions change.</w:t>
      </w:r>
    </w:p>
    <w:p w14:paraId="119FE791" w14:textId="77777777" w:rsidR="00D8645B" w:rsidRDefault="00D8645B" w:rsidP="0060309E">
      <w:pPr>
        <w:pStyle w:val="ListParagraph"/>
        <w:numPr>
          <w:ilvl w:val="0"/>
          <w:numId w:val="33"/>
        </w:numPr>
        <w:spacing w:after="160" w:line="360" w:lineRule="auto"/>
      </w:pPr>
      <w:r>
        <w:rPr>
          <w:u w:val="single"/>
        </w:rPr>
        <w:t>Assets Subject to Price Risk</w:t>
      </w:r>
      <w:r w:rsidRPr="00FF17C6">
        <w:t>:</w:t>
      </w:r>
      <w:r>
        <w:t xml:space="preserve"> Clearly identify assets subject to </w:t>
      </w:r>
      <w:r>
        <w:rPr>
          <w:i/>
        </w:rPr>
        <w:t>price risk</w:t>
      </w:r>
      <w:r>
        <w:t>, i.e., those whose valuation and impact on book equity depends primarily on market observed prices – as opposed, for example, assets which are primarily valued based on contractual status, such as defaulted loans in the banking book.</w:t>
      </w:r>
    </w:p>
    <w:p w14:paraId="3E835A6D" w14:textId="77777777" w:rsidR="00D8645B" w:rsidRDefault="00D8645B" w:rsidP="0060309E">
      <w:pPr>
        <w:pStyle w:val="ListParagraph"/>
        <w:numPr>
          <w:ilvl w:val="0"/>
          <w:numId w:val="33"/>
        </w:numPr>
        <w:spacing w:after="160" w:line="360" w:lineRule="auto"/>
      </w:pPr>
      <w:r>
        <w:rPr>
          <w:u w:val="single"/>
        </w:rPr>
        <w:t>Full Inclusion of Tail Events</w:t>
      </w:r>
      <w:r w:rsidRPr="00FF17C6">
        <w:t>:</w:t>
      </w:r>
      <w:r>
        <w:t xml:space="preserve"> Full inclusion of </w:t>
      </w:r>
      <w:r w:rsidRPr="00FF17C6">
        <w:rPr>
          <w:i/>
        </w:rPr>
        <w:t>tail events</w:t>
      </w:r>
      <w:r>
        <w:t>, including non-normal behavior of individual market factors, high correlation during stress periods, and illiquidity as markets crash.</w:t>
      </w:r>
    </w:p>
    <w:p w14:paraId="5030DCA4" w14:textId="77777777" w:rsidR="00D8645B" w:rsidRDefault="00D8645B" w:rsidP="0060309E">
      <w:pPr>
        <w:pStyle w:val="ListParagraph"/>
        <w:numPr>
          <w:ilvl w:val="0"/>
          <w:numId w:val="33"/>
        </w:numPr>
        <w:spacing w:after="160" w:line="360" w:lineRule="auto"/>
      </w:pPr>
      <w:r>
        <w:rPr>
          <w:u w:val="single"/>
        </w:rPr>
        <w:t>Stable Level of Risk Capital</w:t>
      </w:r>
      <w:r w:rsidRPr="00FF17C6">
        <w:t>:</w:t>
      </w:r>
      <w:r>
        <w:t xml:space="preserve"> Provides an approximately stable level of risk capital over the economic cycle, avoiding the potentially volatile risk capital associated with, for example, a VaR model calibrated to recent data, or a credit loss calibrated to market implied PD’s.</w:t>
      </w:r>
    </w:p>
    <w:p w14:paraId="7D8D5FA2" w14:textId="77777777" w:rsidR="00D8645B" w:rsidRDefault="00D8645B" w:rsidP="0060309E">
      <w:pPr>
        <w:pStyle w:val="ListParagraph"/>
        <w:numPr>
          <w:ilvl w:val="0"/>
          <w:numId w:val="33"/>
        </w:numPr>
        <w:spacing w:after="160" w:line="360" w:lineRule="auto"/>
      </w:pPr>
      <w:r>
        <w:rPr>
          <w:u w:val="single"/>
        </w:rPr>
        <w:t>VaR-Stress Model - Asset Coverage</w:t>
      </w:r>
      <w:r w:rsidRPr="00FF17C6">
        <w:t>:</w:t>
      </w:r>
      <w:r>
        <w:t xml:space="preserve"> The iVAST model should cover all types of assets subject to price risk deemed by policy. For example, it could cover the following assets.</w:t>
      </w:r>
    </w:p>
    <w:p w14:paraId="339AC4CF" w14:textId="77777777" w:rsidR="00D8645B" w:rsidRDefault="00D8645B" w:rsidP="0060309E">
      <w:pPr>
        <w:pStyle w:val="ListParagraph"/>
        <w:numPr>
          <w:ilvl w:val="0"/>
          <w:numId w:val="33"/>
        </w:numPr>
        <w:spacing w:after="160" w:line="360" w:lineRule="auto"/>
      </w:pPr>
      <w:r>
        <w:rPr>
          <w:u w:val="single"/>
        </w:rPr>
        <w:t>Market Sensitive Trading Book Assets</w:t>
      </w:r>
      <w:r w:rsidRPr="00FF17C6">
        <w:t>:</w:t>
      </w:r>
      <w:r>
        <w:t xml:space="preserve"> All market sensitivities of assets in the Trading Book – as opposed to some earlier treatments where the risk capital of these assets may have been driven by scaled VaR.</w:t>
      </w:r>
    </w:p>
    <w:p w14:paraId="537D15E2" w14:textId="77777777" w:rsidR="00D8645B" w:rsidRDefault="00D8645B" w:rsidP="0060309E">
      <w:pPr>
        <w:pStyle w:val="ListParagraph"/>
        <w:numPr>
          <w:ilvl w:val="0"/>
          <w:numId w:val="33"/>
        </w:numPr>
        <w:spacing w:after="160" w:line="360" w:lineRule="auto"/>
      </w:pPr>
      <w:r>
        <w:rPr>
          <w:u w:val="single"/>
        </w:rPr>
        <w:t>Market Sensitive CVA Book Assets</w:t>
      </w:r>
      <w:r w:rsidRPr="00FF17C6">
        <w:t>:</w:t>
      </w:r>
      <w:r>
        <w:t xml:space="preserve"> All market sensitivities of the CVA asset, excluding spread sensitivity of the CVA liability. Alternative risk capital on these assets could have been driven by exposures computed by Counterparty Credit Systems, run against, for example, a Wholesale Credit Risk Capital Model.</w:t>
      </w:r>
    </w:p>
    <w:p w14:paraId="00BD7365" w14:textId="77777777" w:rsidR="00D8645B" w:rsidRDefault="00D8645B" w:rsidP="0060309E">
      <w:pPr>
        <w:pStyle w:val="ListParagraph"/>
        <w:numPr>
          <w:ilvl w:val="0"/>
          <w:numId w:val="33"/>
        </w:numPr>
        <w:spacing w:after="160" w:line="360" w:lineRule="auto"/>
      </w:pPr>
      <w:r>
        <w:rPr>
          <w:u w:val="single"/>
        </w:rPr>
        <w:t>Credit Spread Sensitive AFS Assets</w:t>
      </w:r>
      <w:r w:rsidRPr="002B065A">
        <w:t>:</w:t>
      </w:r>
      <w:r>
        <w:t xml:space="preserve"> The credit spread sensitivity of the AFS assets – but not the interest rate sensitivity of these assets, which can run in the AM Risk Capital model. In the past, risk capital on these assets has often been calculated by a combination of the Wholesale Credit and the ALM Risk Capital Models.</w:t>
      </w:r>
    </w:p>
    <w:p w14:paraId="7F009991" w14:textId="77777777" w:rsidR="00D8645B" w:rsidRDefault="00D8645B" w:rsidP="0060309E">
      <w:pPr>
        <w:pStyle w:val="ListParagraph"/>
        <w:numPr>
          <w:ilvl w:val="0"/>
          <w:numId w:val="33"/>
        </w:numPr>
        <w:spacing w:after="160" w:line="360" w:lineRule="auto"/>
      </w:pPr>
      <w:r>
        <w:rPr>
          <w:u w:val="single"/>
        </w:rPr>
        <w:t>Challenges with RC Bask-Testing</w:t>
      </w:r>
      <w:r w:rsidRPr="002B065A">
        <w:t>:</w:t>
      </w:r>
      <w:r>
        <w:t xml:space="preserve"> As it is technically difficult to conduct back-testing on risk capital, this RC analysis can be viewed as a guide of the </w:t>
      </w:r>
      <w:proofErr w:type="gramStart"/>
      <w:r>
        <w:t>long term</w:t>
      </w:r>
      <w:proofErr w:type="gramEnd"/>
      <w:r>
        <w:t xml:space="preserve"> risk at a very high confidence level, rather than as an accurate measure of it.</w:t>
      </w:r>
    </w:p>
    <w:p w14:paraId="55105280" w14:textId="77777777" w:rsidR="00D8645B" w:rsidRDefault="00D8645B" w:rsidP="00D8645B">
      <w:pPr>
        <w:spacing w:line="360" w:lineRule="auto"/>
      </w:pPr>
    </w:p>
    <w:p w14:paraId="6E39E36C" w14:textId="77777777" w:rsidR="00D8645B" w:rsidRDefault="00D8645B" w:rsidP="00D8645B">
      <w:pPr>
        <w:spacing w:line="360" w:lineRule="auto"/>
      </w:pPr>
    </w:p>
    <w:p w14:paraId="3DD687CB" w14:textId="77777777" w:rsidR="00D8645B" w:rsidRPr="002B065A" w:rsidRDefault="00D8645B" w:rsidP="00D8645B">
      <w:pPr>
        <w:spacing w:line="360" w:lineRule="auto"/>
        <w:rPr>
          <w:b/>
          <w:sz w:val="28"/>
          <w:szCs w:val="28"/>
        </w:rPr>
      </w:pPr>
      <w:r w:rsidRPr="002B065A">
        <w:rPr>
          <w:b/>
          <w:sz w:val="28"/>
          <w:szCs w:val="28"/>
        </w:rPr>
        <w:t>Error Analysis/Convergence Testing</w:t>
      </w:r>
    </w:p>
    <w:p w14:paraId="6A243D67" w14:textId="77777777" w:rsidR="00D8645B" w:rsidRDefault="00D8645B" w:rsidP="00D8645B">
      <w:pPr>
        <w:spacing w:line="360" w:lineRule="auto"/>
      </w:pPr>
    </w:p>
    <w:p w14:paraId="0B547D46" w14:textId="77777777" w:rsidR="00D8645B" w:rsidRDefault="00D8645B" w:rsidP="0060309E">
      <w:pPr>
        <w:pStyle w:val="ListParagraph"/>
        <w:numPr>
          <w:ilvl w:val="0"/>
          <w:numId w:val="34"/>
        </w:numPr>
        <w:spacing w:after="160" w:line="360" w:lineRule="auto"/>
      </w:pPr>
      <w:r w:rsidRPr="002B065A">
        <w:rPr>
          <w:u w:val="single"/>
        </w:rPr>
        <w:t>Theoretical Estimate of Monte Carlo Errors</w:t>
      </w:r>
      <w:r w:rsidRPr="002B065A">
        <w:t>: This section looks at the Monte Carlo errors associated with the number of random scenarios. Assuming normality for the P&amp;L’s, the 99% VaR from 5,000 scenarios has a theoretical Monte Carlo error of 2.27%, which is verified by the actual tests – the values are a bit larger at 3-4% due to the level of convexity in factor sensitivities.</w:t>
      </w:r>
    </w:p>
    <w:p w14:paraId="4356ACA3" w14:textId="77777777" w:rsidR="00D8645B" w:rsidRDefault="00D8645B" w:rsidP="0060309E">
      <w:pPr>
        <w:pStyle w:val="ListParagraph"/>
        <w:numPr>
          <w:ilvl w:val="0"/>
          <w:numId w:val="34"/>
        </w:numPr>
        <w:spacing w:after="160" w:line="360" w:lineRule="auto"/>
      </w:pPr>
      <w:r>
        <w:rPr>
          <w:u w:val="single"/>
        </w:rPr>
        <w:t>Expected Errors for Order Statistics</w:t>
      </w:r>
      <w:r w:rsidRPr="002B065A">
        <w:t>:</w:t>
      </w:r>
      <w:r>
        <w:t xml:space="preserve"> The method is to take the 1% - or the worst 50</w:t>
      </w:r>
      <w:r w:rsidRPr="002B065A">
        <w:rPr>
          <w:vertAlign w:val="superscript"/>
        </w:rPr>
        <w:t>th</w:t>
      </w:r>
      <w:r>
        <w:t xml:space="preserve"> – order statistics as the VaR. If the same approach were applied to RC, one would look at the 0.03% - the worst 1.5</w:t>
      </w:r>
      <w:r w:rsidRPr="00E57124">
        <w:rPr>
          <w:vertAlign w:val="superscript"/>
        </w:rPr>
        <w:t>th</w:t>
      </w:r>
      <w:r>
        <w:t xml:space="preserve"> – order statistics of 5,000 scenarios, and the expected relative error would be</w:t>
      </w:r>
    </w:p>
    <w:p w14:paraId="6F29CA9E" w14:textId="77777777" w:rsidR="00D8645B" w:rsidRPr="009246E1" w:rsidRDefault="00D8645B" w:rsidP="00D8645B">
      <w:pPr>
        <w:spacing w:line="360" w:lineRule="auto"/>
        <w:rPr>
          <w:u w:val="single"/>
        </w:rPr>
      </w:pPr>
    </w:p>
    <w:p w14:paraId="314F14B2" w14:textId="77777777" w:rsidR="00D8645B" w:rsidRPr="009246E1" w:rsidRDefault="00D8645B" w:rsidP="00D8645B">
      <w:pPr>
        <w:pStyle w:val="ListParagraph"/>
        <w:spacing w:line="360" w:lineRule="auto"/>
        <w:ind w:left="360"/>
        <w:rPr>
          <w:rFonts w:eastAsiaTheme="minorEastAsia"/>
        </w:rPr>
      </w:pPr>
      <m:oMathPara>
        <m:oMath>
          <m:r>
            <w:rPr>
              <w:rFonts w:ascii="Cambria Math" w:hAnsi="Cambria Math"/>
            </w:rPr>
            <m:t>Error=</m:t>
          </m:r>
          <m:rad>
            <m:radPr>
              <m:degHide m:val="1"/>
              <m:ctrlPr>
                <w:rPr>
                  <w:rFonts w:ascii="Cambria Math" w:hAnsi="Cambria Math"/>
                  <w:i/>
                </w:rPr>
              </m:ctrlPr>
            </m:radPr>
            <m:deg/>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1-q</m:t>
                      </m:r>
                    </m:e>
                  </m:d>
                </m:num>
                <m:den>
                  <m:r>
                    <w:rPr>
                      <w:rFonts w:ascii="Cambria Math" w:hAnsi="Cambria Math"/>
                    </w:rPr>
                    <m:t>N</m:t>
                  </m:r>
                </m:den>
              </m:f>
            </m:e>
          </m:ra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ξ</m:t>
                  </m:r>
                </m:e>
                <m:sub>
                  <m:r>
                    <w:rPr>
                      <w:rFonts w:ascii="Cambria Math" w:hAnsi="Cambria Math"/>
                    </w:rPr>
                    <m:t>q</m:t>
                  </m:r>
                </m:sub>
              </m:sSub>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q</m:t>
                      </m:r>
                    </m:sub>
                  </m:sSub>
                </m:e>
              </m: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0.0003×0.9997</m:t>
                  </m:r>
                </m:num>
                <m:den>
                  <m:r>
                    <w:rPr>
                      <w:rFonts w:ascii="Cambria Math" w:hAnsi="Cambria Math"/>
                    </w:rPr>
                    <m:t>5000</m:t>
                  </m:r>
                </m:den>
              </m:f>
            </m:e>
          </m:rad>
          <m:f>
            <m:fPr>
              <m:ctrlPr>
                <w:rPr>
                  <w:rFonts w:ascii="Cambria Math" w:hAnsi="Cambria Math"/>
                  <w:i/>
                </w:rPr>
              </m:ctrlPr>
            </m:fPr>
            <m:num>
              <m:r>
                <w:rPr>
                  <w:rFonts w:ascii="Cambria Math" w:hAnsi="Cambria Math"/>
                </w:rPr>
                <m:t>1</m:t>
              </m:r>
            </m:num>
            <m:den>
              <m:r>
                <w:rPr>
                  <w:rFonts w:ascii="Cambria Math" w:hAnsi="Cambria Math"/>
                </w:rPr>
                <m:t>3.4316×n</m:t>
              </m:r>
              <m:d>
                <m:dPr>
                  <m:ctrlPr>
                    <w:rPr>
                      <w:rFonts w:ascii="Cambria Math" w:hAnsi="Cambria Math"/>
                      <w:i/>
                    </w:rPr>
                  </m:ctrlPr>
                </m:dPr>
                <m:e>
                  <m:r>
                    <w:rPr>
                      <w:rFonts w:ascii="Cambria Math" w:hAnsi="Cambria Math"/>
                    </w:rPr>
                    <m:t>3.4316</m:t>
                  </m:r>
                </m:e>
              </m:d>
            </m:den>
          </m:f>
          <m:r>
            <w:rPr>
              <w:rFonts w:ascii="Cambria Math" w:hAnsi="Cambria Math"/>
            </w:rPr>
            <m:t>=6.45%</m:t>
          </m:r>
        </m:oMath>
      </m:oMathPara>
    </w:p>
    <w:p w14:paraId="41D9CFE6" w14:textId="77777777" w:rsidR="00D8645B" w:rsidRPr="009246E1" w:rsidRDefault="00D8645B" w:rsidP="00D8645B">
      <w:pPr>
        <w:spacing w:line="360" w:lineRule="auto"/>
      </w:pPr>
    </w:p>
    <w:p w14:paraId="5C097F39" w14:textId="77777777" w:rsidR="00D8645B" w:rsidRDefault="00D8645B" w:rsidP="0060309E">
      <w:pPr>
        <w:pStyle w:val="ListParagraph"/>
        <w:numPr>
          <w:ilvl w:val="0"/>
          <w:numId w:val="34"/>
        </w:numPr>
        <w:spacing w:after="160" w:line="360" w:lineRule="auto"/>
      </w:pPr>
      <w:r>
        <w:rPr>
          <w:u w:val="single"/>
        </w:rPr>
        <w:t>Switchover to Reliable Boundaries</w:t>
      </w:r>
      <w:r>
        <w:t>: As the worst 1.5</w:t>
      </w:r>
      <w:r w:rsidRPr="00E57124">
        <w:rPr>
          <w:vertAlign w:val="superscript"/>
        </w:rPr>
        <w:t>th</w:t>
      </w:r>
      <w:r>
        <w:t xml:space="preserve"> order statistics is not very easy to determine, and the deviations from normality may have a significant contribution to the error, the iVAST model uses the average of the worst 2% losses scaled to the 99.97% confidence level and one-year time horizon under certain tail distribution assumptions.</w:t>
      </w:r>
    </w:p>
    <w:p w14:paraId="73629149" w14:textId="77777777" w:rsidR="00D8645B" w:rsidRPr="00AA1BA3" w:rsidRDefault="00D8645B" w:rsidP="0060309E">
      <w:pPr>
        <w:pStyle w:val="ListParagraph"/>
        <w:numPr>
          <w:ilvl w:val="0"/>
          <w:numId w:val="34"/>
        </w:numPr>
        <w:spacing w:after="160" w:line="360" w:lineRule="auto"/>
      </w:pPr>
      <w:r>
        <w:rPr>
          <w:u w:val="single"/>
        </w:rPr>
        <w:t>Incorporation of the Stratified Sampling Technique</w:t>
      </w:r>
      <w:r w:rsidRPr="00E57124">
        <w:t>:</w:t>
      </w:r>
      <w:r>
        <w:t xml:space="preserve"> In addition, in order to reduce the Monte Carlo error, the model uses the stratified sampling technique described in Glasserman (2004). For each of the systemic stress scenarios, the model generates exactly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×5000</m:t>
        </m:r>
      </m:oMath>
      <w:r>
        <w:rPr>
          <w:rFonts w:eastAsiaTheme="minorEastAsia"/>
        </w:rPr>
        <w:t xml:space="preserve"> losses, which are randomly applied to the VaR P&amp;L’s. For idiosyncratic stress scenarios, the losses are simulated based on the occurrence probabilities.</w:t>
      </w:r>
    </w:p>
    <w:p w14:paraId="276C86B8" w14:textId="77777777" w:rsidR="00D8645B" w:rsidRDefault="00D8645B" w:rsidP="0060309E">
      <w:pPr>
        <w:pStyle w:val="ListParagraph"/>
        <w:numPr>
          <w:ilvl w:val="0"/>
          <w:numId w:val="34"/>
        </w:numPr>
        <w:spacing w:after="160" w:line="360" w:lineRule="auto"/>
      </w:pPr>
      <w:r>
        <w:rPr>
          <w:u w:val="single"/>
        </w:rPr>
        <w:t>Worst 2% Loss Based RC</w:t>
      </w:r>
      <w:r>
        <w:t>: The following tables show the calculation of RC as the average of the worst 2% losses for VaR P&amp;L’s and iVAST losses:</w:t>
      </w:r>
    </w:p>
    <w:p w14:paraId="09791B96" w14:textId="77777777" w:rsidR="00D8645B" w:rsidRDefault="00D8645B" w:rsidP="0060309E">
      <w:pPr>
        <w:pStyle w:val="ListParagraph"/>
        <w:numPr>
          <w:ilvl w:val="1"/>
          <w:numId w:val="34"/>
        </w:numPr>
        <w:spacing w:after="160" w:line="360" w:lineRule="auto"/>
      </w:pPr>
      <w:r>
        <w:t>VaR</w:t>
      </w:r>
    </w:p>
    <w:tbl>
      <w:tblPr>
        <w:tblStyle w:val="TableGrid"/>
        <w:tblW w:w="10584" w:type="dxa"/>
        <w:tblInd w:w="-1085" w:type="dxa"/>
        <w:tblLook w:val="04A0" w:firstRow="1" w:lastRow="0" w:firstColumn="1" w:lastColumn="0" w:noHBand="0" w:noVBand="1"/>
      </w:tblPr>
      <w:tblGrid>
        <w:gridCol w:w="1927"/>
        <w:gridCol w:w="1768"/>
        <w:gridCol w:w="1697"/>
        <w:gridCol w:w="1741"/>
        <w:gridCol w:w="1717"/>
        <w:gridCol w:w="1734"/>
      </w:tblGrid>
      <w:tr w:rsidR="00D8645B" w14:paraId="51A0C399" w14:textId="77777777" w:rsidTr="00664D46">
        <w:tc>
          <w:tcPr>
            <w:tcW w:w="1927" w:type="dxa"/>
            <w:vAlign w:val="center"/>
          </w:tcPr>
          <w:p w14:paraId="0623FBB3" w14:textId="77777777" w:rsidR="00D8645B" w:rsidRPr="00AA1BA3" w:rsidRDefault="00D8645B" w:rsidP="00664D46">
            <w:pPr>
              <w:spacing w:line="360" w:lineRule="auto"/>
              <w:jc w:val="center"/>
              <w:rPr>
                <w:b/>
              </w:rPr>
            </w:pPr>
            <w:r>
              <w:rPr>
                <w:b/>
              </w:rPr>
              <w:t># Simulations</w:t>
            </w:r>
          </w:p>
        </w:tc>
        <w:tc>
          <w:tcPr>
            <w:tcW w:w="1768" w:type="dxa"/>
            <w:vAlign w:val="center"/>
          </w:tcPr>
          <w:p w14:paraId="2D7BA9F7" w14:textId="77777777" w:rsidR="00D8645B" w:rsidRPr="00AA1BA3" w:rsidRDefault="00D8645B" w:rsidP="00664D46">
            <w:pPr>
              <w:spacing w:line="360" w:lineRule="auto"/>
              <w:jc w:val="center"/>
              <w:rPr>
                <w:b/>
              </w:rPr>
            </w:pPr>
            <w:r>
              <w:rPr>
                <w:b/>
              </w:rPr>
              <w:t>5000</w:t>
            </w:r>
          </w:p>
        </w:tc>
        <w:tc>
          <w:tcPr>
            <w:tcW w:w="1697" w:type="dxa"/>
            <w:vAlign w:val="center"/>
          </w:tcPr>
          <w:p w14:paraId="7C343B73" w14:textId="77777777" w:rsidR="00D8645B" w:rsidRPr="00AA1BA3" w:rsidRDefault="00D8645B" w:rsidP="00664D46">
            <w:pPr>
              <w:spacing w:line="360" w:lineRule="auto"/>
              <w:jc w:val="center"/>
              <w:rPr>
                <w:b/>
              </w:rPr>
            </w:pPr>
            <w:r>
              <w:rPr>
                <w:b/>
              </w:rPr>
              <w:t>2500</w:t>
            </w:r>
          </w:p>
        </w:tc>
        <w:tc>
          <w:tcPr>
            <w:tcW w:w="1741" w:type="dxa"/>
            <w:vAlign w:val="center"/>
          </w:tcPr>
          <w:p w14:paraId="7AD998FE" w14:textId="77777777" w:rsidR="00D8645B" w:rsidRPr="00AA1BA3" w:rsidRDefault="00D8645B" w:rsidP="00664D46">
            <w:pPr>
              <w:spacing w:line="360" w:lineRule="auto"/>
              <w:jc w:val="center"/>
              <w:rPr>
                <w:b/>
              </w:rPr>
            </w:pPr>
            <w:r>
              <w:rPr>
                <w:b/>
              </w:rPr>
              <w:t>1000</w:t>
            </w:r>
          </w:p>
        </w:tc>
        <w:tc>
          <w:tcPr>
            <w:tcW w:w="1717" w:type="dxa"/>
            <w:vAlign w:val="center"/>
          </w:tcPr>
          <w:p w14:paraId="08CF4FF9" w14:textId="77777777" w:rsidR="00D8645B" w:rsidRPr="00AA1BA3" w:rsidRDefault="00D8645B" w:rsidP="00664D46">
            <w:pPr>
              <w:spacing w:line="360" w:lineRule="auto"/>
              <w:jc w:val="center"/>
              <w:rPr>
                <w:b/>
              </w:rPr>
            </w:pPr>
            <w:r>
              <w:rPr>
                <w:b/>
              </w:rPr>
              <w:t>500</w:t>
            </w:r>
          </w:p>
        </w:tc>
        <w:tc>
          <w:tcPr>
            <w:tcW w:w="1734" w:type="dxa"/>
            <w:vAlign w:val="center"/>
          </w:tcPr>
          <w:p w14:paraId="143BB523" w14:textId="77777777" w:rsidR="00D8645B" w:rsidRPr="00AA1BA3" w:rsidRDefault="00D8645B" w:rsidP="00664D46">
            <w:pPr>
              <w:spacing w:line="360" w:lineRule="auto"/>
              <w:jc w:val="center"/>
              <w:rPr>
                <w:b/>
              </w:rPr>
            </w:pPr>
            <w:r>
              <w:rPr>
                <w:b/>
              </w:rPr>
              <w:t>200</w:t>
            </w:r>
          </w:p>
        </w:tc>
      </w:tr>
      <w:tr w:rsidR="00D8645B" w14:paraId="4B53ED96" w14:textId="77777777" w:rsidTr="00664D46">
        <w:tc>
          <w:tcPr>
            <w:tcW w:w="1927" w:type="dxa"/>
            <w:vAlign w:val="center"/>
          </w:tcPr>
          <w:p w14:paraId="1F7CB427" w14:textId="77777777" w:rsidR="00D8645B" w:rsidRDefault="00D8645B" w:rsidP="00664D46">
            <w:pPr>
              <w:spacing w:line="360" w:lineRule="auto"/>
              <w:jc w:val="center"/>
            </w:pPr>
            <w:r>
              <w:lastRenderedPageBreak/>
              <w:t>RC Mean</w:t>
            </w:r>
          </w:p>
        </w:tc>
        <w:tc>
          <w:tcPr>
            <w:tcW w:w="1768" w:type="dxa"/>
            <w:vAlign w:val="center"/>
          </w:tcPr>
          <w:p w14:paraId="0E180168" w14:textId="77777777" w:rsidR="00D8645B" w:rsidRDefault="00D8645B" w:rsidP="00664D46">
            <w:pPr>
              <w:spacing w:line="360" w:lineRule="auto"/>
              <w:jc w:val="center"/>
            </w:pPr>
            <w:r>
              <w:t>-6,253,009,548</w:t>
            </w:r>
          </w:p>
        </w:tc>
        <w:tc>
          <w:tcPr>
            <w:tcW w:w="1697" w:type="dxa"/>
            <w:vAlign w:val="center"/>
          </w:tcPr>
          <w:p w14:paraId="49FA9FF6" w14:textId="77777777" w:rsidR="00D8645B" w:rsidRDefault="00D8645B" w:rsidP="00664D46">
            <w:pPr>
              <w:spacing w:line="360" w:lineRule="auto"/>
              <w:jc w:val="center"/>
            </w:pPr>
            <w:r>
              <w:t>-6,234,234,689</w:t>
            </w:r>
          </w:p>
        </w:tc>
        <w:tc>
          <w:tcPr>
            <w:tcW w:w="1741" w:type="dxa"/>
            <w:vAlign w:val="center"/>
          </w:tcPr>
          <w:p w14:paraId="2ED78E83" w14:textId="77777777" w:rsidR="00D8645B" w:rsidRDefault="00D8645B" w:rsidP="00664D46">
            <w:pPr>
              <w:spacing w:line="360" w:lineRule="auto"/>
              <w:jc w:val="center"/>
            </w:pPr>
            <w:r>
              <w:t>-6,199,657,677</w:t>
            </w:r>
          </w:p>
        </w:tc>
        <w:tc>
          <w:tcPr>
            <w:tcW w:w="1717" w:type="dxa"/>
            <w:vAlign w:val="center"/>
          </w:tcPr>
          <w:p w14:paraId="1E8311E1" w14:textId="77777777" w:rsidR="00D8645B" w:rsidRDefault="00D8645B" w:rsidP="00664D46">
            <w:pPr>
              <w:spacing w:line="360" w:lineRule="auto"/>
              <w:jc w:val="center"/>
            </w:pPr>
            <w:r>
              <w:t>-6,149,090,147</w:t>
            </w:r>
          </w:p>
        </w:tc>
        <w:tc>
          <w:tcPr>
            <w:tcW w:w="1734" w:type="dxa"/>
            <w:vAlign w:val="center"/>
          </w:tcPr>
          <w:p w14:paraId="2551B9DC" w14:textId="77777777" w:rsidR="00D8645B" w:rsidRDefault="00D8645B" w:rsidP="00664D46">
            <w:pPr>
              <w:spacing w:line="360" w:lineRule="auto"/>
              <w:jc w:val="center"/>
            </w:pPr>
            <w:r>
              <w:t>-5,948,655,763</w:t>
            </w:r>
          </w:p>
        </w:tc>
      </w:tr>
      <w:tr w:rsidR="00D8645B" w14:paraId="1478C99C" w14:textId="77777777" w:rsidTr="00664D46">
        <w:tc>
          <w:tcPr>
            <w:tcW w:w="1927" w:type="dxa"/>
            <w:vAlign w:val="center"/>
          </w:tcPr>
          <w:p w14:paraId="6DCE63F6" w14:textId="77777777" w:rsidR="00D8645B" w:rsidRDefault="00D8645B" w:rsidP="00664D46">
            <w:pPr>
              <w:spacing w:line="360" w:lineRule="auto"/>
              <w:jc w:val="center"/>
            </w:pPr>
            <w:r>
              <w:t>RC Standard Deviation</w:t>
            </w:r>
          </w:p>
        </w:tc>
        <w:tc>
          <w:tcPr>
            <w:tcW w:w="1768" w:type="dxa"/>
            <w:vAlign w:val="center"/>
          </w:tcPr>
          <w:p w14:paraId="21DDD7B8" w14:textId="77777777" w:rsidR="00D8645B" w:rsidRDefault="00D8645B" w:rsidP="00664D46">
            <w:pPr>
              <w:spacing w:line="360" w:lineRule="auto"/>
              <w:jc w:val="center"/>
            </w:pPr>
          </w:p>
        </w:tc>
        <w:tc>
          <w:tcPr>
            <w:tcW w:w="1697" w:type="dxa"/>
            <w:vAlign w:val="center"/>
          </w:tcPr>
          <w:p w14:paraId="56A9715A" w14:textId="77777777" w:rsidR="00D8645B" w:rsidRDefault="00D8645B" w:rsidP="00664D46">
            <w:pPr>
              <w:spacing w:line="360" w:lineRule="auto"/>
              <w:jc w:val="center"/>
            </w:pPr>
            <w:r>
              <w:t>67,928,449</w:t>
            </w:r>
          </w:p>
        </w:tc>
        <w:tc>
          <w:tcPr>
            <w:tcW w:w="1741" w:type="dxa"/>
            <w:vAlign w:val="center"/>
          </w:tcPr>
          <w:p w14:paraId="3D6E7CC9" w14:textId="77777777" w:rsidR="00D8645B" w:rsidRDefault="00D8645B" w:rsidP="00664D46">
            <w:pPr>
              <w:spacing w:line="360" w:lineRule="auto"/>
              <w:jc w:val="center"/>
            </w:pPr>
            <w:r>
              <w:t>175,936,388</w:t>
            </w:r>
          </w:p>
        </w:tc>
        <w:tc>
          <w:tcPr>
            <w:tcW w:w="1717" w:type="dxa"/>
            <w:vAlign w:val="center"/>
          </w:tcPr>
          <w:p w14:paraId="52B604DC" w14:textId="77777777" w:rsidR="00D8645B" w:rsidRDefault="00D8645B" w:rsidP="00664D46">
            <w:pPr>
              <w:spacing w:line="360" w:lineRule="auto"/>
              <w:jc w:val="center"/>
            </w:pPr>
            <w:r>
              <w:t>317,966,277</w:t>
            </w:r>
          </w:p>
        </w:tc>
        <w:tc>
          <w:tcPr>
            <w:tcW w:w="1734" w:type="dxa"/>
            <w:vAlign w:val="center"/>
          </w:tcPr>
          <w:p w14:paraId="2BE53D98" w14:textId="77777777" w:rsidR="00D8645B" w:rsidRDefault="00D8645B" w:rsidP="00664D46">
            <w:pPr>
              <w:spacing w:line="360" w:lineRule="auto"/>
              <w:jc w:val="center"/>
            </w:pPr>
            <w:r>
              <w:t>520,161,055</w:t>
            </w:r>
          </w:p>
        </w:tc>
      </w:tr>
      <w:tr w:rsidR="00D8645B" w14:paraId="00F90B57" w14:textId="77777777" w:rsidTr="00664D46">
        <w:tc>
          <w:tcPr>
            <w:tcW w:w="1927" w:type="dxa"/>
            <w:vAlign w:val="center"/>
          </w:tcPr>
          <w:p w14:paraId="78DB33E5" w14:textId="77777777" w:rsidR="00D8645B" w:rsidRDefault="00D8645B" w:rsidP="00664D46">
            <w:pPr>
              <w:spacing w:line="360" w:lineRule="auto"/>
              <w:jc w:val="center"/>
            </w:pPr>
            <w:r>
              <w:t>RC Relative Error</w:t>
            </w:r>
          </w:p>
        </w:tc>
        <w:tc>
          <w:tcPr>
            <w:tcW w:w="1768" w:type="dxa"/>
            <w:vAlign w:val="center"/>
          </w:tcPr>
          <w:p w14:paraId="0C62CA50" w14:textId="77777777" w:rsidR="00D8645B" w:rsidRDefault="00D8645B" w:rsidP="00664D46">
            <w:pPr>
              <w:spacing w:line="360" w:lineRule="auto"/>
              <w:jc w:val="center"/>
            </w:pPr>
          </w:p>
        </w:tc>
        <w:tc>
          <w:tcPr>
            <w:tcW w:w="1697" w:type="dxa"/>
            <w:vAlign w:val="center"/>
          </w:tcPr>
          <w:p w14:paraId="44F804C0" w14:textId="77777777" w:rsidR="00D8645B" w:rsidRDefault="00D8645B" w:rsidP="00664D46">
            <w:pPr>
              <w:spacing w:line="360" w:lineRule="auto"/>
              <w:jc w:val="center"/>
            </w:pPr>
            <w:r>
              <w:t>1.09%</w:t>
            </w:r>
          </w:p>
        </w:tc>
        <w:tc>
          <w:tcPr>
            <w:tcW w:w="1741" w:type="dxa"/>
            <w:vAlign w:val="center"/>
          </w:tcPr>
          <w:p w14:paraId="79DB2199" w14:textId="77777777" w:rsidR="00D8645B" w:rsidRDefault="00D8645B" w:rsidP="00664D46">
            <w:pPr>
              <w:spacing w:line="360" w:lineRule="auto"/>
              <w:jc w:val="center"/>
            </w:pPr>
            <w:r>
              <w:t>2.84%</w:t>
            </w:r>
          </w:p>
        </w:tc>
        <w:tc>
          <w:tcPr>
            <w:tcW w:w="1717" w:type="dxa"/>
            <w:vAlign w:val="center"/>
          </w:tcPr>
          <w:p w14:paraId="66A4E157" w14:textId="77777777" w:rsidR="00D8645B" w:rsidRDefault="00D8645B" w:rsidP="00664D46">
            <w:pPr>
              <w:spacing w:line="360" w:lineRule="auto"/>
              <w:jc w:val="center"/>
            </w:pPr>
            <w:r>
              <w:t>5.17%</w:t>
            </w:r>
          </w:p>
        </w:tc>
        <w:tc>
          <w:tcPr>
            <w:tcW w:w="1734" w:type="dxa"/>
            <w:vAlign w:val="center"/>
          </w:tcPr>
          <w:p w14:paraId="5E65C30F" w14:textId="77777777" w:rsidR="00D8645B" w:rsidRDefault="00D8645B" w:rsidP="00664D46">
            <w:pPr>
              <w:spacing w:line="360" w:lineRule="auto"/>
              <w:jc w:val="center"/>
            </w:pPr>
            <w:r>
              <w:t>8.74%</w:t>
            </w:r>
          </w:p>
        </w:tc>
      </w:tr>
    </w:tbl>
    <w:p w14:paraId="6D34C9DE" w14:textId="77777777" w:rsidR="00D8645B" w:rsidRDefault="00D8645B" w:rsidP="00D8645B">
      <w:pPr>
        <w:spacing w:line="360" w:lineRule="auto"/>
        <w:ind w:left="720"/>
      </w:pPr>
    </w:p>
    <w:p w14:paraId="1D312B82" w14:textId="77777777" w:rsidR="00D8645B" w:rsidRPr="00E419E8" w:rsidRDefault="00D8645B" w:rsidP="0060309E">
      <w:pPr>
        <w:pStyle w:val="ListParagraph"/>
        <w:numPr>
          <w:ilvl w:val="1"/>
          <w:numId w:val="34"/>
        </w:numPr>
        <w:spacing w:after="160" w:line="360" w:lineRule="auto"/>
      </w:pPr>
      <w:r>
        <w:t>iVAST</w:t>
      </w:r>
    </w:p>
    <w:tbl>
      <w:tblPr>
        <w:tblStyle w:val="TableGrid"/>
        <w:tblW w:w="10800" w:type="dxa"/>
        <w:tblInd w:w="-1085" w:type="dxa"/>
        <w:tblLook w:val="04A0" w:firstRow="1" w:lastRow="0" w:firstColumn="1" w:lastColumn="0" w:noHBand="0" w:noVBand="1"/>
      </w:tblPr>
      <w:tblGrid>
        <w:gridCol w:w="1626"/>
        <w:gridCol w:w="1876"/>
        <w:gridCol w:w="1815"/>
        <w:gridCol w:w="1881"/>
        <w:gridCol w:w="1802"/>
        <w:gridCol w:w="1800"/>
      </w:tblGrid>
      <w:tr w:rsidR="00D8645B" w14:paraId="4859699D" w14:textId="77777777" w:rsidTr="00664D46">
        <w:tc>
          <w:tcPr>
            <w:tcW w:w="1626" w:type="dxa"/>
            <w:vAlign w:val="center"/>
          </w:tcPr>
          <w:p w14:paraId="025EE1CA" w14:textId="77777777" w:rsidR="00D8645B" w:rsidRPr="00AA1BA3" w:rsidRDefault="00D8645B" w:rsidP="00664D46">
            <w:pPr>
              <w:spacing w:line="360" w:lineRule="auto"/>
              <w:jc w:val="center"/>
              <w:rPr>
                <w:b/>
              </w:rPr>
            </w:pPr>
            <w:r>
              <w:rPr>
                <w:b/>
              </w:rPr>
              <w:t># Simulations</w:t>
            </w:r>
          </w:p>
        </w:tc>
        <w:tc>
          <w:tcPr>
            <w:tcW w:w="1876" w:type="dxa"/>
            <w:vAlign w:val="center"/>
          </w:tcPr>
          <w:p w14:paraId="0D08A168" w14:textId="77777777" w:rsidR="00D8645B" w:rsidRPr="00AA1BA3" w:rsidRDefault="00D8645B" w:rsidP="00664D46">
            <w:pPr>
              <w:spacing w:line="360" w:lineRule="auto"/>
              <w:jc w:val="center"/>
              <w:rPr>
                <w:b/>
              </w:rPr>
            </w:pPr>
            <w:r>
              <w:rPr>
                <w:b/>
              </w:rPr>
              <w:t>5000</w:t>
            </w:r>
          </w:p>
        </w:tc>
        <w:tc>
          <w:tcPr>
            <w:tcW w:w="1815" w:type="dxa"/>
            <w:vAlign w:val="center"/>
          </w:tcPr>
          <w:p w14:paraId="1F24CDE8" w14:textId="77777777" w:rsidR="00D8645B" w:rsidRPr="00AA1BA3" w:rsidRDefault="00D8645B" w:rsidP="00664D46">
            <w:pPr>
              <w:spacing w:line="360" w:lineRule="auto"/>
              <w:jc w:val="center"/>
              <w:rPr>
                <w:b/>
              </w:rPr>
            </w:pPr>
            <w:r>
              <w:rPr>
                <w:b/>
              </w:rPr>
              <w:t>2500</w:t>
            </w:r>
          </w:p>
        </w:tc>
        <w:tc>
          <w:tcPr>
            <w:tcW w:w="1881" w:type="dxa"/>
            <w:vAlign w:val="center"/>
          </w:tcPr>
          <w:p w14:paraId="61FBED73" w14:textId="77777777" w:rsidR="00D8645B" w:rsidRPr="00AA1BA3" w:rsidRDefault="00D8645B" w:rsidP="00664D46">
            <w:pPr>
              <w:spacing w:line="360" w:lineRule="auto"/>
              <w:jc w:val="center"/>
              <w:rPr>
                <w:b/>
              </w:rPr>
            </w:pPr>
            <w:r>
              <w:rPr>
                <w:b/>
              </w:rPr>
              <w:t>1000</w:t>
            </w:r>
          </w:p>
        </w:tc>
        <w:tc>
          <w:tcPr>
            <w:tcW w:w="1802" w:type="dxa"/>
            <w:vAlign w:val="center"/>
          </w:tcPr>
          <w:p w14:paraId="18D13DDE" w14:textId="77777777" w:rsidR="00D8645B" w:rsidRPr="00AA1BA3" w:rsidRDefault="00D8645B" w:rsidP="00664D46">
            <w:pPr>
              <w:spacing w:line="360" w:lineRule="auto"/>
              <w:jc w:val="center"/>
              <w:rPr>
                <w:b/>
              </w:rPr>
            </w:pPr>
            <w:r>
              <w:rPr>
                <w:b/>
              </w:rPr>
              <w:t>500</w:t>
            </w:r>
          </w:p>
        </w:tc>
        <w:tc>
          <w:tcPr>
            <w:tcW w:w="1800" w:type="dxa"/>
            <w:vAlign w:val="center"/>
          </w:tcPr>
          <w:p w14:paraId="2E3F2ACB" w14:textId="77777777" w:rsidR="00D8645B" w:rsidRPr="00AA1BA3" w:rsidRDefault="00D8645B" w:rsidP="00664D46">
            <w:pPr>
              <w:spacing w:line="360" w:lineRule="auto"/>
              <w:jc w:val="center"/>
              <w:rPr>
                <w:b/>
              </w:rPr>
            </w:pPr>
            <w:r>
              <w:rPr>
                <w:b/>
              </w:rPr>
              <w:t>200</w:t>
            </w:r>
          </w:p>
        </w:tc>
      </w:tr>
      <w:tr w:rsidR="00D8645B" w14:paraId="72A16577" w14:textId="77777777" w:rsidTr="00664D46">
        <w:tc>
          <w:tcPr>
            <w:tcW w:w="1626" w:type="dxa"/>
            <w:vAlign w:val="center"/>
          </w:tcPr>
          <w:p w14:paraId="29358AE5" w14:textId="77777777" w:rsidR="00D8645B" w:rsidRDefault="00D8645B" w:rsidP="00664D46">
            <w:pPr>
              <w:spacing w:line="360" w:lineRule="auto"/>
              <w:jc w:val="center"/>
            </w:pPr>
            <w:r>
              <w:t>RC Mean</w:t>
            </w:r>
          </w:p>
        </w:tc>
        <w:tc>
          <w:tcPr>
            <w:tcW w:w="1876" w:type="dxa"/>
            <w:vAlign w:val="center"/>
          </w:tcPr>
          <w:p w14:paraId="061E4B63" w14:textId="77777777" w:rsidR="00D8645B" w:rsidRDefault="00D8645B" w:rsidP="00664D46">
            <w:pPr>
              <w:spacing w:line="360" w:lineRule="auto"/>
              <w:jc w:val="center"/>
            </w:pPr>
            <w:r>
              <w:t>-37,866,247,762</w:t>
            </w:r>
          </w:p>
        </w:tc>
        <w:tc>
          <w:tcPr>
            <w:tcW w:w="1815" w:type="dxa"/>
            <w:vAlign w:val="center"/>
          </w:tcPr>
          <w:p w14:paraId="533EC06C" w14:textId="77777777" w:rsidR="00D8645B" w:rsidRDefault="00D8645B" w:rsidP="00664D46">
            <w:pPr>
              <w:spacing w:line="360" w:lineRule="auto"/>
              <w:jc w:val="center"/>
            </w:pPr>
            <w:r>
              <w:t>-37,840,358,352</w:t>
            </w:r>
          </w:p>
        </w:tc>
        <w:tc>
          <w:tcPr>
            <w:tcW w:w="1881" w:type="dxa"/>
            <w:vAlign w:val="center"/>
          </w:tcPr>
          <w:p w14:paraId="2968D690" w14:textId="77777777" w:rsidR="00D8645B" w:rsidRDefault="00D8645B" w:rsidP="00664D46">
            <w:pPr>
              <w:spacing w:line="360" w:lineRule="auto"/>
              <w:jc w:val="center"/>
            </w:pPr>
            <w:r>
              <w:t>-37,755,167,543</w:t>
            </w:r>
          </w:p>
        </w:tc>
        <w:tc>
          <w:tcPr>
            <w:tcW w:w="1802" w:type="dxa"/>
            <w:vAlign w:val="center"/>
          </w:tcPr>
          <w:p w14:paraId="35FC184C" w14:textId="77777777" w:rsidR="00D8645B" w:rsidRDefault="00D8645B" w:rsidP="00664D46">
            <w:pPr>
              <w:spacing w:line="360" w:lineRule="auto"/>
              <w:jc w:val="center"/>
            </w:pPr>
            <w:r>
              <w:t>-37,633,183,821</w:t>
            </w:r>
          </w:p>
        </w:tc>
        <w:tc>
          <w:tcPr>
            <w:tcW w:w="1800" w:type="dxa"/>
            <w:vAlign w:val="center"/>
          </w:tcPr>
          <w:p w14:paraId="233CE81D" w14:textId="77777777" w:rsidR="00D8645B" w:rsidRDefault="00D8645B" w:rsidP="00664D46">
            <w:pPr>
              <w:spacing w:line="360" w:lineRule="auto"/>
              <w:jc w:val="center"/>
            </w:pPr>
            <w:r>
              <w:t>-37,222,513,191</w:t>
            </w:r>
          </w:p>
        </w:tc>
      </w:tr>
      <w:tr w:rsidR="00D8645B" w14:paraId="0E8A0E89" w14:textId="77777777" w:rsidTr="00664D46">
        <w:tc>
          <w:tcPr>
            <w:tcW w:w="1626" w:type="dxa"/>
            <w:vAlign w:val="center"/>
          </w:tcPr>
          <w:p w14:paraId="34BE8AA1" w14:textId="77777777" w:rsidR="00D8645B" w:rsidRDefault="00D8645B" w:rsidP="00664D46">
            <w:pPr>
              <w:spacing w:line="360" w:lineRule="auto"/>
              <w:jc w:val="center"/>
            </w:pPr>
            <w:r>
              <w:t>RC Standard Deviation</w:t>
            </w:r>
          </w:p>
        </w:tc>
        <w:tc>
          <w:tcPr>
            <w:tcW w:w="1876" w:type="dxa"/>
            <w:vAlign w:val="center"/>
          </w:tcPr>
          <w:p w14:paraId="0CD91AD5" w14:textId="77777777" w:rsidR="00D8645B" w:rsidRDefault="00D8645B" w:rsidP="00664D46">
            <w:pPr>
              <w:spacing w:line="360" w:lineRule="auto"/>
              <w:jc w:val="center"/>
            </w:pPr>
          </w:p>
        </w:tc>
        <w:tc>
          <w:tcPr>
            <w:tcW w:w="1815" w:type="dxa"/>
            <w:vAlign w:val="center"/>
          </w:tcPr>
          <w:p w14:paraId="7FE716C5" w14:textId="77777777" w:rsidR="00D8645B" w:rsidRDefault="00D8645B" w:rsidP="00664D46">
            <w:pPr>
              <w:spacing w:line="360" w:lineRule="auto"/>
              <w:jc w:val="center"/>
            </w:pPr>
            <w:r>
              <w:t>26,238,965</w:t>
            </w:r>
          </w:p>
        </w:tc>
        <w:tc>
          <w:tcPr>
            <w:tcW w:w="1881" w:type="dxa"/>
            <w:vAlign w:val="center"/>
          </w:tcPr>
          <w:p w14:paraId="5F618903" w14:textId="77777777" w:rsidR="00D8645B" w:rsidRDefault="00D8645B" w:rsidP="00664D46">
            <w:pPr>
              <w:spacing w:line="360" w:lineRule="auto"/>
              <w:jc w:val="center"/>
            </w:pPr>
            <w:r>
              <w:t>418,067,983</w:t>
            </w:r>
          </w:p>
        </w:tc>
        <w:tc>
          <w:tcPr>
            <w:tcW w:w="1802" w:type="dxa"/>
            <w:vAlign w:val="center"/>
          </w:tcPr>
          <w:p w14:paraId="3BD22543" w14:textId="77777777" w:rsidR="00D8645B" w:rsidRDefault="00D8645B" w:rsidP="00664D46">
            <w:pPr>
              <w:spacing w:line="360" w:lineRule="auto"/>
              <w:jc w:val="center"/>
            </w:pPr>
            <w:r>
              <w:t>513,304,310</w:t>
            </w:r>
          </w:p>
        </w:tc>
        <w:tc>
          <w:tcPr>
            <w:tcW w:w="1800" w:type="dxa"/>
            <w:vAlign w:val="center"/>
          </w:tcPr>
          <w:p w14:paraId="07EC47C5" w14:textId="77777777" w:rsidR="00D8645B" w:rsidRDefault="00D8645B" w:rsidP="00664D46">
            <w:pPr>
              <w:spacing w:line="360" w:lineRule="auto"/>
              <w:jc w:val="center"/>
            </w:pPr>
            <w:r>
              <w:t>1,054,178,288</w:t>
            </w:r>
          </w:p>
        </w:tc>
      </w:tr>
      <w:tr w:rsidR="00D8645B" w14:paraId="7794788A" w14:textId="77777777" w:rsidTr="00664D46">
        <w:tc>
          <w:tcPr>
            <w:tcW w:w="1626" w:type="dxa"/>
            <w:vAlign w:val="center"/>
          </w:tcPr>
          <w:p w14:paraId="615C5990" w14:textId="77777777" w:rsidR="00D8645B" w:rsidRDefault="00D8645B" w:rsidP="00664D46">
            <w:pPr>
              <w:spacing w:line="360" w:lineRule="auto"/>
              <w:jc w:val="center"/>
            </w:pPr>
            <w:r>
              <w:t>RC Relative Error</w:t>
            </w:r>
          </w:p>
        </w:tc>
        <w:tc>
          <w:tcPr>
            <w:tcW w:w="1876" w:type="dxa"/>
            <w:vAlign w:val="center"/>
          </w:tcPr>
          <w:p w14:paraId="2EE4C134" w14:textId="77777777" w:rsidR="00D8645B" w:rsidRDefault="00D8645B" w:rsidP="00664D46">
            <w:pPr>
              <w:spacing w:line="360" w:lineRule="auto"/>
              <w:jc w:val="center"/>
            </w:pPr>
          </w:p>
        </w:tc>
        <w:tc>
          <w:tcPr>
            <w:tcW w:w="1815" w:type="dxa"/>
            <w:vAlign w:val="center"/>
          </w:tcPr>
          <w:p w14:paraId="18D4C434" w14:textId="77777777" w:rsidR="00D8645B" w:rsidRDefault="00D8645B" w:rsidP="00664D46">
            <w:pPr>
              <w:spacing w:line="360" w:lineRule="auto"/>
              <w:jc w:val="center"/>
            </w:pPr>
            <w:r>
              <w:t>0.07%</w:t>
            </w:r>
          </w:p>
        </w:tc>
        <w:tc>
          <w:tcPr>
            <w:tcW w:w="1881" w:type="dxa"/>
            <w:vAlign w:val="center"/>
          </w:tcPr>
          <w:p w14:paraId="3577D057" w14:textId="77777777" w:rsidR="00D8645B" w:rsidRDefault="00D8645B" w:rsidP="00664D46">
            <w:pPr>
              <w:spacing w:line="360" w:lineRule="auto"/>
              <w:jc w:val="center"/>
            </w:pPr>
            <w:r>
              <w:t>1.11%</w:t>
            </w:r>
          </w:p>
        </w:tc>
        <w:tc>
          <w:tcPr>
            <w:tcW w:w="1802" w:type="dxa"/>
            <w:vAlign w:val="center"/>
          </w:tcPr>
          <w:p w14:paraId="50805E17" w14:textId="77777777" w:rsidR="00D8645B" w:rsidRDefault="00D8645B" w:rsidP="00664D46">
            <w:pPr>
              <w:spacing w:line="360" w:lineRule="auto"/>
              <w:jc w:val="center"/>
            </w:pPr>
            <w:r>
              <w:t>1.36%</w:t>
            </w:r>
          </w:p>
        </w:tc>
        <w:tc>
          <w:tcPr>
            <w:tcW w:w="1800" w:type="dxa"/>
            <w:vAlign w:val="center"/>
          </w:tcPr>
          <w:p w14:paraId="67A672F1" w14:textId="77777777" w:rsidR="00D8645B" w:rsidRDefault="00D8645B" w:rsidP="00664D46">
            <w:pPr>
              <w:spacing w:line="360" w:lineRule="auto"/>
              <w:jc w:val="center"/>
            </w:pPr>
            <w:r>
              <w:t>2.83%</w:t>
            </w:r>
          </w:p>
        </w:tc>
      </w:tr>
    </w:tbl>
    <w:p w14:paraId="15E1430B" w14:textId="77777777" w:rsidR="00D8645B" w:rsidRDefault="00D8645B" w:rsidP="00D8645B">
      <w:pPr>
        <w:spacing w:line="360" w:lineRule="auto"/>
        <w:rPr>
          <w:u w:val="single"/>
        </w:rPr>
      </w:pPr>
    </w:p>
    <w:p w14:paraId="7DD5A8AD" w14:textId="77777777" w:rsidR="00D8645B" w:rsidRDefault="00D8645B" w:rsidP="0060309E">
      <w:pPr>
        <w:pStyle w:val="ListParagraph"/>
        <w:numPr>
          <w:ilvl w:val="0"/>
          <w:numId w:val="34"/>
        </w:numPr>
        <w:spacing w:after="160" w:line="360" w:lineRule="auto"/>
      </w:pPr>
      <w:r w:rsidRPr="00E419E8">
        <w:rPr>
          <w:u w:val="single"/>
        </w:rPr>
        <w:t>Errors for Small Simulation Sets</w:t>
      </w:r>
      <w:r w:rsidRPr="00E419E8">
        <w:t xml:space="preserve">: Starting from 5,000 iVAST simulations. </w:t>
      </w:r>
      <w:r>
        <w:t>And slicing the data into exclusive parts of equal sizes for statistical analysis, one doesn’t have relative error for 5,000 scenarios, but one can estimate from the tendency for other simulation sizes.</w:t>
      </w:r>
    </w:p>
    <w:p w14:paraId="08B4F115" w14:textId="77777777" w:rsidR="00D8645B" w:rsidRDefault="00D8645B" w:rsidP="0060309E">
      <w:pPr>
        <w:pStyle w:val="ListParagraph"/>
        <w:numPr>
          <w:ilvl w:val="0"/>
          <w:numId w:val="34"/>
        </w:numPr>
        <w:spacing w:after="160" w:line="360" w:lineRule="auto"/>
      </w:pPr>
      <w:r>
        <w:rPr>
          <w:u w:val="single"/>
        </w:rPr>
        <w:t>Monte Carlo Error Inverse Square Root Law</w:t>
      </w:r>
      <w:r w:rsidRPr="00E419E8">
        <w:t>:</w:t>
      </w:r>
      <w:r>
        <w:t xml:space="preserve"> It is observed that as the number of simulations increases, the Monte Carlo error tends to reduce. The behavior fits the inverse square root law very nicely.</w:t>
      </w:r>
    </w:p>
    <w:p w14:paraId="20916C67" w14:textId="77777777" w:rsidR="00D8645B" w:rsidRDefault="00D8645B" w:rsidP="0060309E">
      <w:pPr>
        <w:pStyle w:val="ListParagraph"/>
        <w:numPr>
          <w:ilvl w:val="0"/>
          <w:numId w:val="34"/>
        </w:numPr>
        <w:spacing w:after="160" w:line="360" w:lineRule="auto"/>
      </w:pPr>
      <w:r>
        <w:rPr>
          <w:u w:val="single"/>
        </w:rPr>
        <w:t>VaR vs. Stress Errors</w:t>
      </w:r>
      <w:r w:rsidRPr="00E419E8">
        <w:t>:</w:t>
      </w:r>
      <w:r>
        <w:t xml:space="preserve"> From the above tables, one may notice that the errors for VaR P&amp;Ls are larger than for other iVAST losses. This is because, in the iVAST calculation, the number of GSST events are always kept constant, i.e., the number of expected number of events, and GSST contributes to iVAST losses much more than the VaR P&amp;Ls, which is obvious by comparing RC means for VaR and for iVAST in the above tables.</w:t>
      </w:r>
    </w:p>
    <w:p w14:paraId="05F8609F" w14:textId="77777777" w:rsidR="00D8645B" w:rsidRDefault="00D8645B" w:rsidP="0060309E">
      <w:pPr>
        <w:pStyle w:val="ListParagraph"/>
        <w:numPr>
          <w:ilvl w:val="0"/>
          <w:numId w:val="34"/>
        </w:numPr>
        <w:spacing w:after="160" w:line="360" w:lineRule="auto"/>
      </w:pPr>
      <w:r>
        <w:rPr>
          <w:u w:val="single"/>
        </w:rPr>
        <w:t>Simulation Size vs. Error Regression</w:t>
      </w:r>
      <w:r w:rsidRPr="000A1D30">
        <w:t>:</w:t>
      </w:r>
      <w:r>
        <w:t xml:space="preserve"> The relative Monte Carlo error can be estimated by extrapolation. The focus here is on the data points, except that with 2500 simulations, since in that analysis, only two data points contribute to the error. A pretty good fir can be found using the straight line</w:t>
      </w:r>
    </w:p>
    <w:p w14:paraId="249F65E4" w14:textId="77777777" w:rsidR="00D8645B" w:rsidRPr="009246E1" w:rsidRDefault="00D8645B" w:rsidP="00D8645B">
      <w:pPr>
        <w:spacing w:line="360" w:lineRule="auto"/>
        <w:rPr>
          <w:u w:val="single"/>
        </w:rPr>
      </w:pPr>
    </w:p>
    <w:p w14:paraId="1214A32A" w14:textId="77777777" w:rsidR="00D8645B" w:rsidRPr="009246E1" w:rsidRDefault="00D8645B" w:rsidP="00D8645B">
      <w:pPr>
        <w:pStyle w:val="ListParagraph"/>
        <w:spacing w:line="360" w:lineRule="auto"/>
        <w:ind w:left="360"/>
        <w:rPr>
          <w:rFonts w:eastAsiaTheme="minorEastAsia"/>
        </w:rPr>
      </w:pPr>
      <m:oMathPara>
        <m:oMath>
          <m:r>
            <w:rPr>
              <w:rFonts w:ascii="Cambria Math" w:hAnsi="Cambria Math"/>
            </w:rPr>
            <m:t>Error≈</m:t>
          </m:r>
          <m:f>
            <m:fPr>
              <m:ctrlPr>
                <w:rPr>
                  <w:rFonts w:ascii="Cambria Math" w:hAnsi="Cambria Math"/>
                  <w:i/>
                </w:rPr>
              </m:ctrlPr>
            </m:fPr>
            <m:num>
              <m:r>
                <w:rPr>
                  <w:rFonts w:ascii="Cambria Math" w:hAnsi="Cambria Math"/>
                </w:rPr>
                <m:t>0.35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SIM</m:t>
                      </m:r>
                    </m:sub>
                  </m:sSub>
                </m:e>
              </m:rad>
            </m:den>
          </m:f>
        </m:oMath>
      </m:oMathPara>
    </w:p>
    <w:p w14:paraId="3CC432BD" w14:textId="77777777" w:rsidR="00D8645B" w:rsidRPr="009246E1" w:rsidRDefault="00D8645B" w:rsidP="00D8645B">
      <w:pPr>
        <w:spacing w:line="360" w:lineRule="auto"/>
      </w:pPr>
    </w:p>
    <w:p w14:paraId="4DDB4424" w14:textId="77777777" w:rsidR="00D8645B" w:rsidRDefault="00D8645B" w:rsidP="0060309E">
      <w:pPr>
        <w:pStyle w:val="ListParagraph"/>
        <w:numPr>
          <w:ilvl w:val="0"/>
          <w:numId w:val="34"/>
        </w:numPr>
        <w:spacing w:after="160" w:line="360" w:lineRule="auto"/>
      </w:pPr>
      <w:r>
        <w:rPr>
          <w:u w:val="single"/>
        </w:rPr>
        <w:t>Estimation of the Monte Carlo Error</w:t>
      </w:r>
      <w:r>
        <w:t>: Using the above expression, the relative error for 5,000 simulations would be 0.50%, which is very good for a Monte Carlo method. This is because stratified sampling (Glasserman (2004)) is applied to reduce the Monte Carlo error, resulting in the elimination of the randomness of the stress losses. This result indicates that the choice of 5,000 scenarios is sufficient.</w:t>
      </w:r>
    </w:p>
    <w:p w14:paraId="6FD1FDDB" w14:textId="77777777" w:rsidR="00D8645B" w:rsidRDefault="00D8645B" w:rsidP="0060309E">
      <w:pPr>
        <w:pStyle w:val="ListParagraph"/>
        <w:numPr>
          <w:ilvl w:val="0"/>
          <w:numId w:val="34"/>
        </w:numPr>
        <w:spacing w:after="160" w:line="360" w:lineRule="auto"/>
      </w:pPr>
      <w:r>
        <w:rPr>
          <w:u w:val="single"/>
        </w:rPr>
        <w:t>Handling Uncertainty in Parameter Estimation</w:t>
      </w:r>
      <w:r w:rsidRPr="00957219">
        <w:t>:</w:t>
      </w:r>
      <w:r>
        <w:t xml:space="preserve"> On top of the random error from the Monte Carlo simulation, one must bear in mind that the systematic uncertainty in terms of the choice of the parameters of the model could be much more significant. As expert judgement is difficult to validate objectively, a set of sensitivity tests will be needed to be run to identify important model parameters.</w:t>
      </w:r>
    </w:p>
    <w:p w14:paraId="6604A029" w14:textId="77777777" w:rsidR="00D8645B" w:rsidRDefault="00D8645B" w:rsidP="00D8645B">
      <w:pPr>
        <w:spacing w:line="360" w:lineRule="auto"/>
      </w:pPr>
    </w:p>
    <w:p w14:paraId="5A812A6C" w14:textId="77777777" w:rsidR="00D8645B" w:rsidRDefault="00D8645B" w:rsidP="00D8645B">
      <w:pPr>
        <w:spacing w:line="360" w:lineRule="auto"/>
      </w:pPr>
    </w:p>
    <w:p w14:paraId="28454FCC" w14:textId="77777777" w:rsidR="00D8645B" w:rsidRPr="009246E1" w:rsidRDefault="00D8645B" w:rsidP="00D8645B">
      <w:pPr>
        <w:spacing w:line="360" w:lineRule="auto"/>
        <w:rPr>
          <w:b/>
          <w:sz w:val="28"/>
          <w:szCs w:val="28"/>
        </w:rPr>
      </w:pPr>
      <w:r w:rsidRPr="009246E1">
        <w:rPr>
          <w:b/>
          <w:sz w:val="28"/>
          <w:szCs w:val="28"/>
        </w:rPr>
        <w:t>Conclusion</w:t>
      </w:r>
    </w:p>
    <w:p w14:paraId="0613016E" w14:textId="77777777" w:rsidR="00D8645B" w:rsidRDefault="00D8645B" w:rsidP="00D8645B">
      <w:pPr>
        <w:spacing w:line="360" w:lineRule="auto"/>
      </w:pPr>
    </w:p>
    <w:p w14:paraId="222A94E8" w14:textId="77777777" w:rsidR="00D8645B" w:rsidRPr="009246E1" w:rsidRDefault="00D8645B" w:rsidP="00D8645B">
      <w:pPr>
        <w:spacing w:line="360" w:lineRule="auto"/>
      </w:pPr>
      <w:r>
        <w:t xml:space="preserve">The convergence analysis shows that the Monte Carlo error is proportional to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SIM</m:t>
                    </m:r>
                  </m:sub>
                </m:sSub>
              </m:e>
            </m:rad>
          </m:den>
        </m:f>
      </m:oMath>
      <w:r>
        <w:t>, fully as expected, and that 5,000 simulations are sufficient for RC estimation.</w:t>
      </w:r>
    </w:p>
    <w:p w14:paraId="569F47BF" w14:textId="77777777" w:rsidR="00D8645B" w:rsidRDefault="00D8645B" w:rsidP="00D8645B">
      <w:pPr>
        <w:spacing w:line="360" w:lineRule="auto"/>
      </w:pPr>
    </w:p>
    <w:p w14:paraId="37903E75" w14:textId="77777777" w:rsidR="00D8645B" w:rsidRDefault="00D8645B" w:rsidP="00D8645B">
      <w:pPr>
        <w:spacing w:line="360" w:lineRule="auto"/>
      </w:pPr>
    </w:p>
    <w:p w14:paraId="33B8E0B4" w14:textId="77777777" w:rsidR="00D8645B" w:rsidRPr="009246E1" w:rsidRDefault="00D8645B" w:rsidP="00D8645B">
      <w:pPr>
        <w:spacing w:line="360" w:lineRule="auto"/>
        <w:rPr>
          <w:b/>
          <w:sz w:val="28"/>
          <w:szCs w:val="28"/>
        </w:rPr>
      </w:pPr>
      <w:r>
        <w:rPr>
          <w:b/>
          <w:sz w:val="28"/>
          <w:szCs w:val="28"/>
        </w:rPr>
        <w:t>Benchmarking</w:t>
      </w:r>
    </w:p>
    <w:p w14:paraId="569116D5" w14:textId="77777777" w:rsidR="00D8645B" w:rsidRDefault="00D8645B" w:rsidP="00D8645B">
      <w:pPr>
        <w:spacing w:line="360" w:lineRule="auto"/>
      </w:pPr>
    </w:p>
    <w:p w14:paraId="1725C11F" w14:textId="77777777" w:rsidR="00D8645B" w:rsidRPr="009246E1" w:rsidRDefault="00D8645B" w:rsidP="00D8645B">
      <w:pPr>
        <w:spacing w:line="360" w:lineRule="auto"/>
      </w:pPr>
      <w:r>
        <w:t xml:space="preserve">Given the current state of data availability, this model is a straightforward approach to estimating the risk capital. Thus, the BHC level RC from iVAST is in line with the trading losses experienced during the worst stress scenario, the 2007/08 financial crisis. The basic idea behind this model to incorporate stress testing is widely recognized, in accordance with the recommendation by the Basel II Accord (Kupiec (2000), Bank for International Settlements </w:t>
      </w:r>
      <w:r>
        <w:lastRenderedPageBreak/>
        <w:t>(2005)). However, it is important to emphasize that there could be great variations in implementation details, including choices of the stress scenarios.</w:t>
      </w:r>
    </w:p>
    <w:p w14:paraId="1E6E90A4" w14:textId="77777777" w:rsidR="00D8645B" w:rsidRDefault="00D8645B" w:rsidP="00D8645B">
      <w:pPr>
        <w:spacing w:line="360" w:lineRule="auto"/>
      </w:pPr>
    </w:p>
    <w:p w14:paraId="12AF96E8" w14:textId="77777777" w:rsidR="00D8645B" w:rsidRDefault="00D8645B" w:rsidP="00D8645B">
      <w:pPr>
        <w:spacing w:line="360" w:lineRule="auto"/>
      </w:pPr>
    </w:p>
    <w:p w14:paraId="753D0603" w14:textId="77777777" w:rsidR="00D8645B" w:rsidRPr="00E644AB" w:rsidRDefault="00D8645B" w:rsidP="00D8645B">
      <w:pPr>
        <w:spacing w:line="360" w:lineRule="auto"/>
        <w:rPr>
          <w:b/>
          <w:sz w:val="28"/>
          <w:szCs w:val="28"/>
        </w:rPr>
      </w:pPr>
      <w:r>
        <w:rPr>
          <w:b/>
          <w:sz w:val="28"/>
          <w:szCs w:val="28"/>
        </w:rPr>
        <w:t>References</w:t>
      </w:r>
    </w:p>
    <w:p w14:paraId="411CA916" w14:textId="77777777" w:rsidR="00D8645B" w:rsidRDefault="00D8645B" w:rsidP="00D8645B">
      <w:pPr>
        <w:spacing w:line="360" w:lineRule="auto"/>
      </w:pPr>
    </w:p>
    <w:p w14:paraId="038F7E8C" w14:textId="77777777" w:rsidR="00D8645B" w:rsidRDefault="00D8645B" w:rsidP="0060309E">
      <w:pPr>
        <w:pStyle w:val="ListParagraph"/>
        <w:numPr>
          <w:ilvl w:val="0"/>
          <w:numId w:val="35"/>
        </w:numPr>
        <w:spacing w:after="160" w:line="360" w:lineRule="auto"/>
      </w:pPr>
      <w:r>
        <w:t xml:space="preserve">Bank for International Settlements (2005): </w:t>
      </w:r>
      <w:hyperlink r:id="rId31" w:history="1">
        <w:r w:rsidRPr="005B1A03">
          <w:rPr>
            <w:rStyle w:val="Hyperlink"/>
          </w:rPr>
          <w:t>Stress Testing at Major Financial Institutions: Survey Results and Practice</w:t>
        </w:r>
      </w:hyperlink>
    </w:p>
    <w:p w14:paraId="32F67443" w14:textId="77777777" w:rsidR="00D8645B" w:rsidRDefault="00D8645B" w:rsidP="0060309E">
      <w:pPr>
        <w:pStyle w:val="ListParagraph"/>
        <w:numPr>
          <w:ilvl w:val="0"/>
          <w:numId w:val="35"/>
        </w:numPr>
        <w:spacing w:after="160" w:line="360" w:lineRule="auto"/>
      </w:pPr>
      <w:r w:rsidRPr="004765EC">
        <w:t xml:space="preserve">Glasserman, P. (2004): </w:t>
      </w:r>
      <w:r w:rsidRPr="004765EC">
        <w:rPr>
          <w:i/>
        </w:rPr>
        <w:t>Monte Carlo Methods in Financial Engineering</w:t>
      </w:r>
      <w:r w:rsidRPr="004765EC">
        <w:t xml:space="preserve"> </w:t>
      </w:r>
      <w:r w:rsidRPr="004765EC">
        <w:rPr>
          <w:b/>
        </w:rPr>
        <w:t>Springer</w:t>
      </w:r>
    </w:p>
    <w:p w14:paraId="33D6F90B" w14:textId="77777777" w:rsidR="00D8645B" w:rsidRPr="004765EC" w:rsidRDefault="00D8645B" w:rsidP="0060309E">
      <w:pPr>
        <w:pStyle w:val="ListParagraph"/>
        <w:numPr>
          <w:ilvl w:val="0"/>
          <w:numId w:val="35"/>
        </w:numPr>
        <w:spacing w:after="160" w:line="360" w:lineRule="auto"/>
      </w:pPr>
      <w:r>
        <w:t xml:space="preserve">Kupiec, P. H. (2000): Stress Tests and Risk Capital </w:t>
      </w:r>
      <w:r>
        <w:rPr>
          <w:i/>
        </w:rPr>
        <w:t>Risk</w:t>
      </w:r>
      <w:r>
        <w:t xml:space="preserve"> </w:t>
      </w:r>
      <w:r>
        <w:rPr>
          <w:b/>
        </w:rPr>
        <w:t>2 (4)</w:t>
      </w:r>
      <w:r>
        <w:t xml:space="preserve"> 27-39</w:t>
      </w:r>
    </w:p>
    <w:p w14:paraId="591CF881" w14:textId="77777777" w:rsidR="00D8645B" w:rsidRDefault="00D8645B" w:rsidP="00D8645B">
      <w:r>
        <w:br w:type="page"/>
      </w:r>
    </w:p>
    <w:p w14:paraId="47766114" w14:textId="77777777" w:rsidR="00D8645B" w:rsidRDefault="00D8645B" w:rsidP="00D8645B">
      <w:pPr>
        <w:spacing w:line="360" w:lineRule="auto"/>
      </w:pPr>
    </w:p>
    <w:p w14:paraId="23770B8B" w14:textId="77777777" w:rsidR="00D8645B" w:rsidRPr="009B01F7" w:rsidRDefault="00D8645B" w:rsidP="00D8645B">
      <w:pPr>
        <w:spacing w:line="360" w:lineRule="auto"/>
        <w:jc w:val="center"/>
        <w:rPr>
          <w:b/>
          <w:sz w:val="32"/>
          <w:szCs w:val="32"/>
        </w:rPr>
      </w:pPr>
      <w:r w:rsidRPr="009B01F7">
        <w:rPr>
          <w:b/>
          <w:sz w:val="32"/>
          <w:szCs w:val="32"/>
        </w:rPr>
        <w:t>Trading Risk Capital Beta Allocation</w:t>
      </w:r>
    </w:p>
    <w:p w14:paraId="29028DB8" w14:textId="77777777" w:rsidR="00D8645B" w:rsidRDefault="00D8645B" w:rsidP="00D8645B">
      <w:pPr>
        <w:spacing w:line="360" w:lineRule="auto"/>
      </w:pPr>
    </w:p>
    <w:p w14:paraId="6203847D" w14:textId="77777777" w:rsidR="00D8645B" w:rsidRDefault="00D8645B" w:rsidP="00D8645B">
      <w:pPr>
        <w:spacing w:line="360" w:lineRule="auto"/>
      </w:pPr>
    </w:p>
    <w:p w14:paraId="3BFE958A" w14:textId="77777777" w:rsidR="00D8645B" w:rsidRPr="009B01F7" w:rsidRDefault="00D8645B" w:rsidP="00D8645B">
      <w:pPr>
        <w:spacing w:line="360" w:lineRule="auto"/>
        <w:rPr>
          <w:b/>
          <w:sz w:val="28"/>
          <w:szCs w:val="28"/>
        </w:rPr>
      </w:pPr>
      <w:r w:rsidRPr="009B01F7">
        <w:rPr>
          <w:b/>
          <w:sz w:val="28"/>
          <w:szCs w:val="28"/>
        </w:rPr>
        <w:t>Allocation Methodology</w:t>
      </w:r>
    </w:p>
    <w:p w14:paraId="30BB98B7" w14:textId="77777777" w:rsidR="00D8645B" w:rsidRDefault="00D8645B" w:rsidP="00D8645B">
      <w:pPr>
        <w:spacing w:line="360" w:lineRule="auto"/>
      </w:pPr>
    </w:p>
    <w:p w14:paraId="27DE6632" w14:textId="77777777" w:rsidR="00D8645B" w:rsidRDefault="00D8645B" w:rsidP="0060309E">
      <w:pPr>
        <w:pStyle w:val="ListParagraph"/>
        <w:numPr>
          <w:ilvl w:val="0"/>
          <w:numId w:val="58"/>
        </w:numPr>
        <w:spacing w:after="160" w:line="360" w:lineRule="auto"/>
      </w:pPr>
      <w:r w:rsidRPr="009B01F7">
        <w:rPr>
          <w:u w:val="single"/>
        </w:rPr>
        <w:t>Goal of the Capital Allocator</w:t>
      </w:r>
      <w:r w:rsidRPr="009B01F7">
        <w:t xml:space="preserve">: The goal is to allocate the </w:t>
      </w:r>
      <w:r w:rsidRPr="009B01F7">
        <w:rPr>
          <w:i/>
        </w:rPr>
        <w:t>trading marginal to trading total</w:t>
      </w:r>
      <w:r w:rsidRPr="009B01F7">
        <w:t xml:space="preserve"> into each of the business and the hedge desks.</w:t>
      </w:r>
    </w:p>
    <w:p w14:paraId="1A034B1B" w14:textId="77777777" w:rsidR="00D8645B" w:rsidRDefault="00D8645B" w:rsidP="0060309E">
      <w:pPr>
        <w:pStyle w:val="ListParagraph"/>
        <w:numPr>
          <w:ilvl w:val="0"/>
          <w:numId w:val="58"/>
        </w:numPr>
        <w:spacing w:after="160" w:line="360" w:lineRule="auto"/>
      </w:pPr>
      <w:r>
        <w:rPr>
          <w:u w:val="single"/>
        </w:rPr>
        <w:t>Current Approach - Desk Level Beta</w:t>
      </w:r>
      <w:r w:rsidRPr="009B01F7">
        <w:t>:</w:t>
      </w:r>
      <w:r>
        <w:t xml:space="preserve"> Each desk is assigned a beta, where the allocated RC is the product of the desk standalone RC times a beta.</w:t>
      </w:r>
    </w:p>
    <w:p w14:paraId="0B651477" w14:textId="77777777" w:rsidR="00D8645B" w:rsidRDefault="00D8645B" w:rsidP="0060309E">
      <w:pPr>
        <w:pStyle w:val="ListParagraph"/>
        <w:numPr>
          <w:ilvl w:val="0"/>
          <w:numId w:val="58"/>
        </w:numPr>
        <w:spacing w:after="160" w:line="360" w:lineRule="auto"/>
      </w:pPr>
      <w:r>
        <w:rPr>
          <w:u w:val="single"/>
        </w:rPr>
        <w:t>Low/High Betas and their Calibration</w:t>
      </w:r>
      <w:r w:rsidRPr="009F76BD">
        <w:t>:</w:t>
      </w:r>
      <w:r>
        <w:t xml:space="preserve"> The betas are calibrated such that the sum of the allocated RC equals the marginal.</w:t>
      </w:r>
    </w:p>
    <w:p w14:paraId="3FCEE1E9" w14:textId="77777777" w:rsidR="00D8645B" w:rsidRDefault="00D8645B" w:rsidP="0060309E">
      <w:pPr>
        <w:pStyle w:val="ListParagraph"/>
        <w:numPr>
          <w:ilvl w:val="1"/>
          <w:numId w:val="58"/>
        </w:numPr>
        <w:spacing w:after="160" w:line="360" w:lineRule="auto"/>
      </w:pPr>
      <w:r>
        <w:t>Desks with high beta:</w:t>
      </w:r>
    </w:p>
    <w:p w14:paraId="7EBD88D3" w14:textId="77777777" w:rsidR="00D8645B" w:rsidRPr="008E6AC1" w:rsidRDefault="00D8645B" w:rsidP="00D8645B">
      <w:pPr>
        <w:spacing w:line="360" w:lineRule="auto"/>
        <w:ind w:left="720"/>
      </w:pPr>
    </w:p>
    <w:p w14:paraId="4836F70B" w14:textId="77777777" w:rsidR="00D8645B" w:rsidRDefault="00D8645B" w:rsidP="00D8645B">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H</m:t>
              </m:r>
            </m:sub>
          </m:sSub>
          <m:r>
            <w:rPr>
              <w:rFonts w:ascii="Cambria Math" w:hAnsi="Cambria Math"/>
            </w:rPr>
            <m:t>=0.8</m:t>
          </m:r>
        </m:oMath>
      </m:oMathPara>
    </w:p>
    <w:p w14:paraId="7FB04C84" w14:textId="77777777" w:rsidR="00D8645B" w:rsidRPr="008E6AC1" w:rsidRDefault="00D8645B" w:rsidP="00D8645B">
      <w:pPr>
        <w:spacing w:line="360" w:lineRule="auto"/>
      </w:pPr>
    </w:p>
    <w:p w14:paraId="297456E5" w14:textId="77777777" w:rsidR="00D8645B" w:rsidRPr="008E6AC1" w:rsidRDefault="00D8645B" w:rsidP="0060309E">
      <w:pPr>
        <w:pStyle w:val="ListParagraph"/>
        <w:numPr>
          <w:ilvl w:val="1"/>
          <w:numId w:val="58"/>
        </w:numPr>
        <w:spacing w:after="160" w:line="360" w:lineRule="auto"/>
      </w:pPr>
      <w:r>
        <w:rPr>
          <w:rFonts w:eastAsiaTheme="minorEastAsia"/>
        </w:rPr>
        <w:t>Desks with low and medium beta:</w:t>
      </w:r>
    </w:p>
    <w:p w14:paraId="6F365B3E" w14:textId="77777777" w:rsidR="00D8645B" w:rsidRPr="008E6AC1" w:rsidRDefault="00D8645B" w:rsidP="00D8645B">
      <w:pPr>
        <w:spacing w:line="360" w:lineRule="auto"/>
      </w:pPr>
    </w:p>
    <w:p w14:paraId="13574161" w14:textId="77777777" w:rsidR="00D8645B" w:rsidRPr="008E6AC1" w:rsidRDefault="00D8645B" w:rsidP="00D8645B">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1573D06D" w14:textId="77777777" w:rsidR="00D8645B" w:rsidRPr="008E6AC1" w:rsidRDefault="00D8645B" w:rsidP="00D8645B">
      <w:pPr>
        <w:spacing w:line="360" w:lineRule="auto"/>
      </w:pPr>
    </w:p>
    <w:p w14:paraId="170FA331" w14:textId="77777777" w:rsidR="00D8645B" w:rsidRPr="008E6AC1" w:rsidRDefault="00D8645B" w:rsidP="0060309E">
      <w:pPr>
        <w:pStyle w:val="ListParagraph"/>
        <w:numPr>
          <w:ilvl w:val="1"/>
          <w:numId w:val="58"/>
        </w:numPr>
        <w:spacing w:after="160" w:line="360" w:lineRule="auto"/>
      </w:pPr>
      <w:r>
        <w:rPr>
          <w:rFonts w:eastAsiaTheme="minorEastAsia"/>
        </w:rPr>
        <w:t>Calibration:</w:t>
      </w:r>
    </w:p>
    <w:p w14:paraId="4DF44E1D" w14:textId="77777777" w:rsidR="00D8645B" w:rsidRPr="008E6AC1" w:rsidRDefault="00D8645B" w:rsidP="00D8645B">
      <w:pPr>
        <w:spacing w:line="360" w:lineRule="auto"/>
        <w:ind w:left="720"/>
        <w:rPr>
          <w:rFonts w:eastAsiaTheme="minorEastAsia"/>
        </w:rPr>
      </w:pPr>
    </w:p>
    <w:p w14:paraId="30659B08" w14:textId="77777777" w:rsidR="00D8645B" w:rsidRDefault="00D8645B" w:rsidP="00D8645B">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M</m:t>
              </m:r>
            </m:sub>
          </m:sSub>
          <m:nary>
            <m:naryPr>
              <m:chr m:val="∑"/>
              <m:limLoc m:val="undOvr"/>
              <m:supHide m:val="1"/>
              <m:ctrlPr>
                <w:rPr>
                  <w:rFonts w:ascii="Cambria Math" w:hAnsi="Cambria Math"/>
                  <w:i/>
                </w:rPr>
              </m:ctrlPr>
            </m:naryPr>
            <m:sub>
              <m:r>
                <w:rPr>
                  <w:rFonts w:ascii="Cambria Math" w:hAnsi="Cambria Math"/>
                </w:rPr>
                <m:t>i ∈ Medium</m:t>
              </m:r>
            </m:sub>
            <m:sup/>
            <m:e>
              <m:sSub>
                <m:sSubPr>
                  <m:ctrlPr>
                    <w:rPr>
                      <w:rFonts w:ascii="Cambria Math" w:hAnsi="Cambria Math"/>
                      <w:i/>
                    </w:rPr>
                  </m:ctrlPr>
                </m:sSubPr>
                <m:e>
                  <m:r>
                    <w:rPr>
                      <w:rFonts w:ascii="Cambria Math" w:hAnsi="Cambria Math"/>
                    </w:rPr>
                    <m:t>RC</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L</m:t>
              </m:r>
            </m:sub>
          </m:sSub>
          <m:nary>
            <m:naryPr>
              <m:chr m:val="∑"/>
              <m:limLoc m:val="undOvr"/>
              <m:supHide m:val="1"/>
              <m:ctrlPr>
                <w:rPr>
                  <w:rFonts w:ascii="Cambria Math" w:hAnsi="Cambria Math"/>
                  <w:i/>
                </w:rPr>
              </m:ctrlPr>
            </m:naryPr>
            <m:sub>
              <m:r>
                <w:rPr>
                  <w:rFonts w:ascii="Cambria Math" w:hAnsi="Cambria Math"/>
                </w:rPr>
                <m:t>j ∈ Low</m:t>
              </m:r>
            </m:sub>
            <m:sup/>
            <m:e>
              <m:sSub>
                <m:sSubPr>
                  <m:ctrlPr>
                    <w:rPr>
                      <w:rFonts w:ascii="Cambria Math" w:hAnsi="Cambria Math"/>
                      <w:i/>
                    </w:rPr>
                  </m:ctrlPr>
                </m:sSubPr>
                <m:e>
                  <m:r>
                    <w:rPr>
                      <w:rFonts w:ascii="Cambria Math" w:hAnsi="Cambria Math"/>
                    </w:rPr>
                    <m:t>RC</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nary>
            <m:naryPr>
              <m:chr m:val="∑"/>
              <m:limLoc m:val="undOvr"/>
              <m:supHide m:val="1"/>
              <m:ctrlPr>
                <w:rPr>
                  <w:rFonts w:ascii="Cambria Math" w:hAnsi="Cambria Math"/>
                  <w:i/>
                </w:rPr>
              </m:ctrlPr>
            </m:naryPr>
            <m:sub>
              <m:r>
                <w:rPr>
                  <w:rFonts w:ascii="Cambria Math" w:hAnsi="Cambria Math"/>
                </w:rPr>
                <m:t>k ∈ High</m:t>
              </m:r>
            </m:sub>
            <m:sup/>
            <m:e>
              <m:sSub>
                <m:sSubPr>
                  <m:ctrlPr>
                    <w:rPr>
                      <w:rFonts w:ascii="Cambria Math" w:hAnsi="Cambria Math"/>
                      <w:i/>
                    </w:rPr>
                  </m:ctrlPr>
                </m:sSubPr>
                <m:e>
                  <m:r>
                    <w:rPr>
                      <w:rFonts w:ascii="Cambria Math" w:hAnsi="Cambria Math"/>
                    </w:rPr>
                    <m:t>RC</m:t>
                  </m:r>
                </m:e>
                <m: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T</m:t>
              </m:r>
            </m:sub>
          </m:sSub>
        </m:oMath>
      </m:oMathPara>
    </w:p>
    <w:p w14:paraId="44F95C58" w14:textId="77777777" w:rsidR="00D8645B" w:rsidRDefault="00D8645B" w:rsidP="00D8645B">
      <w:pPr>
        <w:spacing w:line="360" w:lineRule="auto"/>
        <w:rPr>
          <w:rFonts w:eastAsiaTheme="minorEastAsia"/>
        </w:rPr>
      </w:pPr>
    </w:p>
    <w:p w14:paraId="2D587F07" w14:textId="77777777" w:rsidR="00D8645B" w:rsidRPr="008E6AC1" w:rsidRDefault="00D8645B" w:rsidP="00D8645B">
      <w:pPr>
        <w:spacing w:line="360" w:lineRule="auto"/>
        <w:ind w:firstLine="360"/>
      </w:pPr>
      <w:r w:rsidRPr="008E6AC1">
        <w:rPr>
          <w:rFonts w:eastAsiaTheme="minorEastAsia"/>
        </w:rPr>
        <w:t xml:space="preserve">where </w:t>
      </w:r>
      <m:oMath>
        <m:sSub>
          <m:sSubPr>
            <m:ctrlPr>
              <w:rPr>
                <w:rFonts w:ascii="Cambria Math" w:hAnsi="Cambria Math"/>
                <w:i/>
              </w:rPr>
            </m:ctrlPr>
          </m:sSubPr>
          <m:e>
            <m:r>
              <w:rPr>
                <w:rFonts w:ascii="Cambria Math" w:hAnsi="Cambria Math"/>
              </w:rPr>
              <m:t>RC</m:t>
            </m:r>
          </m:e>
          <m:sub>
            <m:r>
              <w:rPr>
                <w:rFonts w:ascii="Cambria Math" w:hAnsi="Cambria Math"/>
              </w:rPr>
              <m:t>i/j/k</m:t>
            </m:r>
          </m:sub>
        </m:sSub>
      </m:oMath>
      <w:r w:rsidRPr="008E6AC1">
        <w:rPr>
          <w:rFonts w:eastAsiaTheme="minorEastAsia"/>
        </w:rPr>
        <w:t xml:space="preserve"> is the standalone of business </w:t>
      </w:r>
      <m:oMath>
        <m:r>
          <w:rPr>
            <w:rFonts w:ascii="Cambria Math" w:hAnsi="Cambria Math"/>
          </w:rPr>
          <m:t>i/j/k</m:t>
        </m:r>
      </m:oMath>
      <w:r w:rsidRPr="008E6AC1">
        <w:rPr>
          <w:rFonts w:eastAsiaTheme="minorEastAsia"/>
        </w:rPr>
        <w:t xml:space="preserve">, and </w:t>
      </w:r>
      <m:oMath>
        <m:sSub>
          <m:sSubPr>
            <m:ctrlPr>
              <w:rPr>
                <w:rFonts w:ascii="Cambria Math" w:hAnsi="Cambria Math"/>
                <w:i/>
              </w:rPr>
            </m:ctrlPr>
          </m:sSubPr>
          <m:e>
            <m:r>
              <w:rPr>
                <w:rFonts w:ascii="Cambria Math" w:hAnsi="Cambria Math"/>
              </w:rPr>
              <m:t>RC</m:t>
            </m:r>
          </m:e>
          <m:sub>
            <m:r>
              <w:rPr>
                <w:rFonts w:ascii="Cambria Math" w:hAnsi="Cambria Math"/>
              </w:rPr>
              <m:t>T</m:t>
            </m:r>
          </m:sub>
        </m:sSub>
      </m:oMath>
      <w:r w:rsidRPr="008E6AC1">
        <w:rPr>
          <w:rFonts w:eastAsiaTheme="minorEastAsia"/>
        </w:rPr>
        <w:t xml:space="preserve"> is the total RC to be </w:t>
      </w:r>
      <w:proofErr w:type="gramStart"/>
      <w:r w:rsidRPr="008E6AC1">
        <w:rPr>
          <w:rFonts w:eastAsiaTheme="minorEastAsia"/>
        </w:rPr>
        <w:t>allocated.</w:t>
      </w:r>
      <w:proofErr w:type="gramEnd"/>
    </w:p>
    <w:p w14:paraId="370DE7F7" w14:textId="77777777" w:rsidR="00D8645B" w:rsidRPr="009F76BD" w:rsidRDefault="00D8645B" w:rsidP="0060309E">
      <w:pPr>
        <w:pStyle w:val="ListParagraph"/>
        <w:numPr>
          <w:ilvl w:val="0"/>
          <w:numId w:val="58"/>
        </w:numPr>
        <w:spacing w:after="160" w:line="360" w:lineRule="auto"/>
      </w:pPr>
      <w:r w:rsidRPr="009F76BD">
        <w:rPr>
          <w:rFonts w:eastAsiaTheme="minorEastAsia"/>
          <w:u w:val="single"/>
        </w:rPr>
        <w:lastRenderedPageBreak/>
        <w:t xml:space="preserve">Proposed Approach </w:t>
      </w:r>
      <w:r>
        <w:rPr>
          <w:rFonts w:eastAsiaTheme="minorEastAsia"/>
          <w:u w:val="single"/>
        </w:rPr>
        <w:t xml:space="preserve">- </w:t>
      </w:r>
      <w:r w:rsidRPr="009F76BD">
        <w:rPr>
          <w:rFonts w:eastAsiaTheme="minorEastAsia"/>
          <w:u w:val="single"/>
        </w:rPr>
        <w:t>Separating Hedge Trades</w:t>
      </w:r>
      <w:r>
        <w:rPr>
          <w:rFonts w:eastAsiaTheme="minorEastAsia"/>
        </w:rPr>
        <w:t>: The first step is to separate out the hedge trades. The allocation to the hedge is the Trading hedge desks marginal to the Trading total. Trading Total minus Marginal to Trading Hedge Desks are allocated as below.</w:t>
      </w:r>
    </w:p>
    <w:p w14:paraId="2B88BFF4" w14:textId="77777777" w:rsidR="00D8645B" w:rsidRDefault="00D8645B" w:rsidP="0060309E">
      <w:pPr>
        <w:pStyle w:val="ListParagraph"/>
        <w:numPr>
          <w:ilvl w:val="0"/>
          <w:numId w:val="58"/>
        </w:numPr>
        <w:spacing w:after="160" w:line="360" w:lineRule="auto"/>
      </w:pPr>
      <w:r>
        <w:rPr>
          <w:rFonts w:eastAsiaTheme="minorEastAsia"/>
          <w:u w:val="single"/>
        </w:rPr>
        <w:t>The Differential Component Allocation Approach</w:t>
      </w:r>
      <w:r w:rsidRPr="009F76BD">
        <w:t>:</w:t>
      </w:r>
      <w:r>
        <w:t xml:space="preserve"> Separately allocate the VaR + GSST + cBSST component vs. the iBSST component. The [VaR + GSST + cBSST] allocation follows a two beta – high vs. low – approach with</w:t>
      </w:r>
    </w:p>
    <w:p w14:paraId="3838C996" w14:textId="77777777" w:rsidR="00D8645B" w:rsidRPr="008E6AC1" w:rsidRDefault="00D8645B" w:rsidP="00D8645B">
      <w:pPr>
        <w:spacing w:line="360" w:lineRule="auto"/>
        <w:rPr>
          <w:rFonts w:eastAsiaTheme="minorEastAsia"/>
          <w:u w:val="single"/>
        </w:rPr>
      </w:pPr>
    </w:p>
    <w:p w14:paraId="759A4014"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H</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9992F22" w14:textId="77777777" w:rsidR="00D8645B" w:rsidRPr="008E6AC1" w:rsidRDefault="00D8645B" w:rsidP="00D8645B">
      <w:pPr>
        <w:spacing w:line="360" w:lineRule="auto"/>
        <w:rPr>
          <w:rFonts w:eastAsiaTheme="minorEastAsia"/>
        </w:rPr>
      </w:pPr>
    </w:p>
    <w:p w14:paraId="44B20C89" w14:textId="77777777" w:rsidR="00D8645B" w:rsidRPr="008E6AC1" w:rsidRDefault="00D8645B" w:rsidP="00D8645B">
      <w:pPr>
        <w:pStyle w:val="ListParagraph"/>
        <w:spacing w:line="360" w:lineRule="auto"/>
        <w:ind w:left="360"/>
      </w:pPr>
      <w:r>
        <w:rPr>
          <w:rFonts w:eastAsiaTheme="minorEastAsia"/>
        </w:rPr>
        <w:t>VaR and GSST receive low or high beta depending on the business liquidity, whereas cBSST always receives high beta. iBSST allocation is pro-rata to standalone worst iBSST of each business.</w:t>
      </w:r>
    </w:p>
    <w:p w14:paraId="7D97ADCC" w14:textId="77777777" w:rsidR="00D8645B" w:rsidRDefault="00D8645B" w:rsidP="00D8645B">
      <w:pPr>
        <w:spacing w:line="360" w:lineRule="auto"/>
      </w:pPr>
    </w:p>
    <w:p w14:paraId="3EF356A2" w14:textId="77777777" w:rsidR="00D8645B" w:rsidRDefault="00D8645B" w:rsidP="00D8645B">
      <w:pPr>
        <w:spacing w:line="360" w:lineRule="auto"/>
      </w:pPr>
    </w:p>
    <w:p w14:paraId="184F5182" w14:textId="77777777" w:rsidR="00D8645B" w:rsidRPr="008E6AC1" w:rsidRDefault="00D8645B" w:rsidP="00D8645B">
      <w:pPr>
        <w:spacing w:line="360" w:lineRule="auto"/>
        <w:rPr>
          <w:b/>
          <w:sz w:val="28"/>
          <w:szCs w:val="28"/>
        </w:rPr>
      </w:pPr>
      <w:r w:rsidRPr="008E6AC1">
        <w:rPr>
          <w:b/>
          <w:sz w:val="28"/>
          <w:szCs w:val="28"/>
        </w:rPr>
        <w:t>Allocation Approach and Available Inputs</w:t>
      </w:r>
    </w:p>
    <w:p w14:paraId="35F694BC" w14:textId="77777777" w:rsidR="00D8645B" w:rsidRDefault="00D8645B" w:rsidP="00D8645B">
      <w:pPr>
        <w:spacing w:line="360" w:lineRule="auto"/>
      </w:pPr>
    </w:p>
    <w:p w14:paraId="4FB4C617" w14:textId="77777777" w:rsidR="00D8645B" w:rsidRDefault="00D8645B" w:rsidP="0060309E">
      <w:pPr>
        <w:pStyle w:val="ListParagraph"/>
        <w:numPr>
          <w:ilvl w:val="0"/>
          <w:numId w:val="59"/>
        </w:numPr>
        <w:spacing w:after="160" w:line="360" w:lineRule="auto"/>
      </w:pPr>
      <w:r w:rsidRPr="008E6AC1">
        <w:rPr>
          <w:u w:val="single"/>
        </w:rPr>
        <w:t>Trading Desk Marginal to Total</w:t>
      </w:r>
      <w:r w:rsidRPr="008E6AC1">
        <w:t>: Since there is no VaR, GSST, and BSST contributions of Trading Marginal to Trading Total, the Trading Standalone is first allocated to each business. The allocation is then scaled such that the sum adds up to the Trading Marginal to Trading Total less the Trading Hedge Desks Marginal to Trading Total.</w:t>
      </w:r>
    </w:p>
    <w:p w14:paraId="6520395E" w14:textId="77777777" w:rsidR="00D8645B" w:rsidRDefault="00D8645B" w:rsidP="0060309E">
      <w:pPr>
        <w:pStyle w:val="ListParagraph"/>
        <w:numPr>
          <w:ilvl w:val="0"/>
          <w:numId w:val="59"/>
        </w:numPr>
        <w:spacing w:after="160" w:line="360" w:lineRule="auto"/>
      </w:pPr>
      <w:r>
        <w:rPr>
          <w:u w:val="single"/>
        </w:rPr>
        <w:t>Decomposition of Trading Desk Standalone</w:t>
      </w:r>
      <w:r w:rsidRPr="008E6AC1">
        <w:t>:</w:t>
      </w:r>
      <w:r>
        <w:t xml:space="preserve"> The following data elements are expected to be typically be available in a monthly VaR-stress run – trading standalone broken down to marginal contribution from VaR, iBSST, cBSST, and GSST.</w:t>
      </w:r>
    </w:p>
    <w:p w14:paraId="2045C343" w14:textId="77777777" w:rsidR="00D8645B" w:rsidRPr="009F166D" w:rsidRDefault="00D8645B" w:rsidP="00D8645B">
      <w:pPr>
        <w:spacing w:line="360" w:lineRule="auto"/>
        <w:rPr>
          <w:u w:val="single"/>
        </w:rPr>
      </w:pPr>
    </w:p>
    <w:p w14:paraId="2F609B56"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Trading Standalone</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GSST</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VaR</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cBSST</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iBSST</m:t>
              </m:r>
            </m:sub>
          </m:sSub>
        </m:oMath>
      </m:oMathPara>
    </w:p>
    <w:p w14:paraId="2833FC59" w14:textId="77777777" w:rsidR="00D8645B" w:rsidRPr="009F166D" w:rsidRDefault="00D8645B" w:rsidP="00D8645B">
      <w:pPr>
        <w:spacing w:line="360" w:lineRule="auto"/>
        <w:rPr>
          <w:rFonts w:eastAsiaTheme="minorEastAsia"/>
        </w:rPr>
      </w:pPr>
    </w:p>
    <w:p w14:paraId="6D64AE75" w14:textId="77777777" w:rsidR="00D8645B" w:rsidRPr="008E6AC1" w:rsidRDefault="00D8645B" w:rsidP="00D8645B">
      <w:pPr>
        <w:pStyle w:val="ListParagraph"/>
        <w:spacing w:line="360" w:lineRule="auto"/>
        <w:ind w:left="360"/>
      </w:pPr>
      <m:oMath>
        <m:sSub>
          <m:sSubPr>
            <m:ctrlPr>
              <w:rPr>
                <w:rFonts w:ascii="Cambria Math" w:hAnsi="Cambria Math"/>
                <w:i/>
              </w:rPr>
            </m:ctrlPr>
          </m:sSubPr>
          <m:e>
            <m:r>
              <w:rPr>
                <w:rFonts w:ascii="Cambria Math" w:hAnsi="Cambria Math"/>
              </w:rPr>
              <m:t>RC</m:t>
            </m:r>
          </m:e>
          <m:sub>
            <m:r>
              <w:rPr>
                <w:rFonts w:ascii="Cambria Math" w:hAnsi="Cambria Math"/>
              </w:rPr>
              <m:t>Trading Standalone</m:t>
            </m:r>
          </m:sub>
        </m:sSub>
      </m:oMath>
      <w:r>
        <w:rPr>
          <w:rFonts w:eastAsiaTheme="minorEastAsia"/>
        </w:rPr>
        <w:t xml:space="preserve"> refers to the Trading desk standalone minus the hedge. The RHS refers to the marginal contributions to the trading standalone from VaR, GSST, cBSST, and iBSST – less the hedges.</w:t>
      </w:r>
    </w:p>
    <w:p w14:paraId="4A85AD53" w14:textId="77777777" w:rsidR="00D8645B" w:rsidRDefault="00D8645B" w:rsidP="0060309E">
      <w:pPr>
        <w:pStyle w:val="ListParagraph"/>
        <w:numPr>
          <w:ilvl w:val="0"/>
          <w:numId w:val="59"/>
        </w:numPr>
        <w:spacing w:after="160" w:line="360" w:lineRule="auto"/>
      </w:pPr>
      <w:r>
        <w:rPr>
          <w:u w:val="single"/>
        </w:rPr>
        <w:t>Decomposing the Business/Desk Standalone</w:t>
      </w:r>
      <w:r w:rsidRPr="008E6AC1">
        <w:t>:</w:t>
      </w:r>
      <w:r>
        <w:t xml:space="preserve"> Business/Desk standalone broken down to marginal contribution from VaR, iBSST, cBSST, and GSST.</w:t>
      </w:r>
    </w:p>
    <w:p w14:paraId="05571582" w14:textId="77777777" w:rsidR="00D8645B" w:rsidRPr="009F166D" w:rsidRDefault="00D8645B" w:rsidP="00D8645B">
      <w:pPr>
        <w:spacing w:line="360" w:lineRule="auto"/>
        <w:rPr>
          <w:u w:val="single"/>
        </w:rPr>
      </w:pPr>
    </w:p>
    <w:p w14:paraId="78E0D339"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Trading Standalone,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GSST,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VaR,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cBSST,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iBSST, i</m:t>
              </m:r>
            </m:sub>
          </m:sSub>
        </m:oMath>
      </m:oMathPara>
    </w:p>
    <w:p w14:paraId="641417FB" w14:textId="77777777" w:rsidR="00D8645B" w:rsidRPr="009F166D" w:rsidRDefault="00D8645B" w:rsidP="00D8645B">
      <w:pPr>
        <w:spacing w:line="360" w:lineRule="auto"/>
        <w:rPr>
          <w:rFonts w:eastAsiaTheme="minorEastAsia"/>
        </w:rPr>
      </w:pPr>
    </w:p>
    <w:p w14:paraId="71E8F623" w14:textId="77777777" w:rsidR="00D8645B" w:rsidRPr="00761678" w:rsidRDefault="00D8645B" w:rsidP="00D8645B">
      <w:pPr>
        <w:pStyle w:val="ListParagraph"/>
        <w:spacing w:line="360" w:lineRule="auto"/>
        <w:ind w:left="360"/>
      </w:pPr>
      <m:oMath>
        <m:sSub>
          <m:sSubPr>
            <m:ctrlPr>
              <w:rPr>
                <w:rFonts w:ascii="Cambria Math" w:hAnsi="Cambria Math"/>
                <w:i/>
              </w:rPr>
            </m:ctrlPr>
          </m:sSubPr>
          <m:e>
            <m:r>
              <w:rPr>
                <w:rFonts w:ascii="Cambria Math" w:hAnsi="Cambria Math"/>
              </w:rPr>
              <m:t>RC</m:t>
            </m:r>
          </m:e>
          <m:sub>
            <m:r>
              <w:rPr>
                <w:rFonts w:ascii="Cambria Math" w:hAnsi="Cambria Math"/>
              </w:rPr>
              <m:t>Trading Standalone, i</m:t>
            </m:r>
          </m:sub>
        </m:sSub>
      </m:oMath>
      <w:r>
        <w:rPr>
          <w:rFonts w:eastAsiaTheme="minorEastAsia"/>
        </w:rPr>
        <w:t xml:space="preserve"> is the standalone for desk </w:t>
      </w:r>
      <m:oMath>
        <m:r>
          <w:rPr>
            <w:rFonts w:ascii="Cambria Math" w:hAnsi="Cambria Math"/>
          </w:rPr>
          <m:t>i</m:t>
        </m:r>
      </m:oMath>
      <w:r>
        <w:rPr>
          <w:rFonts w:eastAsiaTheme="minorEastAsia"/>
        </w:rPr>
        <w:t xml:space="preserve">. The RHS refers to the marginal contributions to desk </w:t>
      </w:r>
      <m:oMath>
        <m:r>
          <w:rPr>
            <w:rFonts w:ascii="Cambria Math" w:hAnsi="Cambria Math"/>
          </w:rPr>
          <m:t>i</m:t>
        </m:r>
      </m:oMath>
      <w:r>
        <w:rPr>
          <w:rFonts w:eastAsiaTheme="minorEastAsia"/>
        </w:rPr>
        <w:t xml:space="preserve"> from VaR, GSST, cBSST, and iBSST – less the hedges.</w:t>
      </w:r>
    </w:p>
    <w:p w14:paraId="11378385" w14:textId="77777777" w:rsidR="00D8645B" w:rsidRPr="001239FA" w:rsidRDefault="00D8645B" w:rsidP="0060309E">
      <w:pPr>
        <w:pStyle w:val="ListParagraph"/>
        <w:numPr>
          <w:ilvl w:val="0"/>
          <w:numId w:val="59"/>
        </w:numPr>
        <w:spacing w:after="160" w:line="360" w:lineRule="auto"/>
      </w:pPr>
      <w:r>
        <w:rPr>
          <w:u w:val="single"/>
        </w:rPr>
        <w:t>iBSST Capital Allocation using Worst</w:t>
      </w:r>
      <w:r>
        <w:t xml:space="preserve">: PnL of the worst iBSST for the trading desk </w:t>
      </w:r>
      <m:oMath>
        <m:sSub>
          <m:sSubPr>
            <m:ctrlPr>
              <w:rPr>
                <w:rFonts w:ascii="Cambria Math" w:hAnsi="Cambria Math"/>
                <w:i/>
              </w:rPr>
            </m:ctrlPr>
          </m:sSubPr>
          <m:e>
            <m:r>
              <w:rPr>
                <w:rFonts w:ascii="Cambria Math" w:hAnsi="Cambria Math"/>
              </w:rPr>
              <m:t>PnL</m:t>
            </m:r>
          </m:e>
          <m:sub>
            <m:r>
              <w:rPr>
                <w:rFonts w:ascii="Cambria Math" w:hAnsi="Cambria Math"/>
              </w:rPr>
              <m:t>Worst, iBSST</m:t>
            </m:r>
          </m:sub>
        </m:sSub>
      </m:oMath>
      <w:r>
        <w:t xml:space="preserve"> and for each business </w:t>
      </w:r>
      <w:r>
        <w:rPr>
          <w:rFonts w:eastAsiaTheme="minorEastAsia"/>
        </w:rPr>
        <w:t xml:space="preserve">desk </w:t>
      </w:r>
      <m:oMath>
        <m:sSub>
          <m:sSubPr>
            <m:ctrlPr>
              <w:rPr>
                <w:rFonts w:ascii="Cambria Math" w:hAnsi="Cambria Math"/>
                <w:i/>
              </w:rPr>
            </m:ctrlPr>
          </m:sSubPr>
          <m:e>
            <m:r>
              <w:rPr>
                <w:rFonts w:ascii="Cambria Math" w:hAnsi="Cambria Math"/>
              </w:rPr>
              <m:t>PnL</m:t>
            </m:r>
          </m:e>
          <m:sub>
            <m:r>
              <w:rPr>
                <w:rFonts w:ascii="Cambria Math" w:hAnsi="Cambria Math"/>
              </w:rPr>
              <m:t>Worst, iBSST, i</m:t>
            </m:r>
          </m:sub>
        </m:sSub>
      </m:oMath>
    </w:p>
    <w:p w14:paraId="19BD40E3" w14:textId="77777777" w:rsidR="00D8645B" w:rsidRDefault="00D8645B" w:rsidP="00D8645B">
      <w:pPr>
        <w:spacing w:line="360" w:lineRule="auto"/>
      </w:pPr>
    </w:p>
    <w:p w14:paraId="0C6F0774" w14:textId="77777777" w:rsidR="00D8645B" w:rsidRDefault="00D8645B" w:rsidP="00D8645B">
      <w:pPr>
        <w:spacing w:line="360" w:lineRule="auto"/>
      </w:pPr>
    </w:p>
    <w:p w14:paraId="1A7DAF74" w14:textId="77777777" w:rsidR="00D8645B" w:rsidRPr="001239FA" w:rsidRDefault="00D8645B" w:rsidP="00D8645B">
      <w:pPr>
        <w:spacing w:line="360" w:lineRule="auto"/>
        <w:rPr>
          <w:b/>
          <w:sz w:val="28"/>
          <w:szCs w:val="28"/>
        </w:rPr>
      </w:pPr>
      <w:r w:rsidRPr="001239FA">
        <w:rPr>
          <w:b/>
          <w:sz w:val="28"/>
          <w:szCs w:val="28"/>
        </w:rPr>
        <w:t>Allocation Algorithm for each Component</w:t>
      </w:r>
    </w:p>
    <w:p w14:paraId="62C0C576" w14:textId="77777777" w:rsidR="00D8645B" w:rsidRDefault="00D8645B" w:rsidP="00D8645B">
      <w:pPr>
        <w:spacing w:line="360" w:lineRule="auto"/>
      </w:pPr>
    </w:p>
    <w:p w14:paraId="18643548" w14:textId="77777777" w:rsidR="00D8645B" w:rsidRDefault="00D8645B" w:rsidP="0060309E">
      <w:pPr>
        <w:pStyle w:val="ListParagraph"/>
        <w:numPr>
          <w:ilvl w:val="0"/>
          <w:numId w:val="60"/>
        </w:numPr>
        <w:spacing w:after="160" w:line="360" w:lineRule="auto"/>
      </w:pPr>
      <w:r w:rsidRPr="001239FA">
        <w:rPr>
          <w:u w:val="single"/>
        </w:rPr>
        <w:t>VaR, GSST, and cBSST Components</w:t>
      </w:r>
      <w:r w:rsidRPr="001239FA">
        <w:t>:</w:t>
      </w:r>
    </w:p>
    <w:p w14:paraId="575CD6D5" w14:textId="77777777" w:rsidR="00D8645B" w:rsidRPr="001239FA" w:rsidRDefault="00D8645B" w:rsidP="0060309E">
      <w:pPr>
        <w:pStyle w:val="ListParagraph"/>
        <w:numPr>
          <w:ilvl w:val="1"/>
          <w:numId w:val="60"/>
        </w:numPr>
        <w:spacing w:after="160" w:line="360" w:lineRule="auto"/>
      </w:pPr>
      <w:r>
        <w:t xml:space="preserve">Parent Value to be allocated =&gt; </w:t>
      </w:r>
      <m:oMath>
        <m:sSub>
          <m:sSubPr>
            <m:ctrlPr>
              <w:rPr>
                <w:rFonts w:ascii="Cambria Math" w:hAnsi="Cambria Math"/>
                <w:i/>
              </w:rPr>
            </m:ctrlPr>
          </m:sSubPr>
          <m:e>
            <m:r>
              <w:rPr>
                <w:rFonts w:ascii="Cambria Math" w:hAnsi="Cambria Math"/>
              </w:rPr>
              <m:t>RC</m:t>
            </m:r>
          </m:e>
          <m:sub>
            <m:r>
              <w:rPr>
                <w:rFonts w:ascii="Cambria Math" w:hAnsi="Cambria Math"/>
              </w:rPr>
              <m:t>Marginal, GSST</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VaR</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cBSST</m:t>
            </m:r>
          </m:sub>
        </m:sSub>
      </m:oMath>
    </w:p>
    <w:p w14:paraId="1FAA94C1" w14:textId="77777777" w:rsidR="00D8645B" w:rsidRPr="001239FA" w:rsidRDefault="00D8645B" w:rsidP="0060309E">
      <w:pPr>
        <w:pStyle w:val="ListParagraph"/>
        <w:numPr>
          <w:ilvl w:val="1"/>
          <w:numId w:val="60"/>
        </w:numPr>
        <w:spacing w:after="160" w:line="360" w:lineRule="auto"/>
      </w:pPr>
      <w:r>
        <w:rPr>
          <w:rFonts w:eastAsiaTheme="minorEastAsia"/>
        </w:rPr>
        <w:t xml:space="preserve">Inputs =&gt; </w:t>
      </w:r>
      <m:oMath>
        <m:sSub>
          <m:sSubPr>
            <m:ctrlPr>
              <w:rPr>
                <w:rFonts w:ascii="Cambria Math" w:hAnsi="Cambria Math"/>
                <w:i/>
              </w:rPr>
            </m:ctrlPr>
          </m:sSubPr>
          <m:e>
            <m:r>
              <w:rPr>
                <w:rFonts w:ascii="Cambria Math" w:hAnsi="Cambria Math"/>
              </w:rPr>
              <m:t>RC</m:t>
            </m:r>
          </m:e>
          <m:sub>
            <m:r>
              <w:rPr>
                <w:rFonts w:ascii="Cambria Math" w:hAnsi="Cambria Math"/>
              </w:rPr>
              <m:t>Marginal, GSST, i</m:t>
            </m:r>
          </m:sub>
        </m:sSub>
      </m:oMath>
      <w:r>
        <w:rPr>
          <w:rFonts w:eastAsiaTheme="minorEastAsia"/>
        </w:rPr>
        <w:t xml:space="preserve">, </w:t>
      </w:r>
      <m:oMath>
        <m:sSub>
          <m:sSubPr>
            <m:ctrlPr>
              <w:rPr>
                <w:rFonts w:ascii="Cambria Math" w:hAnsi="Cambria Math"/>
                <w:i/>
              </w:rPr>
            </m:ctrlPr>
          </m:sSubPr>
          <m:e>
            <m:r>
              <w:rPr>
                <w:rFonts w:ascii="Cambria Math" w:hAnsi="Cambria Math"/>
              </w:rPr>
              <m:t>RC</m:t>
            </m:r>
          </m:e>
          <m:sub>
            <m:r>
              <w:rPr>
                <w:rFonts w:ascii="Cambria Math" w:hAnsi="Cambria Math"/>
              </w:rPr>
              <m:t>Marginal, VaR, i</m:t>
            </m:r>
          </m:sub>
        </m:sSub>
      </m:oMath>
      <w:r>
        <w:rPr>
          <w:rFonts w:eastAsiaTheme="minorEastAsia"/>
        </w:rPr>
        <w:t xml:space="preserve">, and </w:t>
      </w:r>
      <m:oMath>
        <m:sSub>
          <m:sSubPr>
            <m:ctrlPr>
              <w:rPr>
                <w:rFonts w:ascii="Cambria Math" w:hAnsi="Cambria Math"/>
                <w:i/>
              </w:rPr>
            </m:ctrlPr>
          </m:sSubPr>
          <m:e>
            <m:r>
              <w:rPr>
                <w:rFonts w:ascii="Cambria Math" w:hAnsi="Cambria Math"/>
              </w:rPr>
              <m:t>RC</m:t>
            </m:r>
          </m:e>
          <m:sub>
            <m:r>
              <w:rPr>
                <w:rFonts w:ascii="Cambria Math" w:hAnsi="Cambria Math"/>
              </w:rPr>
              <m:t>Marginal, cBSST, i</m:t>
            </m:r>
          </m:sub>
        </m:sSub>
      </m:oMath>
    </w:p>
    <w:p w14:paraId="6E196EC0" w14:textId="77777777" w:rsidR="00D8645B" w:rsidRPr="001239FA" w:rsidRDefault="00D8645B" w:rsidP="0060309E">
      <w:pPr>
        <w:pStyle w:val="ListParagraph"/>
        <w:numPr>
          <w:ilvl w:val="1"/>
          <w:numId w:val="60"/>
        </w:numPr>
        <w:spacing w:after="160" w:line="360" w:lineRule="auto"/>
      </w:pPr>
      <w:r>
        <w:rPr>
          <w:rFonts w:eastAsiaTheme="minorEastAsia"/>
        </w:rPr>
        <w:t>Allocation Algorithm =&gt;</w:t>
      </w:r>
    </w:p>
    <w:p w14:paraId="60BAB642" w14:textId="77777777" w:rsidR="00D8645B" w:rsidRPr="001239FA" w:rsidRDefault="00D8645B" w:rsidP="00D8645B">
      <w:pPr>
        <w:spacing w:line="360" w:lineRule="auto"/>
        <w:rPr>
          <w:rFonts w:eastAsiaTheme="minorEastAsia"/>
        </w:rPr>
      </w:pPr>
    </w:p>
    <w:p w14:paraId="75EEDB37" w14:textId="77777777" w:rsidR="00D8645B" w:rsidRPr="001239FA" w:rsidRDefault="00D8645B" w:rsidP="00D8645B">
      <w:pPr>
        <w:pStyle w:val="ListParagraph"/>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RC</m:t>
                  </m:r>
                </m:e>
                <m:sub>
                  <m:r>
                    <w:rPr>
                      <w:rFonts w:ascii="Cambria Math" w:hAnsi="Cambria Math"/>
                    </w:rPr>
                    <m:t>Marginal, GSST</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VaR</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cBSST</m:t>
                  </m:r>
                </m:sub>
              </m:sSub>
            </m:num>
            <m:den>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∈L</m:t>
                      </m:r>
                    </m:sub>
                    <m:sup/>
                    <m:e>
                      <m:d>
                        <m:dPr>
                          <m:ctrlPr>
                            <w:rPr>
                              <w:rFonts w:ascii="Cambria Math" w:hAnsi="Cambria Math"/>
                              <w:i/>
                            </w:rPr>
                          </m:ctrlPr>
                        </m:dPr>
                        <m:e>
                          <m:sSub>
                            <m:sSubPr>
                              <m:ctrlPr>
                                <w:rPr>
                                  <w:rFonts w:ascii="Cambria Math" w:hAnsi="Cambria Math"/>
                                  <w:i/>
                                </w:rPr>
                              </m:ctrlPr>
                            </m:sSubPr>
                            <m:e>
                              <m:r>
                                <w:rPr>
                                  <w:rFonts w:ascii="Cambria Math" w:hAnsi="Cambria Math"/>
                                </w:rPr>
                                <m:t>RC</m:t>
                              </m:r>
                            </m:e>
                            <m:sub>
                              <m:r>
                                <w:rPr>
                                  <w:rFonts w:ascii="Cambria Math" w:hAnsi="Cambria Math"/>
                                </w:rPr>
                                <m:t>Marginal, GSST,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VaR,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cBSST, i</m:t>
                              </m:r>
                            </m:sub>
                          </m:sSub>
                        </m:e>
                      </m:d>
                    </m:e>
                  </m:nary>
                  <m:r>
                    <w:rPr>
                      <w:rFonts w:ascii="Cambria Math" w:hAnsi="Cambria Math"/>
                    </w:rPr>
                    <m:t>+2×</m:t>
                  </m:r>
                  <m:nary>
                    <m:naryPr>
                      <m:chr m:val="∑"/>
                      <m:limLoc m:val="undOvr"/>
                      <m:supHide m:val="1"/>
                      <m:ctrlPr>
                        <w:rPr>
                          <w:rFonts w:ascii="Cambria Math" w:hAnsi="Cambria Math"/>
                          <w:i/>
                        </w:rPr>
                      </m:ctrlPr>
                    </m:naryPr>
                    <m:sub>
                      <m:r>
                        <w:rPr>
                          <w:rFonts w:ascii="Cambria Math" w:hAnsi="Cambria Math"/>
                        </w:rPr>
                        <m:t>i ∈H</m:t>
                      </m:r>
                    </m:sub>
                    <m:sup/>
                    <m:e>
                      <m:d>
                        <m:dPr>
                          <m:ctrlPr>
                            <w:rPr>
                              <w:rFonts w:ascii="Cambria Math" w:hAnsi="Cambria Math"/>
                              <w:i/>
                            </w:rPr>
                          </m:ctrlPr>
                        </m:dPr>
                        <m:e>
                          <m:sSub>
                            <m:sSubPr>
                              <m:ctrlPr>
                                <w:rPr>
                                  <w:rFonts w:ascii="Cambria Math" w:hAnsi="Cambria Math"/>
                                  <w:i/>
                                </w:rPr>
                              </m:ctrlPr>
                            </m:sSubPr>
                            <m:e>
                              <m:r>
                                <w:rPr>
                                  <w:rFonts w:ascii="Cambria Math" w:hAnsi="Cambria Math"/>
                                </w:rPr>
                                <m:t>RC</m:t>
                              </m:r>
                            </m:e>
                            <m:sub>
                              <m:r>
                                <w:rPr>
                                  <w:rFonts w:ascii="Cambria Math" w:hAnsi="Cambria Math"/>
                                </w:rPr>
                                <m:t>Marginal, GSST,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VaR,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cBSST, i</m:t>
                              </m:r>
                            </m:sub>
                          </m:sSub>
                        </m:e>
                      </m:d>
                    </m:e>
                  </m:nary>
                </m:e>
              </m:d>
            </m:den>
          </m:f>
        </m:oMath>
      </m:oMathPara>
    </w:p>
    <w:p w14:paraId="675CB3A1" w14:textId="77777777" w:rsidR="00D8645B" w:rsidRDefault="00D8645B" w:rsidP="00D8645B">
      <w:pPr>
        <w:spacing w:line="360" w:lineRule="auto"/>
      </w:pPr>
    </w:p>
    <w:p w14:paraId="6A6421FE" w14:textId="77777777" w:rsidR="00D8645B" w:rsidRPr="001239FA" w:rsidRDefault="00D8645B" w:rsidP="00D8645B">
      <w:pPr>
        <w:spacing w:line="360" w:lineRule="auto"/>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1E790CCE" w14:textId="77777777" w:rsidR="00D8645B" w:rsidRDefault="00D8645B" w:rsidP="00D8645B">
      <w:pPr>
        <w:spacing w:line="360" w:lineRule="auto"/>
        <w:rPr>
          <w:rFonts w:eastAsiaTheme="minorEastAsia"/>
        </w:rPr>
      </w:pPr>
    </w:p>
    <w:p w14:paraId="24ECF428" w14:textId="77777777" w:rsidR="00D8645B" w:rsidRPr="00446DD9" w:rsidRDefault="00D8645B" w:rsidP="00D8645B">
      <w:pPr>
        <w:spacing w:line="360" w:lineRule="auto"/>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ALLOCATION, VaR+GSST+cBSST, 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L/H</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RC</m:t>
                  </m:r>
                </m:e>
                <m:sub>
                  <m:r>
                    <w:rPr>
                      <w:rFonts w:ascii="Cambria Math" w:hAnsi="Cambria Math"/>
                    </w:rPr>
                    <m:t>Marginal, GSST,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VaR, 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cBSST, i</m:t>
              </m:r>
            </m:sub>
          </m:sSub>
        </m:oMath>
      </m:oMathPara>
    </w:p>
    <w:p w14:paraId="315F7AA6" w14:textId="77777777" w:rsidR="00D8645B" w:rsidRPr="009F166D" w:rsidRDefault="00D8645B" w:rsidP="00D8645B">
      <w:pPr>
        <w:spacing w:line="360" w:lineRule="auto"/>
        <w:rPr>
          <w:rFonts w:eastAsiaTheme="minorEastAsia"/>
        </w:rPr>
      </w:pPr>
    </w:p>
    <w:p w14:paraId="36F0FD29" w14:textId="77777777" w:rsidR="00D8645B" w:rsidRDefault="00D8645B" w:rsidP="0060309E">
      <w:pPr>
        <w:pStyle w:val="ListParagraph"/>
        <w:numPr>
          <w:ilvl w:val="0"/>
          <w:numId w:val="60"/>
        </w:numPr>
        <w:spacing w:after="160" w:line="360" w:lineRule="auto"/>
      </w:pPr>
      <w:r>
        <w:rPr>
          <w:u w:val="single"/>
        </w:rPr>
        <w:t>i</w:t>
      </w:r>
      <w:r w:rsidRPr="001239FA">
        <w:rPr>
          <w:u w:val="single"/>
        </w:rPr>
        <w:t>BSST Components</w:t>
      </w:r>
      <w:r w:rsidRPr="001239FA">
        <w:t>:</w:t>
      </w:r>
    </w:p>
    <w:p w14:paraId="562CD2FA" w14:textId="77777777" w:rsidR="00D8645B" w:rsidRPr="001239FA" w:rsidRDefault="00D8645B" w:rsidP="0060309E">
      <w:pPr>
        <w:pStyle w:val="ListParagraph"/>
        <w:numPr>
          <w:ilvl w:val="1"/>
          <w:numId w:val="60"/>
        </w:numPr>
        <w:spacing w:after="160" w:line="360" w:lineRule="auto"/>
      </w:pPr>
      <w:r>
        <w:t xml:space="preserve">Parent Value to be allocated =&gt; </w:t>
      </w:r>
      <m:oMath>
        <m:sSub>
          <m:sSubPr>
            <m:ctrlPr>
              <w:rPr>
                <w:rFonts w:ascii="Cambria Math" w:hAnsi="Cambria Math"/>
                <w:i/>
              </w:rPr>
            </m:ctrlPr>
          </m:sSubPr>
          <m:e>
            <m:r>
              <w:rPr>
                <w:rFonts w:ascii="Cambria Math" w:hAnsi="Cambria Math"/>
              </w:rPr>
              <m:t>RC</m:t>
            </m:r>
          </m:e>
          <m:sub>
            <m:r>
              <w:rPr>
                <w:rFonts w:ascii="Cambria Math" w:hAnsi="Cambria Math"/>
              </w:rPr>
              <m:t>Marginal, iBSST</m:t>
            </m:r>
          </m:sub>
        </m:sSub>
      </m:oMath>
    </w:p>
    <w:p w14:paraId="10A6ACCC" w14:textId="77777777" w:rsidR="00D8645B" w:rsidRPr="001239FA" w:rsidRDefault="00D8645B" w:rsidP="0060309E">
      <w:pPr>
        <w:pStyle w:val="ListParagraph"/>
        <w:numPr>
          <w:ilvl w:val="1"/>
          <w:numId w:val="60"/>
        </w:numPr>
        <w:spacing w:after="160" w:line="360" w:lineRule="auto"/>
      </w:pPr>
      <w:r>
        <w:rPr>
          <w:rFonts w:eastAsiaTheme="minorEastAsia"/>
        </w:rPr>
        <w:t xml:space="preserve">Inputs =&gt; </w:t>
      </w:r>
      <m:oMath>
        <m:sSub>
          <m:sSubPr>
            <m:ctrlPr>
              <w:rPr>
                <w:rFonts w:ascii="Cambria Math" w:hAnsi="Cambria Math"/>
                <w:i/>
              </w:rPr>
            </m:ctrlPr>
          </m:sSubPr>
          <m:e>
            <m:r>
              <w:rPr>
                <w:rFonts w:ascii="Cambria Math" w:hAnsi="Cambria Math"/>
              </w:rPr>
              <m:t>PnL</m:t>
            </m:r>
          </m:e>
          <m:sub>
            <m:r>
              <w:rPr>
                <w:rFonts w:ascii="Cambria Math" w:hAnsi="Cambria Math"/>
              </w:rPr>
              <m:t>Worst, iBSST, i</m:t>
            </m:r>
          </m:sub>
        </m:sSub>
      </m:oMath>
    </w:p>
    <w:p w14:paraId="653FB7C4" w14:textId="77777777" w:rsidR="00D8645B" w:rsidRPr="001239FA" w:rsidRDefault="00D8645B" w:rsidP="0060309E">
      <w:pPr>
        <w:pStyle w:val="ListParagraph"/>
        <w:numPr>
          <w:ilvl w:val="1"/>
          <w:numId w:val="60"/>
        </w:numPr>
        <w:spacing w:after="160" w:line="360" w:lineRule="auto"/>
      </w:pPr>
      <w:r>
        <w:rPr>
          <w:rFonts w:eastAsiaTheme="minorEastAsia"/>
        </w:rPr>
        <w:t>Allocation Algorithm =&gt;</w:t>
      </w:r>
    </w:p>
    <w:p w14:paraId="5879DA1B" w14:textId="77777777" w:rsidR="00D8645B" w:rsidRDefault="00D8645B" w:rsidP="00D8645B">
      <w:pPr>
        <w:spacing w:line="360" w:lineRule="auto"/>
        <w:rPr>
          <w:rFonts w:eastAsiaTheme="minorEastAsia"/>
        </w:rPr>
      </w:pPr>
    </w:p>
    <w:p w14:paraId="55B119F8" w14:textId="77777777" w:rsidR="00D8645B" w:rsidRDefault="00D8645B" w:rsidP="00D8645B">
      <w:pPr>
        <w:spacing w:line="360" w:lineRule="auto"/>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ALLOCATION,iBSST,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PnL</m:t>
                  </m:r>
                </m:e>
                <m:sub>
                  <m:r>
                    <w:rPr>
                      <w:rFonts w:ascii="Cambria Math" w:hAnsi="Cambria Math"/>
                    </w:rPr>
                    <m:t>Worst, iBSST, i</m:t>
                  </m:r>
                </m:sub>
              </m:sSub>
            </m:num>
            <m:den>
              <m:nary>
                <m:naryPr>
                  <m:chr m:val="∑"/>
                  <m:limLoc m:val="undOvr"/>
                  <m:supHide m:val="1"/>
                  <m:ctrlPr>
                    <w:rPr>
                      <w:rFonts w:ascii="Cambria Math" w:hAnsi="Cambria Math"/>
                      <w:i/>
                    </w:rPr>
                  </m:ctrlPr>
                </m:naryPr>
                <m:sub>
                  <m:r>
                    <w:rPr>
                      <w:rFonts w:ascii="Cambria Math" w:hAnsi="Cambria Math"/>
                    </w:rPr>
                    <m:t>i ∉ Hedge</m:t>
                  </m:r>
                </m:sub>
                <m:sup/>
                <m:e>
                  <m:sSub>
                    <m:sSubPr>
                      <m:ctrlPr>
                        <w:rPr>
                          <w:rFonts w:ascii="Cambria Math" w:hAnsi="Cambria Math"/>
                          <w:i/>
                        </w:rPr>
                      </m:ctrlPr>
                    </m:sSubPr>
                    <m:e>
                      <m:r>
                        <w:rPr>
                          <w:rFonts w:ascii="Cambria Math" w:hAnsi="Cambria Math"/>
                        </w:rPr>
                        <m:t>PnL</m:t>
                      </m:r>
                    </m:e>
                    <m:sub>
                      <m:r>
                        <w:rPr>
                          <w:rFonts w:ascii="Cambria Math" w:hAnsi="Cambria Math"/>
                        </w:rPr>
                        <m:t>Worst, iBSST, i</m:t>
                      </m:r>
                    </m:sub>
                  </m:sSub>
                </m:e>
              </m:nary>
            </m:den>
          </m:f>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Marginal, iBSST, i</m:t>
              </m:r>
            </m:sub>
          </m:sSub>
        </m:oMath>
      </m:oMathPara>
    </w:p>
    <w:p w14:paraId="063E28F9" w14:textId="77777777" w:rsidR="00D8645B" w:rsidRDefault="00D8645B" w:rsidP="00D8645B">
      <w:pPr>
        <w:spacing w:line="360" w:lineRule="auto"/>
      </w:pPr>
    </w:p>
    <w:p w14:paraId="19B67ED3" w14:textId="77777777" w:rsidR="00D8645B" w:rsidRDefault="00D8645B" w:rsidP="0060309E">
      <w:pPr>
        <w:pStyle w:val="ListParagraph"/>
        <w:numPr>
          <w:ilvl w:val="0"/>
          <w:numId w:val="60"/>
        </w:numPr>
        <w:spacing w:after="160" w:line="360" w:lineRule="auto"/>
      </w:pPr>
      <w:r w:rsidRPr="009F166D">
        <w:rPr>
          <w:u w:val="single"/>
        </w:rPr>
        <w:t>Trading Marginal to Group Scaling</w:t>
      </w:r>
      <w:r w:rsidRPr="009F166D">
        <w:t xml:space="preserve">: </w:t>
      </w:r>
      <w:r>
        <w:t>Scale to the Trading Marginal contribution to the Group ex. Hedge.</w:t>
      </w:r>
    </w:p>
    <w:p w14:paraId="092C1822" w14:textId="77777777" w:rsidR="00D8645B" w:rsidRPr="00446DD9" w:rsidRDefault="00D8645B" w:rsidP="00D8645B">
      <w:pPr>
        <w:spacing w:line="360" w:lineRule="auto"/>
        <w:rPr>
          <w:u w:val="single"/>
        </w:rPr>
      </w:pPr>
    </w:p>
    <w:p w14:paraId="7BA67BA8" w14:textId="77777777" w:rsidR="00D8645B" w:rsidRDefault="00D8645B" w:rsidP="00D8645B">
      <w:pPr>
        <w:pStyle w:val="ListParagraph"/>
        <w:spacing w:line="360" w:lineRule="auto"/>
        <w:ind w:left="360"/>
      </w:pPr>
      <m:oMathPara>
        <m:oMath>
          <m:r>
            <w:rPr>
              <w:rFonts w:ascii="Cambria Math" w:hAnsi="Cambria Math"/>
            </w:rPr>
            <m:t xml:space="preserve">Allocation for non-hedge Desk i= </m:t>
          </m:r>
          <m:f>
            <m:fPr>
              <m:ctrlPr>
                <w:rPr>
                  <w:rFonts w:ascii="Cambria Math" w:hAnsi="Cambria Math"/>
                  <w:i/>
                </w:rPr>
              </m:ctrlPr>
            </m:fPr>
            <m:num>
              <m:r>
                <w:rPr>
                  <w:rFonts w:ascii="Cambria Math" w:hAnsi="Cambria Math"/>
                </w:rPr>
                <m:t>Trading Marginal to Group- Trading Hedges Marginal to Group</m:t>
              </m:r>
            </m:num>
            <m:den>
              <m:r>
                <w:rPr>
                  <w:rFonts w:ascii="Cambria Math" w:hAnsi="Cambria Math"/>
                </w:rPr>
                <m:t>Trading Standalone</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RC</m:t>
                  </m:r>
                </m:e>
                <m:sub>
                  <m:r>
                    <w:rPr>
                      <w:rFonts w:ascii="Cambria Math" w:hAnsi="Cambria Math"/>
                    </w:rPr>
                    <m:t>ALLOCATION, VaR+GSST+cBSST,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ALLOCATION,iBSST, i</m:t>
                  </m:r>
                </m:sub>
              </m:sSub>
            </m:e>
          </m:d>
        </m:oMath>
      </m:oMathPara>
    </w:p>
    <w:p w14:paraId="3CE2DBC9" w14:textId="77777777" w:rsidR="00D8645B" w:rsidRDefault="00D8645B" w:rsidP="00D8645B">
      <w:pPr>
        <w:spacing w:line="360" w:lineRule="auto"/>
      </w:pPr>
    </w:p>
    <w:p w14:paraId="66167C51" w14:textId="77777777" w:rsidR="00D8645B" w:rsidRPr="00446DD9" w:rsidRDefault="00D8645B" w:rsidP="00D8645B">
      <w:pPr>
        <w:spacing w:line="360" w:lineRule="auto"/>
        <w:rPr>
          <w:rFonts w:eastAsiaTheme="minorEastAsia"/>
        </w:rPr>
      </w:pPr>
      <m:oMathPara>
        <m:oMath>
          <m:r>
            <w:rPr>
              <w:rFonts w:ascii="Cambria Math" w:hAnsi="Cambria Math"/>
            </w:rPr>
            <m:t>Allocation for Hedge= Trading Hedges Marginal to Group</m:t>
          </m:r>
        </m:oMath>
      </m:oMathPara>
    </w:p>
    <w:p w14:paraId="07AC2883" w14:textId="77777777" w:rsidR="00D8645B" w:rsidRDefault="00D8645B" w:rsidP="00D8645B">
      <w:r>
        <w:br w:type="page"/>
      </w:r>
    </w:p>
    <w:p w14:paraId="729AF171" w14:textId="77777777" w:rsidR="00D8645B" w:rsidRDefault="00D8645B" w:rsidP="00D8645B">
      <w:pPr>
        <w:spacing w:line="360" w:lineRule="auto"/>
      </w:pPr>
    </w:p>
    <w:p w14:paraId="3D2D83AC" w14:textId="77777777" w:rsidR="00D8645B" w:rsidRPr="0096062D" w:rsidRDefault="00D8645B" w:rsidP="00D8645B">
      <w:pPr>
        <w:spacing w:line="360" w:lineRule="auto"/>
        <w:jc w:val="center"/>
        <w:rPr>
          <w:b/>
          <w:sz w:val="32"/>
          <w:szCs w:val="32"/>
        </w:rPr>
      </w:pPr>
      <w:r w:rsidRPr="0096062D">
        <w:rPr>
          <w:b/>
          <w:sz w:val="32"/>
          <w:szCs w:val="32"/>
        </w:rPr>
        <w:t>Two-Beta Allocation of Trading Capital</w:t>
      </w:r>
    </w:p>
    <w:p w14:paraId="16212EA2" w14:textId="77777777" w:rsidR="00D8645B" w:rsidRDefault="00D8645B" w:rsidP="00D8645B">
      <w:pPr>
        <w:spacing w:line="360" w:lineRule="auto"/>
      </w:pPr>
    </w:p>
    <w:p w14:paraId="1206CBD4" w14:textId="77777777" w:rsidR="00D8645B" w:rsidRDefault="00D8645B" w:rsidP="00D8645B">
      <w:pPr>
        <w:spacing w:line="360" w:lineRule="auto"/>
      </w:pPr>
    </w:p>
    <w:p w14:paraId="29C648BA" w14:textId="77777777" w:rsidR="00D8645B" w:rsidRPr="0096062D" w:rsidRDefault="00D8645B" w:rsidP="00D8645B">
      <w:pPr>
        <w:spacing w:line="360" w:lineRule="auto"/>
        <w:rPr>
          <w:b/>
          <w:sz w:val="28"/>
          <w:szCs w:val="28"/>
        </w:rPr>
      </w:pPr>
      <w:r w:rsidRPr="0096062D">
        <w:rPr>
          <w:b/>
          <w:sz w:val="28"/>
          <w:szCs w:val="28"/>
        </w:rPr>
        <w:t>Executive Summary</w:t>
      </w:r>
    </w:p>
    <w:p w14:paraId="36E0D0B4" w14:textId="77777777" w:rsidR="00D8645B" w:rsidRDefault="00D8645B" w:rsidP="00D8645B">
      <w:pPr>
        <w:spacing w:line="360" w:lineRule="auto"/>
      </w:pPr>
    </w:p>
    <w:p w14:paraId="69B347A7" w14:textId="58A798E4" w:rsidR="00D8645B" w:rsidRDefault="00D8645B" w:rsidP="0060309E">
      <w:pPr>
        <w:pStyle w:val="ListParagraph"/>
        <w:numPr>
          <w:ilvl w:val="0"/>
          <w:numId w:val="61"/>
        </w:numPr>
        <w:spacing w:after="160" w:line="360" w:lineRule="auto"/>
      </w:pPr>
      <w:r w:rsidRPr="0096062D">
        <w:rPr>
          <w:u w:val="single"/>
        </w:rPr>
        <w:t>Two-Beta Capital Allocation – Definition</w:t>
      </w:r>
      <w:r w:rsidRPr="0096062D">
        <w:t>: The new two-beta capital allocation intends to enhance the current approach in order to better reflect the long</w:t>
      </w:r>
      <w:r w:rsidR="00821A81">
        <w:t>-</w:t>
      </w:r>
      <w:r w:rsidRPr="0096062D">
        <w:t>term business strategy, and recognize revenue contributions from Trading Book businesses with different risk exposures and liquidity profiles.</w:t>
      </w:r>
    </w:p>
    <w:p w14:paraId="1DD0CFB3" w14:textId="77777777" w:rsidR="00D8645B" w:rsidRDefault="00D8645B" w:rsidP="0060309E">
      <w:pPr>
        <w:pStyle w:val="ListParagraph"/>
        <w:numPr>
          <w:ilvl w:val="0"/>
          <w:numId w:val="61"/>
        </w:numPr>
        <w:spacing w:after="160" w:line="360" w:lineRule="auto"/>
      </w:pPr>
      <w:r>
        <w:rPr>
          <w:u w:val="single"/>
        </w:rPr>
        <w:t>Stakeholders of the Allocation Scheme</w:t>
      </w:r>
      <w:r w:rsidRPr="0096062D">
        <w:t>:</w:t>
      </w:r>
      <w:r>
        <w:t xml:space="preserve"> Typically, these schemes have been developed by Market Risk Management, Risk Capital Groups, and Finance. Trading Book Risk Management often adopts a different approach with Capital Optimization in mind, which leads to a working group of members from Corporate Finance and Trading Capital Optimization.</w:t>
      </w:r>
    </w:p>
    <w:p w14:paraId="6EBCCD6E" w14:textId="77777777" w:rsidR="00D8645B" w:rsidRDefault="00D8645B" w:rsidP="00D8645B">
      <w:pPr>
        <w:spacing w:line="360" w:lineRule="auto"/>
      </w:pPr>
    </w:p>
    <w:p w14:paraId="5C21F922" w14:textId="77777777" w:rsidR="00D8645B" w:rsidRDefault="00D8645B" w:rsidP="00D8645B">
      <w:pPr>
        <w:spacing w:line="360" w:lineRule="auto"/>
      </w:pPr>
    </w:p>
    <w:p w14:paraId="1E5F7714" w14:textId="77777777" w:rsidR="00D8645B" w:rsidRPr="00A7600B" w:rsidRDefault="00D8645B" w:rsidP="00D8645B">
      <w:pPr>
        <w:spacing w:line="360" w:lineRule="auto"/>
        <w:rPr>
          <w:b/>
          <w:sz w:val="28"/>
          <w:szCs w:val="28"/>
        </w:rPr>
      </w:pPr>
      <w:r w:rsidRPr="00A7600B">
        <w:rPr>
          <w:b/>
          <w:sz w:val="28"/>
          <w:szCs w:val="28"/>
        </w:rPr>
        <w:t>Summary of Capital Allocation Approaches</w:t>
      </w:r>
    </w:p>
    <w:p w14:paraId="4F67F90E" w14:textId="77777777" w:rsidR="00D8645B" w:rsidRDefault="00D8645B" w:rsidP="00D8645B">
      <w:pPr>
        <w:spacing w:line="360" w:lineRule="auto"/>
      </w:pPr>
    </w:p>
    <w:p w14:paraId="62CA702A" w14:textId="77777777" w:rsidR="00D8645B" w:rsidRDefault="00D8645B" w:rsidP="0060309E">
      <w:pPr>
        <w:pStyle w:val="ListParagraph"/>
        <w:numPr>
          <w:ilvl w:val="0"/>
          <w:numId w:val="62"/>
        </w:numPr>
        <w:spacing w:after="160" w:line="360" w:lineRule="auto"/>
      </w:pPr>
      <w:r w:rsidRPr="00A7600B">
        <w:rPr>
          <w:u w:val="single"/>
        </w:rPr>
        <w:t>Simple Pro-rata Allocation Scheme</w:t>
      </w:r>
      <w:r w:rsidRPr="00A7600B">
        <w:t xml:space="preserve">: The simple pro-rata scheme provides uniform diversification benefits allocated across businesses. The diversified RC is equal to the standalone RC multiplied by </w:t>
      </w:r>
      <w:r w:rsidRPr="00A7600B">
        <w:rPr>
          <w:i/>
        </w:rPr>
        <w:t>one floating factor</w:t>
      </w:r>
      <w:r w:rsidRPr="00A7600B">
        <w:t xml:space="preserve"> for all businesses.</w:t>
      </w:r>
    </w:p>
    <w:p w14:paraId="0B3DF28C" w14:textId="77777777" w:rsidR="00D8645B" w:rsidRDefault="00D8645B" w:rsidP="0060309E">
      <w:pPr>
        <w:pStyle w:val="ListParagraph"/>
        <w:numPr>
          <w:ilvl w:val="0"/>
          <w:numId w:val="62"/>
        </w:numPr>
        <w:spacing w:after="160" w:line="360" w:lineRule="auto"/>
      </w:pPr>
      <w:r>
        <w:rPr>
          <w:u w:val="single"/>
        </w:rPr>
        <w:t>Issues with the above Allocation Scheme</w:t>
      </w:r>
      <w:r w:rsidRPr="00A7600B">
        <w:t>:</w:t>
      </w:r>
      <w:r>
        <w:t xml:space="preserve"> The scheme does not take into account the different levels of correlation and systemic risk in each business. Thus, businesses that are relatively well diversified are not rewarded, and businesses have little incentive to not add to existing BHC risk concentrations.</w:t>
      </w:r>
    </w:p>
    <w:p w14:paraId="628E9EED" w14:textId="77777777" w:rsidR="00D8645B" w:rsidRDefault="00D8645B" w:rsidP="0060309E">
      <w:pPr>
        <w:pStyle w:val="ListParagraph"/>
        <w:numPr>
          <w:ilvl w:val="0"/>
          <w:numId w:val="62"/>
        </w:numPr>
        <w:spacing w:after="160" w:line="360" w:lineRule="auto"/>
      </w:pPr>
      <w:r>
        <w:rPr>
          <w:u w:val="single"/>
        </w:rPr>
        <w:t>3-Beta with fixed High-Beta Allocation Scheme</w:t>
      </w:r>
      <w:r w:rsidRPr="00A7600B">
        <w:t>:</w:t>
      </w:r>
      <w:r>
        <w:t xml:space="preserve"> This provides uniform diversification benefits allocated within the bets group, but differentiated by group. The diversified RC is equal to the standalone RC multiplied by 3 different factors for:</w:t>
      </w:r>
    </w:p>
    <w:p w14:paraId="1473E189" w14:textId="77777777" w:rsidR="00D8645B" w:rsidRDefault="00D8645B" w:rsidP="0060309E">
      <w:pPr>
        <w:pStyle w:val="ListParagraph"/>
        <w:numPr>
          <w:ilvl w:val="1"/>
          <w:numId w:val="62"/>
        </w:numPr>
        <w:spacing w:after="160" w:line="360" w:lineRule="auto"/>
      </w:pPr>
      <w:r>
        <w:lastRenderedPageBreak/>
        <w:t>80% fixed for high-beta.</w:t>
      </w:r>
    </w:p>
    <w:p w14:paraId="3CA00CC7" w14:textId="77777777" w:rsidR="00D8645B" w:rsidRDefault="00D8645B" w:rsidP="0060309E">
      <w:pPr>
        <w:pStyle w:val="ListParagraph"/>
        <w:numPr>
          <w:ilvl w:val="1"/>
          <w:numId w:val="62"/>
        </w:numPr>
        <w:spacing w:after="160" w:line="360" w:lineRule="auto"/>
      </w:pPr>
      <w:r>
        <w:t>Weighted floating factors for medium and low (2 to 1).</w:t>
      </w:r>
    </w:p>
    <w:p w14:paraId="6316F71F" w14:textId="77777777" w:rsidR="00D8645B" w:rsidRDefault="00D8645B" w:rsidP="0060309E">
      <w:pPr>
        <w:pStyle w:val="ListParagraph"/>
        <w:numPr>
          <w:ilvl w:val="0"/>
          <w:numId w:val="62"/>
        </w:numPr>
        <w:spacing w:after="160" w:line="360" w:lineRule="auto"/>
      </w:pPr>
      <w:r w:rsidRPr="00A7600B">
        <w:rPr>
          <w:u w:val="single"/>
        </w:rPr>
        <w:t>Issues with the Allocation Scheme</w:t>
      </w:r>
      <w:r>
        <w:t>:</w:t>
      </w:r>
    </w:p>
    <w:p w14:paraId="03134F62" w14:textId="77777777" w:rsidR="00D8645B" w:rsidRDefault="00D8645B" w:rsidP="0060309E">
      <w:pPr>
        <w:pStyle w:val="ListParagraph"/>
        <w:numPr>
          <w:ilvl w:val="1"/>
          <w:numId w:val="62"/>
        </w:numPr>
        <w:spacing w:after="160" w:line="360" w:lineRule="auto"/>
      </w:pPr>
      <w:r>
        <w:t>Variation and fluctuation levered for low and medium, with fixed for the high somewhat contributed by full revaluation – see the example below.</w:t>
      </w:r>
    </w:p>
    <w:p w14:paraId="16D92464" w14:textId="77777777" w:rsidR="00D8645B" w:rsidRDefault="00D8645B" w:rsidP="0060309E">
      <w:pPr>
        <w:pStyle w:val="ListParagraph"/>
        <w:numPr>
          <w:ilvl w:val="1"/>
          <w:numId w:val="62"/>
        </w:numPr>
        <w:spacing w:after="160" w:line="360" w:lineRule="auto"/>
      </w:pPr>
      <w:r>
        <w:t>Capital allocation to the low and the medium businesses can be negative or above 100% on the business level – the allocation is done on a sub-business level.</w:t>
      </w:r>
    </w:p>
    <w:p w14:paraId="2355D63E" w14:textId="77777777" w:rsidR="00D8645B" w:rsidRDefault="00D8645B" w:rsidP="0060309E">
      <w:pPr>
        <w:pStyle w:val="ListParagraph"/>
        <w:numPr>
          <w:ilvl w:val="0"/>
          <w:numId w:val="62"/>
        </w:numPr>
        <w:spacing w:after="160" w:line="360" w:lineRule="auto"/>
      </w:pPr>
      <w:r w:rsidRPr="0080089C">
        <w:rPr>
          <w:u w:val="single"/>
        </w:rPr>
        <w:t>Contributory Marginal Allocation Scheme</w:t>
      </w:r>
      <w:r>
        <w:t>:</w:t>
      </w:r>
    </w:p>
    <w:p w14:paraId="2F08BEB3" w14:textId="77777777" w:rsidR="00D8645B" w:rsidRDefault="00D8645B" w:rsidP="0060309E">
      <w:pPr>
        <w:pStyle w:val="ListParagraph"/>
        <w:numPr>
          <w:ilvl w:val="1"/>
          <w:numId w:val="62"/>
        </w:numPr>
        <w:spacing w:after="160" w:line="360" w:lineRule="auto"/>
      </w:pPr>
      <w:r>
        <w:t>Here, the diversification benefits are allocated purely by correlation.</w:t>
      </w:r>
    </w:p>
    <w:p w14:paraId="7D889903" w14:textId="77777777" w:rsidR="00D8645B" w:rsidRDefault="00D8645B" w:rsidP="0060309E">
      <w:pPr>
        <w:pStyle w:val="ListParagraph"/>
        <w:numPr>
          <w:ilvl w:val="1"/>
          <w:numId w:val="62"/>
        </w:numPr>
        <w:spacing w:after="160" w:line="360" w:lineRule="auto"/>
      </w:pPr>
      <w:r>
        <w:t>The diversified RC is equal to the standalone RC multiplied by the floating factors calibrated from period to period, and varied by business.</w:t>
      </w:r>
    </w:p>
    <w:p w14:paraId="7C630CEF" w14:textId="77777777" w:rsidR="00D8645B" w:rsidRDefault="00D8645B" w:rsidP="0060309E">
      <w:pPr>
        <w:pStyle w:val="ListParagraph"/>
        <w:numPr>
          <w:ilvl w:val="0"/>
          <w:numId w:val="62"/>
        </w:numPr>
        <w:spacing w:after="160" w:line="360" w:lineRule="auto"/>
      </w:pPr>
      <w:r w:rsidRPr="0080089C">
        <w:rPr>
          <w:u w:val="single"/>
        </w:rPr>
        <w:t>Issues with the Allocation Scheme</w:t>
      </w:r>
      <w:r>
        <w:t>:</w:t>
      </w:r>
    </w:p>
    <w:p w14:paraId="7EF42EF9" w14:textId="77777777" w:rsidR="00D8645B" w:rsidRDefault="00D8645B" w:rsidP="0060309E">
      <w:pPr>
        <w:pStyle w:val="ListParagraph"/>
        <w:numPr>
          <w:ilvl w:val="1"/>
          <w:numId w:val="62"/>
        </w:numPr>
        <w:spacing w:after="160" w:line="360" w:lineRule="auto"/>
      </w:pPr>
      <w:r>
        <w:t>Here, the variation and the fluctuation in the RC are beyond the control of any individual business, and are handled by managing risk exposures.</w:t>
      </w:r>
    </w:p>
    <w:p w14:paraId="78BAF3ED" w14:textId="77777777" w:rsidR="00D8645B" w:rsidRDefault="00D8645B" w:rsidP="0060309E">
      <w:pPr>
        <w:pStyle w:val="ListParagraph"/>
        <w:numPr>
          <w:ilvl w:val="1"/>
          <w:numId w:val="62"/>
        </w:numPr>
        <w:spacing w:after="160" w:line="360" w:lineRule="auto"/>
      </w:pPr>
      <w:r>
        <w:t>This approach can lead to negative diversified RC that is difficult to interpret, and can lead to distorted return incentives.</w:t>
      </w:r>
    </w:p>
    <w:p w14:paraId="372CB379" w14:textId="77777777" w:rsidR="00D8645B" w:rsidRDefault="00D8645B" w:rsidP="0060309E">
      <w:pPr>
        <w:pStyle w:val="ListParagraph"/>
        <w:numPr>
          <w:ilvl w:val="0"/>
          <w:numId w:val="62"/>
        </w:numPr>
        <w:spacing w:after="160" w:line="360" w:lineRule="auto"/>
      </w:pPr>
      <w:r w:rsidRPr="0080061F">
        <w:rPr>
          <w:u w:val="single"/>
        </w:rPr>
        <w:t>Rationale for the New Approach</w:t>
      </w:r>
      <w:r>
        <w:t>: The new approach uses calibrated 2-beta approach or the weighted pro-rata approaches. Details of the description follow.</w:t>
      </w:r>
    </w:p>
    <w:p w14:paraId="48EE03D8" w14:textId="77777777" w:rsidR="00D8645B" w:rsidRDefault="00D8645B" w:rsidP="00D8645B">
      <w:pPr>
        <w:spacing w:line="360" w:lineRule="auto"/>
      </w:pPr>
    </w:p>
    <w:p w14:paraId="6E165BF8" w14:textId="77777777" w:rsidR="00D8645B" w:rsidRDefault="00D8645B" w:rsidP="00D8645B">
      <w:pPr>
        <w:spacing w:line="360" w:lineRule="auto"/>
      </w:pPr>
    </w:p>
    <w:p w14:paraId="6AD32583" w14:textId="77777777" w:rsidR="00D8645B" w:rsidRPr="0080061F" w:rsidRDefault="00D8645B" w:rsidP="00D8645B">
      <w:pPr>
        <w:spacing w:line="360" w:lineRule="auto"/>
        <w:rPr>
          <w:b/>
          <w:sz w:val="28"/>
          <w:szCs w:val="28"/>
        </w:rPr>
      </w:pPr>
      <w:r w:rsidRPr="0080061F">
        <w:rPr>
          <w:b/>
          <w:sz w:val="28"/>
          <w:szCs w:val="28"/>
        </w:rPr>
        <w:t>Enhanced Approach for the Allocation</w:t>
      </w:r>
    </w:p>
    <w:p w14:paraId="41530C80" w14:textId="77777777" w:rsidR="00D8645B" w:rsidRDefault="00D8645B" w:rsidP="00D8645B">
      <w:pPr>
        <w:spacing w:line="360" w:lineRule="auto"/>
      </w:pPr>
    </w:p>
    <w:p w14:paraId="2A13525C" w14:textId="77777777" w:rsidR="00D8645B" w:rsidRDefault="00D8645B" w:rsidP="0060309E">
      <w:pPr>
        <w:pStyle w:val="ListParagraph"/>
        <w:numPr>
          <w:ilvl w:val="0"/>
          <w:numId w:val="63"/>
        </w:numPr>
        <w:spacing w:after="160" w:line="360" w:lineRule="auto"/>
      </w:pPr>
      <w:r w:rsidRPr="0080061F">
        <w:rPr>
          <w:u w:val="single"/>
        </w:rPr>
        <w:t>Two-Beta Factor Allocation Approach</w:t>
      </w:r>
      <w:r w:rsidRPr="0080061F">
        <w:t>:</w:t>
      </w:r>
    </w:p>
    <w:p w14:paraId="424B4E51" w14:textId="77777777" w:rsidR="00D8645B" w:rsidRPr="00225860" w:rsidRDefault="00D8645B" w:rsidP="0060309E">
      <w:pPr>
        <w:pStyle w:val="ListParagraph"/>
        <w:numPr>
          <w:ilvl w:val="1"/>
          <w:numId w:val="63"/>
        </w:numPr>
        <w:spacing w:after="160" w:line="360" w:lineRule="auto"/>
      </w:pPr>
    </w:p>
    <w:p w14:paraId="5E084A6C" w14:textId="77777777" w:rsidR="00D8645B" w:rsidRPr="00225860" w:rsidRDefault="00D8645B" w:rsidP="00D8645B">
      <w:pPr>
        <w:spacing w:line="360" w:lineRule="auto"/>
        <w:rPr>
          <w:rFonts w:eastAsiaTheme="minorEastAsia"/>
        </w:rPr>
      </w:pPr>
    </w:p>
    <w:p w14:paraId="7F1BF8A2" w14:textId="77777777" w:rsidR="00D8645B" w:rsidRPr="00225860" w:rsidRDefault="00D8645B" w:rsidP="00D8645B">
      <w:pPr>
        <w:pStyle w:val="ListParagraph"/>
        <w:spacing w:line="360" w:lineRule="auto"/>
        <w:ind w:left="1080"/>
        <w:rPr>
          <w:rFonts w:eastAsiaTheme="minorEastAsia"/>
        </w:rPr>
      </w:pPr>
      <m:oMathPara>
        <m:oMath>
          <m:r>
            <w:rPr>
              <w:rFonts w:ascii="Cambria Math" w:hAnsi="Cambria Math"/>
            </w:rPr>
            <m:t>Diversified Business RC= β×Standalone RC</m:t>
          </m:r>
        </m:oMath>
      </m:oMathPara>
    </w:p>
    <w:p w14:paraId="6F1E522A" w14:textId="77777777" w:rsidR="00D8645B" w:rsidRPr="00225860" w:rsidRDefault="00D8645B" w:rsidP="00D8645B">
      <w:pPr>
        <w:spacing w:line="360" w:lineRule="auto"/>
      </w:pPr>
    </w:p>
    <w:p w14:paraId="79430413" w14:textId="77777777" w:rsidR="00D8645B" w:rsidRPr="00225860" w:rsidRDefault="00D8645B" w:rsidP="0060309E">
      <w:pPr>
        <w:pStyle w:val="ListParagraph"/>
        <w:numPr>
          <w:ilvl w:val="1"/>
          <w:numId w:val="63"/>
        </w:numPr>
        <w:spacing w:after="160" w:line="360" w:lineRule="auto"/>
      </w:pPr>
    </w:p>
    <w:p w14:paraId="1B003F9F" w14:textId="77777777" w:rsidR="00D8645B" w:rsidRPr="00225860" w:rsidRDefault="00D8645B" w:rsidP="00D8645B">
      <w:pPr>
        <w:spacing w:line="360" w:lineRule="auto"/>
        <w:rPr>
          <w:rFonts w:eastAsiaTheme="minorEastAsia"/>
        </w:rPr>
      </w:pPr>
    </w:p>
    <w:p w14:paraId="73956DD5" w14:textId="77777777" w:rsidR="00D8645B" w:rsidRPr="00225860" w:rsidRDefault="00D8645B" w:rsidP="00D8645B">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×2</m:t>
          </m:r>
        </m:oMath>
      </m:oMathPara>
    </w:p>
    <w:p w14:paraId="46A371A0" w14:textId="77777777" w:rsidR="00D8645B" w:rsidRPr="00225860" w:rsidRDefault="00D8645B" w:rsidP="00D8645B">
      <w:pPr>
        <w:spacing w:line="360" w:lineRule="auto"/>
      </w:pPr>
    </w:p>
    <w:p w14:paraId="074ADAAD" w14:textId="77777777" w:rsidR="00D8645B" w:rsidRPr="0080061F" w:rsidRDefault="00D8645B" w:rsidP="0060309E">
      <w:pPr>
        <w:pStyle w:val="ListParagraph"/>
        <w:numPr>
          <w:ilvl w:val="1"/>
          <w:numId w:val="63"/>
        </w:numPr>
        <w:spacing w:after="160" w:line="360" w:lineRule="auto"/>
      </w:pPr>
      <m:oMath>
        <m:r>
          <w:rPr>
            <w:rFonts w:ascii="Cambria Math" w:hAnsi="Cambria Math"/>
          </w:rPr>
          <m:t>β</m:t>
        </m:r>
      </m:oMath>
      <w:r>
        <w:rPr>
          <w:rFonts w:eastAsiaTheme="minorEastAsia"/>
        </w:rPr>
        <w:t xml:space="preserve">’s </w:t>
      </w:r>
      <w:proofErr w:type="gramStart"/>
      <w:r>
        <w:rPr>
          <w:rFonts w:eastAsiaTheme="minorEastAsia"/>
        </w:rPr>
        <w:t>are</w:t>
      </w:r>
      <w:proofErr w:type="gramEnd"/>
      <w:r>
        <w:rPr>
          <w:rFonts w:eastAsiaTheme="minorEastAsia"/>
        </w:rPr>
        <w:t xml:space="preserve"> calculated so that the sum of the products is equal to the Total Trading VaR Stress Risk Capital</w:t>
      </w:r>
    </w:p>
    <w:p w14:paraId="5DB3C044" w14:textId="77777777" w:rsidR="00D8645B" w:rsidRDefault="00D8645B" w:rsidP="0060309E">
      <w:pPr>
        <w:pStyle w:val="ListParagraph"/>
        <w:numPr>
          <w:ilvl w:val="1"/>
          <w:numId w:val="63"/>
        </w:numPr>
        <w:spacing w:after="160" w:line="360" w:lineRule="auto"/>
      </w:pPr>
      <w:r>
        <w:t>Concentrated and illiquid exposures, i.e., the BSST’s in low beta businesses are adequately accounted for.</w:t>
      </w:r>
    </w:p>
    <w:p w14:paraId="53E3CAFE" w14:textId="77777777" w:rsidR="00D8645B" w:rsidRDefault="00D8645B" w:rsidP="0060309E">
      <w:pPr>
        <w:pStyle w:val="ListParagraph"/>
        <w:numPr>
          <w:ilvl w:val="0"/>
          <w:numId w:val="63"/>
        </w:numPr>
        <w:spacing w:after="160" w:line="360" w:lineRule="auto"/>
      </w:pPr>
      <w:r w:rsidRPr="0080061F">
        <w:rPr>
          <w:u w:val="single"/>
        </w:rPr>
        <w:t>General Principles of the Scheme</w:t>
      </w:r>
      <w:r>
        <w:t>:</w:t>
      </w:r>
    </w:p>
    <w:p w14:paraId="64EF4764" w14:textId="77777777" w:rsidR="00D8645B" w:rsidRDefault="00D8645B" w:rsidP="0060309E">
      <w:pPr>
        <w:pStyle w:val="ListParagraph"/>
        <w:numPr>
          <w:ilvl w:val="1"/>
          <w:numId w:val="63"/>
        </w:numPr>
        <w:spacing w:after="160" w:line="360" w:lineRule="auto"/>
      </w:pPr>
      <w:r>
        <w:t>Capital allocations are done on the sub-business level – e.g. Credit Flow Trading under Capital Markets.</w:t>
      </w:r>
    </w:p>
    <w:p w14:paraId="4A92AE5B" w14:textId="77777777" w:rsidR="00D8645B" w:rsidRDefault="00D8645B" w:rsidP="0060309E">
      <w:pPr>
        <w:pStyle w:val="ListParagraph"/>
        <w:numPr>
          <w:ilvl w:val="1"/>
          <w:numId w:val="63"/>
        </w:numPr>
        <w:spacing w:after="160" w:line="360" w:lineRule="auto"/>
      </w:pPr>
      <w:r>
        <w:t>Diversified RC should be driven primarily by the factors that the business can control and lower, and ne proportional to the standalone risk of the businesses to ensure simple and transparent linkage.</w:t>
      </w:r>
    </w:p>
    <w:p w14:paraId="7837A987" w14:textId="77777777" w:rsidR="00D8645B" w:rsidRDefault="00D8645B" w:rsidP="0060309E">
      <w:pPr>
        <w:pStyle w:val="ListParagraph"/>
        <w:numPr>
          <w:ilvl w:val="1"/>
          <w:numId w:val="63"/>
        </w:numPr>
        <w:spacing w:after="160" w:line="360" w:lineRule="auto"/>
      </w:pPr>
      <w:r>
        <w:t>Barring significant changes in the business and the exposure mixes, diversified RC should be relatively stable over time.</w:t>
      </w:r>
    </w:p>
    <w:p w14:paraId="0A6FA365" w14:textId="77777777" w:rsidR="00D8645B" w:rsidRDefault="00D8645B" w:rsidP="0060309E">
      <w:pPr>
        <w:pStyle w:val="ListParagraph"/>
        <w:numPr>
          <w:ilvl w:val="1"/>
          <w:numId w:val="63"/>
        </w:numPr>
        <w:spacing w:after="160" w:line="360" w:lineRule="auto"/>
      </w:pPr>
      <w:r>
        <w:t>Diversified RC should be positive, with the exception of risk mitigation hedges.</w:t>
      </w:r>
    </w:p>
    <w:p w14:paraId="77DC1D33" w14:textId="77777777" w:rsidR="00D8645B" w:rsidRDefault="00D8645B" w:rsidP="0060309E">
      <w:pPr>
        <w:pStyle w:val="ListParagraph"/>
        <w:numPr>
          <w:ilvl w:val="1"/>
          <w:numId w:val="63"/>
        </w:numPr>
        <w:spacing w:after="160" w:line="360" w:lineRule="auto"/>
      </w:pPr>
      <w:r>
        <w:t>A process should exist to continuously benchmark the allocated RC to a marginal contribution and ensure that any unallocated RC nets to zero over long-term diversification at the Trading Level.</w:t>
      </w:r>
    </w:p>
    <w:p w14:paraId="5259209E" w14:textId="77777777" w:rsidR="00D8645B" w:rsidRDefault="00D8645B" w:rsidP="0060309E">
      <w:pPr>
        <w:pStyle w:val="ListParagraph"/>
        <w:numPr>
          <w:ilvl w:val="1"/>
          <w:numId w:val="63"/>
        </w:numPr>
        <w:spacing w:after="160" w:line="360" w:lineRule="auto"/>
      </w:pPr>
      <w:r>
        <w:t>Businesses are split into two buckets:</w:t>
      </w:r>
    </w:p>
    <w:p w14:paraId="4045273D" w14:textId="77777777" w:rsidR="00D8645B" w:rsidRDefault="00D8645B" w:rsidP="0060309E">
      <w:pPr>
        <w:pStyle w:val="ListParagraph"/>
        <w:numPr>
          <w:ilvl w:val="2"/>
          <w:numId w:val="63"/>
        </w:numPr>
        <w:spacing w:after="160" w:line="360" w:lineRule="auto"/>
      </w:pPr>
      <w:r>
        <w:t>High-beta businesses are characterized by structural credit risk exposures that are difficult to hedge</w:t>
      </w:r>
    </w:p>
    <w:p w14:paraId="37FF20D5" w14:textId="77777777" w:rsidR="00D8645B" w:rsidRDefault="00D8645B" w:rsidP="0060309E">
      <w:pPr>
        <w:pStyle w:val="ListParagraph"/>
        <w:numPr>
          <w:ilvl w:val="2"/>
          <w:numId w:val="63"/>
        </w:numPr>
        <w:spacing w:after="160" w:line="360" w:lineRule="auto"/>
      </w:pPr>
      <w:r>
        <w:t>Low-beta businesses are characterized by credit-risk exposures that are easily hedgeable and by non-credit credit risk factors.</w:t>
      </w:r>
    </w:p>
    <w:p w14:paraId="519B64C5" w14:textId="77777777" w:rsidR="00D8645B" w:rsidRDefault="00D8645B" w:rsidP="00D8645B">
      <w:pPr>
        <w:spacing w:line="360" w:lineRule="auto"/>
      </w:pPr>
    </w:p>
    <w:p w14:paraId="5175A7CA" w14:textId="77777777" w:rsidR="00D8645B" w:rsidRDefault="00D8645B" w:rsidP="00D8645B">
      <w:pPr>
        <w:spacing w:line="360" w:lineRule="auto"/>
      </w:pPr>
    </w:p>
    <w:p w14:paraId="29B2E280" w14:textId="77777777" w:rsidR="00D8645B" w:rsidRPr="00225860" w:rsidRDefault="00D8645B" w:rsidP="00D8645B">
      <w:pPr>
        <w:spacing w:line="360" w:lineRule="auto"/>
        <w:rPr>
          <w:b/>
          <w:sz w:val="28"/>
          <w:szCs w:val="28"/>
        </w:rPr>
      </w:pPr>
      <w:r w:rsidRPr="00225860">
        <w:rPr>
          <w:b/>
          <w:sz w:val="28"/>
          <w:szCs w:val="28"/>
        </w:rPr>
        <w:t>Incorporating BSST’s</w:t>
      </w:r>
    </w:p>
    <w:p w14:paraId="4EA8147A" w14:textId="77777777" w:rsidR="00D8645B" w:rsidRDefault="00D8645B" w:rsidP="00D8645B">
      <w:pPr>
        <w:spacing w:line="360" w:lineRule="auto"/>
      </w:pPr>
    </w:p>
    <w:p w14:paraId="21266D34" w14:textId="77777777" w:rsidR="00D8645B" w:rsidRDefault="00D8645B" w:rsidP="0060309E">
      <w:pPr>
        <w:pStyle w:val="ListParagraph"/>
        <w:numPr>
          <w:ilvl w:val="0"/>
          <w:numId w:val="64"/>
        </w:numPr>
        <w:spacing w:after="160" w:line="360" w:lineRule="auto"/>
      </w:pPr>
      <w:r w:rsidRPr="00225860">
        <w:rPr>
          <w:u w:val="single"/>
        </w:rPr>
        <w:t>Handling the Illiquid BSST Risk</w:t>
      </w:r>
      <w:r w:rsidRPr="00225860">
        <w:t>: To cover the illiquid risk presented by the BSSTs, especially those in the low-beta businesses, allocation to BSST is done separately, as shown below.</w:t>
      </w:r>
    </w:p>
    <w:p w14:paraId="5A383869" w14:textId="77777777" w:rsidR="00D8645B" w:rsidRDefault="00D8645B" w:rsidP="0060309E">
      <w:pPr>
        <w:pStyle w:val="ListParagraph"/>
        <w:numPr>
          <w:ilvl w:val="0"/>
          <w:numId w:val="64"/>
        </w:numPr>
        <w:spacing w:after="160" w:line="360" w:lineRule="auto"/>
      </w:pPr>
      <w:r>
        <w:rPr>
          <w:u w:val="single"/>
        </w:rPr>
        <w:lastRenderedPageBreak/>
        <w:t>Liquidity Impact on the Turnover</w:t>
      </w:r>
      <w:r w:rsidRPr="003A74BC">
        <w:t>:</w:t>
      </w:r>
      <w:r>
        <w:t xml:space="preserve"> Although test runs show low impact from the BSST, the step is necessary to handle the cases where certain risks show low turn-over in the quarterly Volcker RENTD review.</w:t>
      </w:r>
    </w:p>
    <w:p w14:paraId="39D8E9CA" w14:textId="77777777" w:rsidR="00D8645B" w:rsidRDefault="00D8645B" w:rsidP="0060309E">
      <w:pPr>
        <w:pStyle w:val="ListParagraph"/>
        <w:numPr>
          <w:ilvl w:val="0"/>
          <w:numId w:val="64"/>
        </w:numPr>
        <w:spacing w:after="160" w:line="360" w:lineRule="auto"/>
      </w:pPr>
      <w:r>
        <w:rPr>
          <w:u w:val="single"/>
        </w:rPr>
        <w:t>Step 1 - Separating iBSST out of VaR-Stress</w:t>
      </w:r>
      <w:r w:rsidRPr="003A74BC">
        <w:t>:</w:t>
      </w:r>
      <w:r>
        <w:t xml:space="preserve"> The global trading VaR-stress – technically the trading VaR-stress contribution to the group, excluding selected businesses, are split into two parts – the contributory iBSST, and the contributory GSST/VaR + cBSST.</w:t>
      </w:r>
    </w:p>
    <w:p w14:paraId="518DB576" w14:textId="77777777" w:rsidR="00D8645B" w:rsidRDefault="00D8645B" w:rsidP="0060309E">
      <w:pPr>
        <w:pStyle w:val="ListParagraph"/>
        <w:numPr>
          <w:ilvl w:val="0"/>
          <w:numId w:val="64"/>
        </w:numPr>
        <w:spacing w:after="160" w:line="360" w:lineRule="auto"/>
      </w:pPr>
      <w:r>
        <w:rPr>
          <w:u w:val="single"/>
        </w:rPr>
        <w:t>Step 2 - Use of Worst iBSST Outcome</w:t>
      </w:r>
      <w:r w:rsidRPr="00305038">
        <w:t>:</w:t>
      </w:r>
      <w:r>
        <w:t xml:space="preserve"> Allocate contributory iBSST to business by worst iBSST amounts.</w:t>
      </w:r>
    </w:p>
    <w:p w14:paraId="447749DB" w14:textId="77777777" w:rsidR="00D8645B" w:rsidRDefault="00D8645B" w:rsidP="0060309E">
      <w:pPr>
        <w:pStyle w:val="ListParagraph"/>
        <w:numPr>
          <w:ilvl w:val="0"/>
          <w:numId w:val="64"/>
        </w:numPr>
        <w:spacing w:after="160" w:line="360" w:lineRule="auto"/>
      </w:pPr>
      <w:r w:rsidRPr="00305038">
        <w:rPr>
          <w:u w:val="single"/>
        </w:rPr>
        <w:t>Step 3 - Differential Allocation of Stress Capital</w:t>
      </w:r>
      <w:r>
        <w:t>: Allocate contributory GSST/VaR and cBSST by their contributions to the business level standalone, assign high-beta to illiquid businesses and all cBSST, low-beta to liquid businesses excluding cBSST.</w:t>
      </w:r>
    </w:p>
    <w:p w14:paraId="2F59362B" w14:textId="77777777" w:rsidR="00D8645B" w:rsidRDefault="00D8645B" w:rsidP="0060309E">
      <w:pPr>
        <w:pStyle w:val="ListParagraph"/>
        <w:numPr>
          <w:ilvl w:val="0"/>
          <w:numId w:val="64"/>
        </w:numPr>
        <w:spacing w:after="160" w:line="360" w:lineRule="auto"/>
      </w:pPr>
      <w:r>
        <w:rPr>
          <w:u w:val="single"/>
        </w:rPr>
        <w:t>Migration of cBSST to GSST</w:t>
      </w:r>
      <w:r w:rsidRPr="00305038">
        <w:t>:</w:t>
      </w:r>
      <w:r>
        <w:t xml:space="preserve"> Historically, the cBSST’s get migrated to GSST when the latter improves coverage on the granular levels. A potential issue arises when that happens with a low-beta business. Unless VaR-stress is enhanced to cover lower and more flexible business hierarchy, these BSST’s cannot migrate.</w:t>
      </w:r>
    </w:p>
    <w:p w14:paraId="0C7FE0C6" w14:textId="77777777" w:rsidR="00D8645B" w:rsidRDefault="00D8645B" w:rsidP="00D8645B">
      <w:pPr>
        <w:spacing w:line="360" w:lineRule="auto"/>
      </w:pPr>
    </w:p>
    <w:p w14:paraId="20DEB48B" w14:textId="77777777" w:rsidR="00D8645B" w:rsidRDefault="00D8645B" w:rsidP="00D8645B">
      <w:pPr>
        <w:spacing w:line="360" w:lineRule="auto"/>
      </w:pPr>
    </w:p>
    <w:p w14:paraId="1AC0FD35" w14:textId="77777777" w:rsidR="00D8645B" w:rsidRPr="001A2068" w:rsidRDefault="00D8645B" w:rsidP="00D8645B">
      <w:pPr>
        <w:spacing w:line="360" w:lineRule="auto"/>
        <w:rPr>
          <w:b/>
          <w:sz w:val="28"/>
          <w:szCs w:val="28"/>
        </w:rPr>
      </w:pPr>
      <w:r w:rsidRPr="001A2068">
        <w:rPr>
          <w:b/>
          <w:sz w:val="28"/>
          <w:szCs w:val="28"/>
        </w:rPr>
        <w:t>Old vs New Capital Allocations</w:t>
      </w:r>
    </w:p>
    <w:p w14:paraId="78BEA361" w14:textId="77777777" w:rsidR="00D8645B" w:rsidRDefault="00D8645B" w:rsidP="00D8645B">
      <w:pPr>
        <w:spacing w:line="360" w:lineRule="auto"/>
      </w:pPr>
    </w:p>
    <w:p w14:paraId="448ECB3B" w14:textId="77777777" w:rsidR="00D8645B" w:rsidRPr="001A2068" w:rsidRDefault="00D8645B" w:rsidP="0060309E">
      <w:pPr>
        <w:pStyle w:val="ListParagraph"/>
        <w:numPr>
          <w:ilvl w:val="0"/>
          <w:numId w:val="65"/>
        </w:numPr>
        <w:spacing w:after="160" w:line="360" w:lineRule="auto"/>
      </w:pPr>
      <w:r w:rsidRPr="001A2068">
        <w:rPr>
          <w:u w:val="single"/>
        </w:rPr>
        <w:t>Elimination of Negative Beta Adjustments</w:t>
      </w:r>
      <w:r w:rsidRPr="001A2068">
        <w:t>: As shown below, the medium and the low betas were negative, which is unacceptable. The new approach fixes this problem.</w:t>
      </w:r>
    </w:p>
    <w:tbl>
      <w:tblPr>
        <w:tblStyle w:val="TableGrid"/>
        <w:tblW w:w="0" w:type="auto"/>
        <w:tblInd w:w="-815" w:type="dxa"/>
        <w:tblLook w:val="04A0" w:firstRow="1" w:lastRow="0" w:firstColumn="1" w:lastColumn="0" w:noHBand="0" w:noVBand="1"/>
      </w:tblPr>
      <w:tblGrid>
        <w:gridCol w:w="1980"/>
        <w:gridCol w:w="1364"/>
        <w:gridCol w:w="1563"/>
        <w:gridCol w:w="975"/>
        <w:gridCol w:w="969"/>
        <w:gridCol w:w="1364"/>
        <w:gridCol w:w="975"/>
        <w:gridCol w:w="975"/>
      </w:tblGrid>
      <w:tr w:rsidR="00D8645B" w14:paraId="70B04E1B" w14:textId="77777777" w:rsidTr="00664D46">
        <w:tc>
          <w:tcPr>
            <w:tcW w:w="1980" w:type="dxa"/>
            <w:vAlign w:val="center"/>
          </w:tcPr>
          <w:p w14:paraId="35176E2D" w14:textId="77777777" w:rsidR="00D8645B" w:rsidRPr="00261AD3" w:rsidRDefault="00D8645B" w:rsidP="00664D46">
            <w:pPr>
              <w:spacing w:line="360" w:lineRule="auto"/>
              <w:jc w:val="center"/>
              <w:rPr>
                <w:b/>
              </w:rPr>
            </w:pPr>
            <w:r>
              <w:rPr>
                <w:b/>
              </w:rPr>
              <w:t>All Numbers in $MM</w:t>
            </w:r>
          </w:p>
        </w:tc>
        <w:tc>
          <w:tcPr>
            <w:tcW w:w="1364" w:type="dxa"/>
            <w:vAlign w:val="center"/>
          </w:tcPr>
          <w:p w14:paraId="5EEA82B9" w14:textId="77777777" w:rsidR="00D8645B" w:rsidRPr="00261AD3" w:rsidRDefault="00D8645B" w:rsidP="00664D46">
            <w:pPr>
              <w:spacing w:line="360" w:lineRule="auto"/>
              <w:jc w:val="center"/>
              <w:rPr>
                <w:b/>
              </w:rPr>
            </w:pPr>
            <w:r>
              <w:rPr>
                <w:b/>
              </w:rPr>
              <w:t>Standalone</w:t>
            </w:r>
          </w:p>
        </w:tc>
        <w:tc>
          <w:tcPr>
            <w:tcW w:w="1563" w:type="dxa"/>
            <w:vAlign w:val="center"/>
          </w:tcPr>
          <w:p w14:paraId="65A5CCE5" w14:textId="77777777" w:rsidR="00D8645B" w:rsidRPr="00261AD3" w:rsidRDefault="00D8645B" w:rsidP="00664D46">
            <w:pPr>
              <w:spacing w:line="360" w:lineRule="auto"/>
              <w:jc w:val="center"/>
              <w:rPr>
                <w:b/>
              </w:rPr>
            </w:pPr>
            <w:r>
              <w:rPr>
                <w:b/>
              </w:rPr>
              <w:t>Marginal Contribution</w:t>
            </w:r>
          </w:p>
        </w:tc>
        <w:tc>
          <w:tcPr>
            <w:tcW w:w="975" w:type="dxa"/>
            <w:vAlign w:val="center"/>
          </w:tcPr>
          <w:p w14:paraId="24B2574B" w14:textId="77777777" w:rsidR="00D8645B" w:rsidRPr="00261AD3" w:rsidRDefault="00D8645B" w:rsidP="00664D46">
            <w:pPr>
              <w:spacing w:line="360" w:lineRule="auto"/>
              <w:jc w:val="center"/>
              <w:rPr>
                <w:b/>
              </w:rPr>
            </w:pPr>
            <w:r>
              <w:rPr>
                <w:b/>
              </w:rPr>
              <w:t>Old 3-Beta</w:t>
            </w:r>
          </w:p>
        </w:tc>
        <w:tc>
          <w:tcPr>
            <w:tcW w:w="969" w:type="dxa"/>
            <w:vAlign w:val="center"/>
          </w:tcPr>
          <w:p w14:paraId="68CB9383" w14:textId="77777777" w:rsidR="00D8645B" w:rsidRPr="00261AD3" w:rsidRDefault="00D8645B" w:rsidP="00664D46">
            <w:pPr>
              <w:spacing w:line="360" w:lineRule="auto"/>
              <w:jc w:val="center"/>
              <w:rPr>
                <w:b/>
              </w:rPr>
            </w:pPr>
            <w:r>
              <w:rPr>
                <w:b/>
              </w:rPr>
              <w:t>New 2-beta</w:t>
            </w:r>
          </w:p>
        </w:tc>
        <w:tc>
          <w:tcPr>
            <w:tcW w:w="1364" w:type="dxa"/>
            <w:vAlign w:val="center"/>
          </w:tcPr>
          <w:p w14:paraId="64E6FC6D" w14:textId="77777777" w:rsidR="00D8645B" w:rsidRPr="00261AD3" w:rsidRDefault="00D8645B" w:rsidP="00664D46">
            <w:pPr>
              <w:spacing w:line="360" w:lineRule="auto"/>
              <w:jc w:val="center"/>
              <w:rPr>
                <w:b/>
              </w:rPr>
            </w:pPr>
            <w:r>
              <w:rPr>
                <w:b/>
              </w:rPr>
              <w:t>Marginal / Standalone %</w:t>
            </w:r>
          </w:p>
        </w:tc>
        <w:tc>
          <w:tcPr>
            <w:tcW w:w="975" w:type="dxa"/>
            <w:vAlign w:val="center"/>
          </w:tcPr>
          <w:p w14:paraId="0C6EDAC3" w14:textId="77777777" w:rsidR="00D8645B" w:rsidRPr="00261AD3" w:rsidRDefault="00D8645B" w:rsidP="00664D46">
            <w:pPr>
              <w:spacing w:line="360" w:lineRule="auto"/>
              <w:jc w:val="center"/>
              <w:rPr>
                <w:b/>
              </w:rPr>
            </w:pPr>
            <w:r>
              <w:rPr>
                <w:b/>
              </w:rPr>
              <w:t>3 Beta %</w:t>
            </w:r>
          </w:p>
        </w:tc>
        <w:tc>
          <w:tcPr>
            <w:tcW w:w="975" w:type="dxa"/>
            <w:vAlign w:val="center"/>
          </w:tcPr>
          <w:p w14:paraId="13CB134E" w14:textId="77777777" w:rsidR="00D8645B" w:rsidRPr="00261AD3" w:rsidRDefault="00D8645B" w:rsidP="00664D46">
            <w:pPr>
              <w:spacing w:line="360" w:lineRule="auto"/>
              <w:jc w:val="center"/>
              <w:rPr>
                <w:b/>
              </w:rPr>
            </w:pPr>
            <w:r>
              <w:rPr>
                <w:b/>
              </w:rPr>
              <w:t>2 Beta %</w:t>
            </w:r>
          </w:p>
        </w:tc>
      </w:tr>
      <w:tr w:rsidR="00D8645B" w14:paraId="4374DB01" w14:textId="77777777" w:rsidTr="00664D46">
        <w:tc>
          <w:tcPr>
            <w:tcW w:w="1980" w:type="dxa"/>
            <w:vAlign w:val="center"/>
          </w:tcPr>
          <w:p w14:paraId="36B1598B" w14:textId="77777777" w:rsidR="00D8645B" w:rsidRDefault="00D8645B" w:rsidP="00664D46">
            <w:pPr>
              <w:spacing w:line="360" w:lineRule="auto"/>
              <w:jc w:val="center"/>
            </w:pPr>
            <w:r>
              <w:t>Commodities</w:t>
            </w:r>
          </w:p>
        </w:tc>
        <w:tc>
          <w:tcPr>
            <w:tcW w:w="1364" w:type="dxa"/>
            <w:vAlign w:val="center"/>
          </w:tcPr>
          <w:p w14:paraId="4CC50D86" w14:textId="77777777" w:rsidR="00D8645B" w:rsidRDefault="00D8645B" w:rsidP="00664D46">
            <w:pPr>
              <w:spacing w:line="360" w:lineRule="auto"/>
              <w:jc w:val="center"/>
            </w:pPr>
            <w:r>
              <w:t>458</w:t>
            </w:r>
          </w:p>
        </w:tc>
        <w:tc>
          <w:tcPr>
            <w:tcW w:w="1563" w:type="dxa"/>
            <w:vAlign w:val="center"/>
          </w:tcPr>
          <w:p w14:paraId="3EA4BA53" w14:textId="77777777" w:rsidR="00D8645B" w:rsidRDefault="00D8645B" w:rsidP="00664D46">
            <w:pPr>
              <w:spacing w:line="360" w:lineRule="auto"/>
              <w:jc w:val="center"/>
            </w:pPr>
            <w:r>
              <w:t>(304)</w:t>
            </w:r>
          </w:p>
        </w:tc>
        <w:tc>
          <w:tcPr>
            <w:tcW w:w="975" w:type="dxa"/>
            <w:vAlign w:val="center"/>
          </w:tcPr>
          <w:p w14:paraId="508CEA87" w14:textId="77777777" w:rsidR="00D8645B" w:rsidRDefault="00D8645B" w:rsidP="00664D46">
            <w:pPr>
              <w:spacing w:line="360" w:lineRule="auto"/>
              <w:jc w:val="center"/>
            </w:pPr>
            <w:r>
              <w:t>(12)</w:t>
            </w:r>
          </w:p>
        </w:tc>
        <w:tc>
          <w:tcPr>
            <w:tcW w:w="969" w:type="dxa"/>
            <w:vAlign w:val="center"/>
          </w:tcPr>
          <w:p w14:paraId="490E17DB" w14:textId="77777777" w:rsidR="00D8645B" w:rsidRDefault="00D8645B" w:rsidP="00664D46">
            <w:pPr>
              <w:spacing w:line="360" w:lineRule="auto"/>
              <w:jc w:val="center"/>
            </w:pPr>
            <w:r>
              <w:t>95</w:t>
            </w:r>
          </w:p>
        </w:tc>
        <w:tc>
          <w:tcPr>
            <w:tcW w:w="1364" w:type="dxa"/>
            <w:vAlign w:val="center"/>
          </w:tcPr>
          <w:p w14:paraId="3CB60C18" w14:textId="77777777" w:rsidR="00D8645B" w:rsidRDefault="00D8645B" w:rsidP="00664D46">
            <w:pPr>
              <w:spacing w:line="360" w:lineRule="auto"/>
              <w:jc w:val="center"/>
            </w:pPr>
            <w:r>
              <w:t>-66</w:t>
            </w:r>
          </w:p>
        </w:tc>
        <w:tc>
          <w:tcPr>
            <w:tcW w:w="975" w:type="dxa"/>
            <w:vAlign w:val="center"/>
          </w:tcPr>
          <w:p w14:paraId="2EFABEE6" w14:textId="77777777" w:rsidR="00D8645B" w:rsidRDefault="00D8645B" w:rsidP="00664D46">
            <w:pPr>
              <w:spacing w:line="360" w:lineRule="auto"/>
              <w:jc w:val="center"/>
            </w:pPr>
            <w:r>
              <w:t>-3</w:t>
            </w:r>
          </w:p>
        </w:tc>
        <w:tc>
          <w:tcPr>
            <w:tcW w:w="975" w:type="dxa"/>
            <w:vAlign w:val="center"/>
          </w:tcPr>
          <w:p w14:paraId="647A50A6" w14:textId="77777777" w:rsidR="00D8645B" w:rsidRDefault="00D8645B" w:rsidP="00664D46">
            <w:pPr>
              <w:spacing w:line="360" w:lineRule="auto"/>
              <w:jc w:val="center"/>
            </w:pPr>
            <w:r>
              <w:t>+21</w:t>
            </w:r>
          </w:p>
        </w:tc>
      </w:tr>
      <w:tr w:rsidR="00D8645B" w14:paraId="41407B00" w14:textId="77777777" w:rsidTr="00664D46">
        <w:tc>
          <w:tcPr>
            <w:tcW w:w="1980" w:type="dxa"/>
            <w:vAlign w:val="center"/>
          </w:tcPr>
          <w:p w14:paraId="75028203" w14:textId="77777777" w:rsidR="00D8645B" w:rsidRDefault="00D8645B" w:rsidP="00664D46">
            <w:pPr>
              <w:spacing w:line="360" w:lineRule="auto"/>
              <w:jc w:val="center"/>
            </w:pPr>
            <w:r>
              <w:t>Credit Structured</w:t>
            </w:r>
          </w:p>
        </w:tc>
        <w:tc>
          <w:tcPr>
            <w:tcW w:w="1364" w:type="dxa"/>
            <w:vAlign w:val="center"/>
          </w:tcPr>
          <w:p w14:paraId="7C42A652" w14:textId="77777777" w:rsidR="00D8645B" w:rsidRDefault="00D8645B" w:rsidP="00664D46">
            <w:pPr>
              <w:spacing w:line="360" w:lineRule="auto"/>
              <w:jc w:val="center"/>
            </w:pPr>
            <w:r>
              <w:t>0</w:t>
            </w:r>
          </w:p>
        </w:tc>
        <w:tc>
          <w:tcPr>
            <w:tcW w:w="1563" w:type="dxa"/>
            <w:vAlign w:val="center"/>
          </w:tcPr>
          <w:p w14:paraId="23F39419" w14:textId="77777777" w:rsidR="00D8645B" w:rsidRDefault="00D8645B" w:rsidP="00664D46">
            <w:pPr>
              <w:spacing w:line="360" w:lineRule="auto"/>
              <w:jc w:val="center"/>
            </w:pPr>
            <w:r>
              <w:t>(250)</w:t>
            </w:r>
          </w:p>
        </w:tc>
        <w:tc>
          <w:tcPr>
            <w:tcW w:w="975" w:type="dxa"/>
            <w:vAlign w:val="center"/>
          </w:tcPr>
          <w:p w14:paraId="528543BF" w14:textId="77777777" w:rsidR="00D8645B" w:rsidRDefault="00D8645B" w:rsidP="00664D46">
            <w:pPr>
              <w:spacing w:line="360" w:lineRule="auto"/>
              <w:jc w:val="center"/>
            </w:pPr>
            <w:r>
              <w:t>(250)</w:t>
            </w:r>
          </w:p>
        </w:tc>
        <w:tc>
          <w:tcPr>
            <w:tcW w:w="969" w:type="dxa"/>
            <w:vAlign w:val="center"/>
          </w:tcPr>
          <w:p w14:paraId="5D84C6DC" w14:textId="77777777" w:rsidR="00D8645B" w:rsidRDefault="00D8645B" w:rsidP="00664D46">
            <w:pPr>
              <w:spacing w:line="360" w:lineRule="auto"/>
              <w:jc w:val="center"/>
            </w:pPr>
            <w:r>
              <w:t>(250)</w:t>
            </w:r>
          </w:p>
        </w:tc>
        <w:tc>
          <w:tcPr>
            <w:tcW w:w="1364" w:type="dxa"/>
            <w:vAlign w:val="center"/>
          </w:tcPr>
          <w:p w14:paraId="49CDC2E8" w14:textId="77777777" w:rsidR="00D8645B" w:rsidRDefault="00D8645B" w:rsidP="00664D46">
            <w:pPr>
              <w:spacing w:line="360" w:lineRule="auto"/>
              <w:jc w:val="center"/>
            </w:pPr>
            <w:r>
              <w:t>N/A</w:t>
            </w:r>
          </w:p>
        </w:tc>
        <w:tc>
          <w:tcPr>
            <w:tcW w:w="975" w:type="dxa"/>
            <w:vAlign w:val="center"/>
          </w:tcPr>
          <w:p w14:paraId="75BB2814" w14:textId="77777777" w:rsidR="00D8645B" w:rsidRDefault="00D8645B" w:rsidP="00664D46">
            <w:pPr>
              <w:spacing w:line="360" w:lineRule="auto"/>
              <w:jc w:val="center"/>
            </w:pPr>
            <w:r>
              <w:t>N/A</w:t>
            </w:r>
          </w:p>
        </w:tc>
        <w:tc>
          <w:tcPr>
            <w:tcW w:w="975" w:type="dxa"/>
            <w:vAlign w:val="center"/>
          </w:tcPr>
          <w:p w14:paraId="27FD7364" w14:textId="77777777" w:rsidR="00D8645B" w:rsidRDefault="00D8645B" w:rsidP="00664D46">
            <w:pPr>
              <w:spacing w:line="360" w:lineRule="auto"/>
              <w:jc w:val="center"/>
            </w:pPr>
            <w:r>
              <w:t>N/A</w:t>
            </w:r>
          </w:p>
        </w:tc>
      </w:tr>
      <w:tr w:rsidR="00D8645B" w14:paraId="4003DA2F" w14:textId="77777777" w:rsidTr="00664D46">
        <w:tc>
          <w:tcPr>
            <w:tcW w:w="1980" w:type="dxa"/>
            <w:vAlign w:val="center"/>
          </w:tcPr>
          <w:p w14:paraId="61BB8744" w14:textId="77777777" w:rsidR="00D8645B" w:rsidRDefault="00D8645B" w:rsidP="00664D46">
            <w:pPr>
              <w:spacing w:line="360" w:lineRule="auto"/>
              <w:jc w:val="center"/>
            </w:pPr>
            <w:r>
              <w:t>Credit Flow</w:t>
            </w:r>
          </w:p>
        </w:tc>
        <w:tc>
          <w:tcPr>
            <w:tcW w:w="1364" w:type="dxa"/>
            <w:vAlign w:val="center"/>
          </w:tcPr>
          <w:p w14:paraId="7241147E" w14:textId="77777777" w:rsidR="00D8645B" w:rsidRDefault="00D8645B" w:rsidP="00664D46">
            <w:pPr>
              <w:spacing w:line="360" w:lineRule="auto"/>
              <w:jc w:val="center"/>
            </w:pPr>
            <w:r>
              <w:t>261</w:t>
            </w:r>
          </w:p>
        </w:tc>
        <w:tc>
          <w:tcPr>
            <w:tcW w:w="1563" w:type="dxa"/>
            <w:vAlign w:val="center"/>
          </w:tcPr>
          <w:p w14:paraId="45BC08FA" w14:textId="77777777" w:rsidR="00D8645B" w:rsidRDefault="00D8645B" w:rsidP="00664D46">
            <w:pPr>
              <w:spacing w:line="360" w:lineRule="auto"/>
              <w:jc w:val="center"/>
            </w:pPr>
            <w:r>
              <w:t>(331)</w:t>
            </w:r>
          </w:p>
        </w:tc>
        <w:tc>
          <w:tcPr>
            <w:tcW w:w="975" w:type="dxa"/>
            <w:vAlign w:val="center"/>
          </w:tcPr>
          <w:p w14:paraId="59B14B8A" w14:textId="77777777" w:rsidR="00D8645B" w:rsidRDefault="00D8645B" w:rsidP="00664D46">
            <w:pPr>
              <w:spacing w:line="360" w:lineRule="auto"/>
              <w:jc w:val="center"/>
            </w:pPr>
            <w:r>
              <w:t>(13)</w:t>
            </w:r>
          </w:p>
        </w:tc>
        <w:tc>
          <w:tcPr>
            <w:tcW w:w="969" w:type="dxa"/>
            <w:vAlign w:val="center"/>
          </w:tcPr>
          <w:p w14:paraId="01ABDC7B" w14:textId="77777777" w:rsidR="00D8645B" w:rsidRDefault="00D8645B" w:rsidP="00664D46">
            <w:pPr>
              <w:spacing w:line="360" w:lineRule="auto"/>
              <w:jc w:val="center"/>
            </w:pPr>
            <w:r>
              <w:t>55</w:t>
            </w:r>
          </w:p>
        </w:tc>
        <w:tc>
          <w:tcPr>
            <w:tcW w:w="1364" w:type="dxa"/>
            <w:vAlign w:val="center"/>
          </w:tcPr>
          <w:p w14:paraId="39360B03" w14:textId="77777777" w:rsidR="00D8645B" w:rsidRDefault="00D8645B" w:rsidP="00664D46">
            <w:pPr>
              <w:spacing w:line="360" w:lineRule="auto"/>
              <w:jc w:val="center"/>
            </w:pPr>
            <w:r>
              <w:t>-127</w:t>
            </w:r>
          </w:p>
        </w:tc>
        <w:tc>
          <w:tcPr>
            <w:tcW w:w="975" w:type="dxa"/>
            <w:vAlign w:val="center"/>
          </w:tcPr>
          <w:p w14:paraId="69515200" w14:textId="77777777" w:rsidR="00D8645B" w:rsidRDefault="00D8645B" w:rsidP="00664D46">
            <w:pPr>
              <w:spacing w:line="360" w:lineRule="auto"/>
              <w:jc w:val="center"/>
            </w:pPr>
            <w:r>
              <w:t>-5</w:t>
            </w:r>
          </w:p>
        </w:tc>
        <w:tc>
          <w:tcPr>
            <w:tcW w:w="975" w:type="dxa"/>
            <w:vAlign w:val="center"/>
          </w:tcPr>
          <w:p w14:paraId="6FC3A7A8" w14:textId="77777777" w:rsidR="00D8645B" w:rsidRDefault="00D8645B" w:rsidP="00664D46">
            <w:pPr>
              <w:spacing w:line="360" w:lineRule="auto"/>
              <w:jc w:val="center"/>
            </w:pPr>
            <w:r>
              <w:t>+21</w:t>
            </w:r>
          </w:p>
        </w:tc>
      </w:tr>
      <w:tr w:rsidR="00D8645B" w14:paraId="48A91400" w14:textId="77777777" w:rsidTr="00664D46">
        <w:tc>
          <w:tcPr>
            <w:tcW w:w="1980" w:type="dxa"/>
            <w:vAlign w:val="center"/>
          </w:tcPr>
          <w:p w14:paraId="6ED6042E" w14:textId="77777777" w:rsidR="00D8645B" w:rsidRDefault="00D8645B" w:rsidP="00664D46">
            <w:pPr>
              <w:spacing w:line="360" w:lineRule="auto"/>
              <w:jc w:val="center"/>
            </w:pPr>
            <w:r>
              <w:t>Distressed</w:t>
            </w:r>
          </w:p>
        </w:tc>
        <w:tc>
          <w:tcPr>
            <w:tcW w:w="1364" w:type="dxa"/>
            <w:vAlign w:val="center"/>
          </w:tcPr>
          <w:p w14:paraId="236B4103" w14:textId="77777777" w:rsidR="00D8645B" w:rsidRDefault="00D8645B" w:rsidP="00664D46">
            <w:pPr>
              <w:spacing w:line="360" w:lineRule="auto"/>
              <w:jc w:val="center"/>
            </w:pPr>
            <w:r>
              <w:t>277</w:t>
            </w:r>
          </w:p>
        </w:tc>
        <w:tc>
          <w:tcPr>
            <w:tcW w:w="1563" w:type="dxa"/>
            <w:vAlign w:val="center"/>
          </w:tcPr>
          <w:p w14:paraId="64A9E3EF" w14:textId="77777777" w:rsidR="00D8645B" w:rsidRDefault="00D8645B" w:rsidP="00664D46">
            <w:pPr>
              <w:spacing w:line="360" w:lineRule="auto"/>
              <w:jc w:val="center"/>
            </w:pPr>
            <w:r>
              <w:t>102</w:t>
            </w:r>
          </w:p>
        </w:tc>
        <w:tc>
          <w:tcPr>
            <w:tcW w:w="975" w:type="dxa"/>
            <w:vAlign w:val="center"/>
          </w:tcPr>
          <w:p w14:paraId="649A2B7A" w14:textId="77777777" w:rsidR="00D8645B" w:rsidRDefault="00D8645B" w:rsidP="00664D46">
            <w:pPr>
              <w:spacing w:line="360" w:lineRule="auto"/>
              <w:jc w:val="center"/>
            </w:pPr>
            <w:r>
              <w:t>(14)</w:t>
            </w:r>
          </w:p>
        </w:tc>
        <w:tc>
          <w:tcPr>
            <w:tcW w:w="969" w:type="dxa"/>
            <w:vAlign w:val="center"/>
          </w:tcPr>
          <w:p w14:paraId="0982D77E" w14:textId="77777777" w:rsidR="00D8645B" w:rsidRDefault="00D8645B" w:rsidP="00664D46">
            <w:pPr>
              <w:spacing w:line="360" w:lineRule="auto"/>
              <w:jc w:val="center"/>
            </w:pPr>
            <w:r>
              <w:t>116</w:t>
            </w:r>
          </w:p>
        </w:tc>
        <w:tc>
          <w:tcPr>
            <w:tcW w:w="1364" w:type="dxa"/>
            <w:vAlign w:val="center"/>
          </w:tcPr>
          <w:p w14:paraId="7B91AD06" w14:textId="77777777" w:rsidR="00D8645B" w:rsidRDefault="00D8645B" w:rsidP="00664D46">
            <w:pPr>
              <w:spacing w:line="360" w:lineRule="auto"/>
              <w:jc w:val="center"/>
            </w:pPr>
            <w:r>
              <w:t>+37</w:t>
            </w:r>
          </w:p>
        </w:tc>
        <w:tc>
          <w:tcPr>
            <w:tcW w:w="975" w:type="dxa"/>
            <w:vAlign w:val="center"/>
          </w:tcPr>
          <w:p w14:paraId="1EA7BE7C" w14:textId="77777777" w:rsidR="00D8645B" w:rsidRDefault="00D8645B" w:rsidP="00664D46">
            <w:pPr>
              <w:spacing w:line="360" w:lineRule="auto"/>
              <w:jc w:val="center"/>
            </w:pPr>
            <w:r>
              <w:t>-5</w:t>
            </w:r>
          </w:p>
        </w:tc>
        <w:tc>
          <w:tcPr>
            <w:tcW w:w="975" w:type="dxa"/>
            <w:vAlign w:val="center"/>
          </w:tcPr>
          <w:p w14:paraId="244365E7" w14:textId="77777777" w:rsidR="00D8645B" w:rsidRDefault="00D8645B" w:rsidP="00664D46">
            <w:pPr>
              <w:spacing w:line="360" w:lineRule="auto"/>
              <w:jc w:val="center"/>
            </w:pPr>
            <w:r>
              <w:t>+42</w:t>
            </w:r>
          </w:p>
        </w:tc>
      </w:tr>
      <w:tr w:rsidR="00D8645B" w14:paraId="417EE5CF" w14:textId="77777777" w:rsidTr="00664D46">
        <w:tc>
          <w:tcPr>
            <w:tcW w:w="1980" w:type="dxa"/>
            <w:vAlign w:val="center"/>
          </w:tcPr>
          <w:p w14:paraId="19712FF9" w14:textId="77777777" w:rsidR="00D8645B" w:rsidRDefault="00D8645B" w:rsidP="00664D46">
            <w:pPr>
              <w:spacing w:line="360" w:lineRule="auto"/>
              <w:jc w:val="center"/>
            </w:pPr>
            <w:r>
              <w:lastRenderedPageBreak/>
              <w:t>EM Credit Trading</w:t>
            </w:r>
          </w:p>
        </w:tc>
        <w:tc>
          <w:tcPr>
            <w:tcW w:w="1364" w:type="dxa"/>
            <w:vAlign w:val="center"/>
          </w:tcPr>
          <w:p w14:paraId="264A337B" w14:textId="77777777" w:rsidR="00D8645B" w:rsidRDefault="00D8645B" w:rsidP="00664D46">
            <w:pPr>
              <w:spacing w:line="360" w:lineRule="auto"/>
              <w:jc w:val="center"/>
            </w:pPr>
            <w:r>
              <w:t>435</w:t>
            </w:r>
          </w:p>
        </w:tc>
        <w:tc>
          <w:tcPr>
            <w:tcW w:w="1563" w:type="dxa"/>
            <w:vAlign w:val="center"/>
          </w:tcPr>
          <w:p w14:paraId="07A5CF3A" w14:textId="77777777" w:rsidR="00D8645B" w:rsidRDefault="00D8645B" w:rsidP="00664D46">
            <w:pPr>
              <w:spacing w:line="360" w:lineRule="auto"/>
              <w:jc w:val="center"/>
            </w:pPr>
            <w:r>
              <w:t>89</w:t>
            </w:r>
          </w:p>
        </w:tc>
        <w:tc>
          <w:tcPr>
            <w:tcW w:w="975" w:type="dxa"/>
            <w:vAlign w:val="center"/>
          </w:tcPr>
          <w:p w14:paraId="7F0B99DE" w14:textId="77777777" w:rsidR="00D8645B" w:rsidRDefault="00D8645B" w:rsidP="00664D46">
            <w:pPr>
              <w:spacing w:line="360" w:lineRule="auto"/>
              <w:jc w:val="center"/>
            </w:pPr>
            <w:r>
              <w:t>(22)</w:t>
            </w:r>
          </w:p>
        </w:tc>
        <w:tc>
          <w:tcPr>
            <w:tcW w:w="969" w:type="dxa"/>
            <w:vAlign w:val="center"/>
          </w:tcPr>
          <w:p w14:paraId="7B1AC385" w14:textId="77777777" w:rsidR="00D8645B" w:rsidRDefault="00D8645B" w:rsidP="00664D46">
            <w:pPr>
              <w:spacing w:line="360" w:lineRule="auto"/>
              <w:jc w:val="center"/>
            </w:pPr>
            <w:r>
              <w:t>181</w:t>
            </w:r>
          </w:p>
        </w:tc>
        <w:tc>
          <w:tcPr>
            <w:tcW w:w="1364" w:type="dxa"/>
            <w:vAlign w:val="center"/>
          </w:tcPr>
          <w:p w14:paraId="4CCBB87B" w14:textId="77777777" w:rsidR="00D8645B" w:rsidRDefault="00D8645B" w:rsidP="00664D46">
            <w:pPr>
              <w:spacing w:line="360" w:lineRule="auto"/>
              <w:jc w:val="center"/>
            </w:pPr>
            <w:r>
              <w:t>+21</w:t>
            </w:r>
          </w:p>
        </w:tc>
        <w:tc>
          <w:tcPr>
            <w:tcW w:w="975" w:type="dxa"/>
            <w:vAlign w:val="center"/>
          </w:tcPr>
          <w:p w14:paraId="3E712791" w14:textId="77777777" w:rsidR="00D8645B" w:rsidRDefault="00D8645B" w:rsidP="00664D46">
            <w:pPr>
              <w:spacing w:line="360" w:lineRule="auto"/>
              <w:jc w:val="center"/>
            </w:pPr>
            <w:r>
              <w:t>-5</w:t>
            </w:r>
          </w:p>
        </w:tc>
        <w:tc>
          <w:tcPr>
            <w:tcW w:w="975" w:type="dxa"/>
            <w:vAlign w:val="center"/>
          </w:tcPr>
          <w:p w14:paraId="1607BA33" w14:textId="77777777" w:rsidR="00D8645B" w:rsidRDefault="00D8645B" w:rsidP="00664D46">
            <w:pPr>
              <w:spacing w:line="360" w:lineRule="auto"/>
              <w:jc w:val="center"/>
            </w:pPr>
            <w:r>
              <w:t>+42</w:t>
            </w:r>
          </w:p>
        </w:tc>
      </w:tr>
      <w:tr w:rsidR="00D8645B" w14:paraId="7A5E4BE8" w14:textId="77777777" w:rsidTr="00664D46">
        <w:tc>
          <w:tcPr>
            <w:tcW w:w="1980" w:type="dxa"/>
            <w:vAlign w:val="center"/>
          </w:tcPr>
          <w:p w14:paraId="3C430147" w14:textId="77777777" w:rsidR="00D8645B" w:rsidRDefault="00D8645B" w:rsidP="00664D46">
            <w:pPr>
              <w:spacing w:line="360" w:lineRule="auto"/>
              <w:jc w:val="center"/>
            </w:pPr>
            <w:r>
              <w:t>PECD</w:t>
            </w:r>
          </w:p>
        </w:tc>
        <w:tc>
          <w:tcPr>
            <w:tcW w:w="1364" w:type="dxa"/>
            <w:vAlign w:val="center"/>
          </w:tcPr>
          <w:p w14:paraId="7194DAC7" w14:textId="77777777" w:rsidR="00D8645B" w:rsidRDefault="00D8645B" w:rsidP="00664D46">
            <w:pPr>
              <w:spacing w:line="360" w:lineRule="auto"/>
              <w:jc w:val="center"/>
            </w:pPr>
            <w:r>
              <w:t>2369</w:t>
            </w:r>
          </w:p>
        </w:tc>
        <w:tc>
          <w:tcPr>
            <w:tcW w:w="1563" w:type="dxa"/>
            <w:vAlign w:val="center"/>
          </w:tcPr>
          <w:p w14:paraId="769A0A43" w14:textId="77777777" w:rsidR="00D8645B" w:rsidRDefault="00D8645B" w:rsidP="00664D46">
            <w:pPr>
              <w:spacing w:line="360" w:lineRule="auto"/>
              <w:jc w:val="center"/>
            </w:pPr>
            <w:r>
              <w:t>2355</w:t>
            </w:r>
          </w:p>
        </w:tc>
        <w:tc>
          <w:tcPr>
            <w:tcW w:w="975" w:type="dxa"/>
            <w:vAlign w:val="center"/>
          </w:tcPr>
          <w:p w14:paraId="0E88A3DB" w14:textId="77777777" w:rsidR="00D8645B" w:rsidRDefault="00D8645B" w:rsidP="00664D46">
            <w:pPr>
              <w:spacing w:line="360" w:lineRule="auto"/>
              <w:jc w:val="center"/>
            </w:pPr>
            <w:r>
              <w:t>1895</w:t>
            </w:r>
          </w:p>
        </w:tc>
        <w:tc>
          <w:tcPr>
            <w:tcW w:w="969" w:type="dxa"/>
            <w:vAlign w:val="center"/>
          </w:tcPr>
          <w:p w14:paraId="2B02B13F" w14:textId="77777777" w:rsidR="00D8645B" w:rsidRDefault="00D8645B" w:rsidP="00664D46">
            <w:pPr>
              <w:spacing w:line="360" w:lineRule="auto"/>
              <w:jc w:val="center"/>
            </w:pPr>
            <w:r>
              <w:t>989</w:t>
            </w:r>
          </w:p>
        </w:tc>
        <w:tc>
          <w:tcPr>
            <w:tcW w:w="1364" w:type="dxa"/>
            <w:vAlign w:val="center"/>
          </w:tcPr>
          <w:p w14:paraId="21568991" w14:textId="77777777" w:rsidR="00D8645B" w:rsidRDefault="00D8645B" w:rsidP="00664D46">
            <w:pPr>
              <w:spacing w:line="360" w:lineRule="auto"/>
              <w:jc w:val="center"/>
            </w:pPr>
            <w:r>
              <w:t>+99</w:t>
            </w:r>
          </w:p>
        </w:tc>
        <w:tc>
          <w:tcPr>
            <w:tcW w:w="975" w:type="dxa"/>
            <w:vAlign w:val="center"/>
          </w:tcPr>
          <w:p w14:paraId="0FE844B0" w14:textId="77777777" w:rsidR="00D8645B" w:rsidRDefault="00D8645B" w:rsidP="00664D46">
            <w:pPr>
              <w:spacing w:line="360" w:lineRule="auto"/>
              <w:jc w:val="center"/>
            </w:pPr>
            <w:r>
              <w:t>+80</w:t>
            </w:r>
          </w:p>
        </w:tc>
        <w:tc>
          <w:tcPr>
            <w:tcW w:w="975" w:type="dxa"/>
            <w:vAlign w:val="center"/>
          </w:tcPr>
          <w:p w14:paraId="5C9FD293" w14:textId="77777777" w:rsidR="00D8645B" w:rsidRDefault="00D8645B" w:rsidP="00664D46">
            <w:pPr>
              <w:spacing w:line="360" w:lineRule="auto"/>
              <w:jc w:val="center"/>
            </w:pPr>
            <w:r>
              <w:t>+42</w:t>
            </w:r>
          </w:p>
        </w:tc>
      </w:tr>
      <w:tr w:rsidR="00D8645B" w14:paraId="1F08B272" w14:textId="77777777" w:rsidTr="00664D46">
        <w:tc>
          <w:tcPr>
            <w:tcW w:w="1980" w:type="dxa"/>
            <w:vAlign w:val="center"/>
          </w:tcPr>
          <w:p w14:paraId="0E9302D0" w14:textId="77777777" w:rsidR="00D8645B" w:rsidRDefault="00D8645B" w:rsidP="00664D46">
            <w:pPr>
              <w:spacing w:line="360" w:lineRule="auto"/>
              <w:jc w:val="center"/>
            </w:pPr>
            <w:r>
              <w:t>Short Term</w:t>
            </w:r>
          </w:p>
        </w:tc>
        <w:tc>
          <w:tcPr>
            <w:tcW w:w="1364" w:type="dxa"/>
            <w:vAlign w:val="center"/>
          </w:tcPr>
          <w:p w14:paraId="38DF9F09" w14:textId="77777777" w:rsidR="00D8645B" w:rsidRDefault="00D8645B" w:rsidP="00664D46">
            <w:pPr>
              <w:spacing w:line="360" w:lineRule="auto"/>
              <w:jc w:val="center"/>
            </w:pPr>
            <w:r>
              <w:t>27</w:t>
            </w:r>
          </w:p>
        </w:tc>
        <w:tc>
          <w:tcPr>
            <w:tcW w:w="1563" w:type="dxa"/>
            <w:vAlign w:val="center"/>
          </w:tcPr>
          <w:p w14:paraId="75E4DBF5" w14:textId="77777777" w:rsidR="00D8645B" w:rsidRDefault="00D8645B" w:rsidP="00664D46">
            <w:pPr>
              <w:spacing w:line="360" w:lineRule="auto"/>
              <w:jc w:val="center"/>
            </w:pPr>
            <w:r>
              <w:t>12</w:t>
            </w:r>
          </w:p>
        </w:tc>
        <w:tc>
          <w:tcPr>
            <w:tcW w:w="975" w:type="dxa"/>
            <w:vAlign w:val="center"/>
          </w:tcPr>
          <w:p w14:paraId="67D72EFA" w14:textId="77777777" w:rsidR="00D8645B" w:rsidRDefault="00D8645B" w:rsidP="00664D46">
            <w:pPr>
              <w:spacing w:line="360" w:lineRule="auto"/>
              <w:jc w:val="center"/>
            </w:pPr>
            <w:r>
              <w:t>(1)</w:t>
            </w:r>
          </w:p>
        </w:tc>
        <w:tc>
          <w:tcPr>
            <w:tcW w:w="969" w:type="dxa"/>
            <w:vAlign w:val="center"/>
          </w:tcPr>
          <w:p w14:paraId="45321917" w14:textId="77777777" w:rsidR="00D8645B" w:rsidRDefault="00D8645B" w:rsidP="00664D46">
            <w:pPr>
              <w:spacing w:line="360" w:lineRule="auto"/>
              <w:jc w:val="center"/>
            </w:pPr>
            <w:r>
              <w:t>6</w:t>
            </w:r>
          </w:p>
        </w:tc>
        <w:tc>
          <w:tcPr>
            <w:tcW w:w="1364" w:type="dxa"/>
            <w:vAlign w:val="center"/>
          </w:tcPr>
          <w:p w14:paraId="2DF97341" w14:textId="77777777" w:rsidR="00D8645B" w:rsidRDefault="00D8645B" w:rsidP="00664D46">
            <w:pPr>
              <w:spacing w:line="360" w:lineRule="auto"/>
              <w:jc w:val="center"/>
            </w:pPr>
            <w:r>
              <w:t>+45</w:t>
            </w:r>
          </w:p>
        </w:tc>
        <w:tc>
          <w:tcPr>
            <w:tcW w:w="975" w:type="dxa"/>
            <w:vAlign w:val="center"/>
          </w:tcPr>
          <w:p w14:paraId="55C74DAB" w14:textId="77777777" w:rsidR="00D8645B" w:rsidRDefault="00D8645B" w:rsidP="00664D46">
            <w:pPr>
              <w:spacing w:line="360" w:lineRule="auto"/>
              <w:jc w:val="center"/>
            </w:pPr>
            <w:r>
              <w:t>-5</w:t>
            </w:r>
          </w:p>
        </w:tc>
        <w:tc>
          <w:tcPr>
            <w:tcW w:w="975" w:type="dxa"/>
            <w:vAlign w:val="center"/>
          </w:tcPr>
          <w:p w14:paraId="59FB76C8" w14:textId="77777777" w:rsidR="00D8645B" w:rsidRDefault="00D8645B" w:rsidP="00664D46">
            <w:pPr>
              <w:spacing w:line="360" w:lineRule="auto"/>
              <w:jc w:val="center"/>
            </w:pPr>
            <w:r>
              <w:t>+21</w:t>
            </w:r>
          </w:p>
        </w:tc>
      </w:tr>
      <w:tr w:rsidR="00D8645B" w14:paraId="759D0C3A" w14:textId="77777777" w:rsidTr="00664D46">
        <w:tc>
          <w:tcPr>
            <w:tcW w:w="1980" w:type="dxa"/>
            <w:vAlign w:val="center"/>
          </w:tcPr>
          <w:p w14:paraId="2BB28673" w14:textId="77777777" w:rsidR="00D8645B" w:rsidRDefault="00D8645B" w:rsidP="00664D46">
            <w:pPr>
              <w:spacing w:line="360" w:lineRule="auto"/>
              <w:jc w:val="center"/>
            </w:pPr>
            <w:r>
              <w:t>Cash</w:t>
            </w:r>
          </w:p>
        </w:tc>
        <w:tc>
          <w:tcPr>
            <w:tcW w:w="1364" w:type="dxa"/>
            <w:vAlign w:val="center"/>
          </w:tcPr>
          <w:p w14:paraId="7ADCA4BE" w14:textId="77777777" w:rsidR="00D8645B" w:rsidRDefault="00D8645B" w:rsidP="00664D46">
            <w:pPr>
              <w:spacing w:line="360" w:lineRule="auto"/>
              <w:jc w:val="center"/>
            </w:pPr>
            <w:r>
              <w:t>280</w:t>
            </w:r>
          </w:p>
        </w:tc>
        <w:tc>
          <w:tcPr>
            <w:tcW w:w="1563" w:type="dxa"/>
            <w:vAlign w:val="center"/>
          </w:tcPr>
          <w:p w14:paraId="7DA90B59" w14:textId="77777777" w:rsidR="00D8645B" w:rsidRDefault="00D8645B" w:rsidP="00664D46">
            <w:pPr>
              <w:spacing w:line="360" w:lineRule="auto"/>
              <w:jc w:val="center"/>
            </w:pPr>
            <w:r>
              <w:t>123</w:t>
            </w:r>
          </w:p>
        </w:tc>
        <w:tc>
          <w:tcPr>
            <w:tcW w:w="975" w:type="dxa"/>
            <w:vAlign w:val="center"/>
          </w:tcPr>
          <w:p w14:paraId="59255F20" w14:textId="77777777" w:rsidR="00D8645B" w:rsidRDefault="00D8645B" w:rsidP="00664D46">
            <w:pPr>
              <w:spacing w:line="360" w:lineRule="auto"/>
              <w:jc w:val="center"/>
            </w:pPr>
            <w:r>
              <w:t>(7)</w:t>
            </w:r>
          </w:p>
        </w:tc>
        <w:tc>
          <w:tcPr>
            <w:tcW w:w="969" w:type="dxa"/>
            <w:vAlign w:val="center"/>
          </w:tcPr>
          <w:p w14:paraId="09BF29F7" w14:textId="77777777" w:rsidR="00D8645B" w:rsidRDefault="00D8645B" w:rsidP="00664D46">
            <w:pPr>
              <w:spacing w:line="360" w:lineRule="auto"/>
              <w:jc w:val="center"/>
            </w:pPr>
            <w:r>
              <w:t>58</w:t>
            </w:r>
          </w:p>
        </w:tc>
        <w:tc>
          <w:tcPr>
            <w:tcW w:w="1364" w:type="dxa"/>
            <w:vAlign w:val="center"/>
          </w:tcPr>
          <w:p w14:paraId="05B9AC52" w14:textId="77777777" w:rsidR="00D8645B" w:rsidRDefault="00D8645B" w:rsidP="00664D46">
            <w:pPr>
              <w:spacing w:line="360" w:lineRule="auto"/>
              <w:jc w:val="center"/>
            </w:pPr>
            <w:r>
              <w:t>+44</w:t>
            </w:r>
          </w:p>
        </w:tc>
        <w:tc>
          <w:tcPr>
            <w:tcW w:w="975" w:type="dxa"/>
            <w:vAlign w:val="center"/>
          </w:tcPr>
          <w:p w14:paraId="3F14731F" w14:textId="77777777" w:rsidR="00D8645B" w:rsidRDefault="00D8645B" w:rsidP="00664D46">
            <w:pPr>
              <w:spacing w:line="360" w:lineRule="auto"/>
              <w:jc w:val="center"/>
            </w:pPr>
            <w:r>
              <w:t>-3</w:t>
            </w:r>
          </w:p>
        </w:tc>
        <w:tc>
          <w:tcPr>
            <w:tcW w:w="975" w:type="dxa"/>
            <w:vAlign w:val="center"/>
          </w:tcPr>
          <w:p w14:paraId="0E9141FC" w14:textId="77777777" w:rsidR="00D8645B" w:rsidRDefault="00D8645B" w:rsidP="00664D46">
            <w:pPr>
              <w:spacing w:line="360" w:lineRule="auto"/>
              <w:jc w:val="center"/>
            </w:pPr>
            <w:r>
              <w:t>+21</w:t>
            </w:r>
          </w:p>
        </w:tc>
      </w:tr>
      <w:tr w:rsidR="00D8645B" w14:paraId="1B4AF403" w14:textId="77777777" w:rsidTr="00664D46">
        <w:tc>
          <w:tcPr>
            <w:tcW w:w="1980" w:type="dxa"/>
            <w:vAlign w:val="center"/>
          </w:tcPr>
          <w:p w14:paraId="24EB094E" w14:textId="77777777" w:rsidR="00D8645B" w:rsidRDefault="00D8645B" w:rsidP="00664D46">
            <w:pPr>
              <w:spacing w:line="360" w:lineRule="auto"/>
              <w:jc w:val="center"/>
            </w:pPr>
            <w:r>
              <w:t>Coverts</w:t>
            </w:r>
          </w:p>
        </w:tc>
        <w:tc>
          <w:tcPr>
            <w:tcW w:w="1364" w:type="dxa"/>
            <w:vAlign w:val="center"/>
          </w:tcPr>
          <w:p w14:paraId="67D0AF1B" w14:textId="77777777" w:rsidR="00D8645B" w:rsidRDefault="00D8645B" w:rsidP="00664D46">
            <w:pPr>
              <w:spacing w:line="360" w:lineRule="auto"/>
              <w:jc w:val="center"/>
            </w:pPr>
            <w:r>
              <w:t>72</w:t>
            </w:r>
          </w:p>
        </w:tc>
        <w:tc>
          <w:tcPr>
            <w:tcW w:w="1563" w:type="dxa"/>
            <w:vAlign w:val="center"/>
          </w:tcPr>
          <w:p w14:paraId="4BDA7A5F" w14:textId="77777777" w:rsidR="00D8645B" w:rsidRDefault="00D8645B" w:rsidP="00664D46">
            <w:pPr>
              <w:spacing w:line="360" w:lineRule="auto"/>
              <w:jc w:val="center"/>
            </w:pPr>
            <w:r>
              <w:t>(23)</w:t>
            </w:r>
          </w:p>
        </w:tc>
        <w:tc>
          <w:tcPr>
            <w:tcW w:w="975" w:type="dxa"/>
            <w:vAlign w:val="center"/>
          </w:tcPr>
          <w:p w14:paraId="17956701" w14:textId="77777777" w:rsidR="00D8645B" w:rsidRDefault="00D8645B" w:rsidP="00664D46">
            <w:pPr>
              <w:spacing w:line="360" w:lineRule="auto"/>
              <w:jc w:val="center"/>
            </w:pPr>
            <w:r>
              <w:t>58</w:t>
            </w:r>
          </w:p>
        </w:tc>
        <w:tc>
          <w:tcPr>
            <w:tcW w:w="969" w:type="dxa"/>
            <w:vAlign w:val="center"/>
          </w:tcPr>
          <w:p w14:paraId="599D58B2" w14:textId="77777777" w:rsidR="00D8645B" w:rsidRDefault="00D8645B" w:rsidP="00664D46">
            <w:pPr>
              <w:spacing w:line="360" w:lineRule="auto"/>
              <w:jc w:val="center"/>
            </w:pPr>
            <w:r>
              <w:t>30</w:t>
            </w:r>
          </w:p>
        </w:tc>
        <w:tc>
          <w:tcPr>
            <w:tcW w:w="1364" w:type="dxa"/>
            <w:vAlign w:val="center"/>
          </w:tcPr>
          <w:p w14:paraId="04607B83" w14:textId="77777777" w:rsidR="00D8645B" w:rsidRDefault="00D8645B" w:rsidP="00664D46">
            <w:pPr>
              <w:spacing w:line="360" w:lineRule="auto"/>
              <w:jc w:val="center"/>
            </w:pPr>
            <w:r>
              <w:t>-32</w:t>
            </w:r>
          </w:p>
        </w:tc>
        <w:tc>
          <w:tcPr>
            <w:tcW w:w="975" w:type="dxa"/>
            <w:vAlign w:val="center"/>
          </w:tcPr>
          <w:p w14:paraId="046EF1B6" w14:textId="77777777" w:rsidR="00D8645B" w:rsidRDefault="00D8645B" w:rsidP="00664D46">
            <w:pPr>
              <w:spacing w:line="360" w:lineRule="auto"/>
              <w:jc w:val="center"/>
            </w:pPr>
            <w:r>
              <w:t>+80</w:t>
            </w:r>
          </w:p>
        </w:tc>
        <w:tc>
          <w:tcPr>
            <w:tcW w:w="975" w:type="dxa"/>
            <w:vAlign w:val="center"/>
          </w:tcPr>
          <w:p w14:paraId="2F3B9189" w14:textId="77777777" w:rsidR="00D8645B" w:rsidRDefault="00D8645B" w:rsidP="00664D46">
            <w:pPr>
              <w:spacing w:line="360" w:lineRule="auto"/>
              <w:jc w:val="center"/>
            </w:pPr>
            <w:r>
              <w:t>+42</w:t>
            </w:r>
          </w:p>
        </w:tc>
      </w:tr>
      <w:tr w:rsidR="00D8645B" w14:paraId="2A588A14" w14:textId="77777777" w:rsidTr="00664D46">
        <w:tc>
          <w:tcPr>
            <w:tcW w:w="1980" w:type="dxa"/>
            <w:vAlign w:val="center"/>
          </w:tcPr>
          <w:p w14:paraId="257FD642" w14:textId="77777777" w:rsidR="00D8645B" w:rsidRDefault="00D8645B" w:rsidP="00664D46">
            <w:pPr>
              <w:spacing w:line="360" w:lineRule="auto"/>
              <w:jc w:val="center"/>
            </w:pPr>
            <w:r>
              <w:t>Equity Derivatives</w:t>
            </w:r>
          </w:p>
        </w:tc>
        <w:tc>
          <w:tcPr>
            <w:tcW w:w="1364" w:type="dxa"/>
            <w:vAlign w:val="center"/>
          </w:tcPr>
          <w:p w14:paraId="344B5A2C" w14:textId="77777777" w:rsidR="00D8645B" w:rsidRDefault="00D8645B" w:rsidP="00664D46">
            <w:pPr>
              <w:spacing w:line="360" w:lineRule="auto"/>
              <w:jc w:val="center"/>
            </w:pPr>
            <w:r>
              <w:t>156</w:t>
            </w:r>
          </w:p>
        </w:tc>
        <w:tc>
          <w:tcPr>
            <w:tcW w:w="1563" w:type="dxa"/>
            <w:vAlign w:val="center"/>
          </w:tcPr>
          <w:p w14:paraId="49CF2CAA" w14:textId="77777777" w:rsidR="00D8645B" w:rsidRDefault="00D8645B" w:rsidP="00664D46">
            <w:pPr>
              <w:spacing w:line="360" w:lineRule="auto"/>
              <w:jc w:val="center"/>
            </w:pPr>
            <w:r>
              <w:t>(2051)</w:t>
            </w:r>
          </w:p>
        </w:tc>
        <w:tc>
          <w:tcPr>
            <w:tcW w:w="975" w:type="dxa"/>
            <w:vAlign w:val="center"/>
          </w:tcPr>
          <w:p w14:paraId="2BF15811" w14:textId="77777777" w:rsidR="00D8645B" w:rsidRDefault="00D8645B" w:rsidP="00664D46">
            <w:pPr>
              <w:spacing w:line="360" w:lineRule="auto"/>
              <w:jc w:val="center"/>
            </w:pPr>
            <w:r>
              <w:t>(8)</w:t>
            </w:r>
          </w:p>
        </w:tc>
        <w:tc>
          <w:tcPr>
            <w:tcW w:w="969" w:type="dxa"/>
            <w:vAlign w:val="center"/>
          </w:tcPr>
          <w:p w14:paraId="64CC43A3" w14:textId="77777777" w:rsidR="00D8645B" w:rsidRDefault="00D8645B" w:rsidP="00664D46">
            <w:pPr>
              <w:spacing w:line="360" w:lineRule="auto"/>
              <w:jc w:val="center"/>
            </w:pPr>
            <w:r>
              <w:t>33</w:t>
            </w:r>
          </w:p>
        </w:tc>
        <w:tc>
          <w:tcPr>
            <w:tcW w:w="1364" w:type="dxa"/>
            <w:vAlign w:val="center"/>
          </w:tcPr>
          <w:p w14:paraId="0B4BBEA7" w14:textId="77777777" w:rsidR="00D8645B" w:rsidRDefault="00D8645B" w:rsidP="00664D46">
            <w:pPr>
              <w:spacing w:line="360" w:lineRule="auto"/>
              <w:jc w:val="center"/>
            </w:pPr>
            <w:r>
              <w:t>-1316</w:t>
            </w:r>
          </w:p>
        </w:tc>
        <w:tc>
          <w:tcPr>
            <w:tcW w:w="975" w:type="dxa"/>
            <w:vAlign w:val="center"/>
          </w:tcPr>
          <w:p w14:paraId="73DDB880" w14:textId="77777777" w:rsidR="00D8645B" w:rsidRDefault="00D8645B" w:rsidP="00664D46">
            <w:pPr>
              <w:spacing w:line="360" w:lineRule="auto"/>
              <w:jc w:val="center"/>
            </w:pPr>
            <w:r>
              <w:t>-5</w:t>
            </w:r>
          </w:p>
        </w:tc>
        <w:tc>
          <w:tcPr>
            <w:tcW w:w="975" w:type="dxa"/>
            <w:vAlign w:val="center"/>
          </w:tcPr>
          <w:p w14:paraId="1BFBEA4F" w14:textId="77777777" w:rsidR="00D8645B" w:rsidRDefault="00D8645B" w:rsidP="00664D46">
            <w:pPr>
              <w:spacing w:line="360" w:lineRule="auto"/>
              <w:jc w:val="center"/>
            </w:pPr>
            <w:r>
              <w:t>+21</w:t>
            </w:r>
          </w:p>
        </w:tc>
      </w:tr>
      <w:tr w:rsidR="00D8645B" w14:paraId="35D8817C" w14:textId="77777777" w:rsidTr="00664D46">
        <w:tc>
          <w:tcPr>
            <w:tcW w:w="1980" w:type="dxa"/>
            <w:vAlign w:val="center"/>
          </w:tcPr>
          <w:p w14:paraId="21B5EFA5" w14:textId="77777777" w:rsidR="00D8645B" w:rsidRDefault="00D8645B" w:rsidP="00664D46">
            <w:pPr>
              <w:spacing w:line="360" w:lineRule="auto"/>
              <w:jc w:val="center"/>
            </w:pPr>
            <w:r>
              <w:t>G10 FX</w:t>
            </w:r>
          </w:p>
        </w:tc>
        <w:tc>
          <w:tcPr>
            <w:tcW w:w="1364" w:type="dxa"/>
            <w:vAlign w:val="center"/>
          </w:tcPr>
          <w:p w14:paraId="5BB74044" w14:textId="77777777" w:rsidR="00D8645B" w:rsidRDefault="00D8645B" w:rsidP="00664D46">
            <w:pPr>
              <w:spacing w:line="360" w:lineRule="auto"/>
              <w:jc w:val="center"/>
            </w:pPr>
            <w:r>
              <w:t>357</w:t>
            </w:r>
          </w:p>
        </w:tc>
        <w:tc>
          <w:tcPr>
            <w:tcW w:w="1563" w:type="dxa"/>
            <w:vAlign w:val="center"/>
          </w:tcPr>
          <w:p w14:paraId="20295ACE" w14:textId="77777777" w:rsidR="00D8645B" w:rsidRDefault="00D8645B" w:rsidP="00664D46">
            <w:pPr>
              <w:spacing w:line="360" w:lineRule="auto"/>
              <w:jc w:val="center"/>
            </w:pPr>
            <w:r>
              <w:t>(263)</w:t>
            </w:r>
          </w:p>
        </w:tc>
        <w:tc>
          <w:tcPr>
            <w:tcW w:w="975" w:type="dxa"/>
            <w:vAlign w:val="center"/>
          </w:tcPr>
          <w:p w14:paraId="6D8D4C1A" w14:textId="77777777" w:rsidR="00D8645B" w:rsidRDefault="00D8645B" w:rsidP="00664D46">
            <w:pPr>
              <w:spacing w:line="360" w:lineRule="auto"/>
              <w:jc w:val="center"/>
            </w:pPr>
            <w:r>
              <w:t>(9)</w:t>
            </w:r>
          </w:p>
        </w:tc>
        <w:tc>
          <w:tcPr>
            <w:tcW w:w="969" w:type="dxa"/>
            <w:vAlign w:val="center"/>
          </w:tcPr>
          <w:p w14:paraId="60AD7548" w14:textId="77777777" w:rsidR="00D8645B" w:rsidRDefault="00D8645B" w:rsidP="00664D46">
            <w:pPr>
              <w:spacing w:line="360" w:lineRule="auto"/>
              <w:jc w:val="center"/>
            </w:pPr>
            <w:r>
              <w:t>74</w:t>
            </w:r>
          </w:p>
        </w:tc>
        <w:tc>
          <w:tcPr>
            <w:tcW w:w="1364" w:type="dxa"/>
            <w:vAlign w:val="center"/>
          </w:tcPr>
          <w:p w14:paraId="79794476" w14:textId="77777777" w:rsidR="00D8645B" w:rsidRDefault="00D8645B" w:rsidP="00664D46">
            <w:pPr>
              <w:spacing w:line="360" w:lineRule="auto"/>
              <w:jc w:val="center"/>
            </w:pPr>
            <w:r>
              <w:t>-74</w:t>
            </w:r>
          </w:p>
        </w:tc>
        <w:tc>
          <w:tcPr>
            <w:tcW w:w="975" w:type="dxa"/>
            <w:vAlign w:val="center"/>
          </w:tcPr>
          <w:p w14:paraId="3C4465FE" w14:textId="77777777" w:rsidR="00D8645B" w:rsidRDefault="00D8645B" w:rsidP="00664D46">
            <w:pPr>
              <w:spacing w:line="360" w:lineRule="auto"/>
              <w:jc w:val="center"/>
            </w:pPr>
            <w:r>
              <w:t>-3</w:t>
            </w:r>
          </w:p>
        </w:tc>
        <w:tc>
          <w:tcPr>
            <w:tcW w:w="975" w:type="dxa"/>
            <w:vAlign w:val="center"/>
          </w:tcPr>
          <w:p w14:paraId="27099652" w14:textId="77777777" w:rsidR="00D8645B" w:rsidRDefault="00D8645B" w:rsidP="00664D46">
            <w:pPr>
              <w:spacing w:line="360" w:lineRule="auto"/>
              <w:jc w:val="center"/>
            </w:pPr>
            <w:r>
              <w:t>+21</w:t>
            </w:r>
          </w:p>
        </w:tc>
      </w:tr>
      <w:tr w:rsidR="00D8645B" w14:paraId="4D987352" w14:textId="77777777" w:rsidTr="00664D46">
        <w:tc>
          <w:tcPr>
            <w:tcW w:w="1980" w:type="dxa"/>
            <w:vAlign w:val="center"/>
          </w:tcPr>
          <w:p w14:paraId="4DEC46A4" w14:textId="77777777" w:rsidR="00D8645B" w:rsidRDefault="00D8645B" w:rsidP="00664D46">
            <w:pPr>
              <w:spacing w:line="360" w:lineRule="auto"/>
              <w:jc w:val="center"/>
            </w:pPr>
            <w:r>
              <w:t>Liquid Markets</w:t>
            </w:r>
          </w:p>
        </w:tc>
        <w:tc>
          <w:tcPr>
            <w:tcW w:w="1364" w:type="dxa"/>
            <w:vAlign w:val="center"/>
          </w:tcPr>
          <w:p w14:paraId="7C5EDE30" w14:textId="77777777" w:rsidR="00D8645B" w:rsidRDefault="00D8645B" w:rsidP="00664D46">
            <w:pPr>
              <w:spacing w:line="360" w:lineRule="auto"/>
              <w:jc w:val="center"/>
            </w:pPr>
            <w:r>
              <w:t>826</w:t>
            </w:r>
          </w:p>
        </w:tc>
        <w:tc>
          <w:tcPr>
            <w:tcW w:w="1563" w:type="dxa"/>
            <w:vAlign w:val="center"/>
          </w:tcPr>
          <w:p w14:paraId="5E7EC4C2" w14:textId="77777777" w:rsidR="00D8645B" w:rsidRDefault="00D8645B" w:rsidP="00664D46">
            <w:pPr>
              <w:spacing w:line="360" w:lineRule="auto"/>
              <w:jc w:val="center"/>
            </w:pPr>
            <w:r>
              <w:t>195</w:t>
            </w:r>
          </w:p>
        </w:tc>
        <w:tc>
          <w:tcPr>
            <w:tcW w:w="975" w:type="dxa"/>
            <w:vAlign w:val="center"/>
          </w:tcPr>
          <w:p w14:paraId="404F20EA" w14:textId="77777777" w:rsidR="00D8645B" w:rsidRDefault="00D8645B" w:rsidP="00664D46">
            <w:pPr>
              <w:spacing w:line="360" w:lineRule="auto"/>
              <w:jc w:val="center"/>
            </w:pPr>
            <w:r>
              <w:t>(21)</w:t>
            </w:r>
          </w:p>
        </w:tc>
        <w:tc>
          <w:tcPr>
            <w:tcW w:w="969" w:type="dxa"/>
            <w:vAlign w:val="center"/>
          </w:tcPr>
          <w:p w14:paraId="36AE9410" w14:textId="77777777" w:rsidR="00D8645B" w:rsidRDefault="00D8645B" w:rsidP="00664D46">
            <w:pPr>
              <w:spacing w:line="360" w:lineRule="auto"/>
              <w:jc w:val="center"/>
            </w:pPr>
            <w:r>
              <w:t>172</w:t>
            </w:r>
          </w:p>
        </w:tc>
        <w:tc>
          <w:tcPr>
            <w:tcW w:w="1364" w:type="dxa"/>
            <w:vAlign w:val="center"/>
          </w:tcPr>
          <w:p w14:paraId="62730898" w14:textId="77777777" w:rsidR="00D8645B" w:rsidRDefault="00D8645B" w:rsidP="00664D46">
            <w:pPr>
              <w:spacing w:line="360" w:lineRule="auto"/>
              <w:jc w:val="center"/>
            </w:pPr>
            <w:r>
              <w:t>+24</w:t>
            </w:r>
          </w:p>
        </w:tc>
        <w:tc>
          <w:tcPr>
            <w:tcW w:w="975" w:type="dxa"/>
            <w:vAlign w:val="center"/>
          </w:tcPr>
          <w:p w14:paraId="721DA6CD" w14:textId="77777777" w:rsidR="00D8645B" w:rsidRDefault="00D8645B" w:rsidP="00664D46">
            <w:pPr>
              <w:spacing w:line="360" w:lineRule="auto"/>
              <w:jc w:val="center"/>
            </w:pPr>
            <w:r>
              <w:t>-3</w:t>
            </w:r>
          </w:p>
        </w:tc>
        <w:tc>
          <w:tcPr>
            <w:tcW w:w="975" w:type="dxa"/>
            <w:vAlign w:val="center"/>
          </w:tcPr>
          <w:p w14:paraId="769502C7" w14:textId="77777777" w:rsidR="00D8645B" w:rsidRDefault="00D8645B" w:rsidP="00664D46">
            <w:pPr>
              <w:spacing w:line="360" w:lineRule="auto"/>
              <w:jc w:val="center"/>
            </w:pPr>
            <w:r>
              <w:t>+21</w:t>
            </w:r>
          </w:p>
        </w:tc>
      </w:tr>
      <w:tr w:rsidR="00D8645B" w14:paraId="1B2B9FF7" w14:textId="77777777" w:rsidTr="00664D46">
        <w:tc>
          <w:tcPr>
            <w:tcW w:w="1980" w:type="dxa"/>
            <w:vAlign w:val="center"/>
          </w:tcPr>
          <w:p w14:paraId="6C8CE156" w14:textId="77777777" w:rsidR="00D8645B" w:rsidRDefault="00D8645B" w:rsidP="00664D46">
            <w:pPr>
              <w:spacing w:line="360" w:lineRule="auto"/>
              <w:jc w:val="center"/>
            </w:pPr>
            <w:r>
              <w:t>Finance</w:t>
            </w:r>
          </w:p>
        </w:tc>
        <w:tc>
          <w:tcPr>
            <w:tcW w:w="1364" w:type="dxa"/>
            <w:vAlign w:val="center"/>
          </w:tcPr>
          <w:p w14:paraId="73AD8432" w14:textId="77777777" w:rsidR="00D8645B" w:rsidRDefault="00D8645B" w:rsidP="00664D46">
            <w:pPr>
              <w:spacing w:line="360" w:lineRule="auto"/>
              <w:jc w:val="center"/>
            </w:pPr>
            <w:r>
              <w:t>408</w:t>
            </w:r>
          </w:p>
        </w:tc>
        <w:tc>
          <w:tcPr>
            <w:tcW w:w="1563" w:type="dxa"/>
            <w:vAlign w:val="center"/>
          </w:tcPr>
          <w:p w14:paraId="62B557FD" w14:textId="77777777" w:rsidR="00D8645B" w:rsidRDefault="00D8645B" w:rsidP="00664D46">
            <w:pPr>
              <w:spacing w:line="360" w:lineRule="auto"/>
              <w:jc w:val="center"/>
            </w:pPr>
            <w:r>
              <w:t>55</w:t>
            </w:r>
          </w:p>
        </w:tc>
        <w:tc>
          <w:tcPr>
            <w:tcW w:w="975" w:type="dxa"/>
            <w:vAlign w:val="center"/>
          </w:tcPr>
          <w:p w14:paraId="61FD7F6B" w14:textId="77777777" w:rsidR="00D8645B" w:rsidRDefault="00D8645B" w:rsidP="00664D46">
            <w:pPr>
              <w:spacing w:line="360" w:lineRule="auto"/>
              <w:jc w:val="center"/>
            </w:pPr>
            <w:r>
              <w:t>(10)</w:t>
            </w:r>
          </w:p>
        </w:tc>
        <w:tc>
          <w:tcPr>
            <w:tcW w:w="969" w:type="dxa"/>
            <w:vAlign w:val="center"/>
          </w:tcPr>
          <w:p w14:paraId="550E0509" w14:textId="77777777" w:rsidR="00D8645B" w:rsidRDefault="00D8645B" w:rsidP="00664D46">
            <w:pPr>
              <w:spacing w:line="360" w:lineRule="auto"/>
              <w:jc w:val="center"/>
            </w:pPr>
            <w:r>
              <w:t>85</w:t>
            </w:r>
          </w:p>
        </w:tc>
        <w:tc>
          <w:tcPr>
            <w:tcW w:w="1364" w:type="dxa"/>
            <w:vAlign w:val="center"/>
          </w:tcPr>
          <w:p w14:paraId="15E409F5" w14:textId="77777777" w:rsidR="00D8645B" w:rsidRDefault="00D8645B" w:rsidP="00664D46">
            <w:pPr>
              <w:spacing w:line="360" w:lineRule="auto"/>
              <w:jc w:val="center"/>
            </w:pPr>
            <w:r>
              <w:t>+13</w:t>
            </w:r>
          </w:p>
        </w:tc>
        <w:tc>
          <w:tcPr>
            <w:tcW w:w="975" w:type="dxa"/>
            <w:vAlign w:val="center"/>
          </w:tcPr>
          <w:p w14:paraId="685EADC1" w14:textId="77777777" w:rsidR="00D8645B" w:rsidRDefault="00D8645B" w:rsidP="00664D46">
            <w:pPr>
              <w:spacing w:line="360" w:lineRule="auto"/>
              <w:jc w:val="center"/>
            </w:pPr>
            <w:r>
              <w:t>-3</w:t>
            </w:r>
          </w:p>
        </w:tc>
        <w:tc>
          <w:tcPr>
            <w:tcW w:w="975" w:type="dxa"/>
            <w:vAlign w:val="center"/>
          </w:tcPr>
          <w:p w14:paraId="133CB655" w14:textId="77777777" w:rsidR="00D8645B" w:rsidRDefault="00D8645B" w:rsidP="00664D46">
            <w:pPr>
              <w:spacing w:line="360" w:lineRule="auto"/>
              <w:jc w:val="center"/>
            </w:pPr>
            <w:r>
              <w:t>+21</w:t>
            </w:r>
          </w:p>
        </w:tc>
      </w:tr>
      <w:tr w:rsidR="00D8645B" w14:paraId="6222E308" w14:textId="77777777" w:rsidTr="00664D46">
        <w:tc>
          <w:tcPr>
            <w:tcW w:w="1980" w:type="dxa"/>
            <w:vAlign w:val="center"/>
          </w:tcPr>
          <w:p w14:paraId="73A48C56" w14:textId="77777777" w:rsidR="00D8645B" w:rsidRDefault="00D8645B" w:rsidP="00664D46">
            <w:pPr>
              <w:spacing w:line="360" w:lineRule="auto"/>
              <w:jc w:val="center"/>
            </w:pPr>
            <w:r>
              <w:t>MT</w:t>
            </w:r>
          </w:p>
        </w:tc>
        <w:tc>
          <w:tcPr>
            <w:tcW w:w="1364" w:type="dxa"/>
            <w:vAlign w:val="center"/>
          </w:tcPr>
          <w:p w14:paraId="0AA8B5A2" w14:textId="77777777" w:rsidR="00D8645B" w:rsidRDefault="00D8645B" w:rsidP="00664D46">
            <w:pPr>
              <w:spacing w:line="360" w:lineRule="auto"/>
              <w:jc w:val="center"/>
            </w:pPr>
            <w:r>
              <w:t>730</w:t>
            </w:r>
          </w:p>
        </w:tc>
        <w:tc>
          <w:tcPr>
            <w:tcW w:w="1563" w:type="dxa"/>
            <w:vAlign w:val="center"/>
          </w:tcPr>
          <w:p w14:paraId="054CBB08" w14:textId="77777777" w:rsidR="00D8645B" w:rsidRDefault="00D8645B" w:rsidP="00664D46">
            <w:pPr>
              <w:spacing w:line="360" w:lineRule="auto"/>
              <w:jc w:val="center"/>
            </w:pPr>
            <w:r>
              <w:t>328</w:t>
            </w:r>
          </w:p>
        </w:tc>
        <w:tc>
          <w:tcPr>
            <w:tcW w:w="975" w:type="dxa"/>
            <w:vAlign w:val="center"/>
          </w:tcPr>
          <w:p w14:paraId="6BAFD7B4" w14:textId="77777777" w:rsidR="00D8645B" w:rsidRDefault="00D8645B" w:rsidP="00664D46">
            <w:pPr>
              <w:spacing w:line="360" w:lineRule="auto"/>
              <w:jc w:val="center"/>
            </w:pPr>
            <w:r>
              <w:t>(19)</w:t>
            </w:r>
          </w:p>
        </w:tc>
        <w:tc>
          <w:tcPr>
            <w:tcW w:w="969" w:type="dxa"/>
            <w:vAlign w:val="center"/>
          </w:tcPr>
          <w:p w14:paraId="53F2FE43" w14:textId="77777777" w:rsidR="00D8645B" w:rsidRDefault="00D8645B" w:rsidP="00664D46">
            <w:pPr>
              <w:spacing w:line="360" w:lineRule="auto"/>
              <w:jc w:val="center"/>
            </w:pPr>
            <w:r>
              <w:t>152</w:t>
            </w:r>
          </w:p>
        </w:tc>
        <w:tc>
          <w:tcPr>
            <w:tcW w:w="1364" w:type="dxa"/>
            <w:vAlign w:val="center"/>
          </w:tcPr>
          <w:p w14:paraId="2C114382" w14:textId="77777777" w:rsidR="00D8645B" w:rsidRDefault="00D8645B" w:rsidP="00664D46">
            <w:pPr>
              <w:spacing w:line="360" w:lineRule="auto"/>
              <w:jc w:val="center"/>
            </w:pPr>
            <w:r>
              <w:t>+45</w:t>
            </w:r>
          </w:p>
        </w:tc>
        <w:tc>
          <w:tcPr>
            <w:tcW w:w="975" w:type="dxa"/>
            <w:vAlign w:val="center"/>
          </w:tcPr>
          <w:p w14:paraId="2D578CAC" w14:textId="77777777" w:rsidR="00D8645B" w:rsidRDefault="00D8645B" w:rsidP="00664D46">
            <w:pPr>
              <w:spacing w:line="360" w:lineRule="auto"/>
              <w:jc w:val="center"/>
            </w:pPr>
            <w:r>
              <w:t>-3</w:t>
            </w:r>
          </w:p>
        </w:tc>
        <w:tc>
          <w:tcPr>
            <w:tcW w:w="975" w:type="dxa"/>
            <w:vAlign w:val="center"/>
          </w:tcPr>
          <w:p w14:paraId="12BC700A" w14:textId="77777777" w:rsidR="00D8645B" w:rsidRDefault="00D8645B" w:rsidP="00664D46">
            <w:pPr>
              <w:spacing w:line="360" w:lineRule="auto"/>
              <w:jc w:val="center"/>
            </w:pPr>
            <w:r>
              <w:t>+21</w:t>
            </w:r>
          </w:p>
        </w:tc>
      </w:tr>
      <w:tr w:rsidR="00D8645B" w14:paraId="0C9C9B7C" w14:textId="77777777" w:rsidTr="00664D46">
        <w:tc>
          <w:tcPr>
            <w:tcW w:w="1980" w:type="dxa"/>
            <w:vAlign w:val="center"/>
          </w:tcPr>
          <w:p w14:paraId="6F6C9AF8" w14:textId="77777777" w:rsidR="00D8645B" w:rsidRDefault="00D8645B" w:rsidP="00664D46">
            <w:pPr>
              <w:spacing w:line="360" w:lineRule="auto"/>
              <w:jc w:val="center"/>
            </w:pPr>
            <w:r>
              <w:t>G10 Rates</w:t>
            </w:r>
          </w:p>
        </w:tc>
        <w:tc>
          <w:tcPr>
            <w:tcW w:w="1364" w:type="dxa"/>
            <w:vAlign w:val="center"/>
          </w:tcPr>
          <w:p w14:paraId="34821FF8" w14:textId="77777777" w:rsidR="00D8645B" w:rsidRDefault="00D8645B" w:rsidP="00664D46">
            <w:pPr>
              <w:spacing w:line="360" w:lineRule="auto"/>
              <w:jc w:val="center"/>
            </w:pPr>
            <w:r>
              <w:t>685</w:t>
            </w:r>
          </w:p>
        </w:tc>
        <w:tc>
          <w:tcPr>
            <w:tcW w:w="1563" w:type="dxa"/>
            <w:vAlign w:val="center"/>
          </w:tcPr>
          <w:p w14:paraId="7F113AF1" w14:textId="77777777" w:rsidR="00D8645B" w:rsidRDefault="00D8645B" w:rsidP="00664D46">
            <w:pPr>
              <w:spacing w:line="360" w:lineRule="auto"/>
              <w:jc w:val="center"/>
            </w:pPr>
            <w:r>
              <w:t>(47)</w:t>
            </w:r>
          </w:p>
        </w:tc>
        <w:tc>
          <w:tcPr>
            <w:tcW w:w="975" w:type="dxa"/>
            <w:vAlign w:val="center"/>
          </w:tcPr>
          <w:p w14:paraId="530F2530" w14:textId="77777777" w:rsidR="00D8645B" w:rsidRDefault="00D8645B" w:rsidP="00664D46">
            <w:pPr>
              <w:spacing w:line="360" w:lineRule="auto"/>
              <w:jc w:val="center"/>
            </w:pPr>
            <w:r>
              <w:t>(35)</w:t>
            </w:r>
          </w:p>
        </w:tc>
        <w:tc>
          <w:tcPr>
            <w:tcW w:w="969" w:type="dxa"/>
            <w:vAlign w:val="center"/>
          </w:tcPr>
          <w:p w14:paraId="0712832C" w14:textId="77777777" w:rsidR="00D8645B" w:rsidRDefault="00D8645B" w:rsidP="00664D46">
            <w:pPr>
              <w:spacing w:line="360" w:lineRule="auto"/>
              <w:jc w:val="center"/>
            </w:pPr>
            <w:r>
              <w:t>143</w:t>
            </w:r>
          </w:p>
        </w:tc>
        <w:tc>
          <w:tcPr>
            <w:tcW w:w="1364" w:type="dxa"/>
            <w:vAlign w:val="center"/>
          </w:tcPr>
          <w:p w14:paraId="6C3EF591" w14:textId="77777777" w:rsidR="00D8645B" w:rsidRDefault="00D8645B" w:rsidP="00664D46">
            <w:pPr>
              <w:spacing w:line="360" w:lineRule="auto"/>
              <w:jc w:val="center"/>
            </w:pPr>
            <w:r>
              <w:t>-7</w:t>
            </w:r>
          </w:p>
        </w:tc>
        <w:tc>
          <w:tcPr>
            <w:tcW w:w="975" w:type="dxa"/>
            <w:vAlign w:val="center"/>
          </w:tcPr>
          <w:p w14:paraId="465F9990" w14:textId="77777777" w:rsidR="00D8645B" w:rsidRDefault="00D8645B" w:rsidP="00664D46">
            <w:pPr>
              <w:spacing w:line="360" w:lineRule="auto"/>
              <w:jc w:val="center"/>
            </w:pPr>
            <w:r>
              <w:t>-5</w:t>
            </w:r>
          </w:p>
        </w:tc>
        <w:tc>
          <w:tcPr>
            <w:tcW w:w="975" w:type="dxa"/>
            <w:vAlign w:val="center"/>
          </w:tcPr>
          <w:p w14:paraId="5C92F3B7" w14:textId="77777777" w:rsidR="00D8645B" w:rsidRDefault="00D8645B" w:rsidP="00664D46">
            <w:pPr>
              <w:spacing w:line="360" w:lineRule="auto"/>
              <w:jc w:val="center"/>
            </w:pPr>
            <w:r>
              <w:t>+21</w:t>
            </w:r>
          </w:p>
        </w:tc>
      </w:tr>
      <w:tr w:rsidR="00D8645B" w14:paraId="0BED7C08" w14:textId="77777777" w:rsidTr="00664D46">
        <w:tc>
          <w:tcPr>
            <w:tcW w:w="1980" w:type="dxa"/>
            <w:vAlign w:val="center"/>
          </w:tcPr>
          <w:p w14:paraId="6F059C04" w14:textId="77777777" w:rsidR="00D8645B" w:rsidRDefault="00D8645B" w:rsidP="00664D46">
            <w:pPr>
              <w:spacing w:line="360" w:lineRule="auto"/>
              <w:jc w:val="center"/>
            </w:pPr>
            <w:r>
              <w:t>Hybrids</w:t>
            </w:r>
          </w:p>
        </w:tc>
        <w:tc>
          <w:tcPr>
            <w:tcW w:w="1364" w:type="dxa"/>
            <w:vAlign w:val="center"/>
          </w:tcPr>
          <w:p w14:paraId="453F3998" w14:textId="77777777" w:rsidR="00D8645B" w:rsidRDefault="00D8645B" w:rsidP="00664D46">
            <w:pPr>
              <w:spacing w:line="360" w:lineRule="auto"/>
              <w:jc w:val="center"/>
            </w:pPr>
            <w:r>
              <w:t>258</w:t>
            </w:r>
          </w:p>
        </w:tc>
        <w:tc>
          <w:tcPr>
            <w:tcW w:w="1563" w:type="dxa"/>
            <w:vAlign w:val="center"/>
          </w:tcPr>
          <w:p w14:paraId="259144AD" w14:textId="77777777" w:rsidR="00D8645B" w:rsidRDefault="00D8645B" w:rsidP="00664D46">
            <w:pPr>
              <w:spacing w:line="360" w:lineRule="auto"/>
              <w:jc w:val="center"/>
            </w:pPr>
            <w:r>
              <w:t>(95)</w:t>
            </w:r>
          </w:p>
        </w:tc>
        <w:tc>
          <w:tcPr>
            <w:tcW w:w="975" w:type="dxa"/>
            <w:vAlign w:val="center"/>
          </w:tcPr>
          <w:p w14:paraId="51046D20" w14:textId="77777777" w:rsidR="00D8645B" w:rsidRDefault="00D8645B" w:rsidP="00664D46">
            <w:pPr>
              <w:spacing w:line="360" w:lineRule="auto"/>
              <w:jc w:val="center"/>
            </w:pPr>
            <w:r>
              <w:t>(13)</w:t>
            </w:r>
          </w:p>
        </w:tc>
        <w:tc>
          <w:tcPr>
            <w:tcW w:w="969" w:type="dxa"/>
            <w:vAlign w:val="center"/>
          </w:tcPr>
          <w:p w14:paraId="31DB3B05" w14:textId="77777777" w:rsidR="00D8645B" w:rsidRDefault="00D8645B" w:rsidP="00664D46">
            <w:pPr>
              <w:spacing w:line="360" w:lineRule="auto"/>
              <w:jc w:val="center"/>
            </w:pPr>
            <w:r>
              <w:t>54</w:t>
            </w:r>
          </w:p>
        </w:tc>
        <w:tc>
          <w:tcPr>
            <w:tcW w:w="1364" w:type="dxa"/>
            <w:vAlign w:val="center"/>
          </w:tcPr>
          <w:p w14:paraId="4273F2DA" w14:textId="77777777" w:rsidR="00D8645B" w:rsidRDefault="00D8645B" w:rsidP="00664D46">
            <w:pPr>
              <w:spacing w:line="360" w:lineRule="auto"/>
              <w:jc w:val="center"/>
            </w:pPr>
            <w:r>
              <w:t>-37</w:t>
            </w:r>
          </w:p>
        </w:tc>
        <w:tc>
          <w:tcPr>
            <w:tcW w:w="975" w:type="dxa"/>
            <w:vAlign w:val="center"/>
          </w:tcPr>
          <w:p w14:paraId="75386C56" w14:textId="77777777" w:rsidR="00D8645B" w:rsidRDefault="00D8645B" w:rsidP="00664D46">
            <w:pPr>
              <w:spacing w:line="360" w:lineRule="auto"/>
              <w:jc w:val="center"/>
            </w:pPr>
            <w:r>
              <w:t>-5</w:t>
            </w:r>
          </w:p>
        </w:tc>
        <w:tc>
          <w:tcPr>
            <w:tcW w:w="975" w:type="dxa"/>
            <w:vAlign w:val="center"/>
          </w:tcPr>
          <w:p w14:paraId="10A1029A" w14:textId="77777777" w:rsidR="00D8645B" w:rsidRDefault="00D8645B" w:rsidP="00664D46">
            <w:pPr>
              <w:spacing w:line="360" w:lineRule="auto"/>
              <w:jc w:val="center"/>
            </w:pPr>
            <w:r>
              <w:t>+21</w:t>
            </w:r>
          </w:p>
        </w:tc>
      </w:tr>
      <w:tr w:rsidR="00D8645B" w14:paraId="2364DB7F" w14:textId="77777777" w:rsidTr="00664D46">
        <w:tc>
          <w:tcPr>
            <w:tcW w:w="1980" w:type="dxa"/>
            <w:vAlign w:val="center"/>
          </w:tcPr>
          <w:p w14:paraId="30BBE738" w14:textId="77777777" w:rsidR="00D8645B" w:rsidRDefault="00D8645B" w:rsidP="00664D46">
            <w:pPr>
              <w:spacing w:line="360" w:lineRule="auto"/>
              <w:jc w:val="center"/>
            </w:pPr>
            <w:r>
              <w:t>Munis</w:t>
            </w:r>
          </w:p>
        </w:tc>
        <w:tc>
          <w:tcPr>
            <w:tcW w:w="1364" w:type="dxa"/>
            <w:vAlign w:val="center"/>
          </w:tcPr>
          <w:p w14:paraId="33A21E8B" w14:textId="77777777" w:rsidR="00D8645B" w:rsidRDefault="00D8645B" w:rsidP="00664D46">
            <w:pPr>
              <w:spacing w:line="360" w:lineRule="auto"/>
              <w:jc w:val="center"/>
            </w:pPr>
            <w:r>
              <w:t>1467</w:t>
            </w:r>
          </w:p>
        </w:tc>
        <w:tc>
          <w:tcPr>
            <w:tcW w:w="1563" w:type="dxa"/>
            <w:vAlign w:val="center"/>
          </w:tcPr>
          <w:p w14:paraId="6D7A941C" w14:textId="77777777" w:rsidR="00D8645B" w:rsidRDefault="00D8645B" w:rsidP="00664D46">
            <w:pPr>
              <w:spacing w:line="360" w:lineRule="auto"/>
              <w:jc w:val="center"/>
            </w:pPr>
            <w:r>
              <w:t>1063</w:t>
            </w:r>
          </w:p>
        </w:tc>
        <w:tc>
          <w:tcPr>
            <w:tcW w:w="975" w:type="dxa"/>
            <w:vAlign w:val="center"/>
          </w:tcPr>
          <w:p w14:paraId="1290D94E" w14:textId="77777777" w:rsidR="00D8645B" w:rsidRDefault="00D8645B" w:rsidP="00664D46">
            <w:pPr>
              <w:spacing w:line="360" w:lineRule="auto"/>
              <w:jc w:val="center"/>
            </w:pPr>
            <w:r>
              <w:t>(75)</w:t>
            </w:r>
          </w:p>
        </w:tc>
        <w:tc>
          <w:tcPr>
            <w:tcW w:w="969" w:type="dxa"/>
            <w:vAlign w:val="center"/>
          </w:tcPr>
          <w:p w14:paraId="59ED44CD" w14:textId="77777777" w:rsidR="00D8645B" w:rsidRDefault="00D8645B" w:rsidP="00664D46">
            <w:pPr>
              <w:spacing w:line="360" w:lineRule="auto"/>
              <w:jc w:val="center"/>
            </w:pPr>
            <w:r>
              <w:t>612</w:t>
            </w:r>
          </w:p>
        </w:tc>
        <w:tc>
          <w:tcPr>
            <w:tcW w:w="1364" w:type="dxa"/>
            <w:vAlign w:val="center"/>
          </w:tcPr>
          <w:p w14:paraId="7E75408A" w14:textId="77777777" w:rsidR="00D8645B" w:rsidRDefault="00D8645B" w:rsidP="00664D46">
            <w:pPr>
              <w:spacing w:line="360" w:lineRule="auto"/>
              <w:jc w:val="center"/>
            </w:pPr>
            <w:r>
              <w:t>+72</w:t>
            </w:r>
          </w:p>
        </w:tc>
        <w:tc>
          <w:tcPr>
            <w:tcW w:w="975" w:type="dxa"/>
            <w:vAlign w:val="center"/>
          </w:tcPr>
          <w:p w14:paraId="7339E6B1" w14:textId="77777777" w:rsidR="00D8645B" w:rsidRDefault="00D8645B" w:rsidP="00664D46">
            <w:pPr>
              <w:spacing w:line="360" w:lineRule="auto"/>
              <w:jc w:val="center"/>
            </w:pPr>
            <w:r>
              <w:t>-5</w:t>
            </w:r>
          </w:p>
        </w:tc>
        <w:tc>
          <w:tcPr>
            <w:tcW w:w="975" w:type="dxa"/>
            <w:vAlign w:val="center"/>
          </w:tcPr>
          <w:p w14:paraId="0F53F82F" w14:textId="77777777" w:rsidR="00D8645B" w:rsidRDefault="00D8645B" w:rsidP="00664D46">
            <w:pPr>
              <w:spacing w:line="360" w:lineRule="auto"/>
              <w:jc w:val="center"/>
            </w:pPr>
            <w:r>
              <w:t>+42</w:t>
            </w:r>
          </w:p>
        </w:tc>
      </w:tr>
      <w:tr w:rsidR="00D8645B" w14:paraId="164D470F" w14:textId="77777777" w:rsidTr="00664D46">
        <w:tc>
          <w:tcPr>
            <w:tcW w:w="1980" w:type="dxa"/>
            <w:vAlign w:val="center"/>
          </w:tcPr>
          <w:p w14:paraId="6F45685B" w14:textId="77777777" w:rsidR="00D8645B" w:rsidRDefault="00D8645B" w:rsidP="00664D46">
            <w:pPr>
              <w:spacing w:line="360" w:lineRule="auto"/>
              <w:jc w:val="center"/>
            </w:pPr>
            <w:r>
              <w:t>Prime Finance</w:t>
            </w:r>
          </w:p>
        </w:tc>
        <w:tc>
          <w:tcPr>
            <w:tcW w:w="1364" w:type="dxa"/>
            <w:vAlign w:val="center"/>
          </w:tcPr>
          <w:p w14:paraId="54C1675D" w14:textId="77777777" w:rsidR="00D8645B" w:rsidRDefault="00D8645B" w:rsidP="00664D46">
            <w:pPr>
              <w:spacing w:line="360" w:lineRule="auto"/>
              <w:jc w:val="center"/>
            </w:pPr>
            <w:r>
              <w:t>12</w:t>
            </w:r>
          </w:p>
        </w:tc>
        <w:tc>
          <w:tcPr>
            <w:tcW w:w="1563" w:type="dxa"/>
            <w:vAlign w:val="center"/>
          </w:tcPr>
          <w:p w14:paraId="1AA741D0" w14:textId="77777777" w:rsidR="00D8645B" w:rsidRDefault="00D8645B" w:rsidP="00664D46">
            <w:pPr>
              <w:spacing w:line="360" w:lineRule="auto"/>
              <w:jc w:val="center"/>
            </w:pPr>
            <w:r>
              <w:t>4</w:t>
            </w:r>
          </w:p>
        </w:tc>
        <w:tc>
          <w:tcPr>
            <w:tcW w:w="975" w:type="dxa"/>
            <w:vAlign w:val="center"/>
          </w:tcPr>
          <w:p w14:paraId="1D94990A" w14:textId="77777777" w:rsidR="00D8645B" w:rsidRDefault="00D8645B" w:rsidP="00664D46">
            <w:pPr>
              <w:spacing w:line="360" w:lineRule="auto"/>
              <w:jc w:val="center"/>
            </w:pPr>
            <w:r>
              <w:t>(0)</w:t>
            </w:r>
          </w:p>
        </w:tc>
        <w:tc>
          <w:tcPr>
            <w:tcW w:w="969" w:type="dxa"/>
            <w:vAlign w:val="center"/>
          </w:tcPr>
          <w:p w14:paraId="68BFCB41" w14:textId="77777777" w:rsidR="00D8645B" w:rsidRDefault="00D8645B" w:rsidP="00664D46">
            <w:pPr>
              <w:spacing w:line="360" w:lineRule="auto"/>
              <w:jc w:val="center"/>
            </w:pPr>
            <w:r>
              <w:t>3</w:t>
            </w:r>
          </w:p>
        </w:tc>
        <w:tc>
          <w:tcPr>
            <w:tcW w:w="1364" w:type="dxa"/>
            <w:vAlign w:val="center"/>
          </w:tcPr>
          <w:p w14:paraId="20E5666A" w14:textId="77777777" w:rsidR="00D8645B" w:rsidRDefault="00D8645B" w:rsidP="00664D46">
            <w:pPr>
              <w:spacing w:line="360" w:lineRule="auto"/>
              <w:jc w:val="center"/>
            </w:pPr>
            <w:r>
              <w:t>+34</w:t>
            </w:r>
          </w:p>
        </w:tc>
        <w:tc>
          <w:tcPr>
            <w:tcW w:w="975" w:type="dxa"/>
            <w:vAlign w:val="center"/>
          </w:tcPr>
          <w:p w14:paraId="1B96B645" w14:textId="77777777" w:rsidR="00D8645B" w:rsidRDefault="00D8645B" w:rsidP="00664D46">
            <w:pPr>
              <w:spacing w:line="360" w:lineRule="auto"/>
              <w:jc w:val="center"/>
            </w:pPr>
            <w:r>
              <w:t>-3</w:t>
            </w:r>
          </w:p>
        </w:tc>
        <w:tc>
          <w:tcPr>
            <w:tcW w:w="975" w:type="dxa"/>
            <w:vAlign w:val="center"/>
          </w:tcPr>
          <w:p w14:paraId="7FDB2CA9" w14:textId="77777777" w:rsidR="00D8645B" w:rsidRDefault="00D8645B" w:rsidP="00664D46">
            <w:pPr>
              <w:spacing w:line="360" w:lineRule="auto"/>
              <w:jc w:val="center"/>
            </w:pPr>
            <w:r>
              <w:t>+21</w:t>
            </w:r>
          </w:p>
        </w:tc>
      </w:tr>
      <w:tr w:rsidR="00D8645B" w14:paraId="48EFE1FC" w14:textId="77777777" w:rsidTr="00664D46">
        <w:tc>
          <w:tcPr>
            <w:tcW w:w="1980" w:type="dxa"/>
            <w:vAlign w:val="center"/>
          </w:tcPr>
          <w:p w14:paraId="2DABC113" w14:textId="77777777" w:rsidR="00D8645B" w:rsidRDefault="00D8645B" w:rsidP="00664D46">
            <w:pPr>
              <w:spacing w:line="360" w:lineRule="auto"/>
              <w:jc w:val="center"/>
            </w:pPr>
            <w:r>
              <w:t>GSM</w:t>
            </w:r>
          </w:p>
        </w:tc>
        <w:tc>
          <w:tcPr>
            <w:tcW w:w="1364" w:type="dxa"/>
            <w:vAlign w:val="center"/>
          </w:tcPr>
          <w:p w14:paraId="311AB957" w14:textId="77777777" w:rsidR="00D8645B" w:rsidRDefault="00D8645B" w:rsidP="00664D46">
            <w:pPr>
              <w:spacing w:line="360" w:lineRule="auto"/>
              <w:jc w:val="center"/>
            </w:pPr>
            <w:r>
              <w:t>3042</w:t>
            </w:r>
          </w:p>
        </w:tc>
        <w:tc>
          <w:tcPr>
            <w:tcW w:w="1563" w:type="dxa"/>
            <w:vAlign w:val="center"/>
          </w:tcPr>
          <w:p w14:paraId="6945045D" w14:textId="77777777" w:rsidR="00D8645B" w:rsidRDefault="00D8645B" w:rsidP="00664D46">
            <w:pPr>
              <w:spacing w:line="360" w:lineRule="auto"/>
              <w:jc w:val="center"/>
            </w:pPr>
            <w:r>
              <w:t>2914</w:t>
            </w:r>
          </w:p>
        </w:tc>
        <w:tc>
          <w:tcPr>
            <w:tcW w:w="975" w:type="dxa"/>
            <w:vAlign w:val="center"/>
          </w:tcPr>
          <w:p w14:paraId="17C541BF" w14:textId="77777777" w:rsidR="00D8645B" w:rsidRDefault="00D8645B" w:rsidP="00664D46">
            <w:pPr>
              <w:spacing w:line="360" w:lineRule="auto"/>
              <w:jc w:val="center"/>
            </w:pPr>
            <w:r>
              <w:t>2434</w:t>
            </w:r>
          </w:p>
        </w:tc>
        <w:tc>
          <w:tcPr>
            <w:tcW w:w="969" w:type="dxa"/>
            <w:vAlign w:val="center"/>
          </w:tcPr>
          <w:p w14:paraId="05780DB0" w14:textId="77777777" w:rsidR="00D8645B" w:rsidRDefault="00D8645B" w:rsidP="00664D46">
            <w:pPr>
              <w:spacing w:line="360" w:lineRule="auto"/>
              <w:jc w:val="center"/>
            </w:pPr>
            <w:r>
              <w:t>1269</w:t>
            </w:r>
          </w:p>
        </w:tc>
        <w:tc>
          <w:tcPr>
            <w:tcW w:w="1364" w:type="dxa"/>
            <w:vAlign w:val="center"/>
          </w:tcPr>
          <w:p w14:paraId="69B1CF7C" w14:textId="77777777" w:rsidR="00D8645B" w:rsidRDefault="00D8645B" w:rsidP="00664D46">
            <w:pPr>
              <w:spacing w:line="360" w:lineRule="auto"/>
              <w:jc w:val="center"/>
            </w:pPr>
            <w:r>
              <w:t>+96</w:t>
            </w:r>
          </w:p>
        </w:tc>
        <w:tc>
          <w:tcPr>
            <w:tcW w:w="975" w:type="dxa"/>
            <w:vAlign w:val="center"/>
          </w:tcPr>
          <w:p w14:paraId="6571AAE0" w14:textId="77777777" w:rsidR="00D8645B" w:rsidRDefault="00D8645B" w:rsidP="00664D46">
            <w:pPr>
              <w:spacing w:line="360" w:lineRule="auto"/>
              <w:jc w:val="center"/>
            </w:pPr>
            <w:r>
              <w:t>+80</w:t>
            </w:r>
          </w:p>
        </w:tc>
        <w:tc>
          <w:tcPr>
            <w:tcW w:w="975" w:type="dxa"/>
            <w:vAlign w:val="center"/>
          </w:tcPr>
          <w:p w14:paraId="54B5439E" w14:textId="77777777" w:rsidR="00D8645B" w:rsidRDefault="00D8645B" w:rsidP="00664D46">
            <w:pPr>
              <w:spacing w:line="360" w:lineRule="auto"/>
              <w:jc w:val="center"/>
            </w:pPr>
            <w:r>
              <w:t>+42</w:t>
            </w:r>
          </w:p>
        </w:tc>
      </w:tr>
      <w:tr w:rsidR="00D8645B" w14:paraId="077F003C" w14:textId="77777777" w:rsidTr="00664D46">
        <w:tc>
          <w:tcPr>
            <w:tcW w:w="1980" w:type="dxa"/>
            <w:vAlign w:val="center"/>
          </w:tcPr>
          <w:p w14:paraId="35BD555E" w14:textId="77777777" w:rsidR="00D8645B" w:rsidRPr="00B9177F" w:rsidRDefault="00D8645B" w:rsidP="00664D46">
            <w:pPr>
              <w:spacing w:line="360" w:lineRule="auto"/>
              <w:jc w:val="center"/>
              <w:rPr>
                <w:b/>
              </w:rPr>
            </w:pPr>
            <w:r>
              <w:rPr>
                <w:b/>
              </w:rPr>
              <w:t>Total</w:t>
            </w:r>
          </w:p>
        </w:tc>
        <w:tc>
          <w:tcPr>
            <w:tcW w:w="1364" w:type="dxa"/>
            <w:vAlign w:val="center"/>
          </w:tcPr>
          <w:p w14:paraId="3B80C24D" w14:textId="77777777" w:rsidR="00D8645B" w:rsidRPr="00B9177F" w:rsidRDefault="00D8645B" w:rsidP="00664D46">
            <w:pPr>
              <w:spacing w:line="360" w:lineRule="auto"/>
              <w:jc w:val="center"/>
              <w:rPr>
                <w:b/>
              </w:rPr>
            </w:pPr>
            <w:r>
              <w:rPr>
                <w:b/>
              </w:rPr>
              <w:t>12120</w:t>
            </w:r>
          </w:p>
        </w:tc>
        <w:tc>
          <w:tcPr>
            <w:tcW w:w="1563" w:type="dxa"/>
            <w:vAlign w:val="center"/>
          </w:tcPr>
          <w:p w14:paraId="55AAE4EE" w14:textId="77777777" w:rsidR="00D8645B" w:rsidRPr="00B9177F" w:rsidRDefault="00D8645B" w:rsidP="00664D46">
            <w:pPr>
              <w:spacing w:line="360" w:lineRule="auto"/>
              <w:jc w:val="center"/>
              <w:rPr>
                <w:b/>
              </w:rPr>
            </w:pPr>
            <w:r>
              <w:rPr>
                <w:b/>
              </w:rPr>
              <w:t>3877</w:t>
            </w:r>
          </w:p>
        </w:tc>
        <w:tc>
          <w:tcPr>
            <w:tcW w:w="975" w:type="dxa"/>
            <w:vAlign w:val="center"/>
          </w:tcPr>
          <w:p w14:paraId="181D59F3" w14:textId="77777777" w:rsidR="00D8645B" w:rsidRPr="00B9177F" w:rsidRDefault="00D8645B" w:rsidP="00664D46">
            <w:pPr>
              <w:spacing w:line="360" w:lineRule="auto"/>
              <w:jc w:val="center"/>
              <w:rPr>
                <w:b/>
              </w:rPr>
            </w:pPr>
            <w:r>
              <w:rPr>
                <w:b/>
              </w:rPr>
              <w:t>3877</w:t>
            </w:r>
          </w:p>
        </w:tc>
        <w:tc>
          <w:tcPr>
            <w:tcW w:w="969" w:type="dxa"/>
            <w:vAlign w:val="center"/>
          </w:tcPr>
          <w:p w14:paraId="391090CD" w14:textId="77777777" w:rsidR="00D8645B" w:rsidRPr="00B9177F" w:rsidRDefault="00D8645B" w:rsidP="00664D46">
            <w:pPr>
              <w:spacing w:line="360" w:lineRule="auto"/>
              <w:jc w:val="center"/>
              <w:rPr>
                <w:b/>
              </w:rPr>
            </w:pPr>
            <w:r>
              <w:rPr>
                <w:b/>
              </w:rPr>
              <w:t>3877</w:t>
            </w:r>
          </w:p>
        </w:tc>
        <w:tc>
          <w:tcPr>
            <w:tcW w:w="1364" w:type="dxa"/>
            <w:vAlign w:val="center"/>
          </w:tcPr>
          <w:p w14:paraId="4B8FD3ED" w14:textId="77777777" w:rsidR="00D8645B" w:rsidRPr="00B9177F" w:rsidRDefault="00D8645B" w:rsidP="00664D46">
            <w:pPr>
              <w:spacing w:line="360" w:lineRule="auto"/>
              <w:jc w:val="center"/>
              <w:rPr>
                <w:b/>
              </w:rPr>
            </w:pPr>
            <w:r>
              <w:rPr>
                <w:b/>
              </w:rPr>
              <w:t>-</w:t>
            </w:r>
          </w:p>
        </w:tc>
        <w:tc>
          <w:tcPr>
            <w:tcW w:w="975" w:type="dxa"/>
            <w:vAlign w:val="center"/>
          </w:tcPr>
          <w:p w14:paraId="67C20190" w14:textId="77777777" w:rsidR="00D8645B" w:rsidRPr="00B9177F" w:rsidRDefault="00D8645B" w:rsidP="00664D46">
            <w:pPr>
              <w:spacing w:line="360" w:lineRule="auto"/>
              <w:jc w:val="center"/>
              <w:rPr>
                <w:b/>
              </w:rPr>
            </w:pPr>
            <w:r>
              <w:rPr>
                <w:b/>
              </w:rPr>
              <w:t>-</w:t>
            </w:r>
          </w:p>
        </w:tc>
        <w:tc>
          <w:tcPr>
            <w:tcW w:w="975" w:type="dxa"/>
            <w:vAlign w:val="center"/>
          </w:tcPr>
          <w:p w14:paraId="18C2E2AF" w14:textId="77777777" w:rsidR="00D8645B" w:rsidRPr="00B9177F" w:rsidRDefault="00D8645B" w:rsidP="00664D46">
            <w:pPr>
              <w:spacing w:line="360" w:lineRule="auto"/>
              <w:jc w:val="center"/>
              <w:rPr>
                <w:b/>
              </w:rPr>
            </w:pPr>
            <w:r>
              <w:rPr>
                <w:b/>
              </w:rPr>
              <w:t>-</w:t>
            </w:r>
          </w:p>
        </w:tc>
      </w:tr>
    </w:tbl>
    <w:p w14:paraId="2E38BB2A" w14:textId="77777777" w:rsidR="00D8645B" w:rsidRDefault="00D8645B" w:rsidP="00D8645B">
      <w:pPr>
        <w:spacing w:line="360" w:lineRule="auto"/>
      </w:pPr>
    </w:p>
    <w:p w14:paraId="51710B08" w14:textId="77777777" w:rsidR="00D8645B" w:rsidRPr="001A2068" w:rsidRDefault="00D8645B" w:rsidP="0060309E">
      <w:pPr>
        <w:pStyle w:val="ListParagraph"/>
        <w:numPr>
          <w:ilvl w:val="0"/>
          <w:numId w:val="65"/>
        </w:numPr>
        <w:spacing w:after="160" w:line="360" w:lineRule="auto"/>
      </w:pPr>
      <w:r>
        <w:rPr>
          <w:u w:val="single"/>
        </w:rPr>
        <w:t>Recognizing Diversification and Stabilizing Allocation</w:t>
      </w:r>
      <w:r w:rsidRPr="001A2068">
        <w:rPr>
          <w:u w:val="single"/>
        </w:rPr>
        <w:t>s</w:t>
      </w:r>
      <w:r w:rsidRPr="001A2068">
        <w:t xml:space="preserve">: </w:t>
      </w:r>
      <w:r>
        <w:t>In the time-frame considered below, there are no extreme marginal contributions, resulting from liquidity adjusted GSST and more risk taking</w:t>
      </w:r>
      <w:r w:rsidRPr="001A2068">
        <w:t>.</w:t>
      </w:r>
      <w:r>
        <w:t xml:space="preserve"> The new approach allocates less capital to high beta businesses but reflect the trading level benefits while stabilizing allocations.</w:t>
      </w:r>
    </w:p>
    <w:tbl>
      <w:tblPr>
        <w:tblStyle w:val="TableGrid"/>
        <w:tblW w:w="0" w:type="auto"/>
        <w:tblInd w:w="-815" w:type="dxa"/>
        <w:tblLook w:val="04A0" w:firstRow="1" w:lastRow="0" w:firstColumn="1" w:lastColumn="0" w:noHBand="0" w:noVBand="1"/>
      </w:tblPr>
      <w:tblGrid>
        <w:gridCol w:w="1980"/>
        <w:gridCol w:w="1364"/>
        <w:gridCol w:w="1563"/>
        <w:gridCol w:w="975"/>
        <w:gridCol w:w="969"/>
        <w:gridCol w:w="1364"/>
        <w:gridCol w:w="975"/>
        <w:gridCol w:w="975"/>
      </w:tblGrid>
      <w:tr w:rsidR="00D8645B" w14:paraId="31750619" w14:textId="77777777" w:rsidTr="00664D46">
        <w:tc>
          <w:tcPr>
            <w:tcW w:w="1980" w:type="dxa"/>
            <w:vAlign w:val="center"/>
          </w:tcPr>
          <w:p w14:paraId="78C10466" w14:textId="77777777" w:rsidR="00D8645B" w:rsidRPr="00261AD3" w:rsidRDefault="00D8645B" w:rsidP="00664D46">
            <w:pPr>
              <w:spacing w:line="360" w:lineRule="auto"/>
              <w:jc w:val="center"/>
              <w:rPr>
                <w:b/>
              </w:rPr>
            </w:pPr>
            <w:r>
              <w:rPr>
                <w:b/>
              </w:rPr>
              <w:t>All Numbers in $MM</w:t>
            </w:r>
          </w:p>
        </w:tc>
        <w:tc>
          <w:tcPr>
            <w:tcW w:w="1364" w:type="dxa"/>
            <w:vAlign w:val="center"/>
          </w:tcPr>
          <w:p w14:paraId="1FD2BCBC" w14:textId="77777777" w:rsidR="00D8645B" w:rsidRPr="00261AD3" w:rsidRDefault="00D8645B" w:rsidP="00664D46">
            <w:pPr>
              <w:spacing w:line="360" w:lineRule="auto"/>
              <w:jc w:val="center"/>
              <w:rPr>
                <w:b/>
              </w:rPr>
            </w:pPr>
            <w:r>
              <w:rPr>
                <w:b/>
              </w:rPr>
              <w:t>Standalone</w:t>
            </w:r>
          </w:p>
        </w:tc>
        <w:tc>
          <w:tcPr>
            <w:tcW w:w="1563" w:type="dxa"/>
            <w:vAlign w:val="center"/>
          </w:tcPr>
          <w:p w14:paraId="729F3F8D" w14:textId="77777777" w:rsidR="00D8645B" w:rsidRPr="00261AD3" w:rsidRDefault="00D8645B" w:rsidP="00664D46">
            <w:pPr>
              <w:spacing w:line="360" w:lineRule="auto"/>
              <w:jc w:val="center"/>
              <w:rPr>
                <w:b/>
              </w:rPr>
            </w:pPr>
            <w:r>
              <w:rPr>
                <w:b/>
              </w:rPr>
              <w:t>Marginal Contribution</w:t>
            </w:r>
          </w:p>
        </w:tc>
        <w:tc>
          <w:tcPr>
            <w:tcW w:w="975" w:type="dxa"/>
            <w:vAlign w:val="center"/>
          </w:tcPr>
          <w:p w14:paraId="6255FA75" w14:textId="77777777" w:rsidR="00D8645B" w:rsidRPr="00261AD3" w:rsidRDefault="00D8645B" w:rsidP="00664D46">
            <w:pPr>
              <w:spacing w:line="360" w:lineRule="auto"/>
              <w:jc w:val="center"/>
              <w:rPr>
                <w:b/>
              </w:rPr>
            </w:pPr>
            <w:r>
              <w:rPr>
                <w:b/>
              </w:rPr>
              <w:t>Old 3-Beta</w:t>
            </w:r>
          </w:p>
        </w:tc>
        <w:tc>
          <w:tcPr>
            <w:tcW w:w="969" w:type="dxa"/>
            <w:vAlign w:val="center"/>
          </w:tcPr>
          <w:p w14:paraId="17764C9F" w14:textId="77777777" w:rsidR="00D8645B" w:rsidRPr="00261AD3" w:rsidRDefault="00D8645B" w:rsidP="00664D46">
            <w:pPr>
              <w:spacing w:line="360" w:lineRule="auto"/>
              <w:jc w:val="center"/>
              <w:rPr>
                <w:b/>
              </w:rPr>
            </w:pPr>
            <w:r>
              <w:rPr>
                <w:b/>
              </w:rPr>
              <w:t>New 2-Beta</w:t>
            </w:r>
          </w:p>
        </w:tc>
        <w:tc>
          <w:tcPr>
            <w:tcW w:w="1364" w:type="dxa"/>
            <w:vAlign w:val="center"/>
          </w:tcPr>
          <w:p w14:paraId="30663BBE" w14:textId="77777777" w:rsidR="00D8645B" w:rsidRPr="00261AD3" w:rsidRDefault="00D8645B" w:rsidP="00664D46">
            <w:pPr>
              <w:spacing w:line="360" w:lineRule="auto"/>
              <w:jc w:val="center"/>
              <w:rPr>
                <w:b/>
              </w:rPr>
            </w:pPr>
            <w:r>
              <w:rPr>
                <w:b/>
              </w:rPr>
              <w:t>Marginal / Standalone %</w:t>
            </w:r>
          </w:p>
        </w:tc>
        <w:tc>
          <w:tcPr>
            <w:tcW w:w="975" w:type="dxa"/>
            <w:vAlign w:val="center"/>
          </w:tcPr>
          <w:p w14:paraId="5D0EA28A" w14:textId="77777777" w:rsidR="00D8645B" w:rsidRPr="00261AD3" w:rsidRDefault="00D8645B" w:rsidP="00664D46">
            <w:pPr>
              <w:spacing w:line="360" w:lineRule="auto"/>
              <w:jc w:val="center"/>
              <w:rPr>
                <w:b/>
              </w:rPr>
            </w:pPr>
            <w:r>
              <w:rPr>
                <w:b/>
              </w:rPr>
              <w:t>3 Beta %</w:t>
            </w:r>
          </w:p>
        </w:tc>
        <w:tc>
          <w:tcPr>
            <w:tcW w:w="975" w:type="dxa"/>
            <w:vAlign w:val="center"/>
          </w:tcPr>
          <w:p w14:paraId="157E8305" w14:textId="77777777" w:rsidR="00D8645B" w:rsidRPr="00261AD3" w:rsidRDefault="00D8645B" w:rsidP="00664D46">
            <w:pPr>
              <w:spacing w:line="360" w:lineRule="auto"/>
              <w:jc w:val="center"/>
              <w:rPr>
                <w:b/>
              </w:rPr>
            </w:pPr>
            <w:r>
              <w:rPr>
                <w:b/>
              </w:rPr>
              <w:t>2 Beta %</w:t>
            </w:r>
          </w:p>
        </w:tc>
      </w:tr>
      <w:tr w:rsidR="00D8645B" w14:paraId="51D9E8D4" w14:textId="77777777" w:rsidTr="00664D46">
        <w:tc>
          <w:tcPr>
            <w:tcW w:w="1980" w:type="dxa"/>
            <w:vAlign w:val="center"/>
          </w:tcPr>
          <w:p w14:paraId="7177B828" w14:textId="77777777" w:rsidR="00D8645B" w:rsidRDefault="00D8645B" w:rsidP="00664D46">
            <w:pPr>
              <w:spacing w:line="360" w:lineRule="auto"/>
              <w:jc w:val="center"/>
            </w:pPr>
            <w:r>
              <w:t>Commodities</w:t>
            </w:r>
          </w:p>
        </w:tc>
        <w:tc>
          <w:tcPr>
            <w:tcW w:w="1364" w:type="dxa"/>
            <w:vAlign w:val="center"/>
          </w:tcPr>
          <w:p w14:paraId="18E0D6E3" w14:textId="77777777" w:rsidR="00D8645B" w:rsidRDefault="00D8645B" w:rsidP="00664D46">
            <w:pPr>
              <w:spacing w:line="360" w:lineRule="auto"/>
              <w:jc w:val="center"/>
            </w:pPr>
            <w:r>
              <w:t>1384</w:t>
            </w:r>
          </w:p>
        </w:tc>
        <w:tc>
          <w:tcPr>
            <w:tcW w:w="1563" w:type="dxa"/>
            <w:vAlign w:val="center"/>
          </w:tcPr>
          <w:p w14:paraId="04A07BCA" w14:textId="77777777" w:rsidR="00D8645B" w:rsidRDefault="00D8645B" w:rsidP="00664D46">
            <w:pPr>
              <w:spacing w:line="360" w:lineRule="auto"/>
              <w:jc w:val="center"/>
            </w:pPr>
            <w:r>
              <w:t>310</w:t>
            </w:r>
          </w:p>
        </w:tc>
        <w:tc>
          <w:tcPr>
            <w:tcW w:w="975" w:type="dxa"/>
            <w:vAlign w:val="center"/>
          </w:tcPr>
          <w:p w14:paraId="1BB9A623" w14:textId="77777777" w:rsidR="00D8645B" w:rsidRDefault="00D8645B" w:rsidP="00664D46">
            <w:pPr>
              <w:spacing w:line="360" w:lineRule="auto"/>
              <w:jc w:val="center"/>
            </w:pPr>
            <w:r>
              <w:t>313</w:t>
            </w:r>
          </w:p>
        </w:tc>
        <w:tc>
          <w:tcPr>
            <w:tcW w:w="969" w:type="dxa"/>
            <w:vAlign w:val="center"/>
          </w:tcPr>
          <w:p w14:paraId="3C275792" w14:textId="77777777" w:rsidR="00D8645B" w:rsidRDefault="00D8645B" w:rsidP="00664D46">
            <w:pPr>
              <w:spacing w:line="360" w:lineRule="auto"/>
              <w:jc w:val="center"/>
            </w:pPr>
            <w:r>
              <w:t>476</w:t>
            </w:r>
          </w:p>
        </w:tc>
        <w:tc>
          <w:tcPr>
            <w:tcW w:w="1364" w:type="dxa"/>
            <w:vAlign w:val="center"/>
          </w:tcPr>
          <w:p w14:paraId="4C57411F" w14:textId="77777777" w:rsidR="00D8645B" w:rsidRDefault="00D8645B" w:rsidP="00664D46">
            <w:pPr>
              <w:spacing w:line="360" w:lineRule="auto"/>
              <w:jc w:val="center"/>
            </w:pPr>
            <w:r>
              <w:t>+22</w:t>
            </w:r>
          </w:p>
        </w:tc>
        <w:tc>
          <w:tcPr>
            <w:tcW w:w="975" w:type="dxa"/>
            <w:vAlign w:val="center"/>
          </w:tcPr>
          <w:p w14:paraId="4A6A2E3C" w14:textId="77777777" w:rsidR="00D8645B" w:rsidRDefault="00D8645B" w:rsidP="00664D46">
            <w:pPr>
              <w:spacing w:line="360" w:lineRule="auto"/>
              <w:jc w:val="center"/>
            </w:pPr>
            <w:r>
              <w:t>+23</w:t>
            </w:r>
          </w:p>
        </w:tc>
        <w:tc>
          <w:tcPr>
            <w:tcW w:w="975" w:type="dxa"/>
            <w:vAlign w:val="center"/>
          </w:tcPr>
          <w:p w14:paraId="667C83D1" w14:textId="77777777" w:rsidR="00D8645B" w:rsidRDefault="00D8645B" w:rsidP="00664D46">
            <w:pPr>
              <w:spacing w:line="360" w:lineRule="auto"/>
              <w:jc w:val="center"/>
            </w:pPr>
            <w:r>
              <w:t>+34</w:t>
            </w:r>
          </w:p>
        </w:tc>
      </w:tr>
      <w:tr w:rsidR="00D8645B" w14:paraId="2EAC8FF7" w14:textId="77777777" w:rsidTr="00664D46">
        <w:tc>
          <w:tcPr>
            <w:tcW w:w="1980" w:type="dxa"/>
            <w:vAlign w:val="center"/>
          </w:tcPr>
          <w:p w14:paraId="2FC5E92E" w14:textId="77777777" w:rsidR="00D8645B" w:rsidRDefault="00D8645B" w:rsidP="00664D46">
            <w:pPr>
              <w:spacing w:line="360" w:lineRule="auto"/>
              <w:jc w:val="center"/>
            </w:pPr>
            <w:r>
              <w:t>Credit Structured</w:t>
            </w:r>
          </w:p>
        </w:tc>
        <w:tc>
          <w:tcPr>
            <w:tcW w:w="1364" w:type="dxa"/>
            <w:vAlign w:val="center"/>
          </w:tcPr>
          <w:p w14:paraId="568F4D38" w14:textId="77777777" w:rsidR="00D8645B" w:rsidRDefault="00D8645B" w:rsidP="00664D46">
            <w:pPr>
              <w:spacing w:line="360" w:lineRule="auto"/>
              <w:jc w:val="center"/>
            </w:pPr>
            <w:r>
              <w:t>0</w:t>
            </w:r>
          </w:p>
        </w:tc>
        <w:tc>
          <w:tcPr>
            <w:tcW w:w="1563" w:type="dxa"/>
            <w:vAlign w:val="center"/>
          </w:tcPr>
          <w:p w14:paraId="5292506F" w14:textId="77777777" w:rsidR="00D8645B" w:rsidRDefault="00D8645B" w:rsidP="00664D46">
            <w:pPr>
              <w:spacing w:line="360" w:lineRule="auto"/>
              <w:jc w:val="center"/>
            </w:pPr>
            <w:r>
              <w:t>(166)</w:t>
            </w:r>
          </w:p>
        </w:tc>
        <w:tc>
          <w:tcPr>
            <w:tcW w:w="975" w:type="dxa"/>
            <w:vAlign w:val="center"/>
          </w:tcPr>
          <w:p w14:paraId="52248C2A" w14:textId="77777777" w:rsidR="00D8645B" w:rsidRDefault="00D8645B" w:rsidP="00664D46">
            <w:pPr>
              <w:spacing w:line="360" w:lineRule="auto"/>
              <w:jc w:val="center"/>
            </w:pPr>
            <w:r>
              <w:t>(166)</w:t>
            </w:r>
          </w:p>
        </w:tc>
        <w:tc>
          <w:tcPr>
            <w:tcW w:w="969" w:type="dxa"/>
            <w:vAlign w:val="center"/>
          </w:tcPr>
          <w:p w14:paraId="5F21F8EE" w14:textId="77777777" w:rsidR="00D8645B" w:rsidRDefault="00D8645B" w:rsidP="00664D46">
            <w:pPr>
              <w:spacing w:line="360" w:lineRule="auto"/>
              <w:jc w:val="center"/>
            </w:pPr>
            <w:r>
              <w:t>(166)</w:t>
            </w:r>
          </w:p>
        </w:tc>
        <w:tc>
          <w:tcPr>
            <w:tcW w:w="1364" w:type="dxa"/>
            <w:vAlign w:val="center"/>
          </w:tcPr>
          <w:p w14:paraId="35579BDA" w14:textId="77777777" w:rsidR="00D8645B" w:rsidRDefault="00D8645B" w:rsidP="00664D46">
            <w:pPr>
              <w:spacing w:line="360" w:lineRule="auto"/>
              <w:jc w:val="center"/>
            </w:pPr>
            <w:r>
              <w:t>N/A</w:t>
            </w:r>
          </w:p>
        </w:tc>
        <w:tc>
          <w:tcPr>
            <w:tcW w:w="975" w:type="dxa"/>
            <w:vAlign w:val="center"/>
          </w:tcPr>
          <w:p w14:paraId="7D02C86B" w14:textId="77777777" w:rsidR="00D8645B" w:rsidRDefault="00D8645B" w:rsidP="00664D46">
            <w:pPr>
              <w:spacing w:line="360" w:lineRule="auto"/>
              <w:jc w:val="center"/>
            </w:pPr>
            <w:r>
              <w:t>N/A</w:t>
            </w:r>
          </w:p>
        </w:tc>
        <w:tc>
          <w:tcPr>
            <w:tcW w:w="975" w:type="dxa"/>
            <w:vAlign w:val="center"/>
          </w:tcPr>
          <w:p w14:paraId="6ECFA2FC" w14:textId="77777777" w:rsidR="00D8645B" w:rsidRDefault="00D8645B" w:rsidP="00664D46">
            <w:pPr>
              <w:spacing w:line="360" w:lineRule="auto"/>
              <w:jc w:val="center"/>
            </w:pPr>
            <w:r>
              <w:t>N/A</w:t>
            </w:r>
          </w:p>
        </w:tc>
      </w:tr>
      <w:tr w:rsidR="00D8645B" w14:paraId="1FB349C0" w14:textId="77777777" w:rsidTr="00664D46">
        <w:tc>
          <w:tcPr>
            <w:tcW w:w="1980" w:type="dxa"/>
            <w:vAlign w:val="center"/>
          </w:tcPr>
          <w:p w14:paraId="2D1BB84B" w14:textId="77777777" w:rsidR="00D8645B" w:rsidRDefault="00D8645B" w:rsidP="00664D46">
            <w:pPr>
              <w:spacing w:line="360" w:lineRule="auto"/>
              <w:jc w:val="center"/>
            </w:pPr>
            <w:r>
              <w:t>Credit Flow</w:t>
            </w:r>
          </w:p>
        </w:tc>
        <w:tc>
          <w:tcPr>
            <w:tcW w:w="1364" w:type="dxa"/>
            <w:vAlign w:val="center"/>
          </w:tcPr>
          <w:p w14:paraId="1B79EC9D" w14:textId="77777777" w:rsidR="00D8645B" w:rsidRDefault="00D8645B" w:rsidP="00664D46">
            <w:pPr>
              <w:spacing w:line="360" w:lineRule="auto"/>
              <w:jc w:val="center"/>
            </w:pPr>
            <w:r>
              <w:t>314</w:t>
            </w:r>
          </w:p>
        </w:tc>
        <w:tc>
          <w:tcPr>
            <w:tcW w:w="1563" w:type="dxa"/>
            <w:vAlign w:val="center"/>
          </w:tcPr>
          <w:p w14:paraId="2F7714EF" w14:textId="77777777" w:rsidR="00D8645B" w:rsidRDefault="00D8645B" w:rsidP="00664D46">
            <w:pPr>
              <w:spacing w:line="360" w:lineRule="auto"/>
              <w:jc w:val="center"/>
            </w:pPr>
            <w:r>
              <w:t>86</w:t>
            </w:r>
          </w:p>
        </w:tc>
        <w:tc>
          <w:tcPr>
            <w:tcW w:w="975" w:type="dxa"/>
            <w:vAlign w:val="center"/>
          </w:tcPr>
          <w:p w14:paraId="066ADCC2" w14:textId="77777777" w:rsidR="00D8645B" w:rsidRDefault="00D8645B" w:rsidP="00664D46">
            <w:pPr>
              <w:spacing w:line="360" w:lineRule="auto"/>
              <w:jc w:val="center"/>
            </w:pPr>
            <w:r>
              <w:t>142</w:t>
            </w:r>
          </w:p>
        </w:tc>
        <w:tc>
          <w:tcPr>
            <w:tcW w:w="969" w:type="dxa"/>
            <w:vAlign w:val="center"/>
          </w:tcPr>
          <w:p w14:paraId="4CA3C057" w14:textId="77777777" w:rsidR="00D8645B" w:rsidRDefault="00D8645B" w:rsidP="00664D46">
            <w:pPr>
              <w:spacing w:line="360" w:lineRule="auto"/>
              <w:jc w:val="center"/>
            </w:pPr>
            <w:r>
              <w:t>108</w:t>
            </w:r>
          </w:p>
        </w:tc>
        <w:tc>
          <w:tcPr>
            <w:tcW w:w="1364" w:type="dxa"/>
            <w:vAlign w:val="center"/>
          </w:tcPr>
          <w:p w14:paraId="4116967B" w14:textId="77777777" w:rsidR="00D8645B" w:rsidRDefault="00D8645B" w:rsidP="00664D46">
            <w:pPr>
              <w:spacing w:line="360" w:lineRule="auto"/>
              <w:jc w:val="center"/>
            </w:pPr>
            <w:r>
              <w:t>+27</w:t>
            </w:r>
          </w:p>
        </w:tc>
        <w:tc>
          <w:tcPr>
            <w:tcW w:w="975" w:type="dxa"/>
            <w:vAlign w:val="center"/>
          </w:tcPr>
          <w:p w14:paraId="1A97D476" w14:textId="77777777" w:rsidR="00D8645B" w:rsidRDefault="00D8645B" w:rsidP="00664D46">
            <w:pPr>
              <w:spacing w:line="360" w:lineRule="auto"/>
              <w:jc w:val="center"/>
            </w:pPr>
            <w:r>
              <w:t>+45</w:t>
            </w:r>
          </w:p>
        </w:tc>
        <w:tc>
          <w:tcPr>
            <w:tcW w:w="975" w:type="dxa"/>
            <w:vAlign w:val="center"/>
          </w:tcPr>
          <w:p w14:paraId="4DBE7C4C" w14:textId="77777777" w:rsidR="00D8645B" w:rsidRDefault="00D8645B" w:rsidP="00664D46">
            <w:pPr>
              <w:spacing w:line="360" w:lineRule="auto"/>
              <w:jc w:val="center"/>
            </w:pPr>
            <w:r>
              <w:t>+34</w:t>
            </w:r>
          </w:p>
        </w:tc>
      </w:tr>
      <w:tr w:rsidR="00D8645B" w14:paraId="00CDEAF6" w14:textId="77777777" w:rsidTr="00664D46">
        <w:tc>
          <w:tcPr>
            <w:tcW w:w="1980" w:type="dxa"/>
            <w:vAlign w:val="center"/>
          </w:tcPr>
          <w:p w14:paraId="3C2111EF" w14:textId="77777777" w:rsidR="00D8645B" w:rsidRDefault="00D8645B" w:rsidP="00664D46">
            <w:pPr>
              <w:spacing w:line="360" w:lineRule="auto"/>
              <w:jc w:val="center"/>
            </w:pPr>
            <w:r>
              <w:lastRenderedPageBreak/>
              <w:t>Distressed</w:t>
            </w:r>
          </w:p>
        </w:tc>
        <w:tc>
          <w:tcPr>
            <w:tcW w:w="1364" w:type="dxa"/>
            <w:vAlign w:val="center"/>
          </w:tcPr>
          <w:p w14:paraId="5BB9C6BA" w14:textId="77777777" w:rsidR="00D8645B" w:rsidRDefault="00D8645B" w:rsidP="00664D46">
            <w:pPr>
              <w:spacing w:line="360" w:lineRule="auto"/>
              <w:jc w:val="center"/>
            </w:pPr>
            <w:r>
              <w:t>263</w:t>
            </w:r>
          </w:p>
        </w:tc>
        <w:tc>
          <w:tcPr>
            <w:tcW w:w="1563" w:type="dxa"/>
            <w:vAlign w:val="center"/>
          </w:tcPr>
          <w:p w14:paraId="0109C3A9" w14:textId="77777777" w:rsidR="00D8645B" w:rsidRDefault="00D8645B" w:rsidP="00664D46">
            <w:pPr>
              <w:spacing w:line="360" w:lineRule="auto"/>
              <w:jc w:val="center"/>
            </w:pPr>
            <w:r>
              <w:t>5</w:t>
            </w:r>
          </w:p>
        </w:tc>
        <w:tc>
          <w:tcPr>
            <w:tcW w:w="975" w:type="dxa"/>
            <w:vAlign w:val="center"/>
          </w:tcPr>
          <w:p w14:paraId="6EA3E80F" w14:textId="77777777" w:rsidR="00D8645B" w:rsidRDefault="00D8645B" w:rsidP="00664D46">
            <w:pPr>
              <w:spacing w:line="360" w:lineRule="auto"/>
              <w:jc w:val="center"/>
            </w:pPr>
            <w:r>
              <w:t>119</w:t>
            </w:r>
          </w:p>
        </w:tc>
        <w:tc>
          <w:tcPr>
            <w:tcW w:w="969" w:type="dxa"/>
            <w:vAlign w:val="center"/>
          </w:tcPr>
          <w:p w14:paraId="210A7419" w14:textId="77777777" w:rsidR="00D8645B" w:rsidRDefault="00D8645B" w:rsidP="00664D46">
            <w:pPr>
              <w:spacing w:line="360" w:lineRule="auto"/>
              <w:jc w:val="center"/>
            </w:pPr>
            <w:r>
              <w:t>181</w:t>
            </w:r>
          </w:p>
        </w:tc>
        <w:tc>
          <w:tcPr>
            <w:tcW w:w="1364" w:type="dxa"/>
            <w:vAlign w:val="center"/>
          </w:tcPr>
          <w:p w14:paraId="2914B0A2" w14:textId="77777777" w:rsidR="00D8645B" w:rsidRDefault="00D8645B" w:rsidP="00664D46">
            <w:pPr>
              <w:spacing w:line="360" w:lineRule="auto"/>
              <w:jc w:val="center"/>
            </w:pPr>
            <w:r>
              <w:t>+2</w:t>
            </w:r>
          </w:p>
        </w:tc>
        <w:tc>
          <w:tcPr>
            <w:tcW w:w="975" w:type="dxa"/>
            <w:vAlign w:val="center"/>
          </w:tcPr>
          <w:p w14:paraId="19C9109E" w14:textId="77777777" w:rsidR="00D8645B" w:rsidRDefault="00D8645B" w:rsidP="00664D46">
            <w:pPr>
              <w:spacing w:line="360" w:lineRule="auto"/>
              <w:jc w:val="center"/>
            </w:pPr>
            <w:r>
              <w:t>+45</w:t>
            </w:r>
          </w:p>
        </w:tc>
        <w:tc>
          <w:tcPr>
            <w:tcW w:w="975" w:type="dxa"/>
            <w:vAlign w:val="center"/>
          </w:tcPr>
          <w:p w14:paraId="518F481A" w14:textId="77777777" w:rsidR="00D8645B" w:rsidRDefault="00D8645B" w:rsidP="00664D46">
            <w:pPr>
              <w:spacing w:line="360" w:lineRule="auto"/>
              <w:jc w:val="center"/>
            </w:pPr>
            <w:r>
              <w:t>+69</w:t>
            </w:r>
          </w:p>
        </w:tc>
      </w:tr>
      <w:tr w:rsidR="00D8645B" w14:paraId="636F3645" w14:textId="77777777" w:rsidTr="00664D46">
        <w:tc>
          <w:tcPr>
            <w:tcW w:w="1980" w:type="dxa"/>
            <w:vAlign w:val="center"/>
          </w:tcPr>
          <w:p w14:paraId="76BB86DA" w14:textId="77777777" w:rsidR="00D8645B" w:rsidRDefault="00D8645B" w:rsidP="00664D46">
            <w:pPr>
              <w:spacing w:line="360" w:lineRule="auto"/>
              <w:jc w:val="center"/>
            </w:pPr>
            <w:r>
              <w:t>EM Credit Trading</w:t>
            </w:r>
          </w:p>
        </w:tc>
        <w:tc>
          <w:tcPr>
            <w:tcW w:w="1364" w:type="dxa"/>
            <w:vAlign w:val="center"/>
          </w:tcPr>
          <w:p w14:paraId="13314ED6" w14:textId="77777777" w:rsidR="00D8645B" w:rsidRDefault="00D8645B" w:rsidP="00664D46">
            <w:pPr>
              <w:spacing w:line="360" w:lineRule="auto"/>
              <w:jc w:val="center"/>
            </w:pPr>
            <w:r>
              <w:t>773</w:t>
            </w:r>
          </w:p>
        </w:tc>
        <w:tc>
          <w:tcPr>
            <w:tcW w:w="1563" w:type="dxa"/>
            <w:vAlign w:val="center"/>
          </w:tcPr>
          <w:p w14:paraId="65AA2D80" w14:textId="77777777" w:rsidR="00D8645B" w:rsidRDefault="00D8645B" w:rsidP="00664D46">
            <w:pPr>
              <w:spacing w:line="360" w:lineRule="auto"/>
              <w:jc w:val="center"/>
            </w:pPr>
            <w:r>
              <w:t>675</w:t>
            </w:r>
          </w:p>
        </w:tc>
        <w:tc>
          <w:tcPr>
            <w:tcW w:w="975" w:type="dxa"/>
            <w:vAlign w:val="center"/>
          </w:tcPr>
          <w:p w14:paraId="4CA06576" w14:textId="77777777" w:rsidR="00D8645B" w:rsidRDefault="00D8645B" w:rsidP="00664D46">
            <w:pPr>
              <w:spacing w:line="360" w:lineRule="auto"/>
              <w:jc w:val="center"/>
            </w:pPr>
            <w:r>
              <w:t>350</w:t>
            </w:r>
          </w:p>
        </w:tc>
        <w:tc>
          <w:tcPr>
            <w:tcW w:w="969" w:type="dxa"/>
            <w:vAlign w:val="center"/>
          </w:tcPr>
          <w:p w14:paraId="4061312A" w14:textId="77777777" w:rsidR="00D8645B" w:rsidRDefault="00D8645B" w:rsidP="00664D46">
            <w:pPr>
              <w:spacing w:line="360" w:lineRule="auto"/>
              <w:jc w:val="center"/>
            </w:pPr>
            <w:r>
              <w:t>532</w:t>
            </w:r>
          </w:p>
        </w:tc>
        <w:tc>
          <w:tcPr>
            <w:tcW w:w="1364" w:type="dxa"/>
            <w:vAlign w:val="center"/>
          </w:tcPr>
          <w:p w14:paraId="6BA7F52B" w14:textId="77777777" w:rsidR="00D8645B" w:rsidRDefault="00D8645B" w:rsidP="00664D46">
            <w:pPr>
              <w:spacing w:line="360" w:lineRule="auto"/>
              <w:jc w:val="center"/>
            </w:pPr>
            <w:r>
              <w:t>+87</w:t>
            </w:r>
          </w:p>
        </w:tc>
        <w:tc>
          <w:tcPr>
            <w:tcW w:w="975" w:type="dxa"/>
            <w:vAlign w:val="center"/>
          </w:tcPr>
          <w:p w14:paraId="25755574" w14:textId="77777777" w:rsidR="00D8645B" w:rsidRDefault="00D8645B" w:rsidP="00664D46">
            <w:pPr>
              <w:spacing w:line="360" w:lineRule="auto"/>
              <w:jc w:val="center"/>
            </w:pPr>
            <w:r>
              <w:t>+45</w:t>
            </w:r>
          </w:p>
        </w:tc>
        <w:tc>
          <w:tcPr>
            <w:tcW w:w="975" w:type="dxa"/>
            <w:vAlign w:val="center"/>
          </w:tcPr>
          <w:p w14:paraId="215C0D19" w14:textId="77777777" w:rsidR="00D8645B" w:rsidRDefault="00D8645B" w:rsidP="00664D46">
            <w:pPr>
              <w:spacing w:line="360" w:lineRule="auto"/>
              <w:jc w:val="center"/>
            </w:pPr>
            <w:r>
              <w:t>+69</w:t>
            </w:r>
          </w:p>
        </w:tc>
      </w:tr>
      <w:tr w:rsidR="00D8645B" w14:paraId="266FB9A3" w14:textId="77777777" w:rsidTr="00664D46">
        <w:tc>
          <w:tcPr>
            <w:tcW w:w="1980" w:type="dxa"/>
            <w:vAlign w:val="center"/>
          </w:tcPr>
          <w:p w14:paraId="3C81EC21" w14:textId="77777777" w:rsidR="00D8645B" w:rsidRDefault="00D8645B" w:rsidP="00664D46">
            <w:pPr>
              <w:spacing w:line="360" w:lineRule="auto"/>
              <w:jc w:val="center"/>
            </w:pPr>
            <w:r>
              <w:t>PECD</w:t>
            </w:r>
          </w:p>
        </w:tc>
        <w:tc>
          <w:tcPr>
            <w:tcW w:w="1364" w:type="dxa"/>
            <w:vAlign w:val="center"/>
          </w:tcPr>
          <w:p w14:paraId="5F4C7984" w14:textId="77777777" w:rsidR="00D8645B" w:rsidRDefault="00D8645B" w:rsidP="00664D46">
            <w:pPr>
              <w:spacing w:line="360" w:lineRule="auto"/>
              <w:jc w:val="center"/>
            </w:pPr>
            <w:r>
              <w:t>1689</w:t>
            </w:r>
          </w:p>
        </w:tc>
        <w:tc>
          <w:tcPr>
            <w:tcW w:w="1563" w:type="dxa"/>
            <w:vAlign w:val="center"/>
          </w:tcPr>
          <w:p w14:paraId="13DE9A64" w14:textId="77777777" w:rsidR="00D8645B" w:rsidRDefault="00D8645B" w:rsidP="00664D46">
            <w:pPr>
              <w:spacing w:line="360" w:lineRule="auto"/>
              <w:jc w:val="center"/>
            </w:pPr>
            <w:r>
              <w:t>1569</w:t>
            </w:r>
          </w:p>
        </w:tc>
        <w:tc>
          <w:tcPr>
            <w:tcW w:w="975" w:type="dxa"/>
            <w:vAlign w:val="center"/>
          </w:tcPr>
          <w:p w14:paraId="5DD5B535" w14:textId="77777777" w:rsidR="00D8645B" w:rsidRDefault="00D8645B" w:rsidP="00664D46">
            <w:pPr>
              <w:spacing w:line="360" w:lineRule="auto"/>
              <w:jc w:val="center"/>
            </w:pPr>
            <w:r>
              <w:t>1359</w:t>
            </w:r>
          </w:p>
        </w:tc>
        <w:tc>
          <w:tcPr>
            <w:tcW w:w="969" w:type="dxa"/>
            <w:vAlign w:val="center"/>
          </w:tcPr>
          <w:p w14:paraId="6A95AC03" w14:textId="77777777" w:rsidR="00D8645B" w:rsidRDefault="00D8645B" w:rsidP="00664D46">
            <w:pPr>
              <w:spacing w:line="360" w:lineRule="auto"/>
              <w:jc w:val="center"/>
            </w:pPr>
            <w:r>
              <w:t>1168</w:t>
            </w:r>
          </w:p>
        </w:tc>
        <w:tc>
          <w:tcPr>
            <w:tcW w:w="1364" w:type="dxa"/>
            <w:vAlign w:val="center"/>
          </w:tcPr>
          <w:p w14:paraId="0AF4CF4D" w14:textId="77777777" w:rsidR="00D8645B" w:rsidRDefault="00D8645B" w:rsidP="00664D46">
            <w:pPr>
              <w:spacing w:line="360" w:lineRule="auto"/>
              <w:jc w:val="center"/>
            </w:pPr>
            <w:r>
              <w:t>+92</w:t>
            </w:r>
          </w:p>
        </w:tc>
        <w:tc>
          <w:tcPr>
            <w:tcW w:w="975" w:type="dxa"/>
            <w:vAlign w:val="center"/>
          </w:tcPr>
          <w:p w14:paraId="6CC17923" w14:textId="77777777" w:rsidR="00D8645B" w:rsidRDefault="00D8645B" w:rsidP="00664D46">
            <w:pPr>
              <w:spacing w:line="360" w:lineRule="auto"/>
              <w:jc w:val="center"/>
            </w:pPr>
            <w:r>
              <w:t>+80</w:t>
            </w:r>
          </w:p>
        </w:tc>
        <w:tc>
          <w:tcPr>
            <w:tcW w:w="975" w:type="dxa"/>
            <w:vAlign w:val="center"/>
          </w:tcPr>
          <w:p w14:paraId="55512E72" w14:textId="77777777" w:rsidR="00D8645B" w:rsidRDefault="00D8645B" w:rsidP="00664D46">
            <w:pPr>
              <w:spacing w:line="360" w:lineRule="auto"/>
              <w:jc w:val="center"/>
            </w:pPr>
            <w:r>
              <w:t>+69</w:t>
            </w:r>
          </w:p>
        </w:tc>
      </w:tr>
      <w:tr w:rsidR="00D8645B" w14:paraId="59D4DEB9" w14:textId="77777777" w:rsidTr="00664D46">
        <w:tc>
          <w:tcPr>
            <w:tcW w:w="1980" w:type="dxa"/>
            <w:vAlign w:val="center"/>
          </w:tcPr>
          <w:p w14:paraId="27315D1C" w14:textId="77777777" w:rsidR="00D8645B" w:rsidRDefault="00D8645B" w:rsidP="00664D46">
            <w:pPr>
              <w:spacing w:line="360" w:lineRule="auto"/>
              <w:jc w:val="center"/>
            </w:pPr>
            <w:r>
              <w:t>Short Term</w:t>
            </w:r>
          </w:p>
        </w:tc>
        <w:tc>
          <w:tcPr>
            <w:tcW w:w="1364" w:type="dxa"/>
            <w:vAlign w:val="center"/>
          </w:tcPr>
          <w:p w14:paraId="2BCDCC2C" w14:textId="77777777" w:rsidR="00D8645B" w:rsidRDefault="00D8645B" w:rsidP="00664D46">
            <w:pPr>
              <w:spacing w:line="360" w:lineRule="auto"/>
              <w:jc w:val="center"/>
            </w:pPr>
            <w:r>
              <w:t>37</w:t>
            </w:r>
          </w:p>
        </w:tc>
        <w:tc>
          <w:tcPr>
            <w:tcW w:w="1563" w:type="dxa"/>
            <w:vAlign w:val="center"/>
          </w:tcPr>
          <w:p w14:paraId="111E7506" w14:textId="77777777" w:rsidR="00D8645B" w:rsidRDefault="00D8645B" w:rsidP="00664D46">
            <w:pPr>
              <w:spacing w:line="360" w:lineRule="auto"/>
              <w:jc w:val="center"/>
            </w:pPr>
            <w:r>
              <w:t>24</w:t>
            </w:r>
          </w:p>
        </w:tc>
        <w:tc>
          <w:tcPr>
            <w:tcW w:w="975" w:type="dxa"/>
            <w:vAlign w:val="center"/>
          </w:tcPr>
          <w:p w14:paraId="587C3421" w14:textId="77777777" w:rsidR="00D8645B" w:rsidRDefault="00D8645B" w:rsidP="00664D46">
            <w:pPr>
              <w:spacing w:line="360" w:lineRule="auto"/>
              <w:jc w:val="center"/>
            </w:pPr>
            <w:r>
              <w:t>17</w:t>
            </w:r>
          </w:p>
        </w:tc>
        <w:tc>
          <w:tcPr>
            <w:tcW w:w="969" w:type="dxa"/>
            <w:vAlign w:val="center"/>
          </w:tcPr>
          <w:p w14:paraId="2FE8C4BC" w14:textId="77777777" w:rsidR="00D8645B" w:rsidRDefault="00D8645B" w:rsidP="00664D46">
            <w:pPr>
              <w:spacing w:line="360" w:lineRule="auto"/>
              <w:jc w:val="center"/>
            </w:pPr>
            <w:r>
              <w:t>13</w:t>
            </w:r>
          </w:p>
        </w:tc>
        <w:tc>
          <w:tcPr>
            <w:tcW w:w="1364" w:type="dxa"/>
            <w:vAlign w:val="center"/>
          </w:tcPr>
          <w:p w14:paraId="0FD0259C" w14:textId="77777777" w:rsidR="00D8645B" w:rsidRDefault="00D8645B" w:rsidP="00664D46">
            <w:pPr>
              <w:spacing w:line="360" w:lineRule="auto"/>
              <w:jc w:val="center"/>
            </w:pPr>
            <w:r>
              <w:t>+66</w:t>
            </w:r>
          </w:p>
        </w:tc>
        <w:tc>
          <w:tcPr>
            <w:tcW w:w="975" w:type="dxa"/>
            <w:vAlign w:val="center"/>
          </w:tcPr>
          <w:p w14:paraId="3F3F85D3" w14:textId="77777777" w:rsidR="00D8645B" w:rsidRDefault="00D8645B" w:rsidP="00664D46">
            <w:pPr>
              <w:spacing w:line="360" w:lineRule="auto"/>
              <w:jc w:val="center"/>
            </w:pPr>
            <w:r>
              <w:t>+45</w:t>
            </w:r>
          </w:p>
        </w:tc>
        <w:tc>
          <w:tcPr>
            <w:tcW w:w="975" w:type="dxa"/>
            <w:vAlign w:val="center"/>
          </w:tcPr>
          <w:p w14:paraId="02FDB351" w14:textId="77777777" w:rsidR="00D8645B" w:rsidRDefault="00D8645B" w:rsidP="00664D46">
            <w:pPr>
              <w:spacing w:line="360" w:lineRule="auto"/>
              <w:jc w:val="center"/>
            </w:pPr>
            <w:r>
              <w:t>+34</w:t>
            </w:r>
          </w:p>
        </w:tc>
      </w:tr>
      <w:tr w:rsidR="00D8645B" w14:paraId="6240BED5" w14:textId="77777777" w:rsidTr="00664D46">
        <w:tc>
          <w:tcPr>
            <w:tcW w:w="1980" w:type="dxa"/>
            <w:vAlign w:val="center"/>
          </w:tcPr>
          <w:p w14:paraId="5671572B" w14:textId="77777777" w:rsidR="00D8645B" w:rsidRDefault="00D8645B" w:rsidP="00664D46">
            <w:pPr>
              <w:spacing w:line="360" w:lineRule="auto"/>
              <w:jc w:val="center"/>
            </w:pPr>
            <w:r>
              <w:t>Cash</w:t>
            </w:r>
          </w:p>
        </w:tc>
        <w:tc>
          <w:tcPr>
            <w:tcW w:w="1364" w:type="dxa"/>
            <w:vAlign w:val="center"/>
          </w:tcPr>
          <w:p w14:paraId="5529F60B" w14:textId="77777777" w:rsidR="00D8645B" w:rsidRDefault="00D8645B" w:rsidP="00664D46">
            <w:pPr>
              <w:spacing w:line="360" w:lineRule="auto"/>
              <w:jc w:val="center"/>
            </w:pPr>
            <w:r>
              <w:t>594</w:t>
            </w:r>
          </w:p>
        </w:tc>
        <w:tc>
          <w:tcPr>
            <w:tcW w:w="1563" w:type="dxa"/>
            <w:vAlign w:val="center"/>
          </w:tcPr>
          <w:p w14:paraId="45D0F3A4" w14:textId="77777777" w:rsidR="00D8645B" w:rsidRDefault="00D8645B" w:rsidP="00664D46">
            <w:pPr>
              <w:spacing w:line="360" w:lineRule="auto"/>
              <w:jc w:val="center"/>
            </w:pPr>
            <w:r>
              <w:t>437</w:t>
            </w:r>
          </w:p>
        </w:tc>
        <w:tc>
          <w:tcPr>
            <w:tcW w:w="975" w:type="dxa"/>
            <w:vAlign w:val="center"/>
          </w:tcPr>
          <w:p w14:paraId="7C1FA6C7" w14:textId="77777777" w:rsidR="00D8645B" w:rsidRDefault="00D8645B" w:rsidP="00664D46">
            <w:pPr>
              <w:spacing w:line="360" w:lineRule="auto"/>
              <w:jc w:val="center"/>
            </w:pPr>
            <w:r>
              <w:t>134</w:t>
            </w:r>
          </w:p>
        </w:tc>
        <w:tc>
          <w:tcPr>
            <w:tcW w:w="969" w:type="dxa"/>
            <w:vAlign w:val="center"/>
          </w:tcPr>
          <w:p w14:paraId="654E1614" w14:textId="77777777" w:rsidR="00D8645B" w:rsidRDefault="00D8645B" w:rsidP="00664D46">
            <w:pPr>
              <w:spacing w:line="360" w:lineRule="auto"/>
              <w:jc w:val="center"/>
            </w:pPr>
            <w:r>
              <w:t>204</w:t>
            </w:r>
          </w:p>
        </w:tc>
        <w:tc>
          <w:tcPr>
            <w:tcW w:w="1364" w:type="dxa"/>
            <w:vAlign w:val="center"/>
          </w:tcPr>
          <w:p w14:paraId="7FB1EBC8" w14:textId="77777777" w:rsidR="00D8645B" w:rsidRDefault="00D8645B" w:rsidP="00664D46">
            <w:pPr>
              <w:spacing w:line="360" w:lineRule="auto"/>
              <w:jc w:val="center"/>
            </w:pPr>
            <w:r>
              <w:t>+73</w:t>
            </w:r>
          </w:p>
        </w:tc>
        <w:tc>
          <w:tcPr>
            <w:tcW w:w="975" w:type="dxa"/>
            <w:vAlign w:val="center"/>
          </w:tcPr>
          <w:p w14:paraId="67AF54C9" w14:textId="77777777" w:rsidR="00D8645B" w:rsidRDefault="00D8645B" w:rsidP="00664D46">
            <w:pPr>
              <w:spacing w:line="360" w:lineRule="auto"/>
              <w:jc w:val="center"/>
            </w:pPr>
            <w:r>
              <w:t>+23</w:t>
            </w:r>
          </w:p>
        </w:tc>
        <w:tc>
          <w:tcPr>
            <w:tcW w:w="975" w:type="dxa"/>
            <w:vAlign w:val="center"/>
          </w:tcPr>
          <w:p w14:paraId="4C548A0C" w14:textId="77777777" w:rsidR="00D8645B" w:rsidRDefault="00D8645B" w:rsidP="00664D46">
            <w:pPr>
              <w:spacing w:line="360" w:lineRule="auto"/>
              <w:jc w:val="center"/>
            </w:pPr>
            <w:r>
              <w:t>+34</w:t>
            </w:r>
          </w:p>
        </w:tc>
      </w:tr>
      <w:tr w:rsidR="00D8645B" w14:paraId="37BF6606" w14:textId="77777777" w:rsidTr="00664D46">
        <w:tc>
          <w:tcPr>
            <w:tcW w:w="1980" w:type="dxa"/>
            <w:vAlign w:val="center"/>
          </w:tcPr>
          <w:p w14:paraId="68E5CE5D" w14:textId="77777777" w:rsidR="00D8645B" w:rsidRDefault="00D8645B" w:rsidP="00664D46">
            <w:pPr>
              <w:spacing w:line="360" w:lineRule="auto"/>
              <w:jc w:val="center"/>
            </w:pPr>
            <w:r>
              <w:t>Coverts</w:t>
            </w:r>
          </w:p>
        </w:tc>
        <w:tc>
          <w:tcPr>
            <w:tcW w:w="1364" w:type="dxa"/>
            <w:vAlign w:val="center"/>
          </w:tcPr>
          <w:p w14:paraId="532AAF95" w14:textId="77777777" w:rsidR="00D8645B" w:rsidRDefault="00D8645B" w:rsidP="00664D46">
            <w:pPr>
              <w:spacing w:line="360" w:lineRule="auto"/>
              <w:jc w:val="center"/>
            </w:pPr>
            <w:r>
              <w:t>80</w:t>
            </w:r>
          </w:p>
        </w:tc>
        <w:tc>
          <w:tcPr>
            <w:tcW w:w="1563" w:type="dxa"/>
            <w:vAlign w:val="center"/>
          </w:tcPr>
          <w:p w14:paraId="279ED341" w14:textId="77777777" w:rsidR="00D8645B" w:rsidRDefault="00D8645B" w:rsidP="00664D46">
            <w:pPr>
              <w:spacing w:line="360" w:lineRule="auto"/>
              <w:jc w:val="center"/>
            </w:pPr>
            <w:r>
              <w:t>63</w:t>
            </w:r>
          </w:p>
        </w:tc>
        <w:tc>
          <w:tcPr>
            <w:tcW w:w="975" w:type="dxa"/>
            <w:vAlign w:val="center"/>
          </w:tcPr>
          <w:p w14:paraId="131B1C37" w14:textId="77777777" w:rsidR="00D8645B" w:rsidRDefault="00D8645B" w:rsidP="00664D46">
            <w:pPr>
              <w:spacing w:line="360" w:lineRule="auto"/>
              <w:jc w:val="center"/>
            </w:pPr>
            <w:r>
              <w:t>64</w:t>
            </w:r>
          </w:p>
        </w:tc>
        <w:tc>
          <w:tcPr>
            <w:tcW w:w="969" w:type="dxa"/>
            <w:vAlign w:val="center"/>
          </w:tcPr>
          <w:p w14:paraId="121614EB" w14:textId="77777777" w:rsidR="00D8645B" w:rsidRDefault="00D8645B" w:rsidP="00664D46">
            <w:pPr>
              <w:spacing w:line="360" w:lineRule="auto"/>
              <w:jc w:val="center"/>
            </w:pPr>
            <w:r>
              <w:t>55</w:t>
            </w:r>
          </w:p>
        </w:tc>
        <w:tc>
          <w:tcPr>
            <w:tcW w:w="1364" w:type="dxa"/>
            <w:vAlign w:val="center"/>
          </w:tcPr>
          <w:p w14:paraId="742D31EB" w14:textId="77777777" w:rsidR="00D8645B" w:rsidRDefault="00D8645B" w:rsidP="00664D46">
            <w:pPr>
              <w:spacing w:line="360" w:lineRule="auto"/>
              <w:jc w:val="center"/>
            </w:pPr>
            <w:r>
              <w:t>+79</w:t>
            </w:r>
          </w:p>
        </w:tc>
        <w:tc>
          <w:tcPr>
            <w:tcW w:w="975" w:type="dxa"/>
            <w:vAlign w:val="center"/>
          </w:tcPr>
          <w:p w14:paraId="04E0E735" w14:textId="77777777" w:rsidR="00D8645B" w:rsidRPr="000C0082" w:rsidRDefault="00D8645B" w:rsidP="00664D46">
            <w:pPr>
              <w:spacing w:line="360" w:lineRule="auto"/>
              <w:jc w:val="center"/>
              <w:rPr>
                <w:b/>
              </w:rPr>
            </w:pPr>
            <w:r>
              <w:t>+80</w:t>
            </w:r>
          </w:p>
        </w:tc>
        <w:tc>
          <w:tcPr>
            <w:tcW w:w="975" w:type="dxa"/>
            <w:vAlign w:val="center"/>
          </w:tcPr>
          <w:p w14:paraId="43127FD8" w14:textId="77777777" w:rsidR="00D8645B" w:rsidRDefault="00D8645B" w:rsidP="00664D46">
            <w:pPr>
              <w:spacing w:line="360" w:lineRule="auto"/>
              <w:jc w:val="center"/>
            </w:pPr>
            <w:r>
              <w:t>+69</w:t>
            </w:r>
          </w:p>
        </w:tc>
      </w:tr>
      <w:tr w:rsidR="00D8645B" w14:paraId="0B310A3D" w14:textId="77777777" w:rsidTr="00664D46">
        <w:tc>
          <w:tcPr>
            <w:tcW w:w="1980" w:type="dxa"/>
            <w:vAlign w:val="center"/>
          </w:tcPr>
          <w:p w14:paraId="44B9C4E1" w14:textId="77777777" w:rsidR="00D8645B" w:rsidRDefault="00D8645B" w:rsidP="00664D46">
            <w:pPr>
              <w:spacing w:line="360" w:lineRule="auto"/>
              <w:jc w:val="center"/>
            </w:pPr>
            <w:r>
              <w:t>Equity Derivatives</w:t>
            </w:r>
          </w:p>
        </w:tc>
        <w:tc>
          <w:tcPr>
            <w:tcW w:w="1364" w:type="dxa"/>
            <w:vAlign w:val="center"/>
          </w:tcPr>
          <w:p w14:paraId="25C2B745" w14:textId="77777777" w:rsidR="00D8645B" w:rsidRDefault="00D8645B" w:rsidP="00664D46">
            <w:pPr>
              <w:spacing w:line="360" w:lineRule="auto"/>
              <w:jc w:val="center"/>
            </w:pPr>
            <w:r>
              <w:t>425</w:t>
            </w:r>
          </w:p>
        </w:tc>
        <w:tc>
          <w:tcPr>
            <w:tcW w:w="1563" w:type="dxa"/>
            <w:vAlign w:val="center"/>
          </w:tcPr>
          <w:p w14:paraId="39FD8924" w14:textId="77777777" w:rsidR="00D8645B" w:rsidRDefault="00D8645B" w:rsidP="00664D46">
            <w:pPr>
              <w:spacing w:line="360" w:lineRule="auto"/>
              <w:jc w:val="center"/>
            </w:pPr>
            <w:r>
              <w:t>(1161)</w:t>
            </w:r>
          </w:p>
        </w:tc>
        <w:tc>
          <w:tcPr>
            <w:tcW w:w="975" w:type="dxa"/>
            <w:vAlign w:val="center"/>
          </w:tcPr>
          <w:p w14:paraId="4E82F0F6" w14:textId="77777777" w:rsidR="00D8645B" w:rsidRDefault="00D8645B" w:rsidP="00664D46">
            <w:pPr>
              <w:spacing w:line="360" w:lineRule="auto"/>
              <w:jc w:val="center"/>
            </w:pPr>
            <w:r>
              <w:t>192</w:t>
            </w:r>
          </w:p>
        </w:tc>
        <w:tc>
          <w:tcPr>
            <w:tcW w:w="969" w:type="dxa"/>
            <w:vAlign w:val="center"/>
          </w:tcPr>
          <w:p w14:paraId="1062E0C4" w14:textId="77777777" w:rsidR="00D8645B" w:rsidRDefault="00D8645B" w:rsidP="00664D46">
            <w:pPr>
              <w:spacing w:line="360" w:lineRule="auto"/>
              <w:jc w:val="center"/>
            </w:pPr>
            <w:r>
              <w:t>146</w:t>
            </w:r>
          </w:p>
        </w:tc>
        <w:tc>
          <w:tcPr>
            <w:tcW w:w="1364" w:type="dxa"/>
            <w:vAlign w:val="center"/>
          </w:tcPr>
          <w:p w14:paraId="3C55790C" w14:textId="77777777" w:rsidR="00D8645B" w:rsidRDefault="00D8645B" w:rsidP="00664D46">
            <w:pPr>
              <w:spacing w:line="360" w:lineRule="auto"/>
              <w:jc w:val="center"/>
            </w:pPr>
            <w:r>
              <w:t>-273</w:t>
            </w:r>
          </w:p>
        </w:tc>
        <w:tc>
          <w:tcPr>
            <w:tcW w:w="975" w:type="dxa"/>
            <w:vAlign w:val="center"/>
          </w:tcPr>
          <w:p w14:paraId="3611A3E4" w14:textId="77777777" w:rsidR="00D8645B" w:rsidRDefault="00D8645B" w:rsidP="00664D46">
            <w:pPr>
              <w:spacing w:line="360" w:lineRule="auto"/>
              <w:jc w:val="center"/>
            </w:pPr>
            <w:r>
              <w:t>+45</w:t>
            </w:r>
          </w:p>
        </w:tc>
        <w:tc>
          <w:tcPr>
            <w:tcW w:w="975" w:type="dxa"/>
            <w:vAlign w:val="center"/>
          </w:tcPr>
          <w:p w14:paraId="5DC93632" w14:textId="77777777" w:rsidR="00D8645B" w:rsidRDefault="00D8645B" w:rsidP="00664D46">
            <w:pPr>
              <w:spacing w:line="360" w:lineRule="auto"/>
              <w:jc w:val="center"/>
            </w:pPr>
            <w:r>
              <w:t>+34</w:t>
            </w:r>
          </w:p>
        </w:tc>
      </w:tr>
      <w:tr w:rsidR="00D8645B" w14:paraId="4FCB538D" w14:textId="77777777" w:rsidTr="00664D46">
        <w:tc>
          <w:tcPr>
            <w:tcW w:w="1980" w:type="dxa"/>
            <w:vAlign w:val="center"/>
          </w:tcPr>
          <w:p w14:paraId="7362731D" w14:textId="77777777" w:rsidR="00D8645B" w:rsidRDefault="00D8645B" w:rsidP="00664D46">
            <w:pPr>
              <w:spacing w:line="360" w:lineRule="auto"/>
              <w:jc w:val="center"/>
            </w:pPr>
            <w:r>
              <w:t>G10 FX</w:t>
            </w:r>
          </w:p>
        </w:tc>
        <w:tc>
          <w:tcPr>
            <w:tcW w:w="1364" w:type="dxa"/>
            <w:vAlign w:val="center"/>
          </w:tcPr>
          <w:p w14:paraId="22E71F24" w14:textId="77777777" w:rsidR="00D8645B" w:rsidRDefault="00D8645B" w:rsidP="00664D46">
            <w:pPr>
              <w:spacing w:line="360" w:lineRule="auto"/>
              <w:jc w:val="center"/>
            </w:pPr>
            <w:r>
              <w:t>307</w:t>
            </w:r>
          </w:p>
        </w:tc>
        <w:tc>
          <w:tcPr>
            <w:tcW w:w="1563" w:type="dxa"/>
            <w:vAlign w:val="center"/>
          </w:tcPr>
          <w:p w14:paraId="17A26872" w14:textId="77777777" w:rsidR="00D8645B" w:rsidRDefault="00D8645B" w:rsidP="00664D46">
            <w:pPr>
              <w:spacing w:line="360" w:lineRule="auto"/>
              <w:jc w:val="center"/>
            </w:pPr>
            <w:r>
              <w:t>(483)</w:t>
            </w:r>
          </w:p>
        </w:tc>
        <w:tc>
          <w:tcPr>
            <w:tcW w:w="975" w:type="dxa"/>
            <w:vAlign w:val="center"/>
          </w:tcPr>
          <w:p w14:paraId="4C8D9203" w14:textId="77777777" w:rsidR="00D8645B" w:rsidRDefault="00D8645B" w:rsidP="00664D46">
            <w:pPr>
              <w:spacing w:line="360" w:lineRule="auto"/>
              <w:jc w:val="center"/>
            </w:pPr>
            <w:r>
              <w:t>69</w:t>
            </w:r>
          </w:p>
        </w:tc>
        <w:tc>
          <w:tcPr>
            <w:tcW w:w="969" w:type="dxa"/>
            <w:vAlign w:val="center"/>
          </w:tcPr>
          <w:p w14:paraId="6E276A8F" w14:textId="77777777" w:rsidR="00D8645B" w:rsidRDefault="00D8645B" w:rsidP="00664D46">
            <w:pPr>
              <w:spacing w:line="360" w:lineRule="auto"/>
              <w:jc w:val="center"/>
            </w:pPr>
            <w:r>
              <w:t>106</w:t>
            </w:r>
          </w:p>
        </w:tc>
        <w:tc>
          <w:tcPr>
            <w:tcW w:w="1364" w:type="dxa"/>
            <w:vAlign w:val="center"/>
          </w:tcPr>
          <w:p w14:paraId="792FD83F" w14:textId="77777777" w:rsidR="00D8645B" w:rsidRDefault="00D8645B" w:rsidP="00664D46">
            <w:pPr>
              <w:spacing w:line="360" w:lineRule="auto"/>
              <w:jc w:val="center"/>
            </w:pPr>
            <w:r>
              <w:t>-158</w:t>
            </w:r>
          </w:p>
        </w:tc>
        <w:tc>
          <w:tcPr>
            <w:tcW w:w="975" w:type="dxa"/>
            <w:vAlign w:val="center"/>
          </w:tcPr>
          <w:p w14:paraId="3B87E318" w14:textId="77777777" w:rsidR="00D8645B" w:rsidRDefault="00D8645B" w:rsidP="00664D46">
            <w:pPr>
              <w:spacing w:line="360" w:lineRule="auto"/>
              <w:jc w:val="center"/>
            </w:pPr>
            <w:r>
              <w:t>+23</w:t>
            </w:r>
          </w:p>
        </w:tc>
        <w:tc>
          <w:tcPr>
            <w:tcW w:w="975" w:type="dxa"/>
            <w:vAlign w:val="center"/>
          </w:tcPr>
          <w:p w14:paraId="671FF372" w14:textId="77777777" w:rsidR="00D8645B" w:rsidRDefault="00D8645B" w:rsidP="00664D46">
            <w:pPr>
              <w:spacing w:line="360" w:lineRule="auto"/>
              <w:jc w:val="center"/>
            </w:pPr>
            <w:r>
              <w:t>+34</w:t>
            </w:r>
          </w:p>
        </w:tc>
      </w:tr>
      <w:tr w:rsidR="00D8645B" w14:paraId="799D3AD1" w14:textId="77777777" w:rsidTr="00664D46">
        <w:tc>
          <w:tcPr>
            <w:tcW w:w="1980" w:type="dxa"/>
            <w:vAlign w:val="center"/>
          </w:tcPr>
          <w:p w14:paraId="46511AB8" w14:textId="77777777" w:rsidR="00D8645B" w:rsidRDefault="00D8645B" w:rsidP="00664D46">
            <w:pPr>
              <w:spacing w:line="360" w:lineRule="auto"/>
              <w:jc w:val="center"/>
            </w:pPr>
            <w:r>
              <w:t>Liquid Markets</w:t>
            </w:r>
          </w:p>
        </w:tc>
        <w:tc>
          <w:tcPr>
            <w:tcW w:w="1364" w:type="dxa"/>
            <w:vAlign w:val="center"/>
          </w:tcPr>
          <w:p w14:paraId="307ADE29" w14:textId="77777777" w:rsidR="00D8645B" w:rsidRDefault="00D8645B" w:rsidP="00664D46">
            <w:pPr>
              <w:spacing w:line="360" w:lineRule="auto"/>
              <w:jc w:val="center"/>
            </w:pPr>
            <w:r>
              <w:t>1063</w:t>
            </w:r>
          </w:p>
        </w:tc>
        <w:tc>
          <w:tcPr>
            <w:tcW w:w="1563" w:type="dxa"/>
            <w:vAlign w:val="center"/>
          </w:tcPr>
          <w:p w14:paraId="74A99226" w14:textId="77777777" w:rsidR="00D8645B" w:rsidRDefault="00D8645B" w:rsidP="00664D46">
            <w:pPr>
              <w:spacing w:line="360" w:lineRule="auto"/>
              <w:jc w:val="center"/>
            </w:pPr>
            <w:r>
              <w:t>78</w:t>
            </w:r>
          </w:p>
        </w:tc>
        <w:tc>
          <w:tcPr>
            <w:tcW w:w="975" w:type="dxa"/>
            <w:vAlign w:val="center"/>
          </w:tcPr>
          <w:p w14:paraId="2858B20B" w14:textId="77777777" w:rsidR="00D8645B" w:rsidRDefault="00D8645B" w:rsidP="00664D46">
            <w:pPr>
              <w:spacing w:line="360" w:lineRule="auto"/>
              <w:jc w:val="center"/>
            </w:pPr>
            <w:r>
              <w:t>240</w:t>
            </w:r>
          </w:p>
        </w:tc>
        <w:tc>
          <w:tcPr>
            <w:tcW w:w="969" w:type="dxa"/>
            <w:vAlign w:val="center"/>
          </w:tcPr>
          <w:p w14:paraId="6DB31BBF" w14:textId="77777777" w:rsidR="00D8645B" w:rsidRDefault="00D8645B" w:rsidP="00664D46">
            <w:pPr>
              <w:spacing w:line="360" w:lineRule="auto"/>
              <w:jc w:val="center"/>
            </w:pPr>
            <w:r>
              <w:t>366</w:t>
            </w:r>
          </w:p>
        </w:tc>
        <w:tc>
          <w:tcPr>
            <w:tcW w:w="1364" w:type="dxa"/>
            <w:vAlign w:val="center"/>
          </w:tcPr>
          <w:p w14:paraId="0B3C60BB" w14:textId="77777777" w:rsidR="00D8645B" w:rsidRDefault="00D8645B" w:rsidP="00664D46">
            <w:pPr>
              <w:spacing w:line="360" w:lineRule="auto"/>
              <w:jc w:val="center"/>
            </w:pPr>
            <w:r>
              <w:t>+7</w:t>
            </w:r>
          </w:p>
        </w:tc>
        <w:tc>
          <w:tcPr>
            <w:tcW w:w="975" w:type="dxa"/>
            <w:vAlign w:val="center"/>
          </w:tcPr>
          <w:p w14:paraId="2657A09B" w14:textId="77777777" w:rsidR="00D8645B" w:rsidRDefault="00D8645B" w:rsidP="00664D46">
            <w:pPr>
              <w:spacing w:line="360" w:lineRule="auto"/>
              <w:jc w:val="center"/>
            </w:pPr>
            <w:r>
              <w:t>+23</w:t>
            </w:r>
          </w:p>
        </w:tc>
        <w:tc>
          <w:tcPr>
            <w:tcW w:w="975" w:type="dxa"/>
            <w:vAlign w:val="center"/>
          </w:tcPr>
          <w:p w14:paraId="0AB91668" w14:textId="77777777" w:rsidR="00D8645B" w:rsidRDefault="00D8645B" w:rsidP="00664D46">
            <w:pPr>
              <w:spacing w:line="360" w:lineRule="auto"/>
              <w:jc w:val="center"/>
            </w:pPr>
            <w:r>
              <w:t>+34</w:t>
            </w:r>
          </w:p>
        </w:tc>
      </w:tr>
      <w:tr w:rsidR="00D8645B" w14:paraId="6508B8FB" w14:textId="77777777" w:rsidTr="00664D46">
        <w:tc>
          <w:tcPr>
            <w:tcW w:w="1980" w:type="dxa"/>
            <w:vAlign w:val="center"/>
          </w:tcPr>
          <w:p w14:paraId="1FE6561E" w14:textId="77777777" w:rsidR="00D8645B" w:rsidRDefault="00D8645B" w:rsidP="00664D46">
            <w:pPr>
              <w:spacing w:line="360" w:lineRule="auto"/>
              <w:jc w:val="center"/>
            </w:pPr>
            <w:r>
              <w:t>Finance</w:t>
            </w:r>
          </w:p>
        </w:tc>
        <w:tc>
          <w:tcPr>
            <w:tcW w:w="1364" w:type="dxa"/>
            <w:vAlign w:val="center"/>
          </w:tcPr>
          <w:p w14:paraId="62828FD8" w14:textId="77777777" w:rsidR="00D8645B" w:rsidRDefault="00D8645B" w:rsidP="00664D46">
            <w:pPr>
              <w:spacing w:line="360" w:lineRule="auto"/>
              <w:jc w:val="center"/>
            </w:pPr>
            <w:r>
              <w:t>242</w:t>
            </w:r>
          </w:p>
        </w:tc>
        <w:tc>
          <w:tcPr>
            <w:tcW w:w="1563" w:type="dxa"/>
            <w:vAlign w:val="center"/>
          </w:tcPr>
          <w:p w14:paraId="45D52E3B" w14:textId="77777777" w:rsidR="00D8645B" w:rsidRDefault="00D8645B" w:rsidP="00664D46">
            <w:pPr>
              <w:spacing w:line="360" w:lineRule="auto"/>
              <w:jc w:val="center"/>
            </w:pPr>
            <w:r>
              <w:t>86</w:t>
            </w:r>
          </w:p>
        </w:tc>
        <w:tc>
          <w:tcPr>
            <w:tcW w:w="975" w:type="dxa"/>
            <w:vAlign w:val="center"/>
          </w:tcPr>
          <w:p w14:paraId="1E5B6254" w14:textId="77777777" w:rsidR="00D8645B" w:rsidRDefault="00D8645B" w:rsidP="00664D46">
            <w:pPr>
              <w:spacing w:line="360" w:lineRule="auto"/>
              <w:jc w:val="center"/>
            </w:pPr>
            <w:r>
              <w:t>55</w:t>
            </w:r>
          </w:p>
        </w:tc>
        <w:tc>
          <w:tcPr>
            <w:tcW w:w="969" w:type="dxa"/>
            <w:vAlign w:val="center"/>
          </w:tcPr>
          <w:p w14:paraId="32D802A3" w14:textId="77777777" w:rsidR="00D8645B" w:rsidRDefault="00D8645B" w:rsidP="00664D46">
            <w:pPr>
              <w:spacing w:line="360" w:lineRule="auto"/>
              <w:jc w:val="center"/>
            </w:pPr>
            <w:r>
              <w:t>83</w:t>
            </w:r>
          </w:p>
        </w:tc>
        <w:tc>
          <w:tcPr>
            <w:tcW w:w="1364" w:type="dxa"/>
            <w:vAlign w:val="center"/>
          </w:tcPr>
          <w:p w14:paraId="23EA040E" w14:textId="77777777" w:rsidR="00D8645B" w:rsidRDefault="00D8645B" w:rsidP="00664D46">
            <w:pPr>
              <w:spacing w:line="360" w:lineRule="auto"/>
              <w:jc w:val="center"/>
            </w:pPr>
            <w:r>
              <w:t>+36</w:t>
            </w:r>
          </w:p>
        </w:tc>
        <w:tc>
          <w:tcPr>
            <w:tcW w:w="975" w:type="dxa"/>
            <w:vAlign w:val="center"/>
          </w:tcPr>
          <w:p w14:paraId="63AA4295" w14:textId="77777777" w:rsidR="00D8645B" w:rsidRDefault="00D8645B" w:rsidP="00664D46">
            <w:pPr>
              <w:spacing w:line="360" w:lineRule="auto"/>
              <w:jc w:val="center"/>
            </w:pPr>
            <w:r>
              <w:t>+23</w:t>
            </w:r>
          </w:p>
        </w:tc>
        <w:tc>
          <w:tcPr>
            <w:tcW w:w="975" w:type="dxa"/>
            <w:vAlign w:val="center"/>
          </w:tcPr>
          <w:p w14:paraId="15C9427F" w14:textId="77777777" w:rsidR="00D8645B" w:rsidRDefault="00D8645B" w:rsidP="00664D46">
            <w:pPr>
              <w:spacing w:line="360" w:lineRule="auto"/>
              <w:jc w:val="center"/>
            </w:pPr>
            <w:r>
              <w:t>+34</w:t>
            </w:r>
          </w:p>
        </w:tc>
      </w:tr>
      <w:tr w:rsidR="00D8645B" w14:paraId="33C7283D" w14:textId="77777777" w:rsidTr="00664D46">
        <w:tc>
          <w:tcPr>
            <w:tcW w:w="1980" w:type="dxa"/>
            <w:vAlign w:val="center"/>
          </w:tcPr>
          <w:p w14:paraId="1AAD73E4" w14:textId="77777777" w:rsidR="00D8645B" w:rsidRDefault="00D8645B" w:rsidP="00664D46">
            <w:pPr>
              <w:spacing w:line="360" w:lineRule="auto"/>
              <w:jc w:val="center"/>
            </w:pPr>
            <w:r>
              <w:t>MT</w:t>
            </w:r>
          </w:p>
        </w:tc>
        <w:tc>
          <w:tcPr>
            <w:tcW w:w="1364" w:type="dxa"/>
            <w:vAlign w:val="center"/>
          </w:tcPr>
          <w:p w14:paraId="0B43AB3A" w14:textId="77777777" w:rsidR="00D8645B" w:rsidRDefault="00D8645B" w:rsidP="00664D46">
            <w:pPr>
              <w:spacing w:line="360" w:lineRule="auto"/>
              <w:jc w:val="center"/>
            </w:pPr>
            <w:r>
              <w:t>1483</w:t>
            </w:r>
          </w:p>
        </w:tc>
        <w:tc>
          <w:tcPr>
            <w:tcW w:w="1563" w:type="dxa"/>
            <w:vAlign w:val="center"/>
          </w:tcPr>
          <w:p w14:paraId="3E0C88CB" w14:textId="77777777" w:rsidR="00D8645B" w:rsidRDefault="00D8645B" w:rsidP="00664D46">
            <w:pPr>
              <w:spacing w:line="360" w:lineRule="auto"/>
              <w:jc w:val="center"/>
            </w:pPr>
            <w:r>
              <w:t>264</w:t>
            </w:r>
          </w:p>
        </w:tc>
        <w:tc>
          <w:tcPr>
            <w:tcW w:w="975" w:type="dxa"/>
            <w:vAlign w:val="center"/>
          </w:tcPr>
          <w:p w14:paraId="01E89A7C" w14:textId="77777777" w:rsidR="00D8645B" w:rsidRDefault="00D8645B" w:rsidP="00664D46">
            <w:pPr>
              <w:spacing w:line="360" w:lineRule="auto"/>
              <w:jc w:val="center"/>
            </w:pPr>
            <w:r>
              <w:t>335</w:t>
            </w:r>
          </w:p>
        </w:tc>
        <w:tc>
          <w:tcPr>
            <w:tcW w:w="969" w:type="dxa"/>
            <w:vAlign w:val="center"/>
          </w:tcPr>
          <w:p w14:paraId="537B2624" w14:textId="77777777" w:rsidR="00D8645B" w:rsidRDefault="00D8645B" w:rsidP="00664D46">
            <w:pPr>
              <w:spacing w:line="360" w:lineRule="auto"/>
              <w:jc w:val="center"/>
            </w:pPr>
            <w:r>
              <w:t>510</w:t>
            </w:r>
          </w:p>
        </w:tc>
        <w:tc>
          <w:tcPr>
            <w:tcW w:w="1364" w:type="dxa"/>
            <w:vAlign w:val="center"/>
          </w:tcPr>
          <w:p w14:paraId="36731B88" w14:textId="77777777" w:rsidR="00D8645B" w:rsidRDefault="00D8645B" w:rsidP="00664D46">
            <w:pPr>
              <w:spacing w:line="360" w:lineRule="auto"/>
              <w:jc w:val="center"/>
            </w:pPr>
            <w:r>
              <w:t>+18</w:t>
            </w:r>
          </w:p>
        </w:tc>
        <w:tc>
          <w:tcPr>
            <w:tcW w:w="975" w:type="dxa"/>
            <w:vAlign w:val="center"/>
          </w:tcPr>
          <w:p w14:paraId="78F402D3" w14:textId="77777777" w:rsidR="00D8645B" w:rsidRDefault="00D8645B" w:rsidP="00664D46">
            <w:pPr>
              <w:spacing w:line="360" w:lineRule="auto"/>
              <w:jc w:val="center"/>
            </w:pPr>
            <w:r>
              <w:t>+23</w:t>
            </w:r>
          </w:p>
        </w:tc>
        <w:tc>
          <w:tcPr>
            <w:tcW w:w="975" w:type="dxa"/>
            <w:vAlign w:val="center"/>
          </w:tcPr>
          <w:p w14:paraId="441D515D" w14:textId="77777777" w:rsidR="00D8645B" w:rsidRDefault="00D8645B" w:rsidP="00664D46">
            <w:pPr>
              <w:spacing w:line="360" w:lineRule="auto"/>
              <w:jc w:val="center"/>
            </w:pPr>
            <w:r>
              <w:t>+34</w:t>
            </w:r>
          </w:p>
        </w:tc>
      </w:tr>
      <w:tr w:rsidR="00D8645B" w14:paraId="227B3976" w14:textId="77777777" w:rsidTr="00664D46">
        <w:tc>
          <w:tcPr>
            <w:tcW w:w="1980" w:type="dxa"/>
            <w:vAlign w:val="center"/>
          </w:tcPr>
          <w:p w14:paraId="7A5F82A0" w14:textId="77777777" w:rsidR="00D8645B" w:rsidRDefault="00D8645B" w:rsidP="00664D46">
            <w:pPr>
              <w:spacing w:line="360" w:lineRule="auto"/>
              <w:jc w:val="center"/>
            </w:pPr>
            <w:r>
              <w:t>G10 Rates</w:t>
            </w:r>
          </w:p>
        </w:tc>
        <w:tc>
          <w:tcPr>
            <w:tcW w:w="1364" w:type="dxa"/>
            <w:vAlign w:val="center"/>
          </w:tcPr>
          <w:p w14:paraId="3D23257E" w14:textId="77777777" w:rsidR="00D8645B" w:rsidRDefault="00D8645B" w:rsidP="00664D46">
            <w:pPr>
              <w:spacing w:line="360" w:lineRule="auto"/>
              <w:jc w:val="center"/>
            </w:pPr>
            <w:r>
              <w:t>2520</w:t>
            </w:r>
          </w:p>
        </w:tc>
        <w:tc>
          <w:tcPr>
            <w:tcW w:w="1563" w:type="dxa"/>
            <w:vAlign w:val="center"/>
          </w:tcPr>
          <w:p w14:paraId="086225DF" w14:textId="77777777" w:rsidR="00D8645B" w:rsidRDefault="00D8645B" w:rsidP="00664D46">
            <w:pPr>
              <w:spacing w:line="360" w:lineRule="auto"/>
              <w:jc w:val="center"/>
            </w:pPr>
            <w:r>
              <w:t>1667</w:t>
            </w:r>
          </w:p>
        </w:tc>
        <w:tc>
          <w:tcPr>
            <w:tcW w:w="975" w:type="dxa"/>
            <w:vAlign w:val="center"/>
          </w:tcPr>
          <w:p w14:paraId="3853A059" w14:textId="77777777" w:rsidR="00D8645B" w:rsidRDefault="00D8645B" w:rsidP="00664D46">
            <w:pPr>
              <w:spacing w:line="360" w:lineRule="auto"/>
              <w:jc w:val="center"/>
            </w:pPr>
            <w:r>
              <w:t>1139</w:t>
            </w:r>
          </w:p>
        </w:tc>
        <w:tc>
          <w:tcPr>
            <w:tcW w:w="969" w:type="dxa"/>
            <w:vAlign w:val="center"/>
          </w:tcPr>
          <w:p w14:paraId="7B3B42FB" w14:textId="77777777" w:rsidR="00D8645B" w:rsidRDefault="00D8645B" w:rsidP="00664D46">
            <w:pPr>
              <w:spacing w:line="360" w:lineRule="auto"/>
              <w:jc w:val="center"/>
            </w:pPr>
            <w:r>
              <w:t>867</w:t>
            </w:r>
          </w:p>
        </w:tc>
        <w:tc>
          <w:tcPr>
            <w:tcW w:w="1364" w:type="dxa"/>
            <w:vAlign w:val="center"/>
          </w:tcPr>
          <w:p w14:paraId="2B85906B" w14:textId="77777777" w:rsidR="00D8645B" w:rsidRDefault="00D8645B" w:rsidP="00664D46">
            <w:pPr>
              <w:spacing w:line="360" w:lineRule="auto"/>
              <w:jc w:val="center"/>
            </w:pPr>
            <w:r>
              <w:t>+66</w:t>
            </w:r>
          </w:p>
        </w:tc>
        <w:tc>
          <w:tcPr>
            <w:tcW w:w="975" w:type="dxa"/>
            <w:vAlign w:val="center"/>
          </w:tcPr>
          <w:p w14:paraId="3E022ED0" w14:textId="77777777" w:rsidR="00D8645B" w:rsidRDefault="00D8645B" w:rsidP="00664D46">
            <w:pPr>
              <w:spacing w:line="360" w:lineRule="auto"/>
              <w:jc w:val="center"/>
            </w:pPr>
            <w:r>
              <w:t>+45</w:t>
            </w:r>
          </w:p>
        </w:tc>
        <w:tc>
          <w:tcPr>
            <w:tcW w:w="975" w:type="dxa"/>
            <w:vAlign w:val="center"/>
          </w:tcPr>
          <w:p w14:paraId="74CAC883" w14:textId="77777777" w:rsidR="00D8645B" w:rsidRDefault="00D8645B" w:rsidP="00664D46">
            <w:pPr>
              <w:spacing w:line="360" w:lineRule="auto"/>
              <w:jc w:val="center"/>
            </w:pPr>
            <w:r>
              <w:t>+34</w:t>
            </w:r>
          </w:p>
        </w:tc>
      </w:tr>
      <w:tr w:rsidR="00D8645B" w14:paraId="7E4BAAF4" w14:textId="77777777" w:rsidTr="00664D46">
        <w:tc>
          <w:tcPr>
            <w:tcW w:w="1980" w:type="dxa"/>
            <w:vAlign w:val="center"/>
          </w:tcPr>
          <w:p w14:paraId="6C581EAF" w14:textId="77777777" w:rsidR="00D8645B" w:rsidRDefault="00D8645B" w:rsidP="00664D46">
            <w:pPr>
              <w:spacing w:line="360" w:lineRule="auto"/>
              <w:jc w:val="center"/>
            </w:pPr>
            <w:r>
              <w:t>Hybrids</w:t>
            </w:r>
          </w:p>
        </w:tc>
        <w:tc>
          <w:tcPr>
            <w:tcW w:w="1364" w:type="dxa"/>
            <w:vAlign w:val="center"/>
          </w:tcPr>
          <w:p w14:paraId="0B9E0FF8" w14:textId="77777777" w:rsidR="00D8645B" w:rsidRDefault="00D8645B" w:rsidP="00664D46">
            <w:pPr>
              <w:spacing w:line="360" w:lineRule="auto"/>
              <w:jc w:val="center"/>
            </w:pPr>
            <w:r>
              <w:t>530</w:t>
            </w:r>
          </w:p>
        </w:tc>
        <w:tc>
          <w:tcPr>
            <w:tcW w:w="1563" w:type="dxa"/>
            <w:vAlign w:val="center"/>
          </w:tcPr>
          <w:p w14:paraId="49D76241" w14:textId="77777777" w:rsidR="00D8645B" w:rsidRDefault="00D8645B" w:rsidP="00664D46">
            <w:pPr>
              <w:spacing w:line="360" w:lineRule="auto"/>
              <w:jc w:val="center"/>
            </w:pPr>
            <w:r>
              <w:t>415</w:t>
            </w:r>
          </w:p>
        </w:tc>
        <w:tc>
          <w:tcPr>
            <w:tcW w:w="975" w:type="dxa"/>
            <w:vAlign w:val="center"/>
          </w:tcPr>
          <w:p w14:paraId="66E12430" w14:textId="77777777" w:rsidR="00D8645B" w:rsidRDefault="00D8645B" w:rsidP="00664D46">
            <w:pPr>
              <w:spacing w:line="360" w:lineRule="auto"/>
              <w:jc w:val="center"/>
            </w:pPr>
            <w:r>
              <w:t>240</w:t>
            </w:r>
          </w:p>
        </w:tc>
        <w:tc>
          <w:tcPr>
            <w:tcW w:w="969" w:type="dxa"/>
            <w:vAlign w:val="center"/>
          </w:tcPr>
          <w:p w14:paraId="663637B3" w14:textId="77777777" w:rsidR="00D8645B" w:rsidRDefault="00D8645B" w:rsidP="00664D46">
            <w:pPr>
              <w:spacing w:line="360" w:lineRule="auto"/>
              <w:jc w:val="center"/>
            </w:pPr>
            <w:r>
              <w:t>182</w:t>
            </w:r>
          </w:p>
        </w:tc>
        <w:tc>
          <w:tcPr>
            <w:tcW w:w="1364" w:type="dxa"/>
            <w:vAlign w:val="center"/>
          </w:tcPr>
          <w:p w14:paraId="4903CE4E" w14:textId="77777777" w:rsidR="00D8645B" w:rsidRDefault="00D8645B" w:rsidP="00664D46">
            <w:pPr>
              <w:spacing w:line="360" w:lineRule="auto"/>
              <w:jc w:val="center"/>
            </w:pPr>
            <w:r>
              <w:t>+78</w:t>
            </w:r>
          </w:p>
        </w:tc>
        <w:tc>
          <w:tcPr>
            <w:tcW w:w="975" w:type="dxa"/>
            <w:vAlign w:val="center"/>
          </w:tcPr>
          <w:p w14:paraId="320E5EFA" w14:textId="77777777" w:rsidR="00D8645B" w:rsidRDefault="00D8645B" w:rsidP="00664D46">
            <w:pPr>
              <w:spacing w:line="360" w:lineRule="auto"/>
              <w:jc w:val="center"/>
            </w:pPr>
            <w:r>
              <w:t>+45</w:t>
            </w:r>
          </w:p>
        </w:tc>
        <w:tc>
          <w:tcPr>
            <w:tcW w:w="975" w:type="dxa"/>
            <w:vAlign w:val="center"/>
          </w:tcPr>
          <w:p w14:paraId="6C5E7216" w14:textId="77777777" w:rsidR="00D8645B" w:rsidRDefault="00D8645B" w:rsidP="00664D46">
            <w:pPr>
              <w:spacing w:line="360" w:lineRule="auto"/>
              <w:jc w:val="center"/>
            </w:pPr>
            <w:r>
              <w:t>+34</w:t>
            </w:r>
          </w:p>
        </w:tc>
      </w:tr>
      <w:tr w:rsidR="00D8645B" w14:paraId="502D95DE" w14:textId="77777777" w:rsidTr="00664D46">
        <w:tc>
          <w:tcPr>
            <w:tcW w:w="1980" w:type="dxa"/>
            <w:vAlign w:val="center"/>
          </w:tcPr>
          <w:p w14:paraId="37EA414F" w14:textId="77777777" w:rsidR="00D8645B" w:rsidRDefault="00D8645B" w:rsidP="00664D46">
            <w:pPr>
              <w:spacing w:line="360" w:lineRule="auto"/>
              <w:jc w:val="center"/>
            </w:pPr>
            <w:r>
              <w:t>Munis</w:t>
            </w:r>
          </w:p>
        </w:tc>
        <w:tc>
          <w:tcPr>
            <w:tcW w:w="1364" w:type="dxa"/>
            <w:vAlign w:val="center"/>
          </w:tcPr>
          <w:p w14:paraId="30D8587B" w14:textId="77777777" w:rsidR="00D8645B" w:rsidRDefault="00D8645B" w:rsidP="00664D46">
            <w:pPr>
              <w:spacing w:line="360" w:lineRule="auto"/>
              <w:jc w:val="center"/>
            </w:pPr>
            <w:r>
              <w:t>730</w:t>
            </w:r>
          </w:p>
        </w:tc>
        <w:tc>
          <w:tcPr>
            <w:tcW w:w="1563" w:type="dxa"/>
            <w:vAlign w:val="center"/>
          </w:tcPr>
          <w:p w14:paraId="76C725EC" w14:textId="77777777" w:rsidR="00D8645B" w:rsidRDefault="00D8645B" w:rsidP="00664D46">
            <w:pPr>
              <w:spacing w:line="360" w:lineRule="auto"/>
              <w:jc w:val="center"/>
            </w:pPr>
            <w:r>
              <w:t>612</w:t>
            </w:r>
          </w:p>
        </w:tc>
        <w:tc>
          <w:tcPr>
            <w:tcW w:w="975" w:type="dxa"/>
            <w:vAlign w:val="center"/>
          </w:tcPr>
          <w:p w14:paraId="5106B443" w14:textId="77777777" w:rsidR="00D8645B" w:rsidRDefault="00D8645B" w:rsidP="00664D46">
            <w:pPr>
              <w:spacing w:line="360" w:lineRule="auto"/>
              <w:jc w:val="center"/>
            </w:pPr>
            <w:r>
              <w:t>330</w:t>
            </w:r>
          </w:p>
        </w:tc>
        <w:tc>
          <w:tcPr>
            <w:tcW w:w="969" w:type="dxa"/>
            <w:vAlign w:val="center"/>
          </w:tcPr>
          <w:p w14:paraId="093E4CFA" w14:textId="77777777" w:rsidR="00D8645B" w:rsidRDefault="00D8645B" w:rsidP="00664D46">
            <w:pPr>
              <w:spacing w:line="360" w:lineRule="auto"/>
              <w:jc w:val="center"/>
            </w:pPr>
            <w:r>
              <w:t>502</w:t>
            </w:r>
          </w:p>
        </w:tc>
        <w:tc>
          <w:tcPr>
            <w:tcW w:w="1364" w:type="dxa"/>
            <w:vAlign w:val="center"/>
          </w:tcPr>
          <w:p w14:paraId="361BD61B" w14:textId="77777777" w:rsidR="00D8645B" w:rsidRDefault="00D8645B" w:rsidP="00664D46">
            <w:pPr>
              <w:spacing w:line="360" w:lineRule="auto"/>
              <w:jc w:val="center"/>
            </w:pPr>
            <w:r>
              <w:t>+84</w:t>
            </w:r>
          </w:p>
        </w:tc>
        <w:tc>
          <w:tcPr>
            <w:tcW w:w="975" w:type="dxa"/>
            <w:vAlign w:val="center"/>
          </w:tcPr>
          <w:p w14:paraId="64F1A7FE" w14:textId="77777777" w:rsidR="00D8645B" w:rsidRDefault="00D8645B" w:rsidP="00664D46">
            <w:pPr>
              <w:spacing w:line="360" w:lineRule="auto"/>
              <w:jc w:val="center"/>
            </w:pPr>
            <w:r>
              <w:t>+45</w:t>
            </w:r>
          </w:p>
        </w:tc>
        <w:tc>
          <w:tcPr>
            <w:tcW w:w="975" w:type="dxa"/>
            <w:vAlign w:val="center"/>
          </w:tcPr>
          <w:p w14:paraId="25C6A17A" w14:textId="77777777" w:rsidR="00D8645B" w:rsidRDefault="00D8645B" w:rsidP="00664D46">
            <w:pPr>
              <w:spacing w:line="360" w:lineRule="auto"/>
              <w:jc w:val="center"/>
            </w:pPr>
            <w:r>
              <w:t>+69</w:t>
            </w:r>
          </w:p>
        </w:tc>
      </w:tr>
      <w:tr w:rsidR="00D8645B" w14:paraId="5E0618E6" w14:textId="77777777" w:rsidTr="00664D46">
        <w:tc>
          <w:tcPr>
            <w:tcW w:w="1980" w:type="dxa"/>
            <w:vAlign w:val="center"/>
          </w:tcPr>
          <w:p w14:paraId="7FDB4999" w14:textId="77777777" w:rsidR="00D8645B" w:rsidRDefault="00D8645B" w:rsidP="00664D46">
            <w:pPr>
              <w:spacing w:line="360" w:lineRule="auto"/>
              <w:jc w:val="center"/>
            </w:pPr>
            <w:r>
              <w:t>Prime Finance</w:t>
            </w:r>
          </w:p>
        </w:tc>
        <w:tc>
          <w:tcPr>
            <w:tcW w:w="1364" w:type="dxa"/>
            <w:vAlign w:val="center"/>
          </w:tcPr>
          <w:p w14:paraId="1AA37EA0" w14:textId="77777777" w:rsidR="00D8645B" w:rsidRDefault="00D8645B" w:rsidP="00664D46">
            <w:pPr>
              <w:spacing w:line="360" w:lineRule="auto"/>
              <w:jc w:val="center"/>
            </w:pPr>
            <w:r>
              <w:t>27</w:t>
            </w:r>
          </w:p>
        </w:tc>
        <w:tc>
          <w:tcPr>
            <w:tcW w:w="1563" w:type="dxa"/>
            <w:vAlign w:val="center"/>
          </w:tcPr>
          <w:p w14:paraId="0D3D8656" w14:textId="77777777" w:rsidR="00D8645B" w:rsidRDefault="00D8645B" w:rsidP="00664D46">
            <w:pPr>
              <w:spacing w:line="360" w:lineRule="auto"/>
              <w:jc w:val="center"/>
            </w:pPr>
            <w:r>
              <w:t>(6)</w:t>
            </w:r>
          </w:p>
        </w:tc>
        <w:tc>
          <w:tcPr>
            <w:tcW w:w="975" w:type="dxa"/>
            <w:vAlign w:val="center"/>
          </w:tcPr>
          <w:p w14:paraId="0C574C4A" w14:textId="77777777" w:rsidR="00D8645B" w:rsidRDefault="00D8645B" w:rsidP="00664D46">
            <w:pPr>
              <w:spacing w:line="360" w:lineRule="auto"/>
              <w:jc w:val="center"/>
            </w:pPr>
            <w:r>
              <w:t>6</w:t>
            </w:r>
          </w:p>
        </w:tc>
        <w:tc>
          <w:tcPr>
            <w:tcW w:w="969" w:type="dxa"/>
            <w:vAlign w:val="center"/>
          </w:tcPr>
          <w:p w14:paraId="0C166B75" w14:textId="77777777" w:rsidR="00D8645B" w:rsidRDefault="00D8645B" w:rsidP="00664D46">
            <w:pPr>
              <w:spacing w:line="360" w:lineRule="auto"/>
              <w:jc w:val="center"/>
            </w:pPr>
            <w:r>
              <w:t>9</w:t>
            </w:r>
          </w:p>
        </w:tc>
        <w:tc>
          <w:tcPr>
            <w:tcW w:w="1364" w:type="dxa"/>
            <w:vAlign w:val="center"/>
          </w:tcPr>
          <w:p w14:paraId="5325204C" w14:textId="77777777" w:rsidR="00D8645B" w:rsidRDefault="00D8645B" w:rsidP="00664D46">
            <w:pPr>
              <w:spacing w:line="360" w:lineRule="auto"/>
              <w:jc w:val="center"/>
            </w:pPr>
            <w:r>
              <w:t>-20</w:t>
            </w:r>
          </w:p>
        </w:tc>
        <w:tc>
          <w:tcPr>
            <w:tcW w:w="975" w:type="dxa"/>
            <w:vAlign w:val="center"/>
          </w:tcPr>
          <w:p w14:paraId="5254F7AC" w14:textId="77777777" w:rsidR="00D8645B" w:rsidRDefault="00D8645B" w:rsidP="00664D46">
            <w:pPr>
              <w:spacing w:line="360" w:lineRule="auto"/>
              <w:jc w:val="center"/>
            </w:pPr>
            <w:r>
              <w:t>+23</w:t>
            </w:r>
          </w:p>
        </w:tc>
        <w:tc>
          <w:tcPr>
            <w:tcW w:w="975" w:type="dxa"/>
            <w:vAlign w:val="center"/>
          </w:tcPr>
          <w:p w14:paraId="20AE6930" w14:textId="77777777" w:rsidR="00D8645B" w:rsidRDefault="00D8645B" w:rsidP="00664D46">
            <w:pPr>
              <w:spacing w:line="360" w:lineRule="auto"/>
              <w:jc w:val="center"/>
            </w:pPr>
            <w:r>
              <w:t>+34</w:t>
            </w:r>
          </w:p>
        </w:tc>
      </w:tr>
      <w:tr w:rsidR="00D8645B" w14:paraId="2739DB05" w14:textId="77777777" w:rsidTr="00664D46">
        <w:tc>
          <w:tcPr>
            <w:tcW w:w="1980" w:type="dxa"/>
            <w:vAlign w:val="center"/>
          </w:tcPr>
          <w:p w14:paraId="2AF60DD1" w14:textId="77777777" w:rsidR="00D8645B" w:rsidRDefault="00D8645B" w:rsidP="00664D46">
            <w:pPr>
              <w:spacing w:line="360" w:lineRule="auto"/>
              <w:jc w:val="center"/>
            </w:pPr>
            <w:r>
              <w:t>GSM</w:t>
            </w:r>
          </w:p>
        </w:tc>
        <w:tc>
          <w:tcPr>
            <w:tcW w:w="1364" w:type="dxa"/>
            <w:vAlign w:val="center"/>
          </w:tcPr>
          <w:p w14:paraId="3C7CD1BC" w14:textId="77777777" w:rsidR="00D8645B" w:rsidRDefault="00D8645B" w:rsidP="00664D46">
            <w:pPr>
              <w:spacing w:line="360" w:lineRule="auto"/>
              <w:jc w:val="center"/>
            </w:pPr>
            <w:r>
              <w:t>3600</w:t>
            </w:r>
          </w:p>
        </w:tc>
        <w:tc>
          <w:tcPr>
            <w:tcW w:w="1563" w:type="dxa"/>
            <w:vAlign w:val="center"/>
          </w:tcPr>
          <w:p w14:paraId="1B86E5BA" w14:textId="77777777" w:rsidR="00D8645B" w:rsidRDefault="00D8645B" w:rsidP="00664D46">
            <w:pPr>
              <w:spacing w:line="360" w:lineRule="auto"/>
              <w:jc w:val="center"/>
            </w:pPr>
            <w:r>
              <w:t>3341</w:t>
            </w:r>
          </w:p>
        </w:tc>
        <w:tc>
          <w:tcPr>
            <w:tcW w:w="975" w:type="dxa"/>
            <w:vAlign w:val="center"/>
          </w:tcPr>
          <w:p w14:paraId="2127CE8A" w14:textId="77777777" w:rsidR="00D8645B" w:rsidRDefault="00D8645B" w:rsidP="00664D46">
            <w:pPr>
              <w:spacing w:line="360" w:lineRule="auto"/>
              <w:jc w:val="center"/>
            </w:pPr>
            <w:r>
              <w:t>2880</w:t>
            </w:r>
          </w:p>
        </w:tc>
        <w:tc>
          <w:tcPr>
            <w:tcW w:w="969" w:type="dxa"/>
            <w:vAlign w:val="center"/>
          </w:tcPr>
          <w:p w14:paraId="0F2B3FEE" w14:textId="77777777" w:rsidR="00D8645B" w:rsidRDefault="00D8645B" w:rsidP="00664D46">
            <w:pPr>
              <w:spacing w:line="360" w:lineRule="auto"/>
              <w:jc w:val="center"/>
            </w:pPr>
            <w:r>
              <w:t>2476</w:t>
            </w:r>
          </w:p>
        </w:tc>
        <w:tc>
          <w:tcPr>
            <w:tcW w:w="1364" w:type="dxa"/>
            <w:vAlign w:val="center"/>
          </w:tcPr>
          <w:p w14:paraId="09403EFE" w14:textId="77777777" w:rsidR="00D8645B" w:rsidRDefault="00D8645B" w:rsidP="00664D46">
            <w:pPr>
              <w:spacing w:line="360" w:lineRule="auto"/>
              <w:jc w:val="center"/>
            </w:pPr>
            <w:r>
              <w:t>+93</w:t>
            </w:r>
          </w:p>
        </w:tc>
        <w:tc>
          <w:tcPr>
            <w:tcW w:w="975" w:type="dxa"/>
            <w:vAlign w:val="center"/>
          </w:tcPr>
          <w:p w14:paraId="00BD4C3A" w14:textId="77777777" w:rsidR="00D8645B" w:rsidRDefault="00D8645B" w:rsidP="00664D46">
            <w:pPr>
              <w:spacing w:line="360" w:lineRule="auto"/>
              <w:jc w:val="center"/>
            </w:pPr>
            <w:r>
              <w:t>+80</w:t>
            </w:r>
          </w:p>
        </w:tc>
        <w:tc>
          <w:tcPr>
            <w:tcW w:w="975" w:type="dxa"/>
            <w:vAlign w:val="center"/>
          </w:tcPr>
          <w:p w14:paraId="7921F827" w14:textId="77777777" w:rsidR="00D8645B" w:rsidRDefault="00D8645B" w:rsidP="00664D46">
            <w:pPr>
              <w:spacing w:line="360" w:lineRule="auto"/>
              <w:jc w:val="center"/>
            </w:pPr>
            <w:r>
              <w:t>+69</w:t>
            </w:r>
          </w:p>
        </w:tc>
      </w:tr>
      <w:tr w:rsidR="00D8645B" w14:paraId="30CF34BF" w14:textId="77777777" w:rsidTr="00664D46">
        <w:tc>
          <w:tcPr>
            <w:tcW w:w="1980" w:type="dxa"/>
            <w:vAlign w:val="center"/>
          </w:tcPr>
          <w:p w14:paraId="71940E94" w14:textId="77777777" w:rsidR="00D8645B" w:rsidRPr="00B9177F" w:rsidRDefault="00D8645B" w:rsidP="00664D46">
            <w:pPr>
              <w:spacing w:line="360" w:lineRule="auto"/>
              <w:jc w:val="center"/>
              <w:rPr>
                <w:b/>
              </w:rPr>
            </w:pPr>
            <w:r>
              <w:rPr>
                <w:b/>
              </w:rPr>
              <w:t>Total</w:t>
            </w:r>
          </w:p>
        </w:tc>
        <w:tc>
          <w:tcPr>
            <w:tcW w:w="1364" w:type="dxa"/>
            <w:vAlign w:val="center"/>
          </w:tcPr>
          <w:p w14:paraId="580033B5" w14:textId="77777777" w:rsidR="00D8645B" w:rsidRPr="00B9177F" w:rsidRDefault="00D8645B" w:rsidP="00664D46">
            <w:pPr>
              <w:spacing w:line="360" w:lineRule="auto"/>
              <w:jc w:val="center"/>
              <w:rPr>
                <w:b/>
              </w:rPr>
            </w:pPr>
            <w:r>
              <w:rPr>
                <w:b/>
              </w:rPr>
              <w:t>16702</w:t>
            </w:r>
          </w:p>
        </w:tc>
        <w:tc>
          <w:tcPr>
            <w:tcW w:w="1563" w:type="dxa"/>
            <w:vAlign w:val="center"/>
          </w:tcPr>
          <w:p w14:paraId="1ACC8EFB" w14:textId="77777777" w:rsidR="00D8645B" w:rsidRPr="00B9177F" w:rsidRDefault="00D8645B" w:rsidP="00664D46">
            <w:pPr>
              <w:spacing w:line="360" w:lineRule="auto"/>
              <w:jc w:val="center"/>
              <w:rPr>
                <w:b/>
              </w:rPr>
            </w:pPr>
            <w:r>
              <w:rPr>
                <w:b/>
              </w:rPr>
              <w:t>7818</w:t>
            </w:r>
          </w:p>
        </w:tc>
        <w:tc>
          <w:tcPr>
            <w:tcW w:w="975" w:type="dxa"/>
            <w:vAlign w:val="center"/>
          </w:tcPr>
          <w:p w14:paraId="34960010" w14:textId="77777777" w:rsidR="00D8645B" w:rsidRPr="00B9177F" w:rsidRDefault="00D8645B" w:rsidP="00664D46">
            <w:pPr>
              <w:spacing w:line="360" w:lineRule="auto"/>
              <w:jc w:val="center"/>
              <w:rPr>
                <w:b/>
              </w:rPr>
            </w:pPr>
            <w:r>
              <w:rPr>
                <w:b/>
              </w:rPr>
              <w:t>7818</w:t>
            </w:r>
          </w:p>
        </w:tc>
        <w:tc>
          <w:tcPr>
            <w:tcW w:w="969" w:type="dxa"/>
            <w:vAlign w:val="center"/>
          </w:tcPr>
          <w:p w14:paraId="798D2739" w14:textId="77777777" w:rsidR="00D8645B" w:rsidRPr="00B9177F" w:rsidRDefault="00D8645B" w:rsidP="00664D46">
            <w:pPr>
              <w:spacing w:line="360" w:lineRule="auto"/>
              <w:jc w:val="center"/>
              <w:rPr>
                <w:b/>
              </w:rPr>
            </w:pPr>
            <w:r>
              <w:rPr>
                <w:b/>
              </w:rPr>
              <w:t>7818</w:t>
            </w:r>
          </w:p>
        </w:tc>
        <w:tc>
          <w:tcPr>
            <w:tcW w:w="1364" w:type="dxa"/>
            <w:vAlign w:val="center"/>
          </w:tcPr>
          <w:p w14:paraId="3726A580" w14:textId="77777777" w:rsidR="00D8645B" w:rsidRPr="00B9177F" w:rsidRDefault="00D8645B" w:rsidP="00664D46">
            <w:pPr>
              <w:spacing w:line="360" w:lineRule="auto"/>
              <w:jc w:val="center"/>
              <w:rPr>
                <w:b/>
              </w:rPr>
            </w:pPr>
            <w:r>
              <w:rPr>
                <w:b/>
              </w:rPr>
              <w:t>-</w:t>
            </w:r>
          </w:p>
        </w:tc>
        <w:tc>
          <w:tcPr>
            <w:tcW w:w="975" w:type="dxa"/>
            <w:vAlign w:val="center"/>
          </w:tcPr>
          <w:p w14:paraId="60A7F9A3" w14:textId="77777777" w:rsidR="00D8645B" w:rsidRPr="00B9177F" w:rsidRDefault="00D8645B" w:rsidP="00664D46">
            <w:pPr>
              <w:spacing w:line="360" w:lineRule="auto"/>
              <w:jc w:val="center"/>
              <w:rPr>
                <w:b/>
              </w:rPr>
            </w:pPr>
            <w:r>
              <w:rPr>
                <w:b/>
              </w:rPr>
              <w:t>-</w:t>
            </w:r>
          </w:p>
        </w:tc>
        <w:tc>
          <w:tcPr>
            <w:tcW w:w="975" w:type="dxa"/>
            <w:vAlign w:val="center"/>
          </w:tcPr>
          <w:p w14:paraId="2720CFC3" w14:textId="77777777" w:rsidR="00D8645B" w:rsidRPr="00B9177F" w:rsidRDefault="00D8645B" w:rsidP="00664D46">
            <w:pPr>
              <w:spacing w:line="360" w:lineRule="auto"/>
              <w:jc w:val="center"/>
              <w:rPr>
                <w:b/>
              </w:rPr>
            </w:pPr>
            <w:r>
              <w:rPr>
                <w:b/>
              </w:rPr>
              <w:t>-</w:t>
            </w:r>
          </w:p>
        </w:tc>
      </w:tr>
    </w:tbl>
    <w:p w14:paraId="1827531D" w14:textId="77777777" w:rsidR="00D8645B" w:rsidRDefault="00D8645B" w:rsidP="00D8645B">
      <w:pPr>
        <w:spacing w:line="360" w:lineRule="auto"/>
      </w:pPr>
    </w:p>
    <w:p w14:paraId="37AC3D34" w14:textId="77777777" w:rsidR="00D8645B" w:rsidRDefault="00D8645B" w:rsidP="00D8645B">
      <w:pPr>
        <w:spacing w:line="360" w:lineRule="auto"/>
      </w:pPr>
    </w:p>
    <w:p w14:paraId="65B4BA2C" w14:textId="77777777" w:rsidR="00D8645B" w:rsidRPr="000C0082" w:rsidRDefault="00D8645B" w:rsidP="00D8645B">
      <w:pPr>
        <w:spacing w:line="360" w:lineRule="auto"/>
        <w:rPr>
          <w:b/>
          <w:sz w:val="28"/>
          <w:szCs w:val="28"/>
        </w:rPr>
      </w:pPr>
      <w:r w:rsidRPr="000C0082">
        <w:rPr>
          <w:b/>
          <w:sz w:val="28"/>
          <w:szCs w:val="28"/>
        </w:rPr>
        <w:t>Alternate Approaches Considered in the Past</w:t>
      </w:r>
    </w:p>
    <w:p w14:paraId="6157125C" w14:textId="77777777" w:rsidR="00D8645B" w:rsidRDefault="00D8645B" w:rsidP="00D8645B">
      <w:pPr>
        <w:spacing w:line="360" w:lineRule="auto"/>
      </w:pPr>
    </w:p>
    <w:p w14:paraId="64682E3C" w14:textId="77777777" w:rsidR="00D8645B" w:rsidRDefault="00D8645B" w:rsidP="0060309E">
      <w:pPr>
        <w:pStyle w:val="ListParagraph"/>
        <w:numPr>
          <w:ilvl w:val="0"/>
          <w:numId w:val="66"/>
        </w:numPr>
        <w:spacing w:after="160" w:line="360" w:lineRule="auto"/>
      </w:pPr>
      <w:r w:rsidRPr="000C0082">
        <w:rPr>
          <w:u w:val="single"/>
        </w:rPr>
        <w:t>Balance Sheet Projection using PPNR</w:t>
      </w:r>
      <w:r w:rsidRPr="000C0082">
        <w:t>: Balance sheet projection schemes using PPNR were contemplated to account for stress time revenue flow and trading behavior such as hedge roll-over, etc.</w:t>
      </w:r>
    </w:p>
    <w:p w14:paraId="0BC29355" w14:textId="77777777" w:rsidR="00D8645B" w:rsidRDefault="00D8645B" w:rsidP="0060309E">
      <w:pPr>
        <w:pStyle w:val="ListParagraph"/>
        <w:numPr>
          <w:ilvl w:val="0"/>
          <w:numId w:val="66"/>
        </w:numPr>
        <w:spacing w:after="160" w:line="360" w:lineRule="auto"/>
      </w:pPr>
      <w:r>
        <w:rPr>
          <w:u w:val="single"/>
        </w:rPr>
        <w:t>Dynamic Reassessment of Beta Bucketing</w:t>
      </w:r>
      <w:r w:rsidRPr="000C0082">
        <w:t>:</w:t>
      </w:r>
      <w:r>
        <w:t xml:space="preserve"> Attempts were made to form dynamic re-assessment of beta bucketing calibrated to marginal contribution through clustering.</w:t>
      </w:r>
    </w:p>
    <w:p w14:paraId="429AEE0F" w14:textId="77777777" w:rsidR="00D8645B" w:rsidRDefault="00D8645B" w:rsidP="0060309E">
      <w:pPr>
        <w:pStyle w:val="ListParagraph"/>
        <w:numPr>
          <w:ilvl w:val="0"/>
          <w:numId w:val="66"/>
        </w:numPr>
        <w:spacing w:after="160" w:line="360" w:lineRule="auto"/>
      </w:pPr>
      <w:r>
        <w:rPr>
          <w:u w:val="single"/>
        </w:rPr>
        <w:t>Combinations of Fix/Float Bucketing</w:t>
      </w:r>
      <w:r>
        <w:t>: Different combinations of fix/float beta bucketing were explored.</w:t>
      </w:r>
    </w:p>
    <w:p w14:paraId="4CAB888B" w14:textId="77777777" w:rsidR="00D8645B" w:rsidRDefault="00D8645B" w:rsidP="00D8645B">
      <w:pPr>
        <w:spacing w:line="360" w:lineRule="auto"/>
      </w:pPr>
    </w:p>
    <w:p w14:paraId="6BA22731" w14:textId="77777777" w:rsidR="00D8645B" w:rsidRDefault="00D8645B" w:rsidP="00D8645B">
      <w:pPr>
        <w:spacing w:line="360" w:lineRule="auto"/>
      </w:pPr>
    </w:p>
    <w:p w14:paraId="46C675D1" w14:textId="77777777" w:rsidR="00D8645B" w:rsidRPr="00CD5869" w:rsidRDefault="00D8645B" w:rsidP="00D8645B">
      <w:pPr>
        <w:spacing w:line="360" w:lineRule="auto"/>
        <w:rPr>
          <w:b/>
          <w:sz w:val="28"/>
          <w:szCs w:val="28"/>
        </w:rPr>
      </w:pPr>
      <w:r w:rsidRPr="00CD5869">
        <w:rPr>
          <w:b/>
          <w:sz w:val="28"/>
          <w:szCs w:val="28"/>
        </w:rPr>
        <w:t>Allocation Technical Details</w:t>
      </w:r>
    </w:p>
    <w:p w14:paraId="46A2A5DF" w14:textId="77777777" w:rsidR="00D8645B" w:rsidRDefault="00D8645B" w:rsidP="00D8645B">
      <w:pPr>
        <w:spacing w:line="360" w:lineRule="auto"/>
      </w:pPr>
    </w:p>
    <w:p w14:paraId="68C238C5" w14:textId="77777777" w:rsidR="00D8645B" w:rsidRDefault="00D8645B" w:rsidP="0060309E">
      <w:pPr>
        <w:pStyle w:val="ListParagraph"/>
        <w:numPr>
          <w:ilvl w:val="0"/>
          <w:numId w:val="67"/>
        </w:numPr>
        <w:spacing w:after="160" w:line="360" w:lineRule="auto"/>
      </w:pPr>
      <w:r w:rsidRPr="00CD5869">
        <w:rPr>
          <w:u w:val="single"/>
        </w:rPr>
        <w:t>Proposed Approach – Separating Hedge Trades</w:t>
      </w:r>
      <w:r w:rsidRPr="00CD5869">
        <w:t>: The first step would be to separate the hedges. In the treatment below, Group ref</w:t>
      </w:r>
      <w:r>
        <w:t>ers to the Trading G</w:t>
      </w:r>
      <w:r w:rsidRPr="00CD5869">
        <w:t>roup Total.</w:t>
      </w:r>
    </w:p>
    <w:p w14:paraId="7E08D8D2" w14:textId="77777777" w:rsidR="00D8645B" w:rsidRDefault="00D8645B" w:rsidP="0060309E">
      <w:pPr>
        <w:pStyle w:val="ListParagraph"/>
        <w:numPr>
          <w:ilvl w:val="1"/>
          <w:numId w:val="67"/>
        </w:numPr>
        <w:spacing w:after="160" w:line="360" w:lineRule="auto"/>
      </w:pPr>
      <w:r>
        <w:t>Allocation to the Hedge =&gt; Trading Desks Marginal to Group</w:t>
      </w:r>
    </w:p>
    <w:p w14:paraId="3472E8C6" w14:textId="77777777" w:rsidR="00D8645B" w:rsidRDefault="00D8645B" w:rsidP="0060309E">
      <w:pPr>
        <w:pStyle w:val="ListParagraph"/>
        <w:numPr>
          <w:ilvl w:val="1"/>
          <w:numId w:val="67"/>
        </w:numPr>
        <w:spacing w:after="160" w:line="360" w:lineRule="auto"/>
      </w:pPr>
      <w:r>
        <w:t xml:space="preserve">The </w:t>
      </w:r>
      <w:r>
        <w:rPr>
          <w:i/>
        </w:rPr>
        <w:t>“Trading Marginal to Group” – “Trading Hedge Desks Marginal to Group”</w:t>
      </w:r>
      <w:r>
        <w:t xml:space="preserve"> are allocated as shown below.</w:t>
      </w:r>
    </w:p>
    <w:p w14:paraId="3758D0C4" w14:textId="77777777" w:rsidR="00D8645B" w:rsidRDefault="00D8645B" w:rsidP="0060309E">
      <w:pPr>
        <w:pStyle w:val="ListParagraph"/>
        <w:numPr>
          <w:ilvl w:val="0"/>
          <w:numId w:val="67"/>
        </w:numPr>
        <w:spacing w:after="160" w:line="360" w:lineRule="auto"/>
      </w:pPr>
      <w:r w:rsidRPr="00CD5869">
        <w:rPr>
          <w:u w:val="single"/>
        </w:rPr>
        <w:t>Proposed Approach – Differential Component Allocation</w:t>
      </w:r>
      <w:r>
        <w:t>: Separate allocate the VaR + GSST component and the BSST component.</w:t>
      </w:r>
    </w:p>
    <w:p w14:paraId="654DCB10" w14:textId="77777777" w:rsidR="00D8645B" w:rsidRDefault="00D8645B" w:rsidP="0060309E">
      <w:pPr>
        <w:pStyle w:val="ListParagraph"/>
        <w:numPr>
          <w:ilvl w:val="1"/>
          <w:numId w:val="67"/>
        </w:numPr>
        <w:spacing w:after="160" w:line="360" w:lineRule="auto"/>
      </w:pPr>
      <w:r>
        <w:rPr>
          <w:i/>
        </w:rPr>
        <w:t>VaR + GSST</w:t>
      </w:r>
      <w:r>
        <w:t xml:space="preserve"> Allocation =&gt; A two-beta (high vs. low) approach, with</w:t>
      </w:r>
    </w:p>
    <w:p w14:paraId="7474192C" w14:textId="77777777" w:rsidR="00D8645B" w:rsidRPr="00A4622F" w:rsidRDefault="00D8645B" w:rsidP="00D8645B">
      <w:pPr>
        <w:spacing w:line="360" w:lineRule="auto"/>
      </w:pPr>
    </w:p>
    <w:p w14:paraId="24F6B08F" w14:textId="77777777" w:rsidR="00D8645B" w:rsidRPr="00A4622F" w:rsidRDefault="00D8645B" w:rsidP="00D8645B">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×2</m:t>
          </m:r>
        </m:oMath>
      </m:oMathPara>
    </w:p>
    <w:p w14:paraId="26E0364B" w14:textId="77777777" w:rsidR="00D8645B" w:rsidRPr="00A4622F" w:rsidRDefault="00D8645B" w:rsidP="00D8645B">
      <w:pPr>
        <w:spacing w:line="360" w:lineRule="auto"/>
      </w:pPr>
    </w:p>
    <w:p w14:paraId="028F94A5" w14:textId="77777777" w:rsidR="00D8645B" w:rsidRDefault="00D8645B" w:rsidP="0060309E">
      <w:pPr>
        <w:pStyle w:val="ListParagraph"/>
        <w:numPr>
          <w:ilvl w:val="1"/>
          <w:numId w:val="67"/>
        </w:numPr>
        <w:spacing w:after="160" w:line="360" w:lineRule="auto"/>
      </w:pPr>
      <w:r>
        <w:t>Correlated BSST Allocation =&gt; Pro-rata to cBSST contribution from each business in a driving scenario – e.g., 2008.</w:t>
      </w:r>
    </w:p>
    <w:p w14:paraId="594636A9" w14:textId="77777777" w:rsidR="00D8645B" w:rsidRDefault="00D8645B" w:rsidP="0060309E">
      <w:pPr>
        <w:pStyle w:val="ListParagraph"/>
        <w:numPr>
          <w:ilvl w:val="1"/>
          <w:numId w:val="67"/>
        </w:numPr>
        <w:spacing w:after="160" w:line="360" w:lineRule="auto"/>
      </w:pPr>
      <w:r>
        <w:t>Idiosyncratic BSST Allocation =&gt; Pro-rata to standalone worst iBSST of each business.</w:t>
      </w:r>
    </w:p>
    <w:p w14:paraId="75ABDE7D" w14:textId="77777777" w:rsidR="00D8645B" w:rsidRDefault="00D8645B" w:rsidP="00D8645B">
      <w:pPr>
        <w:spacing w:line="360" w:lineRule="auto"/>
      </w:pPr>
    </w:p>
    <w:p w14:paraId="5D83643C" w14:textId="77777777" w:rsidR="00D8645B" w:rsidRDefault="00D8645B" w:rsidP="00D8645B">
      <w:pPr>
        <w:spacing w:line="360" w:lineRule="auto"/>
      </w:pPr>
    </w:p>
    <w:p w14:paraId="14A93155" w14:textId="77777777" w:rsidR="00D8645B" w:rsidRPr="00A4622F" w:rsidRDefault="00D8645B" w:rsidP="00D8645B">
      <w:pPr>
        <w:spacing w:line="360" w:lineRule="auto"/>
        <w:rPr>
          <w:b/>
          <w:sz w:val="28"/>
          <w:szCs w:val="28"/>
        </w:rPr>
      </w:pPr>
      <w:r w:rsidRPr="00A4622F">
        <w:rPr>
          <w:b/>
          <w:sz w:val="28"/>
          <w:szCs w:val="28"/>
        </w:rPr>
        <w:t>Allocation Approach and Available Inputs</w:t>
      </w:r>
    </w:p>
    <w:p w14:paraId="39D6540F" w14:textId="77777777" w:rsidR="00D8645B" w:rsidRDefault="00D8645B" w:rsidP="00D8645B">
      <w:pPr>
        <w:spacing w:line="360" w:lineRule="auto"/>
      </w:pPr>
    </w:p>
    <w:p w14:paraId="6E63968B" w14:textId="77777777" w:rsidR="00D8645B" w:rsidRDefault="00D8645B" w:rsidP="0060309E">
      <w:pPr>
        <w:pStyle w:val="ListParagraph"/>
        <w:numPr>
          <w:ilvl w:val="0"/>
          <w:numId w:val="68"/>
        </w:numPr>
        <w:spacing w:after="160" w:line="360" w:lineRule="auto"/>
      </w:pPr>
      <w:r w:rsidRPr="00A4622F">
        <w:rPr>
          <w:u w:val="single"/>
        </w:rPr>
        <w:t>Trading Marginal to Total</w:t>
      </w:r>
      <w:r w:rsidRPr="00A4622F">
        <w:t>: Since there is no VaR, GSST, and BSST contribution of Trading Marginal to Trading Total:</w:t>
      </w:r>
    </w:p>
    <w:p w14:paraId="7D933D31" w14:textId="77777777" w:rsidR="00D8645B" w:rsidRDefault="00D8645B" w:rsidP="0060309E">
      <w:pPr>
        <w:pStyle w:val="ListParagraph"/>
        <w:numPr>
          <w:ilvl w:val="1"/>
          <w:numId w:val="68"/>
        </w:numPr>
        <w:spacing w:after="160" w:line="360" w:lineRule="auto"/>
      </w:pPr>
      <w:r>
        <w:t>Trading standalone – or hedge – of each business is first allocated. One approximation here is that the Trading Standalone may contain the impact of the hedge.</w:t>
      </w:r>
    </w:p>
    <w:p w14:paraId="149F73D2" w14:textId="77777777" w:rsidR="00D8645B" w:rsidRDefault="00D8645B" w:rsidP="0060309E">
      <w:pPr>
        <w:pStyle w:val="ListParagraph"/>
        <w:numPr>
          <w:ilvl w:val="1"/>
          <w:numId w:val="68"/>
        </w:numPr>
        <w:spacing w:after="160" w:line="360" w:lineRule="auto"/>
      </w:pPr>
      <w:r w:rsidRPr="00A4622F">
        <w:lastRenderedPageBreak/>
        <w:t xml:space="preserve">The same allocation percentage of the Trading Marginal is applied to Trading Total. The trading standalone </w:t>
      </w:r>
      <w:r>
        <w:t xml:space="preserve">is </w:t>
      </w:r>
      <w:r w:rsidRPr="00A4622F">
        <w:t>broken down to marginal contribution from VaR, iBSST, cBSST, and GSST.</w:t>
      </w:r>
    </w:p>
    <w:p w14:paraId="442AEBDF" w14:textId="77777777" w:rsidR="00D8645B" w:rsidRPr="00861C18" w:rsidRDefault="00D8645B" w:rsidP="00D8645B">
      <w:pPr>
        <w:spacing w:line="360" w:lineRule="auto"/>
        <w:ind w:left="720"/>
      </w:pPr>
    </w:p>
    <w:p w14:paraId="3DA7A6C6" w14:textId="77777777" w:rsidR="00D8645B" w:rsidRDefault="00D8645B" w:rsidP="00D8645B">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Trading Standalone</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GSST</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VaR</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cBSST</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iBSST</m:t>
              </m:r>
            </m:sub>
          </m:sSub>
        </m:oMath>
      </m:oMathPara>
    </w:p>
    <w:p w14:paraId="63B5CED2" w14:textId="77777777" w:rsidR="00D8645B" w:rsidRPr="00861C18" w:rsidRDefault="00D8645B" w:rsidP="00D8645B">
      <w:pPr>
        <w:spacing w:line="360" w:lineRule="auto"/>
        <w:rPr>
          <w:rFonts w:eastAsiaTheme="minorEastAsia"/>
        </w:rPr>
      </w:pPr>
    </w:p>
    <w:p w14:paraId="50CC46C6" w14:textId="77777777" w:rsidR="00D8645B" w:rsidRPr="00A4622F" w:rsidRDefault="00D8645B" w:rsidP="00D8645B">
      <w:pPr>
        <w:pStyle w:val="ListParagraph"/>
        <w:spacing w:line="360" w:lineRule="auto"/>
        <w:ind w:left="1080"/>
      </w:pPr>
      <w:r>
        <w:rPr>
          <w:rFonts w:eastAsiaTheme="minorEastAsia"/>
        </w:rPr>
        <w:t>where t</w:t>
      </w:r>
      <w:r w:rsidRPr="00A4622F">
        <w:rPr>
          <w:rFonts w:eastAsiaTheme="minorEastAsia"/>
        </w:rPr>
        <w:t xml:space="preserve">he RHS refers to the marginal contributions from VaR, GSST, cBSST, and </w:t>
      </w:r>
      <w:r>
        <w:rPr>
          <w:rFonts w:eastAsiaTheme="minorEastAsia"/>
        </w:rPr>
        <w:t>iBSST</w:t>
      </w:r>
      <w:r w:rsidRPr="00A4622F">
        <w:rPr>
          <w:rFonts w:eastAsiaTheme="minorEastAsia"/>
        </w:rPr>
        <w:t>.</w:t>
      </w:r>
    </w:p>
    <w:p w14:paraId="47C3F6C4" w14:textId="77777777" w:rsidR="00D8645B" w:rsidRDefault="00D8645B" w:rsidP="0060309E">
      <w:pPr>
        <w:pStyle w:val="ListParagraph"/>
        <w:numPr>
          <w:ilvl w:val="0"/>
          <w:numId w:val="68"/>
        </w:numPr>
        <w:spacing w:after="160" w:line="360" w:lineRule="auto"/>
      </w:pPr>
      <w:r w:rsidRPr="00A4622F">
        <w:rPr>
          <w:u w:val="single"/>
        </w:rPr>
        <w:t>Decomposing the Desk/Business Standalone</w:t>
      </w:r>
      <w:r>
        <w:t xml:space="preserve">: </w:t>
      </w:r>
      <w:r w:rsidRPr="00A4622F">
        <w:t xml:space="preserve">The </w:t>
      </w:r>
      <w:r>
        <w:t>business</w:t>
      </w:r>
      <w:r w:rsidRPr="00A4622F">
        <w:t xml:space="preserve"> standalone </w:t>
      </w:r>
      <w:r>
        <w:t xml:space="preserve">is </w:t>
      </w:r>
      <w:r w:rsidRPr="00A4622F">
        <w:t>broken down to contribution</w:t>
      </w:r>
      <w:r>
        <w:t>s</w:t>
      </w:r>
      <w:r w:rsidRPr="00A4622F">
        <w:t xml:space="preserve"> from VaR, iBSST, cBSST, and GSST.</w:t>
      </w:r>
    </w:p>
    <w:p w14:paraId="43DE9911" w14:textId="77777777" w:rsidR="00D8645B" w:rsidRPr="00861C18" w:rsidRDefault="00D8645B" w:rsidP="00D8645B">
      <w:pPr>
        <w:spacing w:line="360" w:lineRule="auto"/>
        <w:rPr>
          <w:u w:val="single"/>
        </w:rPr>
      </w:pPr>
    </w:p>
    <w:p w14:paraId="4DA2EF2D"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Standalone,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GSST,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VaR,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cBSST,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iBSST, i</m:t>
              </m:r>
            </m:sub>
          </m:sSub>
        </m:oMath>
      </m:oMathPara>
    </w:p>
    <w:p w14:paraId="7EBE6E8E" w14:textId="77777777" w:rsidR="00D8645B" w:rsidRPr="00861C18" w:rsidRDefault="00D8645B" w:rsidP="00D8645B">
      <w:pPr>
        <w:spacing w:line="360" w:lineRule="auto"/>
        <w:rPr>
          <w:rFonts w:eastAsiaTheme="minorEastAsia"/>
        </w:rPr>
      </w:pPr>
    </w:p>
    <w:p w14:paraId="6AA43C4A" w14:textId="77777777" w:rsidR="00D8645B" w:rsidRPr="009139BC" w:rsidRDefault="00D8645B" w:rsidP="00D8645B">
      <w:pPr>
        <w:pStyle w:val="ListParagraph"/>
        <w:spacing w:line="360" w:lineRule="auto"/>
        <w:ind w:left="360"/>
      </w:pPr>
      <w:r>
        <w:rPr>
          <w:rFonts w:eastAsiaTheme="minorEastAsia"/>
        </w:rPr>
        <w:t>where t</w:t>
      </w:r>
      <w:r w:rsidRPr="00A4622F">
        <w:rPr>
          <w:rFonts w:eastAsiaTheme="minorEastAsia"/>
        </w:rPr>
        <w:t xml:space="preserve">he RHS refers to the contributions </w:t>
      </w:r>
      <w:r>
        <w:rPr>
          <w:rFonts w:eastAsiaTheme="minorEastAsia"/>
        </w:rPr>
        <w:t xml:space="preserve">to desk </w:t>
      </w:r>
      <m:oMath>
        <m:r>
          <w:rPr>
            <w:rFonts w:ascii="Cambria Math" w:hAnsi="Cambria Math"/>
          </w:rPr>
          <m:t>i</m:t>
        </m:r>
      </m:oMath>
      <w:r w:rsidRPr="00A4622F">
        <w:rPr>
          <w:rFonts w:eastAsiaTheme="minorEastAsia"/>
        </w:rPr>
        <w:t xml:space="preserve"> from VaR, GSST, cBSST, and </w:t>
      </w:r>
      <w:r>
        <w:rPr>
          <w:rFonts w:eastAsiaTheme="minorEastAsia"/>
        </w:rPr>
        <w:t>iBSST</w:t>
      </w:r>
      <w:r w:rsidRPr="00A4622F">
        <w:rPr>
          <w:rFonts w:eastAsiaTheme="minorEastAsia"/>
        </w:rPr>
        <w:t>.</w:t>
      </w:r>
    </w:p>
    <w:p w14:paraId="39A9C2B8" w14:textId="77777777" w:rsidR="00D8645B" w:rsidRDefault="00D8645B" w:rsidP="0060309E">
      <w:pPr>
        <w:pStyle w:val="ListParagraph"/>
        <w:numPr>
          <w:ilvl w:val="0"/>
          <w:numId w:val="68"/>
        </w:numPr>
        <w:spacing w:after="160" w:line="360" w:lineRule="auto"/>
      </w:pPr>
      <w:r>
        <w:rPr>
          <w:u w:val="single"/>
        </w:rPr>
        <w:t>Allocation for iBSST and cBSST</w:t>
      </w:r>
      <w:r>
        <w:t>:</w:t>
      </w:r>
    </w:p>
    <w:p w14:paraId="409FCC88" w14:textId="77777777" w:rsidR="00D8645B" w:rsidRPr="009139BC" w:rsidRDefault="00D8645B" w:rsidP="0060309E">
      <w:pPr>
        <w:pStyle w:val="ListParagraph"/>
        <w:numPr>
          <w:ilvl w:val="1"/>
          <w:numId w:val="68"/>
        </w:numPr>
        <w:spacing w:after="160" w:line="360" w:lineRule="auto"/>
      </w:pPr>
      <w:r>
        <w:t xml:space="preserve">PnL of worst iBSST for trading </w:t>
      </w:r>
      <m:oMath>
        <m:sSub>
          <m:sSubPr>
            <m:ctrlPr>
              <w:rPr>
                <w:rFonts w:ascii="Cambria Math" w:hAnsi="Cambria Math"/>
                <w:i/>
              </w:rPr>
            </m:ctrlPr>
          </m:sSubPr>
          <m:e>
            <m:r>
              <w:rPr>
                <w:rFonts w:ascii="Cambria Math" w:hAnsi="Cambria Math"/>
              </w:rPr>
              <m:t>PnL</m:t>
            </m:r>
          </m:e>
          <m:sub>
            <m:r>
              <w:rPr>
                <w:rFonts w:ascii="Cambria Math" w:hAnsi="Cambria Math"/>
              </w:rPr>
              <m:t>Worst, iBSST</m:t>
            </m:r>
          </m:sub>
        </m:sSub>
      </m:oMath>
      <w:r>
        <w:t xml:space="preserve"> and for each business </w:t>
      </w:r>
      <w:r>
        <w:rPr>
          <w:rFonts w:eastAsiaTheme="minorEastAsia"/>
        </w:rPr>
        <w:t xml:space="preserve">desk </w:t>
      </w:r>
      <m:oMath>
        <m:sSub>
          <m:sSubPr>
            <m:ctrlPr>
              <w:rPr>
                <w:rFonts w:ascii="Cambria Math" w:hAnsi="Cambria Math"/>
                <w:i/>
              </w:rPr>
            </m:ctrlPr>
          </m:sSubPr>
          <m:e>
            <m:r>
              <w:rPr>
                <w:rFonts w:ascii="Cambria Math" w:hAnsi="Cambria Math"/>
              </w:rPr>
              <m:t>PnL</m:t>
            </m:r>
          </m:e>
          <m:sub>
            <m:r>
              <w:rPr>
                <w:rFonts w:ascii="Cambria Math" w:hAnsi="Cambria Math"/>
              </w:rPr>
              <m:t>Worst, iBSST, i</m:t>
            </m:r>
          </m:sub>
        </m:sSub>
      </m:oMath>
      <w:r>
        <w:rPr>
          <w:rFonts w:eastAsiaTheme="minorEastAsia"/>
        </w:rPr>
        <w:t xml:space="preserve"> are required.</w:t>
      </w:r>
    </w:p>
    <w:p w14:paraId="4D766661" w14:textId="77777777" w:rsidR="00D8645B" w:rsidRDefault="00D8645B" w:rsidP="0060309E">
      <w:pPr>
        <w:pStyle w:val="ListParagraph"/>
        <w:numPr>
          <w:ilvl w:val="1"/>
          <w:numId w:val="68"/>
        </w:numPr>
        <w:spacing w:after="160" w:line="360" w:lineRule="auto"/>
      </w:pPr>
      <w:r>
        <w:t>The cBSST PnL for each of the 5 scenarios is required:</w:t>
      </w:r>
    </w:p>
    <w:p w14:paraId="5242836F" w14:textId="77777777" w:rsidR="00D8645B" w:rsidRPr="00861C18" w:rsidRDefault="00D8645B" w:rsidP="00D8645B">
      <w:pPr>
        <w:spacing w:line="360" w:lineRule="auto"/>
      </w:pPr>
    </w:p>
    <w:p w14:paraId="5CB91E40" w14:textId="77777777" w:rsidR="00D8645B" w:rsidRPr="009139BC" w:rsidRDefault="00D8645B" w:rsidP="00D8645B">
      <w:pPr>
        <w:pStyle w:val="ListParagraph"/>
        <w:spacing w:line="360" w:lineRule="auto"/>
        <w:ind w:left="1080"/>
      </w:pPr>
      <m:oMathPara>
        <m:oMath>
          <m:sSub>
            <m:sSubPr>
              <m:ctrlPr>
                <w:rPr>
                  <w:rFonts w:ascii="Cambria Math" w:hAnsi="Cambria Math"/>
                  <w:i/>
                </w:rPr>
              </m:ctrlPr>
            </m:sSubPr>
            <m:e>
              <m:r>
                <w:rPr>
                  <w:rFonts w:ascii="Cambria Math" w:hAnsi="Cambria Math"/>
                </w:rPr>
                <m:t>PnL</m:t>
              </m:r>
            </m:e>
            <m:sub>
              <m:r>
                <w:rPr>
                  <w:rFonts w:ascii="Cambria Math" w:hAnsi="Cambria Math"/>
                </w:rPr>
                <m:t>cBSST, 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PnL</m:t>
                  </m:r>
                </m:e>
                <m:sub>
                  <m:r>
                    <w:rPr>
                      <w:rFonts w:ascii="Cambria Math" w:hAnsi="Cambria Math"/>
                    </w:rPr>
                    <m:t>cBSST, s, j</m:t>
                  </m:r>
                </m:sub>
              </m:sSub>
            </m:e>
          </m:nary>
        </m:oMath>
      </m:oMathPara>
    </w:p>
    <w:p w14:paraId="44CA70CA" w14:textId="77777777" w:rsidR="00D8645B" w:rsidRDefault="00D8645B" w:rsidP="00D8645B">
      <w:pPr>
        <w:spacing w:line="360" w:lineRule="auto"/>
      </w:pPr>
    </w:p>
    <w:p w14:paraId="2555D2AC" w14:textId="77777777" w:rsidR="00D8645B" w:rsidRDefault="00D8645B" w:rsidP="00D8645B">
      <w:pPr>
        <w:spacing w:line="360" w:lineRule="auto"/>
      </w:pPr>
    </w:p>
    <w:p w14:paraId="687FC96E" w14:textId="77777777" w:rsidR="00D8645B" w:rsidRPr="009139BC" w:rsidRDefault="00D8645B" w:rsidP="00D8645B">
      <w:pPr>
        <w:spacing w:line="360" w:lineRule="auto"/>
        <w:rPr>
          <w:b/>
          <w:sz w:val="28"/>
          <w:szCs w:val="28"/>
        </w:rPr>
      </w:pPr>
      <w:r w:rsidRPr="009139BC">
        <w:rPr>
          <w:b/>
          <w:sz w:val="28"/>
          <w:szCs w:val="28"/>
        </w:rPr>
        <w:t>Allocation Algorithm for each Component</w:t>
      </w:r>
    </w:p>
    <w:p w14:paraId="095F5C9A" w14:textId="77777777" w:rsidR="00D8645B" w:rsidRDefault="00D8645B" w:rsidP="00D8645B">
      <w:pPr>
        <w:spacing w:line="360" w:lineRule="auto"/>
      </w:pPr>
    </w:p>
    <w:p w14:paraId="2A70390B" w14:textId="77777777" w:rsidR="00D8645B" w:rsidRPr="009139BC" w:rsidRDefault="00D8645B" w:rsidP="0060309E">
      <w:pPr>
        <w:pStyle w:val="ListParagraph"/>
        <w:numPr>
          <w:ilvl w:val="0"/>
          <w:numId w:val="69"/>
        </w:numPr>
        <w:spacing w:after="160" w:line="360" w:lineRule="auto"/>
      </w:pPr>
      <w:r w:rsidRPr="009139BC">
        <w:rPr>
          <w:u w:val="single"/>
        </w:rPr>
        <w:t>Enhanced Two-beta Allocation Table</w:t>
      </w:r>
      <w:r w:rsidRPr="009139BC">
        <w:t>:</w:t>
      </w:r>
    </w:p>
    <w:tbl>
      <w:tblPr>
        <w:tblStyle w:val="TableGrid"/>
        <w:tblW w:w="0" w:type="auto"/>
        <w:tblLook w:val="04A0" w:firstRow="1" w:lastRow="0" w:firstColumn="1" w:lastColumn="0" w:noHBand="0" w:noVBand="1"/>
      </w:tblPr>
      <w:tblGrid>
        <w:gridCol w:w="3116"/>
        <w:gridCol w:w="3117"/>
        <w:gridCol w:w="3117"/>
      </w:tblGrid>
      <w:tr w:rsidR="00D8645B" w14:paraId="1F3DD68C" w14:textId="77777777" w:rsidTr="00664D46">
        <w:tc>
          <w:tcPr>
            <w:tcW w:w="3116" w:type="dxa"/>
            <w:vAlign w:val="center"/>
          </w:tcPr>
          <w:p w14:paraId="2E491E35" w14:textId="77777777" w:rsidR="00D8645B" w:rsidRPr="009139BC" w:rsidRDefault="00D8645B" w:rsidP="00664D46">
            <w:pPr>
              <w:spacing w:line="360" w:lineRule="auto"/>
              <w:jc w:val="center"/>
              <w:rPr>
                <w:b/>
              </w:rPr>
            </w:pPr>
            <w:r>
              <w:rPr>
                <w:b/>
              </w:rPr>
              <w:t>Component</w:t>
            </w:r>
          </w:p>
        </w:tc>
        <w:tc>
          <w:tcPr>
            <w:tcW w:w="3117" w:type="dxa"/>
            <w:vAlign w:val="center"/>
          </w:tcPr>
          <w:p w14:paraId="4618AE78" w14:textId="77777777" w:rsidR="00D8645B" w:rsidRPr="009139BC" w:rsidRDefault="00D8645B" w:rsidP="00664D46">
            <w:pPr>
              <w:spacing w:line="360" w:lineRule="auto"/>
              <w:jc w:val="center"/>
              <w:rPr>
                <w:b/>
              </w:rPr>
            </w:pPr>
            <w:r>
              <w:rPr>
                <w:b/>
                <w:i/>
              </w:rPr>
              <w:t>Parent</w:t>
            </w:r>
            <w:r>
              <w:rPr>
                <w:b/>
              </w:rPr>
              <w:t xml:space="preserve"> Value to be allocated</w:t>
            </w:r>
          </w:p>
        </w:tc>
        <w:tc>
          <w:tcPr>
            <w:tcW w:w="3117" w:type="dxa"/>
            <w:vAlign w:val="center"/>
          </w:tcPr>
          <w:p w14:paraId="3BEA1BEB" w14:textId="77777777" w:rsidR="00D8645B" w:rsidRPr="009139BC" w:rsidRDefault="00D8645B" w:rsidP="00664D46">
            <w:pPr>
              <w:spacing w:line="360" w:lineRule="auto"/>
              <w:jc w:val="center"/>
              <w:rPr>
                <w:b/>
              </w:rPr>
            </w:pPr>
            <w:r>
              <w:rPr>
                <w:b/>
              </w:rPr>
              <w:t>Inputs</w:t>
            </w:r>
          </w:p>
        </w:tc>
      </w:tr>
      <w:tr w:rsidR="00D8645B" w14:paraId="61C18E2E" w14:textId="77777777" w:rsidTr="00664D46">
        <w:tc>
          <w:tcPr>
            <w:tcW w:w="3116" w:type="dxa"/>
            <w:vAlign w:val="center"/>
          </w:tcPr>
          <w:p w14:paraId="225C79F9" w14:textId="77777777" w:rsidR="00D8645B" w:rsidRDefault="00D8645B" w:rsidP="00664D46">
            <w:pPr>
              <w:spacing w:line="360" w:lineRule="auto"/>
              <w:jc w:val="center"/>
            </w:pPr>
            <w:r>
              <w:t>VaR + GSST</w:t>
            </w:r>
          </w:p>
        </w:tc>
        <w:tc>
          <w:tcPr>
            <w:tcW w:w="3117" w:type="dxa"/>
            <w:vAlign w:val="center"/>
          </w:tcPr>
          <w:p w14:paraId="50C01960"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RC</m:t>
                    </m:r>
                  </m:e>
                  <m:sub>
                    <m:r>
                      <w:rPr>
                        <w:rFonts w:ascii="Cambria Math" w:hAnsi="Cambria Math"/>
                      </w:rPr>
                      <m:t>GSST</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VaR</m:t>
                    </m:r>
                  </m:sub>
                </m:sSub>
              </m:oMath>
            </m:oMathPara>
          </w:p>
        </w:tc>
        <w:tc>
          <w:tcPr>
            <w:tcW w:w="3117" w:type="dxa"/>
            <w:vAlign w:val="center"/>
          </w:tcPr>
          <w:p w14:paraId="749A627F"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RC</m:t>
                    </m:r>
                  </m:e>
                  <m:sub>
                    <m:r>
                      <w:rPr>
                        <w:rFonts w:ascii="Cambria Math" w:hAnsi="Cambria Math"/>
                      </w:rPr>
                      <m:t>GSST,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VaR, i</m:t>
                    </m:r>
                  </m:sub>
                </m:sSub>
              </m:oMath>
            </m:oMathPara>
          </w:p>
        </w:tc>
      </w:tr>
      <w:tr w:rsidR="00D8645B" w14:paraId="05B12AF3" w14:textId="77777777" w:rsidTr="00664D46">
        <w:tc>
          <w:tcPr>
            <w:tcW w:w="3116" w:type="dxa"/>
            <w:vAlign w:val="center"/>
          </w:tcPr>
          <w:p w14:paraId="59787837" w14:textId="77777777" w:rsidR="00D8645B" w:rsidRDefault="00D8645B" w:rsidP="00664D46">
            <w:pPr>
              <w:spacing w:line="360" w:lineRule="auto"/>
              <w:jc w:val="center"/>
            </w:pPr>
            <w:r>
              <w:lastRenderedPageBreak/>
              <w:t>cBSST</w:t>
            </w:r>
          </w:p>
        </w:tc>
        <w:tc>
          <w:tcPr>
            <w:tcW w:w="3117" w:type="dxa"/>
            <w:vAlign w:val="center"/>
          </w:tcPr>
          <w:p w14:paraId="7DA8B955"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RC</m:t>
                    </m:r>
                  </m:e>
                  <m:sub>
                    <m:r>
                      <w:rPr>
                        <w:rFonts w:ascii="Cambria Math" w:hAnsi="Cambria Math"/>
                      </w:rPr>
                      <m:t>cBSST</m:t>
                    </m:r>
                  </m:sub>
                </m:sSub>
              </m:oMath>
            </m:oMathPara>
          </w:p>
        </w:tc>
        <w:tc>
          <w:tcPr>
            <w:tcW w:w="3117" w:type="dxa"/>
            <w:vAlign w:val="center"/>
          </w:tcPr>
          <w:p w14:paraId="4CDAEC89"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PnL</m:t>
                    </m:r>
                  </m:e>
                  <m:sub>
                    <m:r>
                      <w:rPr>
                        <w:rFonts w:ascii="Cambria Math" w:hAnsi="Cambria Math"/>
                      </w:rPr>
                      <m:t>cBSST, s, j</m:t>
                    </m:r>
                  </m:sub>
                </m:sSub>
              </m:oMath>
            </m:oMathPara>
          </w:p>
        </w:tc>
      </w:tr>
      <w:tr w:rsidR="00D8645B" w14:paraId="462FDE9C" w14:textId="77777777" w:rsidTr="00664D46">
        <w:tc>
          <w:tcPr>
            <w:tcW w:w="3116" w:type="dxa"/>
            <w:vAlign w:val="center"/>
          </w:tcPr>
          <w:p w14:paraId="78C96452" w14:textId="77777777" w:rsidR="00D8645B" w:rsidRDefault="00D8645B" w:rsidP="00664D46">
            <w:pPr>
              <w:spacing w:line="360" w:lineRule="auto"/>
              <w:jc w:val="center"/>
            </w:pPr>
            <w:r>
              <w:t>iBSST</w:t>
            </w:r>
          </w:p>
        </w:tc>
        <w:tc>
          <w:tcPr>
            <w:tcW w:w="3117" w:type="dxa"/>
            <w:vAlign w:val="center"/>
          </w:tcPr>
          <w:p w14:paraId="611A98E5"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RC</m:t>
                    </m:r>
                  </m:e>
                  <m:sub>
                    <m:r>
                      <w:rPr>
                        <w:rFonts w:ascii="Cambria Math" w:hAnsi="Cambria Math"/>
                      </w:rPr>
                      <m:t>iBSST</m:t>
                    </m:r>
                  </m:sub>
                </m:sSub>
              </m:oMath>
            </m:oMathPara>
          </w:p>
        </w:tc>
        <w:tc>
          <w:tcPr>
            <w:tcW w:w="3117" w:type="dxa"/>
            <w:vAlign w:val="center"/>
          </w:tcPr>
          <w:p w14:paraId="546873D0" w14:textId="77777777" w:rsidR="00D8645B" w:rsidRDefault="00D8645B" w:rsidP="00664D46">
            <w:pPr>
              <w:spacing w:line="360" w:lineRule="auto"/>
              <w:jc w:val="center"/>
            </w:pPr>
            <m:oMathPara>
              <m:oMath>
                <m:sSub>
                  <m:sSubPr>
                    <m:ctrlPr>
                      <w:rPr>
                        <w:rFonts w:ascii="Cambria Math" w:hAnsi="Cambria Math"/>
                        <w:i/>
                      </w:rPr>
                    </m:ctrlPr>
                  </m:sSubPr>
                  <m:e>
                    <m:r>
                      <w:rPr>
                        <w:rFonts w:ascii="Cambria Math" w:hAnsi="Cambria Math"/>
                      </w:rPr>
                      <m:t>PnL</m:t>
                    </m:r>
                  </m:e>
                  <m:sub>
                    <m:r>
                      <w:rPr>
                        <w:rFonts w:ascii="Cambria Math" w:hAnsi="Cambria Math"/>
                      </w:rPr>
                      <m:t>Worst, iBSST, i</m:t>
                    </m:r>
                  </m:sub>
                </m:sSub>
              </m:oMath>
            </m:oMathPara>
          </w:p>
        </w:tc>
      </w:tr>
    </w:tbl>
    <w:p w14:paraId="357BDDAA" w14:textId="77777777" w:rsidR="00D8645B" w:rsidRDefault="00D8645B" w:rsidP="00D8645B">
      <w:pPr>
        <w:spacing w:line="360" w:lineRule="auto"/>
      </w:pPr>
    </w:p>
    <w:p w14:paraId="6BF3982C" w14:textId="77777777" w:rsidR="00D8645B" w:rsidRPr="006F47FF" w:rsidRDefault="00D8645B" w:rsidP="0060309E">
      <w:pPr>
        <w:pStyle w:val="ListParagraph"/>
        <w:numPr>
          <w:ilvl w:val="0"/>
          <w:numId w:val="69"/>
        </w:numPr>
        <w:spacing w:after="160" w:line="360" w:lineRule="auto"/>
        <w:rPr>
          <w:rFonts w:eastAsiaTheme="minorEastAsia"/>
        </w:rPr>
      </w:pPr>
      <w:r w:rsidRPr="0017452E">
        <w:rPr>
          <w:u w:val="single"/>
        </w:rPr>
        <w:t>Allocation Algorithm</w:t>
      </w:r>
      <w:r w:rsidRPr="0017452E">
        <w:t>:</w:t>
      </w:r>
    </w:p>
    <w:p w14:paraId="7B21D2E1" w14:textId="77777777" w:rsidR="00D8645B" w:rsidRPr="006F47FF" w:rsidRDefault="00D8645B" w:rsidP="00D8645B">
      <w:pPr>
        <w:spacing w:line="360" w:lineRule="auto"/>
        <w:rPr>
          <w:u w:val="single"/>
        </w:rPr>
      </w:pPr>
    </w:p>
    <w:p w14:paraId="5BA40E87"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ALLOCATION, VaR+GSST,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RC</m:t>
                  </m:r>
                </m:e>
                <m:sub>
                  <m:r>
                    <w:rPr>
                      <w:rFonts w:ascii="Cambria Math" w:hAnsi="Cambria Math"/>
                    </w:rPr>
                    <m:t>GSST,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VaR, i</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RC</m:t>
                          </m:r>
                        </m:e>
                        <m:sub>
                          <m:r>
                            <w:rPr>
                              <w:rFonts w:ascii="Cambria Math" w:hAnsi="Cambria Math"/>
                            </w:rPr>
                            <m:t>GSST</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VaR</m:t>
                          </m:r>
                        </m:sub>
                      </m:sSub>
                    </m:e>
                  </m:d>
                </m:num>
                <m:den>
                  <m:nary>
                    <m:naryPr>
                      <m:chr m:val="∑"/>
                      <m:limLoc m:val="undOvr"/>
                      <m:supHide m:val="1"/>
                      <m:ctrlPr>
                        <w:rPr>
                          <w:rFonts w:ascii="Cambria Math" w:hAnsi="Cambria Math"/>
                          <w:i/>
                        </w:rPr>
                      </m:ctrlPr>
                    </m:naryPr>
                    <m:sub>
                      <m:r>
                        <w:rPr>
                          <w:rFonts w:ascii="Cambria Math" w:hAnsi="Cambria Math"/>
                        </w:rPr>
                        <m:t>j∉Hedge</m:t>
                      </m:r>
                    </m:sub>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RC</m:t>
                              </m:r>
                            </m:e>
                            <m:sub>
                              <m:r>
                                <w:rPr>
                                  <w:rFonts w:ascii="Cambria Math" w:hAnsi="Cambria Math"/>
                                </w:rPr>
                                <m:t>GSST, j</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VaR, j</m:t>
                              </m:r>
                            </m:sub>
                          </m:sSub>
                        </m:e>
                      </m:d>
                    </m:e>
                  </m:nary>
                </m:den>
              </m:f>
            </m:e>
          </m:d>
        </m:oMath>
      </m:oMathPara>
    </w:p>
    <w:p w14:paraId="3FCE3692" w14:textId="77777777" w:rsidR="00D8645B" w:rsidRPr="006F47FF" w:rsidRDefault="00D8645B" w:rsidP="00D8645B">
      <w:pPr>
        <w:spacing w:line="360" w:lineRule="auto"/>
        <w:rPr>
          <w:rFonts w:eastAsiaTheme="minorEastAsia"/>
        </w:rPr>
      </w:pPr>
    </w:p>
    <w:p w14:paraId="65105D99"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m:t>
          </m:r>
        </m:oMath>
      </m:oMathPara>
    </w:p>
    <w:p w14:paraId="3FE39943" w14:textId="77777777" w:rsidR="00D8645B" w:rsidRPr="006F47FF" w:rsidRDefault="00D8645B" w:rsidP="00D8645B">
      <w:pPr>
        <w:spacing w:line="360" w:lineRule="auto"/>
        <w:rPr>
          <w:rFonts w:eastAsiaTheme="minorEastAsia"/>
        </w:rPr>
      </w:pPr>
    </w:p>
    <w:p w14:paraId="197B81A6" w14:textId="77777777" w:rsidR="00D8645B" w:rsidRDefault="00D8645B" w:rsidP="00D8645B">
      <w:pPr>
        <w:pStyle w:val="ListParagraph"/>
        <w:spacing w:line="360" w:lineRule="auto"/>
        <w:ind w:left="360"/>
        <w:rPr>
          <w:rFonts w:eastAsiaTheme="minorEastAsia"/>
        </w:rPr>
      </w:pPr>
      <w:r>
        <w:rPr>
          <w:rFonts w:eastAsiaTheme="minorEastAsia"/>
        </w:rPr>
        <w:t xml:space="preserve">if </w:t>
      </w:r>
      <m:oMath>
        <m:r>
          <w:rPr>
            <w:rFonts w:ascii="Cambria Math" w:hAnsi="Cambria Math"/>
          </w:rPr>
          <m:t>i</m:t>
        </m:r>
      </m:oMath>
      <w:r>
        <w:rPr>
          <w:rFonts w:eastAsiaTheme="minorEastAsia"/>
        </w:rPr>
        <w:t xml:space="preserve"> is a low beta desk, and </w:t>
      </w:r>
      <m:oMath>
        <m:r>
          <w:rPr>
            <w:rFonts w:ascii="Cambria Math" w:hAnsi="Cambria Math"/>
          </w:rPr>
          <m:t>2</m:t>
        </m:r>
      </m:oMath>
      <w:r>
        <w:rPr>
          <w:rFonts w:eastAsiaTheme="minorEastAsia"/>
        </w:rPr>
        <w:t xml:space="preserve"> if </w:t>
      </w:r>
      <m:oMath>
        <m:r>
          <w:rPr>
            <w:rFonts w:ascii="Cambria Math" w:hAnsi="Cambria Math"/>
          </w:rPr>
          <m:t>i</m:t>
        </m:r>
      </m:oMath>
      <w:r>
        <w:rPr>
          <w:rFonts w:eastAsiaTheme="minorEastAsia"/>
        </w:rPr>
        <w:t xml:space="preserve"> is a high beta desk. The term in the square brackets is the </w:t>
      </w:r>
      <w:r>
        <w:rPr>
          <w:rFonts w:eastAsiaTheme="minorEastAsia"/>
          <w:i/>
        </w:rPr>
        <w:t>beta</w:t>
      </w:r>
      <w:r>
        <w:rPr>
          <w:rFonts w:eastAsiaTheme="minorEastAsia"/>
        </w:rPr>
        <w:t>.</w:t>
      </w:r>
    </w:p>
    <w:p w14:paraId="32297CC5" w14:textId="77777777" w:rsidR="00D8645B" w:rsidRPr="006F47FF" w:rsidRDefault="00D8645B" w:rsidP="00D8645B">
      <w:pPr>
        <w:spacing w:line="360" w:lineRule="auto"/>
        <w:rPr>
          <w:rFonts w:eastAsiaTheme="minorEastAsia"/>
        </w:rPr>
      </w:pPr>
    </w:p>
    <w:p w14:paraId="7CA465A2" w14:textId="77777777" w:rsidR="00D8645B"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ALLOCATION, cBSST,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cBSST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PnL</m:t>
                      </m:r>
                    </m:e>
                    <m:sub>
                      <m:r>
                        <w:rPr>
                          <w:rFonts w:ascii="Cambria Math" w:hAnsi="Cambria Math"/>
                        </w:rPr>
                        <m:t>cBSST, s, i</m:t>
                      </m:r>
                    </m:sub>
                  </m:sSub>
                </m:num>
                <m:den>
                  <m:nary>
                    <m:naryPr>
                      <m:chr m:val="∑"/>
                      <m:limLoc m:val="undOvr"/>
                      <m:supHide m:val="1"/>
                      <m:ctrlPr>
                        <w:rPr>
                          <w:rFonts w:ascii="Cambria Math" w:hAnsi="Cambria Math"/>
                          <w:i/>
                        </w:rPr>
                      </m:ctrlPr>
                    </m:naryPr>
                    <m:sub>
                      <m:r>
                        <w:rPr>
                          <w:rFonts w:ascii="Cambria Math" w:hAnsi="Cambria Math"/>
                        </w:rPr>
                        <m:t>j∉Hedge</m:t>
                      </m:r>
                    </m:sub>
                    <m:sup/>
                    <m:e>
                      <m:sSub>
                        <m:sSubPr>
                          <m:ctrlPr>
                            <w:rPr>
                              <w:rFonts w:ascii="Cambria Math" w:hAnsi="Cambria Math"/>
                              <w:i/>
                            </w:rPr>
                          </m:ctrlPr>
                        </m:sSubPr>
                        <m:e>
                          <m:r>
                            <w:rPr>
                              <w:rFonts w:ascii="Cambria Math" w:hAnsi="Cambria Math"/>
                            </w:rPr>
                            <m:t>PnL</m:t>
                          </m:r>
                        </m:e>
                        <m:sub>
                          <m:r>
                            <w:rPr>
                              <w:rFonts w:ascii="Cambria Math" w:hAnsi="Cambria Math"/>
                            </w:rPr>
                            <m:t>cBSST, s, j</m:t>
                          </m:r>
                        </m:sub>
                      </m:sSub>
                    </m:e>
                  </m:nary>
                </m:den>
              </m:f>
            </m:e>
          </m:d>
        </m:oMath>
      </m:oMathPara>
    </w:p>
    <w:p w14:paraId="49DBF069" w14:textId="77777777" w:rsidR="00D8645B" w:rsidRPr="006F47FF" w:rsidRDefault="00D8645B" w:rsidP="00D8645B">
      <w:pPr>
        <w:spacing w:line="360" w:lineRule="auto"/>
        <w:rPr>
          <w:rFonts w:eastAsiaTheme="minorEastAsia"/>
        </w:rPr>
      </w:pPr>
    </w:p>
    <w:p w14:paraId="15A2D007" w14:textId="77777777" w:rsidR="00D8645B" w:rsidRDefault="00D8645B" w:rsidP="00D8645B">
      <w:pPr>
        <w:pStyle w:val="ListParagraph"/>
        <w:spacing w:line="360" w:lineRule="auto"/>
        <w:ind w:left="360"/>
        <w:rPr>
          <w:rFonts w:eastAsiaTheme="minorEastAsia"/>
        </w:rPr>
      </w:pPr>
      <m:oMath>
        <m:r>
          <w:rPr>
            <w:rFonts w:ascii="Cambria Math" w:hAnsi="Cambria Math"/>
          </w:rPr>
          <m:t>s</m:t>
        </m:r>
      </m:oMath>
      <w:r>
        <w:rPr>
          <w:rFonts w:eastAsiaTheme="minorEastAsia"/>
        </w:rPr>
        <w:t xml:space="preserve"> is a representative scenario such as </w:t>
      </w:r>
      <w:proofErr w:type="gramStart"/>
      <w:r>
        <w:rPr>
          <w:rFonts w:eastAsiaTheme="minorEastAsia"/>
        </w:rPr>
        <w:t>2008.</w:t>
      </w:r>
      <w:proofErr w:type="gramEnd"/>
    </w:p>
    <w:p w14:paraId="221354E4" w14:textId="77777777" w:rsidR="00D8645B" w:rsidRPr="006F47FF" w:rsidRDefault="00D8645B" w:rsidP="00D8645B">
      <w:pPr>
        <w:spacing w:line="360" w:lineRule="auto"/>
        <w:rPr>
          <w:rFonts w:eastAsiaTheme="minorEastAsia"/>
        </w:rPr>
      </w:pPr>
    </w:p>
    <w:p w14:paraId="5AAC7915" w14:textId="77777777" w:rsidR="00D8645B" w:rsidRPr="006F47FF" w:rsidRDefault="00D8645B" w:rsidP="00D8645B">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ALLOCATION, iBSST,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iBSST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PnL</m:t>
                      </m:r>
                    </m:e>
                    <m:sub>
                      <m:r>
                        <w:rPr>
                          <w:rFonts w:ascii="Cambria Math" w:hAnsi="Cambria Math"/>
                        </w:rPr>
                        <m:t>Worst, iBSST, i</m:t>
                      </m:r>
                    </m:sub>
                  </m:sSub>
                </m:num>
                <m:den>
                  <m:nary>
                    <m:naryPr>
                      <m:chr m:val="∑"/>
                      <m:limLoc m:val="undOvr"/>
                      <m:supHide m:val="1"/>
                      <m:ctrlPr>
                        <w:rPr>
                          <w:rFonts w:ascii="Cambria Math" w:hAnsi="Cambria Math"/>
                          <w:i/>
                        </w:rPr>
                      </m:ctrlPr>
                    </m:naryPr>
                    <m:sub>
                      <m:r>
                        <w:rPr>
                          <w:rFonts w:ascii="Cambria Math" w:hAnsi="Cambria Math"/>
                        </w:rPr>
                        <m:t>j∉Hedge</m:t>
                      </m:r>
                    </m:sub>
                    <m:sup/>
                    <m:e>
                      <m:sSub>
                        <m:sSubPr>
                          <m:ctrlPr>
                            <w:rPr>
                              <w:rFonts w:ascii="Cambria Math" w:hAnsi="Cambria Math"/>
                              <w:i/>
                            </w:rPr>
                          </m:ctrlPr>
                        </m:sSubPr>
                        <m:e>
                          <m:r>
                            <w:rPr>
                              <w:rFonts w:ascii="Cambria Math" w:hAnsi="Cambria Math"/>
                            </w:rPr>
                            <m:t>PnL</m:t>
                          </m:r>
                        </m:e>
                        <m:sub>
                          <m:r>
                            <w:rPr>
                              <w:rFonts w:ascii="Cambria Math" w:hAnsi="Cambria Math"/>
                            </w:rPr>
                            <m:t>Worst, iBSST, j</m:t>
                          </m:r>
                        </m:sub>
                      </m:sSub>
                    </m:e>
                  </m:nary>
                </m:den>
              </m:f>
            </m:e>
          </m:d>
        </m:oMath>
      </m:oMathPara>
    </w:p>
    <w:p w14:paraId="25ADF4B2" w14:textId="77777777" w:rsidR="00D8645B" w:rsidRPr="006F47FF" w:rsidRDefault="00D8645B" w:rsidP="00D8645B">
      <w:pPr>
        <w:spacing w:line="360" w:lineRule="auto"/>
        <w:rPr>
          <w:rFonts w:eastAsiaTheme="minorEastAsia"/>
        </w:rPr>
      </w:pPr>
    </w:p>
    <w:p w14:paraId="1D9110E1" w14:textId="77777777" w:rsidR="00D8645B" w:rsidRDefault="00D8645B" w:rsidP="0060309E">
      <w:pPr>
        <w:pStyle w:val="ListParagraph"/>
        <w:numPr>
          <w:ilvl w:val="0"/>
          <w:numId w:val="69"/>
        </w:numPr>
        <w:spacing w:after="160" w:line="360" w:lineRule="auto"/>
      </w:pPr>
      <w:r w:rsidRPr="009F166D">
        <w:rPr>
          <w:u w:val="single"/>
        </w:rPr>
        <w:t>Trading Marginal to Group Scaling</w:t>
      </w:r>
      <w:r w:rsidRPr="009F166D">
        <w:t xml:space="preserve">: </w:t>
      </w:r>
      <w:r>
        <w:t>Scale to the Trading Marginal contribution to the Group ex. Hedge.</w:t>
      </w:r>
    </w:p>
    <w:p w14:paraId="614154C3" w14:textId="77777777" w:rsidR="00D8645B" w:rsidRPr="00446DD9" w:rsidRDefault="00D8645B" w:rsidP="00D8645B">
      <w:pPr>
        <w:spacing w:line="360" w:lineRule="auto"/>
        <w:rPr>
          <w:u w:val="single"/>
        </w:rPr>
      </w:pPr>
    </w:p>
    <w:p w14:paraId="225DB28E" w14:textId="77777777" w:rsidR="00D8645B" w:rsidRDefault="00D8645B" w:rsidP="00D8645B">
      <w:pPr>
        <w:pStyle w:val="ListParagraph"/>
        <w:spacing w:line="360" w:lineRule="auto"/>
        <w:ind w:left="360"/>
      </w:pPr>
      <m:oMathPara>
        <m:oMath>
          <m:r>
            <w:rPr>
              <w:rFonts w:ascii="Cambria Math" w:hAnsi="Cambria Math"/>
            </w:rPr>
            <m:t xml:space="preserve">Allocation for non-hedge Desk i= </m:t>
          </m:r>
          <m:f>
            <m:fPr>
              <m:ctrlPr>
                <w:rPr>
                  <w:rFonts w:ascii="Cambria Math" w:hAnsi="Cambria Math"/>
                  <w:i/>
                </w:rPr>
              </m:ctrlPr>
            </m:fPr>
            <m:num>
              <m:r>
                <w:rPr>
                  <w:rFonts w:ascii="Cambria Math" w:hAnsi="Cambria Math"/>
                </w:rPr>
                <m:t>Trading Marginal to Group- Trading Hedges Marginal to Group</m:t>
              </m:r>
            </m:num>
            <m:den>
              <m:r>
                <w:rPr>
                  <w:rFonts w:ascii="Cambria Math" w:hAnsi="Cambria Math"/>
                </w:rPr>
                <m:t>Trading Standalone</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RC</m:t>
                  </m:r>
                </m:e>
                <m:sub>
                  <m:r>
                    <w:rPr>
                      <w:rFonts w:ascii="Cambria Math" w:hAnsi="Cambria Math"/>
                    </w:rPr>
                    <m:t>ALLOCATION, VaR+GSST,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ALLOCATION,cBSST, i</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ALLOCATION,iBSST, i</m:t>
                  </m:r>
                </m:sub>
              </m:sSub>
            </m:e>
          </m:d>
        </m:oMath>
      </m:oMathPara>
    </w:p>
    <w:p w14:paraId="7F97B2C5" w14:textId="77777777" w:rsidR="00D8645B" w:rsidRDefault="00D8645B" w:rsidP="00D8645B">
      <w:pPr>
        <w:spacing w:line="360" w:lineRule="auto"/>
      </w:pPr>
    </w:p>
    <w:p w14:paraId="79B230D1" w14:textId="77777777" w:rsidR="00D8645B" w:rsidRPr="00446DD9" w:rsidRDefault="00D8645B" w:rsidP="00D8645B">
      <w:pPr>
        <w:spacing w:line="360" w:lineRule="auto"/>
        <w:rPr>
          <w:rFonts w:eastAsiaTheme="minorEastAsia"/>
        </w:rPr>
      </w:pPr>
      <m:oMathPara>
        <m:oMath>
          <m:r>
            <w:rPr>
              <w:rFonts w:ascii="Cambria Math" w:hAnsi="Cambria Math"/>
            </w:rPr>
            <w:lastRenderedPageBreak/>
            <m:t>Allocation for Hedge= Trading Hedges Marginal to Group</m:t>
          </m:r>
        </m:oMath>
      </m:oMathPara>
    </w:p>
    <w:p w14:paraId="4407A881" w14:textId="77777777" w:rsidR="00D8645B" w:rsidRDefault="00D8645B" w:rsidP="00D8645B">
      <w:r>
        <w:br w:type="page"/>
      </w:r>
    </w:p>
    <w:p w14:paraId="74D829F6" w14:textId="77777777" w:rsidR="00D8645B" w:rsidRDefault="00D8645B" w:rsidP="00D8645B">
      <w:pPr>
        <w:spacing w:line="360" w:lineRule="auto"/>
      </w:pPr>
    </w:p>
    <w:p w14:paraId="23CEBF0D" w14:textId="77777777" w:rsidR="00D8645B" w:rsidRPr="00FE421E" w:rsidRDefault="00D8645B" w:rsidP="00D8645B">
      <w:pPr>
        <w:spacing w:line="360" w:lineRule="auto"/>
        <w:jc w:val="center"/>
        <w:rPr>
          <w:b/>
          <w:sz w:val="32"/>
          <w:szCs w:val="32"/>
        </w:rPr>
      </w:pPr>
      <w:r w:rsidRPr="00FE421E">
        <w:rPr>
          <w:b/>
          <w:sz w:val="32"/>
          <w:szCs w:val="32"/>
        </w:rPr>
        <w:t>Reporting Flow</w:t>
      </w:r>
    </w:p>
    <w:p w14:paraId="4D8412CA" w14:textId="77777777" w:rsidR="00D8645B" w:rsidRDefault="00D8645B" w:rsidP="00D8645B">
      <w:pPr>
        <w:spacing w:line="360" w:lineRule="auto"/>
      </w:pPr>
    </w:p>
    <w:p w14:paraId="5ED1AAA5" w14:textId="77777777" w:rsidR="00D8645B" w:rsidRDefault="00D8645B" w:rsidP="00D8645B">
      <w:pPr>
        <w:spacing w:line="360" w:lineRule="auto"/>
      </w:pPr>
    </w:p>
    <w:p w14:paraId="2C8C5EEC" w14:textId="77777777" w:rsidR="00D8645B" w:rsidRPr="00FE421E" w:rsidRDefault="00D8645B" w:rsidP="00D8645B">
      <w:pPr>
        <w:spacing w:line="360" w:lineRule="auto"/>
        <w:rPr>
          <w:b/>
          <w:sz w:val="28"/>
          <w:szCs w:val="28"/>
        </w:rPr>
      </w:pPr>
      <w:r w:rsidRPr="00FE421E">
        <w:rPr>
          <w:b/>
          <w:sz w:val="28"/>
          <w:szCs w:val="28"/>
        </w:rPr>
        <w:t>Overview</w:t>
      </w:r>
    </w:p>
    <w:p w14:paraId="20225B8D" w14:textId="77777777" w:rsidR="00D8645B" w:rsidRDefault="00D8645B" w:rsidP="00D8645B">
      <w:pPr>
        <w:spacing w:line="360" w:lineRule="auto"/>
      </w:pPr>
    </w:p>
    <w:p w14:paraId="611F0590" w14:textId="77777777" w:rsidR="00D8645B" w:rsidRDefault="00D8645B" w:rsidP="0060309E">
      <w:pPr>
        <w:pStyle w:val="ListParagraph"/>
        <w:numPr>
          <w:ilvl w:val="0"/>
          <w:numId w:val="70"/>
        </w:numPr>
        <w:spacing w:after="160" w:line="360" w:lineRule="auto"/>
      </w:pPr>
      <w:r w:rsidRPr="00FE421E">
        <w:rPr>
          <w:u w:val="single"/>
        </w:rPr>
        <w:t>Risk Source Inputs for VaR, GSST, cBSST, and iBSST</w:t>
      </w:r>
      <w:r w:rsidRPr="00FE421E">
        <w:t>: GSST by PAA and capital units, VaR by FS type and capital unit, BSST P&amp;L by FS type and business/sub-business/region/LV, allocated to capital unit.</w:t>
      </w:r>
    </w:p>
    <w:p w14:paraId="7E25613E" w14:textId="77777777" w:rsidR="00D8645B" w:rsidRDefault="00D8645B" w:rsidP="0060309E">
      <w:pPr>
        <w:pStyle w:val="ListParagraph"/>
        <w:numPr>
          <w:ilvl w:val="0"/>
          <w:numId w:val="70"/>
        </w:numPr>
        <w:spacing w:after="160" w:line="360" w:lineRule="auto"/>
      </w:pPr>
      <w:r>
        <w:rPr>
          <w:u w:val="single"/>
        </w:rPr>
        <w:t>Simulation Input for iBSST</w:t>
      </w:r>
      <w:r w:rsidRPr="00FE421E">
        <w:t>:</w:t>
      </w:r>
      <w:r>
        <w:t xml:space="preserve"> Random numbers used to determine the iBSST P&amp;L.</w:t>
      </w:r>
    </w:p>
    <w:p w14:paraId="7B1071FE" w14:textId="77777777" w:rsidR="00D8645B" w:rsidRDefault="00D8645B" w:rsidP="0060309E">
      <w:pPr>
        <w:pStyle w:val="ListParagraph"/>
        <w:numPr>
          <w:ilvl w:val="0"/>
          <w:numId w:val="70"/>
        </w:numPr>
        <w:spacing w:after="160" w:line="360" w:lineRule="auto"/>
      </w:pPr>
      <w:r>
        <w:rPr>
          <w:u w:val="single"/>
        </w:rPr>
        <w:t>Firm/Business Level Standalone Output</w:t>
      </w:r>
      <w:r w:rsidRPr="00FE421E">
        <w:t>:</w:t>
      </w:r>
      <w:r>
        <w:t xml:space="preserve"> Average of the top 2% of a capital entity.</w:t>
      </w:r>
    </w:p>
    <w:p w14:paraId="40F221D2" w14:textId="77777777" w:rsidR="00D8645B" w:rsidRDefault="00D8645B" w:rsidP="0060309E">
      <w:pPr>
        <w:pStyle w:val="ListParagraph"/>
        <w:numPr>
          <w:ilvl w:val="0"/>
          <w:numId w:val="70"/>
        </w:numPr>
        <w:spacing w:after="160" w:line="360" w:lineRule="auto"/>
      </w:pPr>
      <w:r>
        <w:rPr>
          <w:u w:val="single"/>
        </w:rPr>
        <w:t>Firm/Business Level Marginal Output</w:t>
      </w:r>
      <w:r w:rsidRPr="00FE421E">
        <w:t>:</w:t>
      </w:r>
      <w:r>
        <w:t xml:space="preserve"> Average of the top 2% of a capital entity, but based on the sorted P&amp;L for a </w:t>
      </w:r>
      <w:r>
        <w:rPr>
          <w:i/>
        </w:rPr>
        <w:t>high</w:t>
      </w:r>
      <w:r>
        <w:t xml:space="preserve"> capital segment – e.g., marginal from any sub-business, from VaR, from Commodity Vega, from Municipal rate exposure etc.</w:t>
      </w:r>
    </w:p>
    <w:p w14:paraId="24085B91" w14:textId="77777777" w:rsidR="00D8645B" w:rsidRDefault="00D8645B" w:rsidP="0060309E">
      <w:pPr>
        <w:pStyle w:val="ListParagraph"/>
        <w:numPr>
          <w:ilvl w:val="0"/>
          <w:numId w:val="70"/>
        </w:numPr>
        <w:spacing w:after="160" w:line="360" w:lineRule="auto"/>
      </w:pPr>
      <w:r>
        <w:rPr>
          <w:u w:val="single"/>
        </w:rPr>
        <w:t>Beta Based on the Children of a Capital Segment</w:t>
      </w:r>
      <w:r w:rsidRPr="001C0F1B">
        <w:t>:</w:t>
      </w:r>
      <w:r>
        <w:t xml:space="preserve"> The beta ration is based on the selections of a capital segment and the entities below it, of the standalone of the </w:t>
      </w:r>
      <w:r>
        <w:rPr>
          <w:i/>
        </w:rPr>
        <w:t>high</w:t>
      </w:r>
      <w:r>
        <w:t xml:space="preserve"> capital segment against the summation of the weighted – either 1x or 2x in the two floating beta scheme – standalones of the </w:t>
      </w:r>
      <w:r>
        <w:rPr>
          <w:i/>
        </w:rPr>
        <w:t>low</w:t>
      </w:r>
      <w:r>
        <w:t xml:space="preserve"> capital entities.</w:t>
      </w:r>
    </w:p>
    <w:p w14:paraId="6FADA130" w14:textId="77777777" w:rsidR="00D8645B" w:rsidRDefault="00D8645B" w:rsidP="00D8645B">
      <w:pPr>
        <w:spacing w:line="360" w:lineRule="auto"/>
      </w:pPr>
    </w:p>
    <w:p w14:paraId="730DB4A2" w14:textId="77777777" w:rsidR="00D8645B" w:rsidRDefault="00D8645B" w:rsidP="00D8645B">
      <w:pPr>
        <w:spacing w:line="360" w:lineRule="auto"/>
      </w:pPr>
    </w:p>
    <w:p w14:paraId="6FD790FA" w14:textId="77777777" w:rsidR="00D8645B" w:rsidRPr="00D2726E" w:rsidRDefault="00D8645B" w:rsidP="00D8645B">
      <w:pPr>
        <w:spacing w:line="360" w:lineRule="auto"/>
        <w:rPr>
          <w:b/>
          <w:sz w:val="28"/>
          <w:szCs w:val="28"/>
        </w:rPr>
      </w:pPr>
      <w:r w:rsidRPr="00D2726E">
        <w:rPr>
          <w:b/>
          <w:sz w:val="28"/>
          <w:szCs w:val="28"/>
        </w:rPr>
        <w:t>P&amp;L Data Repository</w:t>
      </w:r>
    </w:p>
    <w:p w14:paraId="3BE1B6D7" w14:textId="77777777" w:rsidR="00D8645B" w:rsidRDefault="00D8645B" w:rsidP="00D8645B">
      <w:pPr>
        <w:spacing w:line="360" w:lineRule="auto"/>
      </w:pPr>
    </w:p>
    <w:p w14:paraId="5D301EDC" w14:textId="77777777" w:rsidR="00D8645B" w:rsidRDefault="00D8645B" w:rsidP="0060309E">
      <w:pPr>
        <w:pStyle w:val="ListParagraph"/>
        <w:numPr>
          <w:ilvl w:val="0"/>
          <w:numId w:val="71"/>
        </w:numPr>
        <w:spacing w:after="160" w:line="360" w:lineRule="auto"/>
      </w:pPr>
      <w:r w:rsidRPr="00D2726E">
        <w:rPr>
          <w:u w:val="single"/>
        </w:rPr>
        <w:t>Top Capital Segment – possibly the BHC – sorted to generate the BHC wide Capital</w:t>
      </w:r>
      <w:r w:rsidRPr="00D2726E">
        <w:t xml:space="preserve">: </w:t>
      </w:r>
      <w:r>
        <w:t>The following components need to be available:</w:t>
      </w:r>
    </w:p>
    <w:p w14:paraId="1A1CC613" w14:textId="77777777" w:rsidR="00D8645B" w:rsidRDefault="00D8645B" w:rsidP="0060309E">
      <w:pPr>
        <w:pStyle w:val="ListParagraph"/>
        <w:numPr>
          <w:ilvl w:val="1"/>
          <w:numId w:val="71"/>
        </w:numPr>
        <w:spacing w:after="160" w:line="360" w:lineRule="auto"/>
      </w:pPr>
      <w:r>
        <w:t>The 10,000 P&amp;Ls</w:t>
      </w:r>
    </w:p>
    <w:p w14:paraId="5CE78CCF" w14:textId="77777777" w:rsidR="00D8645B" w:rsidRDefault="00D8645B" w:rsidP="0060309E">
      <w:pPr>
        <w:pStyle w:val="ListParagraph"/>
        <w:numPr>
          <w:ilvl w:val="1"/>
          <w:numId w:val="71"/>
        </w:numPr>
        <w:spacing w:after="160" w:line="360" w:lineRule="auto"/>
      </w:pPr>
      <w:r>
        <w:t>The Marginal Contribution</w:t>
      </w:r>
    </w:p>
    <w:p w14:paraId="3A11CD19" w14:textId="77777777" w:rsidR="00D8645B" w:rsidRPr="00D2726E" w:rsidRDefault="00D8645B" w:rsidP="0060309E">
      <w:pPr>
        <w:pStyle w:val="ListParagraph"/>
        <w:numPr>
          <w:ilvl w:val="1"/>
          <w:numId w:val="71"/>
        </w:numPr>
        <w:spacing w:after="160" w:line="360" w:lineRule="auto"/>
      </w:pPr>
      <w:r>
        <w:t>The Standalone VaR-Stress top 2% P&amp;L’s</w:t>
      </w:r>
    </w:p>
    <w:p w14:paraId="57F60123" w14:textId="77777777" w:rsidR="00D8645B" w:rsidRDefault="00D8645B" w:rsidP="0060309E">
      <w:pPr>
        <w:pStyle w:val="ListParagraph"/>
        <w:numPr>
          <w:ilvl w:val="1"/>
          <w:numId w:val="71"/>
        </w:numPr>
        <w:spacing w:after="160" w:line="360" w:lineRule="auto"/>
      </w:pPr>
      <w:r>
        <w:lastRenderedPageBreak/>
        <w:t xml:space="preserve">Risk Dimension made up </w:t>
      </w:r>
      <w:r w:rsidRPr="00D2726E">
        <w:t>of</w:t>
      </w:r>
      <w:r>
        <w:t xml:space="preserve"> Risk Source + Risk Factor or PAA, e.g., GSST/Rates^Delta/Gamma, cBSST/Rates^Delta/Gamma, VaR/IDL.USD.SOV, …, iBSST/Specific Type</w:t>
      </w:r>
    </w:p>
    <w:p w14:paraId="13967961" w14:textId="77777777" w:rsidR="00D8645B" w:rsidRDefault="00D8645B" w:rsidP="0060309E">
      <w:pPr>
        <w:pStyle w:val="ListParagraph"/>
        <w:numPr>
          <w:ilvl w:val="1"/>
          <w:numId w:val="71"/>
        </w:numPr>
        <w:spacing w:after="160" w:line="360" w:lineRule="auto"/>
      </w:pPr>
      <w:r>
        <w:t>Business Dimension down to Capital Unit; Aggregation by business management segment, LV, region, etc.</w:t>
      </w:r>
    </w:p>
    <w:p w14:paraId="0EBB33AA" w14:textId="77777777" w:rsidR="00D8645B" w:rsidRDefault="00D8645B" w:rsidP="0060309E">
      <w:pPr>
        <w:pStyle w:val="ListParagraph"/>
        <w:numPr>
          <w:ilvl w:val="0"/>
          <w:numId w:val="71"/>
        </w:numPr>
        <w:spacing w:after="160" w:line="360" w:lineRule="auto"/>
      </w:pPr>
      <w:r w:rsidRPr="00555707">
        <w:rPr>
          <w:u w:val="single"/>
        </w:rPr>
        <w:t>Sub-Capital Entity P&amp;L sorted to generate Standalone VaR-Stress Capital</w:t>
      </w:r>
      <w:r>
        <w:t>:</w:t>
      </w:r>
    </w:p>
    <w:p w14:paraId="3EB9C7CA" w14:textId="77777777" w:rsidR="00D8645B" w:rsidRDefault="00D8645B" w:rsidP="0060309E">
      <w:pPr>
        <w:pStyle w:val="ListParagraph"/>
        <w:numPr>
          <w:ilvl w:val="1"/>
          <w:numId w:val="71"/>
        </w:numPr>
        <w:spacing w:after="160" w:line="360" w:lineRule="auto"/>
      </w:pPr>
      <w:r>
        <w:t>The 10,000 P&amp;Ls</w:t>
      </w:r>
    </w:p>
    <w:p w14:paraId="783271B6" w14:textId="77777777" w:rsidR="00D8645B" w:rsidRDefault="00D8645B" w:rsidP="0060309E">
      <w:pPr>
        <w:pStyle w:val="ListParagraph"/>
        <w:numPr>
          <w:ilvl w:val="1"/>
          <w:numId w:val="71"/>
        </w:numPr>
        <w:spacing w:after="160" w:line="360" w:lineRule="auto"/>
      </w:pPr>
      <w:r>
        <w:t>The sub-types, e.g., all rates</w:t>
      </w:r>
    </w:p>
    <w:p w14:paraId="42415172" w14:textId="77777777" w:rsidR="00D8645B" w:rsidRDefault="00D8645B" w:rsidP="0060309E">
      <w:pPr>
        <w:pStyle w:val="ListParagraph"/>
        <w:numPr>
          <w:ilvl w:val="1"/>
          <w:numId w:val="71"/>
        </w:numPr>
        <w:spacing w:after="160" w:line="360" w:lineRule="auto"/>
      </w:pPr>
      <w:r>
        <w:t>The sub-businesses, e.g., Equity Derivatives,</w:t>
      </w:r>
    </w:p>
    <w:p w14:paraId="5EDE65D8" w14:textId="77777777" w:rsidR="00D8645B" w:rsidRDefault="00D8645B" w:rsidP="0060309E">
      <w:pPr>
        <w:pStyle w:val="ListParagraph"/>
        <w:numPr>
          <w:ilvl w:val="1"/>
          <w:numId w:val="71"/>
        </w:numPr>
        <w:spacing w:after="160" w:line="360" w:lineRule="auto"/>
      </w:pPr>
      <w:r>
        <w:t>Standalone VaR-Stress top 2% P&amp;Ls</w:t>
      </w:r>
    </w:p>
    <w:p w14:paraId="14F5EABC" w14:textId="77777777" w:rsidR="00D8645B" w:rsidRDefault="00D8645B" w:rsidP="00D8645B">
      <w:pPr>
        <w:spacing w:line="360" w:lineRule="auto"/>
      </w:pPr>
    </w:p>
    <w:p w14:paraId="393AEAEA" w14:textId="77777777" w:rsidR="00D8645B" w:rsidRDefault="00D8645B" w:rsidP="00D8645B">
      <w:pPr>
        <w:spacing w:line="360" w:lineRule="auto"/>
      </w:pPr>
    </w:p>
    <w:p w14:paraId="2452EAD3" w14:textId="77777777" w:rsidR="00D8645B" w:rsidRPr="00555707" w:rsidRDefault="00D8645B" w:rsidP="00D8645B">
      <w:pPr>
        <w:spacing w:line="360" w:lineRule="auto"/>
        <w:rPr>
          <w:b/>
          <w:sz w:val="28"/>
          <w:szCs w:val="28"/>
        </w:rPr>
      </w:pPr>
      <w:r w:rsidRPr="00555707">
        <w:rPr>
          <w:b/>
          <w:sz w:val="28"/>
          <w:szCs w:val="28"/>
        </w:rPr>
        <w:t>Reporting</w:t>
      </w:r>
    </w:p>
    <w:p w14:paraId="1C077600" w14:textId="77777777" w:rsidR="00D8645B" w:rsidRDefault="00D8645B" w:rsidP="00D8645B">
      <w:pPr>
        <w:spacing w:line="360" w:lineRule="auto"/>
      </w:pPr>
    </w:p>
    <w:p w14:paraId="65468D34" w14:textId="77777777" w:rsidR="00D8645B" w:rsidRDefault="00D8645B" w:rsidP="0060309E">
      <w:pPr>
        <w:pStyle w:val="ListParagraph"/>
        <w:numPr>
          <w:ilvl w:val="0"/>
          <w:numId w:val="72"/>
        </w:numPr>
        <w:spacing w:after="160" w:line="360" w:lineRule="auto"/>
      </w:pPr>
      <w:r w:rsidRPr="00555707">
        <w:rPr>
          <w:u w:val="single"/>
        </w:rPr>
        <w:t>Use of Risk Capital Analytics</w:t>
      </w:r>
      <w:r w:rsidRPr="00555707">
        <w:t>: Reporting of the standalone, the marginal, and the allocated Capital numbers should leverage the BHC Risk Capital reporting tool.</w:t>
      </w:r>
    </w:p>
    <w:p w14:paraId="5EA3EE5D" w14:textId="77777777" w:rsidR="00D8645B" w:rsidRDefault="00D8645B" w:rsidP="0060309E">
      <w:pPr>
        <w:pStyle w:val="ListParagraph"/>
        <w:numPr>
          <w:ilvl w:val="0"/>
          <w:numId w:val="72"/>
        </w:numPr>
        <w:spacing w:after="160" w:line="360" w:lineRule="auto"/>
      </w:pPr>
      <w:r>
        <w:rPr>
          <w:u w:val="single"/>
        </w:rPr>
        <w:t>Additional Dimensions Required for Reporting</w:t>
      </w:r>
      <w:r w:rsidRPr="00555707">
        <w:t>:</w:t>
      </w:r>
      <w:r>
        <w:t xml:space="preserve"> While many dimensions may already be present, the following are the additional dimensions that need to be made available.</w:t>
      </w:r>
    </w:p>
    <w:p w14:paraId="51FC43E5" w14:textId="77777777" w:rsidR="00D8645B" w:rsidRDefault="00D8645B" w:rsidP="0060309E">
      <w:pPr>
        <w:pStyle w:val="ListParagraph"/>
        <w:numPr>
          <w:ilvl w:val="1"/>
          <w:numId w:val="72"/>
        </w:numPr>
        <w:spacing w:after="160" w:line="360" w:lineRule="auto"/>
      </w:pPr>
      <w:r>
        <w:t xml:space="preserve">VaR/stress business hierarchy, such as </w:t>
      </w:r>
      <w:r>
        <w:rPr>
          <w:i/>
        </w:rPr>
        <w:t>risk type</w:t>
      </w:r>
      <w:r>
        <w:t xml:space="preserve">, i.e., </w:t>
      </w:r>
      <w:r>
        <w:rPr>
          <w:i/>
        </w:rPr>
        <w:t>CVA, AFS, Trading</w:t>
      </w:r>
      <w:r>
        <w:t xml:space="preserve">, and the </w:t>
      </w:r>
      <w:r>
        <w:rPr>
          <w:i/>
        </w:rPr>
        <w:t>Product/Business</w:t>
      </w:r>
      <w:r>
        <w:t xml:space="preserve"> levels, which will need to be mapped with the capital unit.</w:t>
      </w:r>
    </w:p>
    <w:p w14:paraId="55C5876D" w14:textId="77777777" w:rsidR="00D8645B" w:rsidRDefault="00D8645B" w:rsidP="0060309E">
      <w:pPr>
        <w:pStyle w:val="ListParagraph"/>
        <w:numPr>
          <w:ilvl w:val="1"/>
          <w:numId w:val="72"/>
        </w:numPr>
        <w:spacing w:after="160" w:line="360" w:lineRule="auto"/>
      </w:pPr>
      <w:r>
        <w:rPr>
          <w:i/>
        </w:rPr>
        <w:t>Risk Source</w:t>
      </w:r>
      <w:r>
        <w:t xml:space="preserve">, i.e., </w:t>
      </w:r>
      <w:r>
        <w:rPr>
          <w:i/>
        </w:rPr>
        <w:t>VaR, GSST, BSST, etc.</w:t>
      </w:r>
    </w:p>
    <w:p w14:paraId="15E93545" w14:textId="77777777" w:rsidR="00D8645B" w:rsidRDefault="00D8645B" w:rsidP="0060309E">
      <w:pPr>
        <w:pStyle w:val="ListParagraph"/>
        <w:numPr>
          <w:ilvl w:val="1"/>
          <w:numId w:val="72"/>
        </w:numPr>
        <w:spacing w:after="160" w:line="360" w:lineRule="auto"/>
      </w:pPr>
      <w:r>
        <w:t>GSST PAA that are mapped to VaR FS type. If the GSST PAA’s are at a higher level, the VaR P&amp;L’s can also be mapped to the GSST PAA.</w:t>
      </w:r>
    </w:p>
    <w:p w14:paraId="2EAD5549" w14:textId="77777777" w:rsidR="00D8645B" w:rsidRDefault="00D8645B" w:rsidP="0060309E">
      <w:pPr>
        <w:pStyle w:val="ListParagraph"/>
        <w:numPr>
          <w:ilvl w:val="1"/>
          <w:numId w:val="72"/>
        </w:numPr>
        <w:spacing w:after="160" w:line="360" w:lineRule="auto"/>
      </w:pPr>
      <w:r>
        <w:t>All iBSST specific types.</w:t>
      </w:r>
    </w:p>
    <w:p w14:paraId="4AAD945B" w14:textId="77777777" w:rsidR="00D8645B" w:rsidRDefault="00D8645B" w:rsidP="0060309E">
      <w:pPr>
        <w:pStyle w:val="ListParagraph"/>
        <w:numPr>
          <w:ilvl w:val="1"/>
          <w:numId w:val="72"/>
        </w:numPr>
        <w:spacing w:after="160" w:line="360" w:lineRule="auto"/>
      </w:pPr>
      <w:r>
        <w:t>Beta Status, i.e., high, medium, or low.</w:t>
      </w:r>
    </w:p>
    <w:p w14:paraId="002141CD" w14:textId="77777777" w:rsidR="00D8645B" w:rsidRDefault="00D8645B" w:rsidP="0060309E">
      <w:pPr>
        <w:pStyle w:val="ListParagraph"/>
        <w:numPr>
          <w:ilvl w:val="0"/>
          <w:numId w:val="72"/>
        </w:numPr>
        <w:spacing w:after="160" w:line="360" w:lineRule="auto"/>
      </w:pPr>
      <w:r w:rsidRPr="00EA1E35">
        <w:rPr>
          <w:u w:val="single"/>
        </w:rPr>
        <w:t>Customized Grouping of Capital Entity Nodes</w:t>
      </w:r>
      <w:r>
        <w:t>: A customized level can be established by pulling businesses from the Capital Segments or groups of Capital Units. A customized set may also be achieved using a filter.</w:t>
      </w:r>
    </w:p>
    <w:p w14:paraId="16E607AD" w14:textId="77777777" w:rsidR="00D8645B" w:rsidRDefault="00D8645B" w:rsidP="0060309E">
      <w:pPr>
        <w:pStyle w:val="ListParagraph"/>
        <w:numPr>
          <w:ilvl w:val="0"/>
          <w:numId w:val="72"/>
        </w:numPr>
        <w:spacing w:after="160" w:line="360" w:lineRule="auto"/>
      </w:pPr>
      <w:r>
        <w:rPr>
          <w:u w:val="single"/>
        </w:rPr>
        <w:lastRenderedPageBreak/>
        <w:t>Additional Calculated VaR-Stress Metrics Needed</w:t>
      </w:r>
      <w:r w:rsidRPr="00EA1E35">
        <w:t>:</w:t>
      </w:r>
      <w:r>
        <w:t xml:space="preserve"> IN addition to the previously calculated values, additional VaR-Stress metrics such as the beta allocated and the marginal contributions – which is not the same as CVaR – are also required.</w:t>
      </w:r>
    </w:p>
    <w:p w14:paraId="11C14627" w14:textId="77777777" w:rsidR="00D8645B" w:rsidRPr="00555707" w:rsidRDefault="00D8645B" w:rsidP="0060309E">
      <w:pPr>
        <w:pStyle w:val="ListParagraph"/>
        <w:numPr>
          <w:ilvl w:val="0"/>
          <w:numId w:val="72"/>
        </w:numPr>
        <w:spacing w:after="160" w:line="360" w:lineRule="auto"/>
      </w:pPr>
      <w:r>
        <w:rPr>
          <w:u w:val="single"/>
        </w:rPr>
        <w:t>VaR-Stress Beta Calculation Scheme</w:t>
      </w:r>
      <w:r w:rsidRPr="00EA1E35">
        <w:t>:</w:t>
      </w:r>
      <w:r>
        <w:t xml:space="preserve"> Between a </w:t>
      </w:r>
      <w:r>
        <w:rPr>
          <w:i/>
        </w:rPr>
        <w:t>high</w:t>
      </w:r>
      <w:r>
        <w:t xml:space="preserve"> capital segment and the capital entities below it, beta is calculated from the standalone of all the capital entities, and is based on the </w:t>
      </w:r>
      <w:r w:rsidRPr="00EA1E35">
        <w:rPr>
          <w:i/>
        </w:rPr>
        <w:t>high/low</w:t>
      </w:r>
      <w:r>
        <w:t xml:space="preserve"> capital entity designations.</w:t>
      </w:r>
    </w:p>
    <w:p w14:paraId="3EAD00E5" w14:textId="77777777" w:rsidR="00D8645B" w:rsidRDefault="00D8645B" w:rsidP="00D8645B">
      <w:r>
        <w:br w:type="page"/>
      </w:r>
    </w:p>
    <w:p w14:paraId="0E081C1B" w14:textId="77777777" w:rsidR="00D8645B" w:rsidRDefault="00D8645B" w:rsidP="00D8645B">
      <w:pPr>
        <w:spacing w:line="360" w:lineRule="auto"/>
      </w:pPr>
    </w:p>
    <w:p w14:paraId="682AE55D" w14:textId="77777777" w:rsidR="00D8645B" w:rsidRPr="00233754" w:rsidRDefault="00D8645B" w:rsidP="00D8645B">
      <w:pPr>
        <w:spacing w:line="360" w:lineRule="auto"/>
        <w:jc w:val="center"/>
        <w:rPr>
          <w:b/>
          <w:sz w:val="32"/>
          <w:szCs w:val="32"/>
        </w:rPr>
      </w:pPr>
      <w:r w:rsidRPr="00233754">
        <w:rPr>
          <w:b/>
          <w:sz w:val="32"/>
          <w:szCs w:val="32"/>
        </w:rPr>
        <w:t>Enhanced Business Hierarchy for VaR Stress Estimation</w:t>
      </w:r>
    </w:p>
    <w:p w14:paraId="50AE0B68" w14:textId="77777777" w:rsidR="00D8645B" w:rsidRDefault="00D8645B" w:rsidP="00D8645B">
      <w:pPr>
        <w:spacing w:line="360" w:lineRule="auto"/>
      </w:pPr>
    </w:p>
    <w:p w14:paraId="3FF880D4" w14:textId="77777777" w:rsidR="00D8645B" w:rsidRDefault="00D8645B" w:rsidP="00D8645B">
      <w:pPr>
        <w:spacing w:line="360" w:lineRule="auto"/>
      </w:pPr>
    </w:p>
    <w:p w14:paraId="3B731C02" w14:textId="77777777" w:rsidR="00D8645B" w:rsidRPr="00233754" w:rsidRDefault="00D8645B" w:rsidP="00D8645B">
      <w:pPr>
        <w:spacing w:line="360" w:lineRule="auto"/>
        <w:rPr>
          <w:b/>
          <w:sz w:val="28"/>
          <w:szCs w:val="28"/>
        </w:rPr>
      </w:pPr>
      <w:r w:rsidRPr="00233754">
        <w:rPr>
          <w:b/>
          <w:sz w:val="28"/>
          <w:szCs w:val="28"/>
        </w:rPr>
        <w:t>Business Hierarchy Decisions</w:t>
      </w:r>
    </w:p>
    <w:p w14:paraId="4A064E25" w14:textId="77777777" w:rsidR="00D8645B" w:rsidRDefault="00D8645B" w:rsidP="00D8645B">
      <w:pPr>
        <w:spacing w:line="360" w:lineRule="auto"/>
      </w:pPr>
    </w:p>
    <w:p w14:paraId="6EF0BDFA" w14:textId="77777777" w:rsidR="00D8645B" w:rsidRDefault="00D8645B" w:rsidP="0060309E">
      <w:pPr>
        <w:pStyle w:val="ListParagraph"/>
        <w:numPr>
          <w:ilvl w:val="0"/>
          <w:numId w:val="36"/>
        </w:numPr>
        <w:spacing w:after="160" w:line="360" w:lineRule="auto"/>
      </w:pPr>
      <w:r w:rsidRPr="00233754">
        <w:rPr>
          <w:u w:val="single"/>
        </w:rPr>
        <w:t>Typical vs. Desired VaR-Stress Infrastructure</w:t>
      </w:r>
      <w:r w:rsidRPr="00233754">
        <w:t>: A few considerations must be noted between the typical VaR-Stress estimation infrastructure and a desired one.</w:t>
      </w:r>
    </w:p>
    <w:p w14:paraId="24B5062D" w14:textId="77777777" w:rsidR="00D8645B" w:rsidRDefault="00D8645B" w:rsidP="0060309E">
      <w:pPr>
        <w:pStyle w:val="ListParagraph"/>
        <w:numPr>
          <w:ilvl w:val="0"/>
          <w:numId w:val="36"/>
        </w:numPr>
        <w:spacing w:after="160" w:line="360" w:lineRule="auto"/>
      </w:pPr>
      <w:r>
        <w:rPr>
          <w:u w:val="single"/>
        </w:rPr>
        <w:t>Simulation Level Tied to Reporting</w:t>
      </w:r>
      <w:r w:rsidRPr="00233754">
        <w:t>:</w:t>
      </w:r>
      <w:r>
        <w:t xml:space="preserve"> Is the level of simulation tied to the level of reporting?</w:t>
      </w:r>
    </w:p>
    <w:p w14:paraId="4FBAA49E" w14:textId="77777777" w:rsidR="00D8645B" w:rsidRDefault="00D8645B" w:rsidP="0060309E">
      <w:pPr>
        <w:pStyle w:val="ListParagraph"/>
        <w:numPr>
          <w:ilvl w:val="1"/>
          <w:numId w:val="36"/>
        </w:numPr>
        <w:spacing w:after="160" w:line="360" w:lineRule="auto"/>
      </w:pPr>
      <w:r w:rsidRPr="00233754">
        <w:rPr>
          <w:u w:val="single"/>
        </w:rPr>
        <w:t>Typical</w:t>
      </w:r>
      <w:r>
        <w:t xml:space="preserve"> – YES. The granularity needs to be defined right at the invocation of the computation.</w:t>
      </w:r>
    </w:p>
    <w:p w14:paraId="464A2B0C" w14:textId="77777777" w:rsidR="00D8645B" w:rsidRPr="00233754" w:rsidRDefault="00D8645B" w:rsidP="0060309E">
      <w:pPr>
        <w:pStyle w:val="ListParagraph"/>
        <w:numPr>
          <w:ilvl w:val="1"/>
          <w:numId w:val="36"/>
        </w:numPr>
        <w:spacing w:after="160" w:line="360" w:lineRule="auto"/>
      </w:pPr>
      <w:r>
        <w:rPr>
          <w:u w:val="single"/>
        </w:rPr>
        <w:t>Target State</w:t>
      </w:r>
      <w:r>
        <w:t xml:space="preserve"> – NO. A given capital estimate can be broken down to granular level capital units.</w:t>
      </w:r>
    </w:p>
    <w:p w14:paraId="2662498C" w14:textId="77777777" w:rsidR="00D8645B" w:rsidRDefault="00D8645B" w:rsidP="0060309E">
      <w:pPr>
        <w:pStyle w:val="ListParagraph"/>
        <w:numPr>
          <w:ilvl w:val="0"/>
          <w:numId w:val="36"/>
        </w:numPr>
        <w:spacing w:after="160" w:line="360" w:lineRule="auto"/>
      </w:pPr>
      <w:r>
        <w:rPr>
          <w:u w:val="single"/>
        </w:rPr>
        <w:t>Accommodating a Custom Business Hierarchy</w:t>
      </w:r>
      <w:r w:rsidRPr="00233754">
        <w:t>:</w:t>
      </w:r>
      <w:r>
        <w:t xml:space="preserve"> Can a custom business hierarchy be used?</w:t>
      </w:r>
    </w:p>
    <w:p w14:paraId="23AC3FB3" w14:textId="77777777" w:rsidR="00D8645B" w:rsidRDefault="00D8645B" w:rsidP="0060309E">
      <w:pPr>
        <w:pStyle w:val="ListParagraph"/>
        <w:numPr>
          <w:ilvl w:val="1"/>
          <w:numId w:val="36"/>
        </w:numPr>
        <w:spacing w:after="160" w:line="360" w:lineRule="auto"/>
      </w:pPr>
      <w:r w:rsidRPr="00233754">
        <w:rPr>
          <w:u w:val="single"/>
        </w:rPr>
        <w:t>Typical</w:t>
      </w:r>
      <w:r>
        <w:t xml:space="preserve"> – NO.</w:t>
      </w:r>
    </w:p>
    <w:p w14:paraId="22148694" w14:textId="77777777" w:rsidR="00D8645B" w:rsidRPr="00233754" w:rsidRDefault="00D8645B" w:rsidP="0060309E">
      <w:pPr>
        <w:pStyle w:val="ListParagraph"/>
        <w:numPr>
          <w:ilvl w:val="1"/>
          <w:numId w:val="36"/>
        </w:numPr>
        <w:spacing w:after="160" w:line="360" w:lineRule="auto"/>
      </w:pPr>
      <w:r>
        <w:rPr>
          <w:u w:val="single"/>
        </w:rPr>
        <w:t>Target State</w:t>
      </w:r>
      <w:r>
        <w:t xml:space="preserve"> – YES, using capital segments.</w:t>
      </w:r>
    </w:p>
    <w:p w14:paraId="087B995C" w14:textId="77777777" w:rsidR="00D8645B" w:rsidRDefault="00D8645B" w:rsidP="0060309E">
      <w:pPr>
        <w:pStyle w:val="ListParagraph"/>
        <w:numPr>
          <w:ilvl w:val="0"/>
          <w:numId w:val="36"/>
        </w:numPr>
        <w:spacing w:after="160" w:line="360" w:lineRule="auto"/>
      </w:pPr>
      <w:r>
        <w:rPr>
          <w:u w:val="single"/>
        </w:rPr>
        <w:t>Granularity of the Simulations Done</w:t>
      </w:r>
      <w:r w:rsidRPr="00233754">
        <w:t>:</w:t>
      </w:r>
      <w:r>
        <w:t xml:space="preserve"> What are the levels of simulation?</w:t>
      </w:r>
    </w:p>
    <w:p w14:paraId="08B71DBD" w14:textId="77777777" w:rsidR="00D8645B" w:rsidRDefault="00D8645B" w:rsidP="0060309E">
      <w:pPr>
        <w:pStyle w:val="ListParagraph"/>
        <w:numPr>
          <w:ilvl w:val="1"/>
          <w:numId w:val="36"/>
        </w:numPr>
        <w:spacing w:after="160" w:line="360" w:lineRule="auto"/>
      </w:pPr>
      <w:r w:rsidRPr="00233754">
        <w:rPr>
          <w:u w:val="single"/>
        </w:rPr>
        <w:t>Typical</w:t>
      </w:r>
      <w:r>
        <w:t xml:space="preserve"> – Often at the Group/Product/Business/Region/Risk Type level, e.g., ICG + FXLM + G10 + FX + GLOBAL + Trading.</w:t>
      </w:r>
    </w:p>
    <w:p w14:paraId="73FCA1CA" w14:textId="77777777" w:rsidR="00D8645B" w:rsidRPr="00233754" w:rsidRDefault="00D8645B" w:rsidP="0060309E">
      <w:pPr>
        <w:pStyle w:val="ListParagraph"/>
        <w:numPr>
          <w:ilvl w:val="1"/>
          <w:numId w:val="36"/>
        </w:numPr>
        <w:spacing w:after="160" w:line="360" w:lineRule="auto"/>
      </w:pPr>
      <w:r>
        <w:rPr>
          <w:u w:val="single"/>
        </w:rPr>
        <w:t>Target State</w:t>
      </w:r>
      <w:r>
        <w:t xml:space="preserve"> – At the lowest level, simulations are done at Capital Unit + Risk Type Level, i.e., the Capital Unit Key. At higher levels, capital can be aggregated at Capital Segment + Risk Type.</w:t>
      </w:r>
    </w:p>
    <w:p w14:paraId="3DD7C32F" w14:textId="77777777" w:rsidR="00D8645B" w:rsidRDefault="00D8645B" w:rsidP="0060309E">
      <w:pPr>
        <w:pStyle w:val="ListParagraph"/>
        <w:numPr>
          <w:ilvl w:val="0"/>
          <w:numId w:val="36"/>
        </w:numPr>
        <w:spacing w:after="160" w:line="360" w:lineRule="auto"/>
      </w:pPr>
      <w:r>
        <w:rPr>
          <w:u w:val="single"/>
        </w:rPr>
        <w:t>Handling of the Calculation Geography</w:t>
      </w:r>
      <w:r w:rsidRPr="00233754">
        <w:t>:</w:t>
      </w:r>
      <w:r>
        <w:t xml:space="preserve"> Is the </w:t>
      </w:r>
      <w:proofErr w:type="gramStart"/>
      <w:r>
        <w:t>geography based</w:t>
      </w:r>
      <w:proofErr w:type="gramEnd"/>
      <w:r>
        <w:t xml:space="preserve"> simulation required?</w:t>
      </w:r>
    </w:p>
    <w:p w14:paraId="1967C535" w14:textId="77777777" w:rsidR="00D8645B" w:rsidRDefault="00D8645B" w:rsidP="0060309E">
      <w:pPr>
        <w:pStyle w:val="ListParagraph"/>
        <w:numPr>
          <w:ilvl w:val="1"/>
          <w:numId w:val="36"/>
        </w:numPr>
        <w:spacing w:after="160" w:line="360" w:lineRule="auto"/>
      </w:pPr>
      <w:r w:rsidRPr="00233754">
        <w:rPr>
          <w:u w:val="single"/>
        </w:rPr>
        <w:t>Typical</w:t>
      </w:r>
      <w:r>
        <w:t xml:space="preserve"> – YES. Reporting depends on simulation.</w:t>
      </w:r>
    </w:p>
    <w:p w14:paraId="3D0541A5" w14:textId="77777777" w:rsidR="00D8645B" w:rsidRDefault="00D8645B" w:rsidP="0060309E">
      <w:pPr>
        <w:pStyle w:val="ListParagraph"/>
        <w:numPr>
          <w:ilvl w:val="1"/>
          <w:numId w:val="36"/>
        </w:numPr>
        <w:spacing w:after="160" w:line="360" w:lineRule="auto"/>
      </w:pPr>
      <w:r>
        <w:rPr>
          <w:u w:val="single"/>
        </w:rPr>
        <w:t>Target State</w:t>
      </w:r>
      <w:r>
        <w:t xml:space="preserve"> – NO. Capital Unit level Simulation allows reporting through Managed Geography.</w:t>
      </w:r>
    </w:p>
    <w:p w14:paraId="0DB4240C" w14:textId="77777777" w:rsidR="00D8645B" w:rsidRDefault="00D8645B" w:rsidP="0060309E">
      <w:pPr>
        <w:pStyle w:val="ListParagraph"/>
        <w:numPr>
          <w:ilvl w:val="0"/>
          <w:numId w:val="36"/>
        </w:numPr>
        <w:spacing w:after="160" w:line="360" w:lineRule="auto"/>
      </w:pPr>
      <w:r>
        <w:rPr>
          <w:u w:val="single"/>
        </w:rPr>
        <w:t>Separation of Simulation and Geography</w:t>
      </w:r>
      <w:r>
        <w:t>: Given that in the target state the reporting and the simulation requirements can be de-coupled, one can re-define the levels at which the results will be allocated.</w:t>
      </w:r>
    </w:p>
    <w:p w14:paraId="52D79050" w14:textId="77777777" w:rsidR="00D8645B" w:rsidRDefault="00D8645B" w:rsidP="0060309E">
      <w:pPr>
        <w:pStyle w:val="ListParagraph"/>
        <w:numPr>
          <w:ilvl w:val="0"/>
          <w:numId w:val="36"/>
        </w:numPr>
        <w:spacing w:after="160" w:line="360" w:lineRule="auto"/>
      </w:pPr>
      <w:r>
        <w:rPr>
          <w:u w:val="single"/>
        </w:rPr>
        <w:lastRenderedPageBreak/>
        <w:t>Typical VaR Stress Simulation Levels</w:t>
      </w:r>
      <w:r w:rsidRPr="00F456E5">
        <w:t>:</w:t>
      </w:r>
      <w:r>
        <w:t xml:space="preserve"> Traditionally, the VaR/Stress systems have provided results at the following levels:</w:t>
      </w:r>
    </w:p>
    <w:p w14:paraId="32C8307E" w14:textId="77777777" w:rsidR="00D8645B" w:rsidRDefault="00D8645B" w:rsidP="0060309E">
      <w:pPr>
        <w:pStyle w:val="ListParagraph"/>
        <w:numPr>
          <w:ilvl w:val="1"/>
          <w:numId w:val="36"/>
        </w:numPr>
        <w:spacing w:after="160" w:line="360" w:lineRule="auto"/>
      </w:pPr>
      <w:r>
        <w:t>Marginal to Global BHC</w:t>
      </w:r>
    </w:p>
    <w:p w14:paraId="44F92D09" w14:textId="77777777" w:rsidR="00D8645B" w:rsidRDefault="00D8645B" w:rsidP="0060309E">
      <w:pPr>
        <w:pStyle w:val="ListParagraph"/>
        <w:numPr>
          <w:ilvl w:val="1"/>
          <w:numId w:val="36"/>
        </w:numPr>
        <w:spacing w:after="160" w:line="360" w:lineRule="auto"/>
      </w:pPr>
      <w:r>
        <w:t>Marginal to Regional BHC</w:t>
      </w:r>
    </w:p>
    <w:p w14:paraId="26419540" w14:textId="77777777" w:rsidR="00D8645B" w:rsidRDefault="00D8645B" w:rsidP="0060309E">
      <w:pPr>
        <w:pStyle w:val="ListParagraph"/>
        <w:numPr>
          <w:ilvl w:val="1"/>
          <w:numId w:val="36"/>
        </w:numPr>
        <w:spacing w:after="160" w:line="360" w:lineRule="auto"/>
      </w:pPr>
      <w:r>
        <w:t>Marginal to Global Group</w:t>
      </w:r>
    </w:p>
    <w:p w14:paraId="3D079011" w14:textId="77777777" w:rsidR="00D8645B" w:rsidRDefault="00D8645B" w:rsidP="0060309E">
      <w:pPr>
        <w:pStyle w:val="ListParagraph"/>
        <w:numPr>
          <w:ilvl w:val="1"/>
          <w:numId w:val="36"/>
        </w:numPr>
        <w:spacing w:after="160" w:line="360" w:lineRule="auto"/>
      </w:pPr>
      <w:r>
        <w:t>Marginal to Regional Group</w:t>
      </w:r>
    </w:p>
    <w:p w14:paraId="662EB184" w14:textId="77777777" w:rsidR="00D8645B" w:rsidRDefault="00D8645B" w:rsidP="0060309E">
      <w:pPr>
        <w:pStyle w:val="ListParagraph"/>
        <w:numPr>
          <w:ilvl w:val="1"/>
          <w:numId w:val="36"/>
        </w:numPr>
        <w:spacing w:after="160" w:line="360" w:lineRule="auto"/>
      </w:pPr>
      <w:r>
        <w:t>Standalone</w:t>
      </w:r>
    </w:p>
    <w:p w14:paraId="285D10E3" w14:textId="77777777" w:rsidR="00D8645B" w:rsidRDefault="00D8645B" w:rsidP="0060309E">
      <w:pPr>
        <w:pStyle w:val="ListParagraph"/>
        <w:numPr>
          <w:ilvl w:val="0"/>
          <w:numId w:val="36"/>
        </w:numPr>
        <w:spacing w:after="160" w:line="360" w:lineRule="auto"/>
      </w:pPr>
      <w:r w:rsidRPr="00F456E5">
        <w:rPr>
          <w:u w:val="single"/>
        </w:rPr>
        <w:t>Elimination of the Regional Runs</w:t>
      </w:r>
      <w:r>
        <w:t>: It is recommended to eliminate the regional runs. This will reduce the number of simulations required, and hence the computation time. Geographic details for reporting can be derived using capital units.</w:t>
      </w:r>
    </w:p>
    <w:p w14:paraId="155D9894" w14:textId="77777777" w:rsidR="00D8645B" w:rsidRDefault="00D8645B" w:rsidP="0060309E">
      <w:pPr>
        <w:pStyle w:val="ListParagraph"/>
        <w:numPr>
          <w:ilvl w:val="0"/>
          <w:numId w:val="36"/>
        </w:numPr>
        <w:spacing w:after="160" w:line="360" w:lineRule="auto"/>
      </w:pPr>
      <w:r>
        <w:rPr>
          <w:u w:val="single"/>
        </w:rPr>
        <w:t>Estimation of Marginal to BHC</w:t>
      </w:r>
      <w:r w:rsidRPr="00F456E5">
        <w:t>:</w:t>
      </w:r>
      <w:r>
        <w:t xml:space="preserve"> The Marginal to BHC will continue to be needed, and an individual group will need to define if the Marginal to Group – e.g., ICG, GCB, CORPORATE, etc. – will need to be maintained. For the purposes of this discussion it is assumed that they are persisted.</w:t>
      </w:r>
    </w:p>
    <w:p w14:paraId="42B31D83" w14:textId="77777777" w:rsidR="00D8645B" w:rsidRDefault="00D8645B" w:rsidP="0060309E">
      <w:pPr>
        <w:pStyle w:val="ListParagraph"/>
        <w:numPr>
          <w:ilvl w:val="0"/>
          <w:numId w:val="36"/>
        </w:numPr>
        <w:spacing w:after="160" w:line="360" w:lineRule="auto"/>
      </w:pPr>
      <w:r>
        <w:rPr>
          <w:u w:val="single"/>
        </w:rPr>
        <w:t>Capital Unit/Segment Standalone</w:t>
      </w:r>
      <w:r w:rsidRPr="00F456E5">
        <w:t>:</w:t>
      </w:r>
      <w:r>
        <w:t xml:space="preserve"> The standalone results come in two varieties:</w:t>
      </w:r>
    </w:p>
    <w:p w14:paraId="6C8009D2" w14:textId="77777777" w:rsidR="00D8645B" w:rsidRDefault="00D8645B" w:rsidP="0060309E">
      <w:pPr>
        <w:pStyle w:val="ListParagraph"/>
        <w:numPr>
          <w:ilvl w:val="1"/>
          <w:numId w:val="36"/>
        </w:numPr>
        <w:spacing w:after="160" w:line="360" w:lineRule="auto"/>
      </w:pPr>
      <w:r>
        <w:t>Capital Unit Key =&gt; Capital Unit + Risk Type</w:t>
      </w:r>
    </w:p>
    <w:p w14:paraId="0705B853" w14:textId="77777777" w:rsidR="00D8645B" w:rsidRDefault="00D8645B" w:rsidP="0060309E">
      <w:pPr>
        <w:pStyle w:val="ListParagraph"/>
        <w:numPr>
          <w:ilvl w:val="1"/>
          <w:numId w:val="36"/>
        </w:numPr>
        <w:spacing w:after="160" w:line="360" w:lineRule="auto"/>
      </w:pPr>
      <w:r>
        <w:t>Result at the Capital Segment Level</w:t>
      </w:r>
    </w:p>
    <w:p w14:paraId="017D0586" w14:textId="0587ED67" w:rsidR="00D8645B" w:rsidRDefault="00D8645B" w:rsidP="0060309E">
      <w:pPr>
        <w:pStyle w:val="ListParagraph"/>
        <w:numPr>
          <w:ilvl w:val="0"/>
          <w:numId w:val="36"/>
        </w:numPr>
        <w:spacing w:after="160" w:line="360" w:lineRule="auto"/>
      </w:pPr>
      <w:r w:rsidRPr="00343F76">
        <w:rPr>
          <w:u w:val="single"/>
        </w:rPr>
        <w:t>Business Level Aggregation of Results</w:t>
      </w:r>
      <w:r>
        <w:t>: Finally</w:t>
      </w:r>
      <w:r w:rsidR="00821A81">
        <w:t>,</w:t>
      </w:r>
      <w:r>
        <w:t xml:space="preserve"> the relevant level for business allocation results needs to be identified. Two candidate proposals could be:</w:t>
      </w:r>
    </w:p>
    <w:p w14:paraId="34499017" w14:textId="77777777" w:rsidR="00D8645B" w:rsidRPr="00233754" w:rsidRDefault="00D8645B" w:rsidP="0060309E">
      <w:pPr>
        <w:pStyle w:val="ListParagraph"/>
        <w:numPr>
          <w:ilvl w:val="1"/>
          <w:numId w:val="36"/>
        </w:numPr>
        <w:spacing w:after="160" w:line="360" w:lineRule="auto"/>
      </w:pPr>
      <w:r>
        <w:t>Marginal to Product</w:t>
      </w:r>
    </w:p>
    <w:p w14:paraId="052994DB" w14:textId="77777777" w:rsidR="00D8645B" w:rsidRDefault="00D8645B" w:rsidP="0060309E">
      <w:pPr>
        <w:pStyle w:val="ListParagraph"/>
        <w:numPr>
          <w:ilvl w:val="1"/>
          <w:numId w:val="36"/>
        </w:numPr>
        <w:spacing w:after="160" w:line="360" w:lineRule="auto"/>
      </w:pPr>
      <w:r>
        <w:t>Marginal to Product and Marginal to Business</w:t>
      </w:r>
    </w:p>
    <w:p w14:paraId="27405403" w14:textId="77777777" w:rsidR="00D8645B" w:rsidRDefault="00D8645B" w:rsidP="0060309E">
      <w:pPr>
        <w:pStyle w:val="ListParagraph"/>
        <w:numPr>
          <w:ilvl w:val="0"/>
          <w:numId w:val="36"/>
        </w:numPr>
        <w:spacing w:after="160" w:line="360" w:lineRule="auto"/>
      </w:pPr>
      <w:r w:rsidRPr="00343F76">
        <w:rPr>
          <w:u w:val="single"/>
        </w:rPr>
        <w:t>Example – Marginal to Business Standalone</w:t>
      </w:r>
      <w:r>
        <w:t>: The allocation results will tentatively look like:</w:t>
      </w:r>
    </w:p>
    <w:p w14:paraId="69E3CCFE" w14:textId="77777777" w:rsidR="00D8645B" w:rsidRDefault="00D8645B" w:rsidP="0060309E">
      <w:pPr>
        <w:pStyle w:val="ListParagraph"/>
        <w:numPr>
          <w:ilvl w:val="1"/>
          <w:numId w:val="36"/>
        </w:numPr>
        <w:spacing w:after="160" w:line="360" w:lineRule="auto"/>
      </w:pPr>
      <w:r>
        <w:t>Marginal to BHC</w:t>
      </w:r>
    </w:p>
    <w:p w14:paraId="633C22EC" w14:textId="77777777" w:rsidR="00D8645B" w:rsidRDefault="00D8645B" w:rsidP="0060309E">
      <w:pPr>
        <w:pStyle w:val="ListParagraph"/>
        <w:numPr>
          <w:ilvl w:val="1"/>
          <w:numId w:val="36"/>
        </w:numPr>
        <w:spacing w:after="160" w:line="360" w:lineRule="auto"/>
      </w:pPr>
      <w:r>
        <w:t>Marginal to Group</w:t>
      </w:r>
    </w:p>
    <w:p w14:paraId="15149672" w14:textId="77777777" w:rsidR="00D8645B" w:rsidRDefault="00D8645B" w:rsidP="0060309E">
      <w:pPr>
        <w:pStyle w:val="ListParagraph"/>
        <w:numPr>
          <w:ilvl w:val="1"/>
          <w:numId w:val="36"/>
        </w:numPr>
        <w:spacing w:after="160" w:line="360" w:lineRule="auto"/>
      </w:pPr>
      <w:r>
        <w:t>Marginal to Product</w:t>
      </w:r>
    </w:p>
    <w:p w14:paraId="51DC5DAB" w14:textId="77777777" w:rsidR="00D8645B" w:rsidRDefault="00D8645B" w:rsidP="0060309E">
      <w:pPr>
        <w:pStyle w:val="ListParagraph"/>
        <w:numPr>
          <w:ilvl w:val="1"/>
          <w:numId w:val="36"/>
        </w:numPr>
        <w:spacing w:after="160" w:line="360" w:lineRule="auto"/>
      </w:pPr>
      <w:r>
        <w:t>Marginal to Business</w:t>
      </w:r>
    </w:p>
    <w:p w14:paraId="0E024330" w14:textId="77777777" w:rsidR="00D8645B" w:rsidRDefault="00D8645B" w:rsidP="0060309E">
      <w:pPr>
        <w:pStyle w:val="ListParagraph"/>
        <w:numPr>
          <w:ilvl w:val="1"/>
          <w:numId w:val="36"/>
        </w:numPr>
        <w:spacing w:after="160" w:line="360" w:lineRule="auto"/>
      </w:pPr>
      <w:r>
        <w:t>Marginal to Standalone</w:t>
      </w:r>
    </w:p>
    <w:p w14:paraId="07D848A8" w14:textId="77777777" w:rsidR="00D8645B" w:rsidRDefault="00D8645B" w:rsidP="0060309E">
      <w:pPr>
        <w:pStyle w:val="ListParagraph"/>
        <w:numPr>
          <w:ilvl w:val="1"/>
          <w:numId w:val="36"/>
        </w:numPr>
        <w:spacing w:after="160" w:line="360" w:lineRule="auto"/>
      </w:pPr>
      <w:r>
        <w:t>Standalone Capital Segment L1</w:t>
      </w:r>
    </w:p>
    <w:p w14:paraId="0F67FBB3" w14:textId="77777777" w:rsidR="00D8645B" w:rsidRPr="00343F76" w:rsidRDefault="00D8645B" w:rsidP="00D8645B">
      <w:pPr>
        <w:pStyle w:val="ListParagraph"/>
        <w:spacing w:line="360" w:lineRule="auto"/>
        <w:ind w:left="1080"/>
      </w:pPr>
      <m:oMathPara>
        <m:oMath>
          <m:r>
            <w:rPr>
              <w:rFonts w:ascii="Cambria Math" w:hAnsi="Cambria Math"/>
            </w:rPr>
            <m:t>⋯</m:t>
          </m:r>
        </m:oMath>
      </m:oMathPara>
    </w:p>
    <w:p w14:paraId="232FAB04" w14:textId="77777777" w:rsidR="00D8645B" w:rsidRDefault="00D8645B" w:rsidP="0060309E">
      <w:pPr>
        <w:pStyle w:val="ListParagraph"/>
        <w:numPr>
          <w:ilvl w:val="1"/>
          <w:numId w:val="36"/>
        </w:numPr>
        <w:spacing w:after="160" w:line="360" w:lineRule="auto"/>
      </w:pPr>
      <w:r>
        <w:t>Standalone Capital Segment Ln</w:t>
      </w:r>
    </w:p>
    <w:p w14:paraId="76C079A3" w14:textId="77777777" w:rsidR="00D8645B" w:rsidRDefault="00D8645B" w:rsidP="00D8645B">
      <w:pPr>
        <w:spacing w:line="360" w:lineRule="auto"/>
      </w:pPr>
    </w:p>
    <w:p w14:paraId="51076377" w14:textId="77777777" w:rsidR="00D8645B" w:rsidRDefault="00D8645B" w:rsidP="00D8645B">
      <w:pPr>
        <w:spacing w:line="360" w:lineRule="auto"/>
      </w:pPr>
    </w:p>
    <w:p w14:paraId="237FB2CF" w14:textId="77777777" w:rsidR="00D8645B" w:rsidRPr="00343F76" w:rsidRDefault="00D8645B" w:rsidP="00D8645B">
      <w:pPr>
        <w:spacing w:line="360" w:lineRule="auto"/>
        <w:rPr>
          <w:b/>
          <w:sz w:val="28"/>
          <w:szCs w:val="28"/>
        </w:rPr>
      </w:pPr>
      <w:r w:rsidRPr="00343F76">
        <w:rPr>
          <w:b/>
          <w:sz w:val="28"/>
          <w:szCs w:val="28"/>
        </w:rPr>
        <w:t>Considerations when Picking Business Reporting Options</w:t>
      </w:r>
    </w:p>
    <w:p w14:paraId="74FB7C39" w14:textId="77777777" w:rsidR="00D8645B" w:rsidRDefault="00D8645B" w:rsidP="00D8645B">
      <w:pPr>
        <w:spacing w:line="360" w:lineRule="auto"/>
      </w:pPr>
    </w:p>
    <w:p w14:paraId="6ED98C6B" w14:textId="77777777" w:rsidR="00D8645B" w:rsidRDefault="00D8645B" w:rsidP="0060309E">
      <w:pPr>
        <w:pStyle w:val="ListParagraph"/>
        <w:numPr>
          <w:ilvl w:val="0"/>
          <w:numId w:val="37"/>
        </w:numPr>
        <w:spacing w:after="160" w:line="360" w:lineRule="auto"/>
      </w:pPr>
      <w:r w:rsidRPr="00343F76">
        <w:rPr>
          <w:u w:val="single"/>
        </w:rPr>
        <w:t>Capital Allocation at Business Level</w:t>
      </w:r>
      <w:r w:rsidRPr="00343F76">
        <w:t>: The ultimate goal is to ensure that results are run and allocated at a level that is relevant to risk management of a given business.</w:t>
      </w:r>
    </w:p>
    <w:p w14:paraId="2AECCC80" w14:textId="77777777" w:rsidR="00D8645B" w:rsidRDefault="00D8645B" w:rsidP="0060309E">
      <w:pPr>
        <w:pStyle w:val="ListParagraph"/>
        <w:numPr>
          <w:ilvl w:val="0"/>
          <w:numId w:val="37"/>
        </w:numPr>
        <w:spacing w:after="160" w:line="360" w:lineRule="auto"/>
      </w:pPr>
      <w:r>
        <w:rPr>
          <w:u w:val="single"/>
        </w:rPr>
        <w:t>Periodic Refresh of Business Hierarchy</w:t>
      </w:r>
      <w:r w:rsidRPr="00343F76">
        <w:t>:</w:t>
      </w:r>
      <w:r>
        <w:t xml:space="preserve"> The Business Hierarchy mapped to Capital Segments will have to be loaded each period by the Risk Reporting Team. This will require maintenance of the references by the team against the Hierarchy Standard.</w:t>
      </w:r>
    </w:p>
    <w:p w14:paraId="596E0611" w14:textId="77777777" w:rsidR="00D8645B" w:rsidRDefault="00D8645B" w:rsidP="0060309E">
      <w:pPr>
        <w:pStyle w:val="ListParagraph"/>
        <w:numPr>
          <w:ilvl w:val="0"/>
          <w:numId w:val="37"/>
        </w:numPr>
        <w:spacing w:after="160" w:line="360" w:lineRule="auto"/>
      </w:pPr>
      <w:r>
        <w:rPr>
          <w:u w:val="single"/>
        </w:rPr>
        <w:t>Capital Segment/Unit Hierarchy Shuffle</w:t>
      </w:r>
      <w:r w:rsidRPr="00343F76">
        <w:t>:</w:t>
      </w:r>
      <w:r>
        <w:t xml:space="preserve"> It is worth noting that the Hierarchy Standard tends to change less frequently at the higher levels of Capital Segments than the lower. Hence, if there is a desire to map below a pre-set Capital Segment level, it is likely that the Business Hierarchy will change more frequently.</w:t>
      </w:r>
    </w:p>
    <w:p w14:paraId="6CEBA386" w14:textId="77777777" w:rsidR="00D8645B" w:rsidRPr="00343F76" w:rsidRDefault="00D8645B" w:rsidP="0060309E">
      <w:pPr>
        <w:pStyle w:val="ListParagraph"/>
        <w:numPr>
          <w:ilvl w:val="0"/>
          <w:numId w:val="37"/>
        </w:numPr>
        <w:spacing w:after="160" w:line="360" w:lineRule="auto"/>
      </w:pPr>
      <w:r>
        <w:rPr>
          <w:u w:val="single"/>
        </w:rPr>
        <w:t>Incorporation of Volcker Rules Results</w:t>
      </w:r>
      <w:r>
        <w:t>: Often there may be a need to include Volcker rules results. This needs to be clarified whether it is a reporting or a simulation requirement.</w:t>
      </w:r>
    </w:p>
    <w:p w14:paraId="26ED345B" w14:textId="77777777" w:rsidR="00D8645B" w:rsidRDefault="00D8645B" w:rsidP="00D8645B">
      <w:r>
        <w:br w:type="page"/>
      </w:r>
    </w:p>
    <w:p w14:paraId="74FE5774" w14:textId="77777777" w:rsidR="00D8645B" w:rsidRDefault="00D8645B" w:rsidP="00D8645B">
      <w:pPr>
        <w:spacing w:line="360" w:lineRule="auto"/>
      </w:pPr>
    </w:p>
    <w:p w14:paraId="5C6DF985" w14:textId="77777777" w:rsidR="00D8645B" w:rsidRPr="0096021E" w:rsidRDefault="00D8645B" w:rsidP="00D8645B">
      <w:pPr>
        <w:spacing w:line="360" w:lineRule="auto"/>
        <w:jc w:val="center"/>
        <w:rPr>
          <w:b/>
          <w:sz w:val="32"/>
          <w:szCs w:val="32"/>
        </w:rPr>
      </w:pPr>
      <w:r w:rsidRPr="0096021E">
        <w:rPr>
          <w:b/>
          <w:sz w:val="32"/>
          <w:szCs w:val="32"/>
        </w:rPr>
        <w:t>Comparison of Hierarchies</w:t>
      </w:r>
    </w:p>
    <w:p w14:paraId="020A513E" w14:textId="77777777" w:rsidR="00D8645B" w:rsidRDefault="00D8645B" w:rsidP="00D8645B">
      <w:pPr>
        <w:spacing w:line="360" w:lineRule="auto"/>
      </w:pPr>
    </w:p>
    <w:p w14:paraId="60DB568B" w14:textId="77777777" w:rsidR="00D8645B" w:rsidRDefault="00D8645B" w:rsidP="00D8645B">
      <w:pPr>
        <w:spacing w:line="360" w:lineRule="auto"/>
      </w:pPr>
    </w:p>
    <w:p w14:paraId="5993F3FB" w14:textId="77777777" w:rsidR="00D8645B" w:rsidRPr="0096021E" w:rsidRDefault="00D8645B" w:rsidP="00D8645B">
      <w:pPr>
        <w:spacing w:line="360" w:lineRule="auto"/>
        <w:rPr>
          <w:b/>
          <w:sz w:val="28"/>
          <w:szCs w:val="28"/>
        </w:rPr>
      </w:pPr>
      <w:r w:rsidRPr="0096021E">
        <w:rPr>
          <w:b/>
          <w:sz w:val="28"/>
          <w:szCs w:val="28"/>
        </w:rPr>
        <w:t>Problem Statement</w:t>
      </w:r>
    </w:p>
    <w:p w14:paraId="1C03BABA" w14:textId="77777777" w:rsidR="00D8645B" w:rsidRDefault="00D8645B" w:rsidP="00D8645B">
      <w:pPr>
        <w:spacing w:line="360" w:lineRule="auto"/>
      </w:pPr>
    </w:p>
    <w:p w14:paraId="561F438A" w14:textId="77777777" w:rsidR="00D8645B" w:rsidRDefault="00D8645B" w:rsidP="0060309E">
      <w:pPr>
        <w:pStyle w:val="ListParagraph"/>
        <w:numPr>
          <w:ilvl w:val="0"/>
          <w:numId w:val="73"/>
        </w:numPr>
        <w:spacing w:after="160" w:line="360" w:lineRule="auto"/>
      </w:pPr>
      <w:r w:rsidRPr="0096021E">
        <w:rPr>
          <w:u w:val="single"/>
        </w:rPr>
        <w:t>Hierarchy Support for Volcker Requirements</w:t>
      </w:r>
      <w:r w:rsidRPr="0096021E">
        <w:t>: The hierarchy used by a typical BHC in support of Volcker to represent the business structure of the trading desks is different from that of the Capital Segment hierarchy.</w:t>
      </w:r>
    </w:p>
    <w:p w14:paraId="086EFA66" w14:textId="77777777" w:rsidR="00D8645B" w:rsidRDefault="00D8645B" w:rsidP="0060309E">
      <w:pPr>
        <w:pStyle w:val="ListParagraph"/>
        <w:numPr>
          <w:ilvl w:val="0"/>
          <w:numId w:val="73"/>
        </w:numPr>
        <w:spacing w:after="160" w:line="360" w:lineRule="auto"/>
      </w:pPr>
      <w:r>
        <w:rPr>
          <w:u w:val="single"/>
        </w:rPr>
        <w:t>Capital Segment/Market Risk Hierarchy</w:t>
      </w:r>
      <w:r w:rsidRPr="0096021E">
        <w:t>:</w:t>
      </w:r>
      <w:r>
        <w:t xml:space="preserve"> While the BHC hierarchy appears to be based on the Capital Segment tree, there are noticeable differences. These differences include, but are not limited to:</w:t>
      </w:r>
    </w:p>
    <w:p w14:paraId="2488D8CC" w14:textId="77777777" w:rsidR="00D8645B" w:rsidRDefault="00D8645B" w:rsidP="0060309E">
      <w:pPr>
        <w:pStyle w:val="ListParagraph"/>
        <w:numPr>
          <w:ilvl w:val="1"/>
          <w:numId w:val="73"/>
        </w:numPr>
        <w:spacing w:after="160" w:line="360" w:lineRule="auto"/>
      </w:pPr>
      <w:r>
        <w:t>Re-grouping of Capital Segments</w:t>
      </w:r>
    </w:p>
    <w:p w14:paraId="30F1D75D" w14:textId="77777777" w:rsidR="00D8645B" w:rsidRDefault="00D8645B" w:rsidP="0060309E">
      <w:pPr>
        <w:pStyle w:val="ListParagraph"/>
        <w:numPr>
          <w:ilvl w:val="1"/>
          <w:numId w:val="73"/>
        </w:numPr>
        <w:spacing w:after="160" w:line="360" w:lineRule="auto"/>
      </w:pPr>
      <w:r>
        <w:t>Removing Levels</w:t>
      </w:r>
    </w:p>
    <w:p w14:paraId="48DFC8AD" w14:textId="77777777" w:rsidR="00D8645B" w:rsidRDefault="00D8645B" w:rsidP="0060309E">
      <w:pPr>
        <w:pStyle w:val="ListParagraph"/>
        <w:numPr>
          <w:ilvl w:val="1"/>
          <w:numId w:val="73"/>
        </w:numPr>
        <w:spacing w:after="160" w:line="360" w:lineRule="auto"/>
      </w:pPr>
      <w:r>
        <w:t>Merging the Capital Segments with Managed Geography</w:t>
      </w:r>
    </w:p>
    <w:p w14:paraId="4C227009" w14:textId="77777777" w:rsidR="00D8645B" w:rsidRDefault="00D8645B" w:rsidP="00D8645B">
      <w:pPr>
        <w:spacing w:line="360" w:lineRule="auto"/>
      </w:pPr>
    </w:p>
    <w:p w14:paraId="6030E548" w14:textId="77777777" w:rsidR="00D8645B" w:rsidRDefault="00D8645B" w:rsidP="00D8645B">
      <w:pPr>
        <w:spacing w:line="360" w:lineRule="auto"/>
      </w:pPr>
    </w:p>
    <w:p w14:paraId="4ED8D718" w14:textId="77777777" w:rsidR="00D8645B" w:rsidRPr="0096021E" w:rsidRDefault="00D8645B" w:rsidP="00D8645B">
      <w:pPr>
        <w:spacing w:line="360" w:lineRule="auto"/>
        <w:rPr>
          <w:b/>
          <w:sz w:val="28"/>
          <w:szCs w:val="28"/>
        </w:rPr>
      </w:pPr>
      <w:r w:rsidRPr="0096021E">
        <w:rPr>
          <w:b/>
          <w:sz w:val="28"/>
          <w:szCs w:val="28"/>
        </w:rPr>
        <w:t>Principles and Goals</w:t>
      </w:r>
    </w:p>
    <w:p w14:paraId="6FC088AF" w14:textId="77777777" w:rsidR="00D8645B" w:rsidRDefault="00D8645B" w:rsidP="00D8645B">
      <w:pPr>
        <w:spacing w:line="360" w:lineRule="auto"/>
      </w:pPr>
    </w:p>
    <w:p w14:paraId="4848A107" w14:textId="77777777" w:rsidR="00D8645B" w:rsidRDefault="00D8645B" w:rsidP="0060309E">
      <w:pPr>
        <w:pStyle w:val="ListParagraph"/>
        <w:numPr>
          <w:ilvl w:val="0"/>
          <w:numId w:val="74"/>
        </w:numPr>
        <w:spacing w:after="160" w:line="360" w:lineRule="auto"/>
      </w:pPr>
      <w:r w:rsidRPr="0096021E">
        <w:rPr>
          <w:u w:val="single"/>
        </w:rPr>
        <w:t>Transparency and Accuracy Goals</w:t>
      </w:r>
      <w:r w:rsidRPr="0096021E">
        <w:t>: First goal is to have transparent and accurate data.</w:t>
      </w:r>
    </w:p>
    <w:p w14:paraId="25566256" w14:textId="77777777" w:rsidR="00D8645B" w:rsidRDefault="00D8645B" w:rsidP="0060309E">
      <w:pPr>
        <w:pStyle w:val="ListParagraph"/>
        <w:numPr>
          <w:ilvl w:val="0"/>
          <w:numId w:val="74"/>
        </w:numPr>
        <w:spacing w:after="160" w:line="360" w:lineRule="auto"/>
      </w:pPr>
      <w:r>
        <w:rPr>
          <w:u w:val="single"/>
        </w:rPr>
        <w:t>Identification of the Single Structural Scope</w:t>
      </w:r>
      <w:r w:rsidRPr="0096021E">
        <w:t>:</w:t>
      </w:r>
      <w:r>
        <w:t xml:space="preserve"> The next is to agree on a clearly defined and communicated structure for reporting, where both the Finance and the Risk values must be present side-by-side with the understanding that they represent the same structural scope.</w:t>
      </w:r>
    </w:p>
    <w:p w14:paraId="7E073A15" w14:textId="77777777" w:rsidR="00D8645B" w:rsidRDefault="00D8645B" w:rsidP="0060309E">
      <w:pPr>
        <w:pStyle w:val="ListParagraph"/>
        <w:numPr>
          <w:ilvl w:val="0"/>
          <w:numId w:val="74"/>
        </w:numPr>
        <w:spacing w:after="160" w:line="360" w:lineRule="auto"/>
      </w:pPr>
      <w:r>
        <w:rPr>
          <w:u w:val="single"/>
        </w:rPr>
        <w:t>Uniformity across Operational Components Hierarchy</w:t>
      </w:r>
      <w:r w:rsidRPr="00CC4716">
        <w:t>:</w:t>
      </w:r>
      <w:r>
        <w:t xml:space="preserve"> This single structure must include the needs of Business, Finance, Risk, and HR.</w:t>
      </w:r>
    </w:p>
    <w:p w14:paraId="764C2459" w14:textId="77777777" w:rsidR="00D8645B" w:rsidRDefault="00D8645B" w:rsidP="0060309E">
      <w:pPr>
        <w:pStyle w:val="ListParagraph"/>
        <w:numPr>
          <w:ilvl w:val="0"/>
          <w:numId w:val="74"/>
        </w:numPr>
        <w:spacing w:after="160" w:line="360" w:lineRule="auto"/>
      </w:pPr>
      <w:r>
        <w:rPr>
          <w:u w:val="single"/>
        </w:rPr>
        <w:t>Purpose of the BHC Working Group</w:t>
      </w:r>
      <w:r w:rsidRPr="00541CD6">
        <w:t>:</w:t>
      </w:r>
      <w:r>
        <w:t xml:space="preserve"> The working group will:</w:t>
      </w:r>
    </w:p>
    <w:p w14:paraId="621B59C0" w14:textId="77777777" w:rsidR="00D8645B" w:rsidRDefault="00D8645B" w:rsidP="0060309E">
      <w:pPr>
        <w:pStyle w:val="ListParagraph"/>
        <w:numPr>
          <w:ilvl w:val="1"/>
          <w:numId w:val="74"/>
        </w:numPr>
        <w:spacing w:after="160" w:line="360" w:lineRule="auto"/>
      </w:pPr>
      <w:r>
        <w:t>Put forth a proposal to merge the Volcker and the Capital Segment into a single common hierarchy.</w:t>
      </w:r>
    </w:p>
    <w:p w14:paraId="4E4EF87C" w14:textId="77777777" w:rsidR="00D8645B" w:rsidRDefault="00D8645B" w:rsidP="0060309E">
      <w:pPr>
        <w:pStyle w:val="ListParagraph"/>
        <w:numPr>
          <w:ilvl w:val="1"/>
          <w:numId w:val="74"/>
        </w:numPr>
        <w:spacing w:after="160" w:line="360" w:lineRule="auto"/>
      </w:pPr>
      <w:r>
        <w:lastRenderedPageBreak/>
        <w:t>When the working group cannot agree on how this can be done for a particular section, that piece must be tabled to a broader group for determination.</w:t>
      </w:r>
    </w:p>
    <w:p w14:paraId="469F8FCD" w14:textId="77777777" w:rsidR="00D8645B" w:rsidRDefault="00D8645B" w:rsidP="0060309E">
      <w:pPr>
        <w:pStyle w:val="ListParagraph"/>
        <w:numPr>
          <w:ilvl w:val="1"/>
          <w:numId w:val="74"/>
        </w:numPr>
        <w:spacing w:after="160" w:line="360" w:lineRule="auto"/>
      </w:pPr>
      <w:r>
        <w:t>Put controls in place to prevent divergent representations of the business organization into the future.</w:t>
      </w:r>
    </w:p>
    <w:p w14:paraId="725C94BF" w14:textId="77777777" w:rsidR="00D8645B" w:rsidRDefault="00D8645B" w:rsidP="0060309E">
      <w:pPr>
        <w:pStyle w:val="ListParagraph"/>
        <w:numPr>
          <w:ilvl w:val="0"/>
          <w:numId w:val="74"/>
        </w:numPr>
        <w:spacing w:after="160" w:line="360" w:lineRule="auto"/>
      </w:pPr>
      <w:r w:rsidRPr="00541CD6">
        <w:rPr>
          <w:u w:val="single"/>
        </w:rPr>
        <w:t>Single Structure Truth for the BHC</w:t>
      </w:r>
      <w:r>
        <w:t>: It is essential to have the senior management agree on a single structural truth for reporting the BHC’s business organizations. This truth should be used for all internal reporting including FP&amp;A decks, business presentations, HR, and Volcker reporting.</w:t>
      </w:r>
    </w:p>
    <w:p w14:paraId="64C34517" w14:textId="77777777" w:rsidR="00D8645B" w:rsidRDefault="00D8645B" w:rsidP="00D8645B">
      <w:pPr>
        <w:spacing w:line="360" w:lineRule="auto"/>
      </w:pPr>
    </w:p>
    <w:p w14:paraId="323E7E2A" w14:textId="77777777" w:rsidR="00D8645B" w:rsidRDefault="00D8645B" w:rsidP="00D8645B">
      <w:pPr>
        <w:spacing w:line="360" w:lineRule="auto"/>
      </w:pPr>
    </w:p>
    <w:p w14:paraId="227ADFEF" w14:textId="44653525" w:rsidR="00D8645B" w:rsidRPr="00541CD6" w:rsidRDefault="00821A81" w:rsidP="00D8645B">
      <w:pPr>
        <w:spacing w:line="360" w:lineRule="auto"/>
        <w:rPr>
          <w:b/>
          <w:sz w:val="28"/>
          <w:szCs w:val="28"/>
        </w:rPr>
      </w:pPr>
      <w:bookmarkStart w:id="0" w:name="_GoBack"/>
      <w:r>
        <w:rPr>
          <w:b/>
          <w:sz w:val="28"/>
          <w:szCs w:val="28"/>
        </w:rPr>
        <w:t>Need for</w:t>
      </w:r>
      <w:r w:rsidR="00D8645B" w:rsidRPr="00541CD6">
        <w:rPr>
          <w:b/>
          <w:sz w:val="28"/>
          <w:szCs w:val="28"/>
        </w:rPr>
        <w:t xml:space="preserve"> D</w:t>
      </w:r>
      <w:r w:rsidR="00D8645B">
        <w:rPr>
          <w:b/>
          <w:sz w:val="28"/>
          <w:szCs w:val="28"/>
        </w:rPr>
        <w:t>efining a Structural Truth</w:t>
      </w:r>
    </w:p>
    <w:bookmarkEnd w:id="0"/>
    <w:p w14:paraId="5EEDA306" w14:textId="77777777" w:rsidR="00D8645B" w:rsidRDefault="00D8645B" w:rsidP="00D8645B">
      <w:pPr>
        <w:spacing w:line="360" w:lineRule="auto"/>
      </w:pPr>
    </w:p>
    <w:p w14:paraId="5D93F6CB" w14:textId="77777777" w:rsidR="00D8645B" w:rsidRDefault="00D8645B" w:rsidP="0060309E">
      <w:pPr>
        <w:pStyle w:val="ListParagraph"/>
        <w:numPr>
          <w:ilvl w:val="0"/>
          <w:numId w:val="75"/>
        </w:numPr>
        <w:spacing w:after="160" w:line="360" w:lineRule="auto"/>
      </w:pPr>
      <w:r w:rsidRPr="00541CD6">
        <w:rPr>
          <w:u w:val="single"/>
        </w:rPr>
        <w:t>Problems with Inconsistent Management Hierarchies</w:t>
      </w:r>
      <w:r w:rsidRPr="00541CD6">
        <w:t>: It is a major risk to the firm to have hierarchies that are fundamentally inconsistent. By definition, both the Capital Segment Hierarchy and the Volcker Hierarchy reflect how the businesses are managed. Due to this, the firm ends up communicating different ways in which the firm manages the business depending on the reports and the regulators involved.</w:t>
      </w:r>
    </w:p>
    <w:p w14:paraId="106FACE1" w14:textId="77777777" w:rsidR="00D8645B" w:rsidRDefault="00D8645B" w:rsidP="0060309E">
      <w:pPr>
        <w:pStyle w:val="ListParagraph"/>
        <w:numPr>
          <w:ilvl w:val="0"/>
          <w:numId w:val="75"/>
        </w:numPr>
        <w:spacing w:after="160" w:line="360" w:lineRule="auto"/>
      </w:pPr>
      <w:r>
        <w:rPr>
          <w:u w:val="single"/>
        </w:rPr>
        <w:t>Cost Impact from Inconsistent Hierarchies</w:t>
      </w:r>
      <w:r>
        <w:t>: The granularity of the reporting requirements has increased at a time when the focus on the data quality is greater than ever.</w:t>
      </w:r>
    </w:p>
    <w:p w14:paraId="2747F321" w14:textId="77777777" w:rsidR="00D8645B" w:rsidRDefault="00D8645B" w:rsidP="0060309E">
      <w:pPr>
        <w:pStyle w:val="ListParagraph"/>
        <w:numPr>
          <w:ilvl w:val="1"/>
          <w:numId w:val="75"/>
        </w:numPr>
        <w:spacing w:after="160" w:line="360" w:lineRule="auto"/>
      </w:pPr>
      <w:r>
        <w:t>There is an increased risk of higher volume of errors if the scope is misaligned.</w:t>
      </w:r>
    </w:p>
    <w:p w14:paraId="0E470618" w14:textId="77777777" w:rsidR="00D8645B" w:rsidRDefault="00D8645B" w:rsidP="0060309E">
      <w:pPr>
        <w:pStyle w:val="ListParagraph"/>
        <w:numPr>
          <w:ilvl w:val="1"/>
          <w:numId w:val="75"/>
        </w:numPr>
        <w:spacing w:after="160" w:line="360" w:lineRule="auto"/>
      </w:pPr>
      <w:r>
        <w:t>Structural wastes resource times across functions investigating differences, comparing and contrasting various structures.</w:t>
      </w:r>
    </w:p>
    <w:p w14:paraId="55C176AC" w14:textId="77777777" w:rsidR="00D8645B" w:rsidRDefault="00D8645B" w:rsidP="0060309E">
      <w:pPr>
        <w:pStyle w:val="ListParagraph"/>
        <w:numPr>
          <w:ilvl w:val="1"/>
          <w:numId w:val="75"/>
        </w:numPr>
        <w:spacing w:after="160" w:line="360" w:lineRule="auto"/>
      </w:pPr>
      <w:r>
        <w:t xml:space="preserve">Time and money </w:t>
      </w:r>
      <w:proofErr w:type="gramStart"/>
      <w:r>
        <w:t>is</w:t>
      </w:r>
      <w:proofErr w:type="gramEnd"/>
      <w:r>
        <w:t xml:space="preserve"> wasted creating and managing accommodating processes or adding user provisioning to add various views.</w:t>
      </w:r>
    </w:p>
    <w:p w14:paraId="79F287E9" w14:textId="77777777" w:rsidR="00D8645B" w:rsidRDefault="00D8645B" w:rsidP="0060309E">
      <w:pPr>
        <w:pStyle w:val="ListParagraph"/>
        <w:numPr>
          <w:ilvl w:val="0"/>
          <w:numId w:val="75"/>
        </w:numPr>
        <w:spacing w:after="160" w:line="360" w:lineRule="auto"/>
      </w:pPr>
      <w:r w:rsidRPr="00C2021E">
        <w:rPr>
          <w:u w:val="single"/>
        </w:rPr>
        <w:t>Implementing Reporting and Booking Policy</w:t>
      </w:r>
      <w:r>
        <w:t>: New challenges arise as one strives to implement quality PPL, Reporting, and Booking Model Policy.</w:t>
      </w:r>
    </w:p>
    <w:p w14:paraId="6854F745" w14:textId="77777777" w:rsidR="00D8645B" w:rsidRDefault="00D8645B" w:rsidP="0060309E">
      <w:pPr>
        <w:pStyle w:val="ListParagraph"/>
        <w:numPr>
          <w:ilvl w:val="0"/>
          <w:numId w:val="75"/>
        </w:numPr>
        <w:spacing w:after="160" w:line="360" w:lineRule="auto"/>
      </w:pPr>
      <w:r>
        <w:rPr>
          <w:u w:val="single"/>
        </w:rPr>
        <w:t>Impact on Strategy and Information Flows</w:t>
      </w:r>
      <w:r w:rsidRPr="00C2021E">
        <w:t>:</w:t>
      </w:r>
      <w:r>
        <w:t xml:space="preserve"> Core capabilities often refer to accurate </w:t>
      </w:r>
      <w:proofErr w:type="gramStart"/>
      <w:r>
        <w:t>decision making</w:t>
      </w:r>
      <w:proofErr w:type="gramEnd"/>
      <w:r>
        <w:t xml:space="preserve"> information. How does one build strategic and accurate information flows if there is ambiguity on the reporting structural foundation?</w:t>
      </w:r>
    </w:p>
    <w:p w14:paraId="1E9EF533" w14:textId="77777777" w:rsidR="00D8645B" w:rsidRDefault="00D8645B" w:rsidP="0060309E">
      <w:pPr>
        <w:pStyle w:val="ListParagraph"/>
        <w:numPr>
          <w:ilvl w:val="0"/>
          <w:numId w:val="75"/>
        </w:numPr>
        <w:spacing w:after="160" w:line="360" w:lineRule="auto"/>
      </w:pPr>
      <w:r>
        <w:rPr>
          <w:u w:val="single"/>
        </w:rPr>
        <w:lastRenderedPageBreak/>
        <w:t>Aligning Finance and Risk Hierarchies</w:t>
      </w:r>
      <w:r w:rsidRPr="00C2021E">
        <w:t>:</w:t>
      </w:r>
      <w:r>
        <w:t xml:space="preserve"> Finance Data and the related Risk Data need to be aligned in the same structure to provide meaningful reporting and insight.</w:t>
      </w:r>
    </w:p>
    <w:p w14:paraId="533164EA" w14:textId="77777777" w:rsidR="00D8645B" w:rsidRDefault="00D8645B" w:rsidP="0060309E">
      <w:pPr>
        <w:pStyle w:val="ListParagraph"/>
        <w:numPr>
          <w:ilvl w:val="0"/>
          <w:numId w:val="75"/>
        </w:numPr>
        <w:spacing w:after="160" w:line="360" w:lineRule="auto"/>
      </w:pPr>
      <w:r>
        <w:rPr>
          <w:u w:val="single"/>
        </w:rPr>
        <w:t>Impact of Additional BHC Policy</w:t>
      </w:r>
      <w:r w:rsidRPr="00C2021E">
        <w:t>:</w:t>
      </w:r>
      <w:r>
        <w:t xml:space="preserve"> BHC Policy dictates the use of Enterprise Standards and prohibits the use of alternate views.</w:t>
      </w:r>
    </w:p>
    <w:p w14:paraId="28F95879" w14:textId="77777777" w:rsidR="00D8645B" w:rsidRDefault="00D8645B" w:rsidP="00D8645B">
      <w:pPr>
        <w:spacing w:line="360" w:lineRule="auto"/>
      </w:pPr>
    </w:p>
    <w:p w14:paraId="00C3F047" w14:textId="77777777" w:rsidR="00D8645B" w:rsidRDefault="00D8645B" w:rsidP="00D8645B">
      <w:pPr>
        <w:spacing w:line="360" w:lineRule="auto"/>
      </w:pPr>
    </w:p>
    <w:p w14:paraId="77E590DB" w14:textId="77777777" w:rsidR="00D8645B" w:rsidRPr="00C2021E" w:rsidRDefault="00D8645B" w:rsidP="00D8645B">
      <w:pPr>
        <w:spacing w:line="360" w:lineRule="auto"/>
        <w:rPr>
          <w:b/>
          <w:sz w:val="28"/>
          <w:szCs w:val="28"/>
        </w:rPr>
      </w:pPr>
      <w:r w:rsidRPr="00C2021E">
        <w:rPr>
          <w:b/>
          <w:sz w:val="28"/>
          <w:szCs w:val="28"/>
        </w:rPr>
        <w:t>Current Definitions – Capital Segment</w:t>
      </w:r>
    </w:p>
    <w:p w14:paraId="3CF32330" w14:textId="77777777" w:rsidR="00D8645B" w:rsidRDefault="00D8645B" w:rsidP="00D8645B">
      <w:pPr>
        <w:spacing w:line="360" w:lineRule="auto"/>
      </w:pPr>
    </w:p>
    <w:p w14:paraId="5699B098" w14:textId="77777777" w:rsidR="00D8645B" w:rsidRDefault="00D8645B" w:rsidP="0060309E">
      <w:pPr>
        <w:pStyle w:val="ListParagraph"/>
        <w:numPr>
          <w:ilvl w:val="0"/>
          <w:numId w:val="76"/>
        </w:numPr>
        <w:spacing w:after="160" w:line="360" w:lineRule="auto"/>
      </w:pPr>
      <w:r w:rsidRPr="00C2021E">
        <w:rPr>
          <w:u w:val="single"/>
        </w:rPr>
        <w:t>Definition of a Capital Segment</w:t>
      </w:r>
      <w:r w:rsidRPr="00C2021E">
        <w:t>: A capital segment is a complete BHC business entity with identifiable management, business, and marketing strategy, income, expenses, assets, and funding. A capital segment may also represent middle and back office service units.</w:t>
      </w:r>
    </w:p>
    <w:p w14:paraId="61188DFC" w14:textId="77777777" w:rsidR="00D8645B" w:rsidRDefault="00D8645B" w:rsidP="0060309E">
      <w:pPr>
        <w:pStyle w:val="ListParagraph"/>
        <w:numPr>
          <w:ilvl w:val="0"/>
          <w:numId w:val="76"/>
        </w:numPr>
        <w:spacing w:after="160" w:line="360" w:lineRule="auto"/>
      </w:pPr>
      <w:r>
        <w:rPr>
          <w:u w:val="single"/>
        </w:rPr>
        <w:t>Purpose of the Capital Segment</w:t>
      </w:r>
      <w:r w:rsidRPr="003E4A5B">
        <w:t>:</w:t>
      </w:r>
      <w:r>
        <w:t xml:space="preserve"> The capital segment hierarchy is the BHC’s line of business structure and reflects the relationship between the different business entities, e.g., Total Markets and Securities Services is a child of ICG. The Capital Segment hierarchy serves the organizational foundation for reporting and performance measurement. The hierarchy of the Manager’s responsibilities – currently reflected in the HR Organization Tree – must align with the Capital Segment Hierarchy. This single structure must meet the needs of Business, Finance, Risk, and HR.</w:t>
      </w:r>
    </w:p>
    <w:p w14:paraId="060BE36D" w14:textId="77777777" w:rsidR="00D8645B" w:rsidRDefault="00D8645B" w:rsidP="00D8645B">
      <w:pPr>
        <w:spacing w:line="360" w:lineRule="auto"/>
      </w:pPr>
    </w:p>
    <w:p w14:paraId="11208F23" w14:textId="77777777" w:rsidR="00D8645B" w:rsidRDefault="00D8645B" w:rsidP="00D8645B">
      <w:pPr>
        <w:spacing w:line="360" w:lineRule="auto"/>
      </w:pPr>
    </w:p>
    <w:p w14:paraId="291FF095" w14:textId="77777777" w:rsidR="00D8645B" w:rsidRPr="003E4A5B" w:rsidRDefault="00D8645B" w:rsidP="00D8645B">
      <w:pPr>
        <w:spacing w:line="360" w:lineRule="auto"/>
        <w:rPr>
          <w:b/>
          <w:sz w:val="28"/>
          <w:szCs w:val="28"/>
        </w:rPr>
      </w:pPr>
      <w:r w:rsidRPr="003E4A5B">
        <w:rPr>
          <w:b/>
          <w:sz w:val="28"/>
          <w:szCs w:val="28"/>
        </w:rPr>
        <w:t>Current Definitions – Volcker</w:t>
      </w:r>
    </w:p>
    <w:p w14:paraId="495D46D1" w14:textId="77777777" w:rsidR="00D8645B" w:rsidRDefault="00D8645B" w:rsidP="00D8645B">
      <w:pPr>
        <w:spacing w:line="360" w:lineRule="auto"/>
      </w:pPr>
    </w:p>
    <w:p w14:paraId="1A728CBB" w14:textId="77777777" w:rsidR="00D8645B" w:rsidRDefault="00D8645B" w:rsidP="0060309E">
      <w:pPr>
        <w:pStyle w:val="ListParagraph"/>
        <w:numPr>
          <w:ilvl w:val="0"/>
          <w:numId w:val="77"/>
        </w:numPr>
        <w:spacing w:after="160" w:line="360" w:lineRule="auto"/>
      </w:pPr>
      <w:r w:rsidRPr="003E4A5B">
        <w:rPr>
          <w:u w:val="single"/>
        </w:rPr>
        <w:t>Verification of Compliance with Volcker</w:t>
      </w:r>
      <w:r w:rsidRPr="003E4A5B">
        <w:t xml:space="preserve">: Typically, BHC’s review their global business activities to identify the business units that engage in activities subject to the provisions of the Volcker Rule related to the Proprietary Trading and the status of the activities thereunder. Units of the BHC that engage in trading activities subject to the Volcker Proprietary Provisions have been designated by the Volcker Rule Office as </w:t>
      </w:r>
      <w:r w:rsidRPr="003E4A5B">
        <w:rPr>
          <w:i/>
        </w:rPr>
        <w:t>Trading Desks</w:t>
      </w:r>
      <w:r w:rsidRPr="003E4A5B">
        <w:t xml:space="preserve">. Any business that seeks to engage in new activities, or change its existing activities, must review such activities for compliance with the provisions of the Volcker Rule related to proprietary </w:t>
      </w:r>
      <w:r w:rsidRPr="003E4A5B">
        <w:lastRenderedPageBreak/>
        <w:t>trading under applicable new or changed activity approval procedures and with Legal. All such determinations are subject to review by the Volcker Rule Office.</w:t>
      </w:r>
    </w:p>
    <w:p w14:paraId="378D9C61" w14:textId="77777777" w:rsidR="00D8645B" w:rsidRDefault="00D8645B" w:rsidP="0060309E">
      <w:pPr>
        <w:pStyle w:val="ListParagraph"/>
        <w:numPr>
          <w:ilvl w:val="0"/>
          <w:numId w:val="77"/>
        </w:numPr>
        <w:spacing w:after="160" w:line="360" w:lineRule="auto"/>
      </w:pPr>
      <w:r>
        <w:rPr>
          <w:u w:val="single"/>
        </w:rPr>
        <w:t>Volcker Proprietary Trading Provisions Mandate</w:t>
      </w:r>
      <w:r w:rsidRPr="00F628E9">
        <w:t>:</w:t>
      </w:r>
      <w:r>
        <w:t xml:space="preserve"> Each </w:t>
      </w:r>
      <w:r>
        <w:rPr>
          <w:i/>
        </w:rPr>
        <w:t>Trading Desk</w:t>
      </w:r>
      <w:r>
        <w:t xml:space="preserve"> must operate under an approved mandate – a </w:t>
      </w:r>
      <w:r>
        <w:rPr>
          <w:i/>
        </w:rPr>
        <w:t>Trading Mandate</w:t>
      </w:r>
      <w:r>
        <w:t xml:space="preserve"> – and related procedures maintained by the Volcker Rule Office designed to monitor and reasonably ensure compliance with the Volcker Rule. The Trading Mandates address the specific requirements and limitations of the relevant exemption (s) and/or exclusion (s) under the Volcker Proprietary Trading Provisions, pursuant to which the trading desks conduct their activities and contain additional details regarding the application of monitoring and controls regarding these activities.</w:t>
      </w:r>
    </w:p>
    <w:p w14:paraId="4EB502CA" w14:textId="77777777" w:rsidR="00D8645B" w:rsidRDefault="00D8645B" w:rsidP="00D8645B">
      <w:pPr>
        <w:spacing w:line="360" w:lineRule="auto"/>
      </w:pPr>
    </w:p>
    <w:p w14:paraId="1138D926" w14:textId="77777777" w:rsidR="00D8645B" w:rsidRDefault="00D8645B" w:rsidP="00D8645B">
      <w:pPr>
        <w:spacing w:line="360" w:lineRule="auto"/>
      </w:pPr>
    </w:p>
    <w:p w14:paraId="4CEF5182" w14:textId="77777777" w:rsidR="00D8645B" w:rsidRPr="00224492" w:rsidRDefault="00D8645B" w:rsidP="00D8645B">
      <w:pPr>
        <w:spacing w:line="360" w:lineRule="auto"/>
        <w:rPr>
          <w:b/>
          <w:sz w:val="28"/>
          <w:szCs w:val="28"/>
        </w:rPr>
      </w:pPr>
      <w:r w:rsidRPr="00224492">
        <w:rPr>
          <w:b/>
          <w:sz w:val="28"/>
          <w:szCs w:val="28"/>
        </w:rPr>
        <w:t>Example – Capital Markets Origination Business</w:t>
      </w:r>
    </w:p>
    <w:p w14:paraId="1416C5BD" w14:textId="77777777" w:rsidR="00D8645B" w:rsidRDefault="00D8645B" w:rsidP="00D8645B">
      <w:pPr>
        <w:spacing w:line="360" w:lineRule="auto"/>
      </w:pPr>
    </w:p>
    <w:p w14:paraId="48ACB183" w14:textId="77777777" w:rsidR="00D8645B" w:rsidRPr="00981775" w:rsidRDefault="00D8645B" w:rsidP="00D8645B">
      <w:pPr>
        <w:spacing w:line="360" w:lineRule="auto"/>
      </w:pPr>
      <w:r>
        <w:t xml:space="preserve">The Capital Markets Origination (CMO) business is often shown in the Core Capabilities response of the Market Risk Chapter, as in the Volcker and the RMC reporting, as belonging to </w:t>
      </w:r>
      <w:r>
        <w:rPr>
          <w:i/>
        </w:rPr>
        <w:t>Markets</w:t>
      </w:r>
      <w:r>
        <w:t xml:space="preserve">. The Enterprise Standard Firm Hierarchy might place the CMO not in </w:t>
      </w:r>
      <w:r w:rsidRPr="00981775">
        <w:rPr>
          <w:i/>
        </w:rPr>
        <w:t>Markets</w:t>
      </w:r>
      <w:r>
        <w:t xml:space="preserve"> but in </w:t>
      </w:r>
      <w:r>
        <w:rPr>
          <w:i/>
        </w:rPr>
        <w:t>Total Banking</w:t>
      </w:r>
      <w:r>
        <w:t xml:space="preserve"> where it is reported as part of the BHC’s earning releases. Could both of these be correct? In which case, there are two truths, not one.</w:t>
      </w:r>
    </w:p>
    <w:p w14:paraId="2422BDDE" w14:textId="77777777" w:rsidR="00D8645B" w:rsidRPr="00FE421E" w:rsidRDefault="00D8645B" w:rsidP="00D8645B"/>
    <w:p w14:paraId="425C6A3A" w14:textId="77777777" w:rsidR="005C2228" w:rsidRDefault="005C2228">
      <w:pPr>
        <w:spacing w:after="200" w:line="276" w:lineRule="auto"/>
        <w:rPr>
          <w:rStyle w:val="Hyperlink"/>
          <w:color w:val="auto"/>
          <w:u w:val="none"/>
        </w:rPr>
      </w:pPr>
    </w:p>
    <w:sectPr w:rsidR="005C2228">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EB579" w14:textId="77777777" w:rsidR="0060309E" w:rsidRDefault="0060309E" w:rsidP="008F462D">
      <w:r>
        <w:separator/>
      </w:r>
    </w:p>
  </w:endnote>
  <w:endnote w:type="continuationSeparator" w:id="0">
    <w:p w14:paraId="0DD65177" w14:textId="77777777" w:rsidR="0060309E" w:rsidRDefault="0060309E"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B6F2C" w14:textId="77777777" w:rsidR="0060309E" w:rsidRDefault="0060309E" w:rsidP="008F462D">
      <w:r>
        <w:separator/>
      </w:r>
    </w:p>
  </w:footnote>
  <w:footnote w:type="continuationSeparator" w:id="0">
    <w:p w14:paraId="4BCCB3E6" w14:textId="77777777" w:rsidR="0060309E" w:rsidRDefault="0060309E"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B58"/>
    <w:multiLevelType w:val="hybridMultilevel"/>
    <w:tmpl w:val="512ECF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824CA1"/>
    <w:multiLevelType w:val="hybridMultilevel"/>
    <w:tmpl w:val="E53A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3C3064"/>
    <w:multiLevelType w:val="hybridMultilevel"/>
    <w:tmpl w:val="6F1606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53A4"/>
    <w:multiLevelType w:val="hybridMultilevel"/>
    <w:tmpl w:val="163C64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21C60"/>
    <w:multiLevelType w:val="hybridMultilevel"/>
    <w:tmpl w:val="ADA06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777FA4"/>
    <w:multiLevelType w:val="hybridMultilevel"/>
    <w:tmpl w:val="191C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790F"/>
    <w:multiLevelType w:val="hybridMultilevel"/>
    <w:tmpl w:val="13644D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4F58C7"/>
    <w:multiLevelType w:val="hybridMultilevel"/>
    <w:tmpl w:val="1A766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EC6010"/>
    <w:multiLevelType w:val="hybridMultilevel"/>
    <w:tmpl w:val="0D222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EF59C9"/>
    <w:multiLevelType w:val="hybridMultilevel"/>
    <w:tmpl w:val="6BC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866079"/>
    <w:multiLevelType w:val="hybridMultilevel"/>
    <w:tmpl w:val="8E90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06F98"/>
    <w:multiLevelType w:val="hybridMultilevel"/>
    <w:tmpl w:val="C256E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3C20E5"/>
    <w:multiLevelType w:val="hybridMultilevel"/>
    <w:tmpl w:val="37B482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902A65"/>
    <w:multiLevelType w:val="hybridMultilevel"/>
    <w:tmpl w:val="1A78D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97368"/>
    <w:multiLevelType w:val="hybridMultilevel"/>
    <w:tmpl w:val="7ABCFC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A97E0C"/>
    <w:multiLevelType w:val="hybridMultilevel"/>
    <w:tmpl w:val="C4B84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1D53F1"/>
    <w:multiLevelType w:val="hybridMultilevel"/>
    <w:tmpl w:val="34761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B44CA8"/>
    <w:multiLevelType w:val="hybridMultilevel"/>
    <w:tmpl w:val="4224D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5213B"/>
    <w:multiLevelType w:val="hybridMultilevel"/>
    <w:tmpl w:val="E1C25E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9C7E77"/>
    <w:multiLevelType w:val="hybridMultilevel"/>
    <w:tmpl w:val="E5FA2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3610E6"/>
    <w:multiLevelType w:val="hybridMultilevel"/>
    <w:tmpl w:val="DF1486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9F200C"/>
    <w:multiLevelType w:val="hybridMultilevel"/>
    <w:tmpl w:val="26726D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CA1045"/>
    <w:multiLevelType w:val="hybridMultilevel"/>
    <w:tmpl w:val="A2CCF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999020F"/>
    <w:multiLevelType w:val="hybridMultilevel"/>
    <w:tmpl w:val="4AD2F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A886C49"/>
    <w:multiLevelType w:val="hybridMultilevel"/>
    <w:tmpl w:val="FC6A1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C531B84"/>
    <w:multiLevelType w:val="hybridMultilevel"/>
    <w:tmpl w:val="7728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CE46CB4"/>
    <w:multiLevelType w:val="hybridMultilevel"/>
    <w:tmpl w:val="FDB0E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4E50D0"/>
    <w:multiLevelType w:val="hybridMultilevel"/>
    <w:tmpl w:val="7764D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E744925"/>
    <w:multiLevelType w:val="hybridMultilevel"/>
    <w:tmpl w:val="9C505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F67DE7"/>
    <w:multiLevelType w:val="hybridMultilevel"/>
    <w:tmpl w:val="ACC6C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13D3922"/>
    <w:multiLevelType w:val="hybridMultilevel"/>
    <w:tmpl w:val="F508DB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813073"/>
    <w:multiLevelType w:val="hybridMultilevel"/>
    <w:tmpl w:val="EC60B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4513318"/>
    <w:multiLevelType w:val="hybridMultilevel"/>
    <w:tmpl w:val="DDFE02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49D2AB4"/>
    <w:multiLevelType w:val="hybridMultilevel"/>
    <w:tmpl w:val="E38E60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4F67CDB"/>
    <w:multiLevelType w:val="hybridMultilevel"/>
    <w:tmpl w:val="544E8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3F7CAC"/>
    <w:multiLevelType w:val="hybridMultilevel"/>
    <w:tmpl w:val="351A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8BB2DFB"/>
    <w:multiLevelType w:val="hybridMultilevel"/>
    <w:tmpl w:val="74BCF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1744EB8"/>
    <w:multiLevelType w:val="hybridMultilevel"/>
    <w:tmpl w:val="5262D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3D91B11"/>
    <w:multiLevelType w:val="hybridMultilevel"/>
    <w:tmpl w:val="08CE1F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3FF4A46"/>
    <w:multiLevelType w:val="hybridMultilevel"/>
    <w:tmpl w:val="22A8CE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56E4AC9"/>
    <w:multiLevelType w:val="hybridMultilevel"/>
    <w:tmpl w:val="A342B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6614D6E"/>
    <w:multiLevelType w:val="hybridMultilevel"/>
    <w:tmpl w:val="693CA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8AA57CD"/>
    <w:multiLevelType w:val="hybridMultilevel"/>
    <w:tmpl w:val="251648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C7E4E06"/>
    <w:multiLevelType w:val="hybridMultilevel"/>
    <w:tmpl w:val="2864C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DA32AA5"/>
    <w:multiLevelType w:val="hybridMultilevel"/>
    <w:tmpl w:val="863C48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F86184E"/>
    <w:multiLevelType w:val="hybridMultilevel"/>
    <w:tmpl w:val="53E84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18E0BA9"/>
    <w:multiLevelType w:val="hybridMultilevel"/>
    <w:tmpl w:val="F9E21A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39C4A29"/>
    <w:multiLevelType w:val="hybridMultilevel"/>
    <w:tmpl w:val="BBF8C3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3D729F2"/>
    <w:multiLevelType w:val="hybridMultilevel"/>
    <w:tmpl w:val="FE384B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5B12085"/>
    <w:multiLevelType w:val="hybridMultilevel"/>
    <w:tmpl w:val="9454D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6622D74"/>
    <w:multiLevelType w:val="hybridMultilevel"/>
    <w:tmpl w:val="0AF6EF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6B64FA0"/>
    <w:multiLevelType w:val="hybridMultilevel"/>
    <w:tmpl w:val="04B4D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A220EBA"/>
    <w:multiLevelType w:val="hybridMultilevel"/>
    <w:tmpl w:val="2DD47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A357C46"/>
    <w:multiLevelType w:val="hybridMultilevel"/>
    <w:tmpl w:val="A7502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D4B4EB1"/>
    <w:multiLevelType w:val="hybridMultilevel"/>
    <w:tmpl w:val="5C3851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DA9665C"/>
    <w:multiLevelType w:val="hybridMultilevel"/>
    <w:tmpl w:val="434044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F2600F5"/>
    <w:multiLevelType w:val="hybridMultilevel"/>
    <w:tmpl w:val="D2468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F6B5CFB"/>
    <w:multiLevelType w:val="hybridMultilevel"/>
    <w:tmpl w:val="B9CAFE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0072BE0"/>
    <w:multiLevelType w:val="hybridMultilevel"/>
    <w:tmpl w:val="E4AC18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0E56E27"/>
    <w:multiLevelType w:val="hybridMultilevel"/>
    <w:tmpl w:val="251E7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4F31549"/>
    <w:multiLevelType w:val="hybridMultilevel"/>
    <w:tmpl w:val="9CFE6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A1441AA"/>
    <w:multiLevelType w:val="hybridMultilevel"/>
    <w:tmpl w:val="A4920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A6D1B81"/>
    <w:multiLevelType w:val="hybridMultilevel"/>
    <w:tmpl w:val="B0B824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BF73797"/>
    <w:multiLevelType w:val="hybridMultilevel"/>
    <w:tmpl w:val="B6E85C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D75007B"/>
    <w:multiLevelType w:val="hybridMultilevel"/>
    <w:tmpl w:val="5A063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D994B96"/>
    <w:multiLevelType w:val="hybridMultilevel"/>
    <w:tmpl w:val="0A5EF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3B463A"/>
    <w:multiLevelType w:val="hybridMultilevel"/>
    <w:tmpl w:val="B72A6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2240CE4"/>
    <w:multiLevelType w:val="hybridMultilevel"/>
    <w:tmpl w:val="7B62C3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29F143B"/>
    <w:multiLevelType w:val="hybridMultilevel"/>
    <w:tmpl w:val="BA8CF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5DC46D3"/>
    <w:multiLevelType w:val="hybridMultilevel"/>
    <w:tmpl w:val="7D4EBE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856479A"/>
    <w:multiLevelType w:val="hybridMultilevel"/>
    <w:tmpl w:val="40BCC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95E4BFC"/>
    <w:multiLevelType w:val="hybridMultilevel"/>
    <w:tmpl w:val="AB206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AE27CE0"/>
    <w:multiLevelType w:val="hybridMultilevel"/>
    <w:tmpl w:val="D6866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C2315E0"/>
    <w:multiLevelType w:val="hybridMultilevel"/>
    <w:tmpl w:val="BA2A7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C604D5E"/>
    <w:multiLevelType w:val="hybridMultilevel"/>
    <w:tmpl w:val="85CA14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D4358F1"/>
    <w:multiLevelType w:val="hybridMultilevel"/>
    <w:tmpl w:val="D9FE6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FF93C8C"/>
    <w:multiLevelType w:val="hybridMultilevel"/>
    <w:tmpl w:val="FB9E6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1"/>
  </w:num>
  <w:num w:numId="4">
    <w:abstractNumId w:val="37"/>
  </w:num>
  <w:num w:numId="5">
    <w:abstractNumId w:val="11"/>
  </w:num>
  <w:num w:numId="6">
    <w:abstractNumId w:val="53"/>
  </w:num>
  <w:num w:numId="7">
    <w:abstractNumId w:val="17"/>
  </w:num>
  <w:num w:numId="8">
    <w:abstractNumId w:val="71"/>
  </w:num>
  <w:num w:numId="9">
    <w:abstractNumId w:val="4"/>
  </w:num>
  <w:num w:numId="10">
    <w:abstractNumId w:val="25"/>
  </w:num>
  <w:num w:numId="11">
    <w:abstractNumId w:val="35"/>
  </w:num>
  <w:num w:numId="12">
    <w:abstractNumId w:val="0"/>
  </w:num>
  <w:num w:numId="13">
    <w:abstractNumId w:val="13"/>
  </w:num>
  <w:num w:numId="14">
    <w:abstractNumId w:val="27"/>
  </w:num>
  <w:num w:numId="15">
    <w:abstractNumId w:val="60"/>
  </w:num>
  <w:num w:numId="16">
    <w:abstractNumId w:val="74"/>
  </w:num>
  <w:num w:numId="17">
    <w:abstractNumId w:val="40"/>
  </w:num>
  <w:num w:numId="18">
    <w:abstractNumId w:val="51"/>
  </w:num>
  <w:num w:numId="19">
    <w:abstractNumId w:val="16"/>
  </w:num>
  <w:num w:numId="20">
    <w:abstractNumId w:val="58"/>
  </w:num>
  <w:num w:numId="21">
    <w:abstractNumId w:val="41"/>
  </w:num>
  <w:num w:numId="22">
    <w:abstractNumId w:val="61"/>
  </w:num>
  <w:num w:numId="23">
    <w:abstractNumId w:val="18"/>
  </w:num>
  <w:num w:numId="24">
    <w:abstractNumId w:val="2"/>
  </w:num>
  <w:num w:numId="25">
    <w:abstractNumId w:val="9"/>
  </w:num>
  <w:num w:numId="26">
    <w:abstractNumId w:val="5"/>
  </w:num>
  <w:num w:numId="27">
    <w:abstractNumId w:val="64"/>
  </w:num>
  <w:num w:numId="28">
    <w:abstractNumId w:val="75"/>
  </w:num>
  <w:num w:numId="29">
    <w:abstractNumId w:val="52"/>
  </w:num>
  <w:num w:numId="30">
    <w:abstractNumId w:val="44"/>
  </w:num>
  <w:num w:numId="31">
    <w:abstractNumId w:val="21"/>
  </w:num>
  <w:num w:numId="32">
    <w:abstractNumId w:val="46"/>
  </w:num>
  <w:num w:numId="33">
    <w:abstractNumId w:val="33"/>
  </w:num>
  <w:num w:numId="34">
    <w:abstractNumId w:val="69"/>
  </w:num>
  <w:num w:numId="35">
    <w:abstractNumId w:val="68"/>
  </w:num>
  <w:num w:numId="36">
    <w:abstractNumId w:val="19"/>
  </w:num>
  <w:num w:numId="37">
    <w:abstractNumId w:val="47"/>
  </w:num>
  <w:num w:numId="38">
    <w:abstractNumId w:val="29"/>
  </w:num>
  <w:num w:numId="39">
    <w:abstractNumId w:val="36"/>
  </w:num>
  <w:num w:numId="40">
    <w:abstractNumId w:val="49"/>
  </w:num>
  <w:num w:numId="41">
    <w:abstractNumId w:val="15"/>
  </w:num>
  <w:num w:numId="42">
    <w:abstractNumId w:val="59"/>
  </w:num>
  <w:num w:numId="43">
    <w:abstractNumId w:val="65"/>
  </w:num>
  <w:num w:numId="44">
    <w:abstractNumId w:val="45"/>
  </w:num>
  <w:num w:numId="45">
    <w:abstractNumId w:val="63"/>
  </w:num>
  <w:num w:numId="46">
    <w:abstractNumId w:val="43"/>
  </w:num>
  <w:num w:numId="47">
    <w:abstractNumId w:val="42"/>
  </w:num>
  <w:num w:numId="48">
    <w:abstractNumId w:val="72"/>
  </w:num>
  <w:num w:numId="49">
    <w:abstractNumId w:val="10"/>
  </w:num>
  <w:num w:numId="50">
    <w:abstractNumId w:val="34"/>
  </w:num>
  <w:num w:numId="51">
    <w:abstractNumId w:val="22"/>
  </w:num>
  <w:num w:numId="52">
    <w:abstractNumId w:val="3"/>
  </w:num>
  <w:num w:numId="53">
    <w:abstractNumId w:val="50"/>
  </w:num>
  <w:num w:numId="54">
    <w:abstractNumId w:val="70"/>
  </w:num>
  <w:num w:numId="55">
    <w:abstractNumId w:val="66"/>
  </w:num>
  <w:num w:numId="56">
    <w:abstractNumId w:val="12"/>
  </w:num>
  <w:num w:numId="57">
    <w:abstractNumId w:val="57"/>
  </w:num>
  <w:num w:numId="58">
    <w:abstractNumId w:val="26"/>
  </w:num>
  <w:num w:numId="59">
    <w:abstractNumId w:val="39"/>
  </w:num>
  <w:num w:numId="60">
    <w:abstractNumId w:val="30"/>
  </w:num>
  <w:num w:numId="61">
    <w:abstractNumId w:val="23"/>
  </w:num>
  <w:num w:numId="62">
    <w:abstractNumId w:val="62"/>
  </w:num>
  <w:num w:numId="63">
    <w:abstractNumId w:val="48"/>
  </w:num>
  <w:num w:numId="64">
    <w:abstractNumId w:val="20"/>
  </w:num>
  <w:num w:numId="65">
    <w:abstractNumId w:val="73"/>
  </w:num>
  <w:num w:numId="66">
    <w:abstractNumId w:val="28"/>
  </w:num>
  <w:num w:numId="67">
    <w:abstractNumId w:val="54"/>
  </w:num>
  <w:num w:numId="68">
    <w:abstractNumId w:val="31"/>
  </w:num>
  <w:num w:numId="69">
    <w:abstractNumId w:val="32"/>
  </w:num>
  <w:num w:numId="70">
    <w:abstractNumId w:val="56"/>
  </w:num>
  <w:num w:numId="71">
    <w:abstractNumId w:val="38"/>
  </w:num>
  <w:num w:numId="72">
    <w:abstractNumId w:val="14"/>
  </w:num>
  <w:num w:numId="73">
    <w:abstractNumId w:val="55"/>
  </w:num>
  <w:num w:numId="74">
    <w:abstractNumId w:val="67"/>
  </w:num>
  <w:num w:numId="75">
    <w:abstractNumId w:val="6"/>
  </w:num>
  <w:num w:numId="76">
    <w:abstractNumId w:val="76"/>
  </w:num>
  <w:num w:numId="77">
    <w:abstractNumId w:val="2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446A"/>
    <w:rsid w:val="00014F1D"/>
    <w:rsid w:val="00016001"/>
    <w:rsid w:val="00020640"/>
    <w:rsid w:val="00020B11"/>
    <w:rsid w:val="00021291"/>
    <w:rsid w:val="000248F3"/>
    <w:rsid w:val="000256BC"/>
    <w:rsid w:val="000258B5"/>
    <w:rsid w:val="00026046"/>
    <w:rsid w:val="000277DE"/>
    <w:rsid w:val="000321F9"/>
    <w:rsid w:val="00033145"/>
    <w:rsid w:val="00033436"/>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3195"/>
    <w:rsid w:val="000F428A"/>
    <w:rsid w:val="000F6C8E"/>
    <w:rsid w:val="00100D36"/>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336D"/>
    <w:rsid w:val="0013585E"/>
    <w:rsid w:val="00135944"/>
    <w:rsid w:val="001369F0"/>
    <w:rsid w:val="00137AC6"/>
    <w:rsid w:val="00140884"/>
    <w:rsid w:val="001415B7"/>
    <w:rsid w:val="0014272E"/>
    <w:rsid w:val="00142744"/>
    <w:rsid w:val="001454BD"/>
    <w:rsid w:val="001503AA"/>
    <w:rsid w:val="00151220"/>
    <w:rsid w:val="00153307"/>
    <w:rsid w:val="0015343A"/>
    <w:rsid w:val="0015515C"/>
    <w:rsid w:val="00156363"/>
    <w:rsid w:val="0015711B"/>
    <w:rsid w:val="001613BA"/>
    <w:rsid w:val="00161761"/>
    <w:rsid w:val="00161EA3"/>
    <w:rsid w:val="00163625"/>
    <w:rsid w:val="00164868"/>
    <w:rsid w:val="00165270"/>
    <w:rsid w:val="0016646F"/>
    <w:rsid w:val="00166D89"/>
    <w:rsid w:val="00167872"/>
    <w:rsid w:val="00167B52"/>
    <w:rsid w:val="00170607"/>
    <w:rsid w:val="001722D7"/>
    <w:rsid w:val="001727C1"/>
    <w:rsid w:val="001734CF"/>
    <w:rsid w:val="00173B43"/>
    <w:rsid w:val="0017572A"/>
    <w:rsid w:val="0017583E"/>
    <w:rsid w:val="00175893"/>
    <w:rsid w:val="00175B93"/>
    <w:rsid w:val="00176A5A"/>
    <w:rsid w:val="0018084C"/>
    <w:rsid w:val="00180C24"/>
    <w:rsid w:val="00182EC2"/>
    <w:rsid w:val="0018347B"/>
    <w:rsid w:val="001862BC"/>
    <w:rsid w:val="00187608"/>
    <w:rsid w:val="00190ABD"/>
    <w:rsid w:val="001910D5"/>
    <w:rsid w:val="00191C08"/>
    <w:rsid w:val="00192392"/>
    <w:rsid w:val="001941C8"/>
    <w:rsid w:val="00194686"/>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71C1"/>
    <w:rsid w:val="002607E5"/>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F71"/>
    <w:rsid w:val="002C178E"/>
    <w:rsid w:val="002C574A"/>
    <w:rsid w:val="002C64E8"/>
    <w:rsid w:val="002C7FA2"/>
    <w:rsid w:val="002D0A98"/>
    <w:rsid w:val="002D10B9"/>
    <w:rsid w:val="002D1771"/>
    <w:rsid w:val="002D17BF"/>
    <w:rsid w:val="002D3CF4"/>
    <w:rsid w:val="002D4DD0"/>
    <w:rsid w:val="002E1E6F"/>
    <w:rsid w:val="002E43DD"/>
    <w:rsid w:val="002E5B03"/>
    <w:rsid w:val="002E6E28"/>
    <w:rsid w:val="002E6F5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7E59"/>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D1621"/>
    <w:rsid w:val="003D1791"/>
    <w:rsid w:val="003D1D20"/>
    <w:rsid w:val="003D2493"/>
    <w:rsid w:val="003D2E4F"/>
    <w:rsid w:val="003D4A6F"/>
    <w:rsid w:val="003D5E99"/>
    <w:rsid w:val="003D71F9"/>
    <w:rsid w:val="003E08B2"/>
    <w:rsid w:val="003E10A3"/>
    <w:rsid w:val="003E10CD"/>
    <w:rsid w:val="003E19B4"/>
    <w:rsid w:val="003E1BAF"/>
    <w:rsid w:val="003E1F52"/>
    <w:rsid w:val="003E2151"/>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E92"/>
    <w:rsid w:val="004F0A0D"/>
    <w:rsid w:val="004F0F24"/>
    <w:rsid w:val="004F1450"/>
    <w:rsid w:val="004F1D8A"/>
    <w:rsid w:val="004F1F56"/>
    <w:rsid w:val="004F4615"/>
    <w:rsid w:val="004F5384"/>
    <w:rsid w:val="004F543B"/>
    <w:rsid w:val="00501ADD"/>
    <w:rsid w:val="00503BEC"/>
    <w:rsid w:val="005059CE"/>
    <w:rsid w:val="00507F3D"/>
    <w:rsid w:val="00507F6C"/>
    <w:rsid w:val="0051040D"/>
    <w:rsid w:val="0051075D"/>
    <w:rsid w:val="005107B5"/>
    <w:rsid w:val="00511ABF"/>
    <w:rsid w:val="00511FD3"/>
    <w:rsid w:val="0051272B"/>
    <w:rsid w:val="0051475F"/>
    <w:rsid w:val="00514A9C"/>
    <w:rsid w:val="00514DF5"/>
    <w:rsid w:val="00516F4F"/>
    <w:rsid w:val="00517652"/>
    <w:rsid w:val="00523F64"/>
    <w:rsid w:val="00524D8B"/>
    <w:rsid w:val="0052556B"/>
    <w:rsid w:val="0052599C"/>
    <w:rsid w:val="0052618C"/>
    <w:rsid w:val="0053128D"/>
    <w:rsid w:val="00532D93"/>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27C8"/>
    <w:rsid w:val="00593760"/>
    <w:rsid w:val="00594B13"/>
    <w:rsid w:val="00594EFA"/>
    <w:rsid w:val="00595366"/>
    <w:rsid w:val="005A038B"/>
    <w:rsid w:val="005A0C58"/>
    <w:rsid w:val="005A12E7"/>
    <w:rsid w:val="005A1813"/>
    <w:rsid w:val="005A1843"/>
    <w:rsid w:val="005A324B"/>
    <w:rsid w:val="005A4A34"/>
    <w:rsid w:val="005A5542"/>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9E"/>
    <w:rsid w:val="006030A1"/>
    <w:rsid w:val="006043D1"/>
    <w:rsid w:val="0060602D"/>
    <w:rsid w:val="00606173"/>
    <w:rsid w:val="00606910"/>
    <w:rsid w:val="00607753"/>
    <w:rsid w:val="00614312"/>
    <w:rsid w:val="00615266"/>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3763"/>
    <w:rsid w:val="007640E7"/>
    <w:rsid w:val="00764192"/>
    <w:rsid w:val="00766F2E"/>
    <w:rsid w:val="00770A9A"/>
    <w:rsid w:val="007725CB"/>
    <w:rsid w:val="007741E8"/>
    <w:rsid w:val="007769DD"/>
    <w:rsid w:val="00780131"/>
    <w:rsid w:val="00786407"/>
    <w:rsid w:val="00786BE0"/>
    <w:rsid w:val="0078762A"/>
    <w:rsid w:val="0078785F"/>
    <w:rsid w:val="00787E37"/>
    <w:rsid w:val="007910A3"/>
    <w:rsid w:val="0079129B"/>
    <w:rsid w:val="00792306"/>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A81"/>
    <w:rsid w:val="00821B54"/>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8F6"/>
    <w:rsid w:val="00893AB0"/>
    <w:rsid w:val="00893C36"/>
    <w:rsid w:val="008945AC"/>
    <w:rsid w:val="008957F2"/>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2E8"/>
    <w:rsid w:val="0095261B"/>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30FD"/>
    <w:rsid w:val="009D3361"/>
    <w:rsid w:val="009D3E2B"/>
    <w:rsid w:val="009D49F0"/>
    <w:rsid w:val="009D4C38"/>
    <w:rsid w:val="009D7797"/>
    <w:rsid w:val="009D7A96"/>
    <w:rsid w:val="009D7D09"/>
    <w:rsid w:val="009E0EB0"/>
    <w:rsid w:val="009E1F0F"/>
    <w:rsid w:val="009E422D"/>
    <w:rsid w:val="009E5F68"/>
    <w:rsid w:val="009E640E"/>
    <w:rsid w:val="009F11EF"/>
    <w:rsid w:val="009F1304"/>
    <w:rsid w:val="009F3638"/>
    <w:rsid w:val="009F7F9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7282"/>
    <w:rsid w:val="00A90A15"/>
    <w:rsid w:val="00A93A83"/>
    <w:rsid w:val="00A958DE"/>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BC5"/>
    <w:rsid w:val="00AD5FF6"/>
    <w:rsid w:val="00AE0B78"/>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20294"/>
    <w:rsid w:val="00B22458"/>
    <w:rsid w:val="00B23FB5"/>
    <w:rsid w:val="00B243A0"/>
    <w:rsid w:val="00B24EE6"/>
    <w:rsid w:val="00B26D7A"/>
    <w:rsid w:val="00B270D6"/>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12C9"/>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57784"/>
    <w:rsid w:val="00C602C2"/>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81FF6"/>
    <w:rsid w:val="00C83F45"/>
    <w:rsid w:val="00C846D0"/>
    <w:rsid w:val="00C84A93"/>
    <w:rsid w:val="00C84E86"/>
    <w:rsid w:val="00C84EEF"/>
    <w:rsid w:val="00C85314"/>
    <w:rsid w:val="00C854E4"/>
    <w:rsid w:val="00C86049"/>
    <w:rsid w:val="00C860E1"/>
    <w:rsid w:val="00C91088"/>
    <w:rsid w:val="00C91FA4"/>
    <w:rsid w:val="00C92B92"/>
    <w:rsid w:val="00C93280"/>
    <w:rsid w:val="00C947AF"/>
    <w:rsid w:val="00C96934"/>
    <w:rsid w:val="00C97ABC"/>
    <w:rsid w:val="00CA0703"/>
    <w:rsid w:val="00CA12B3"/>
    <w:rsid w:val="00CA2685"/>
    <w:rsid w:val="00CA5F70"/>
    <w:rsid w:val="00CA6A95"/>
    <w:rsid w:val="00CA761C"/>
    <w:rsid w:val="00CB102F"/>
    <w:rsid w:val="00CB178E"/>
    <w:rsid w:val="00CB17FA"/>
    <w:rsid w:val="00CB181F"/>
    <w:rsid w:val="00CB2EC4"/>
    <w:rsid w:val="00CB3425"/>
    <w:rsid w:val="00CB3621"/>
    <w:rsid w:val="00CB6000"/>
    <w:rsid w:val="00CB6EBD"/>
    <w:rsid w:val="00CC2A5B"/>
    <w:rsid w:val="00CC314B"/>
    <w:rsid w:val="00CC454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20B"/>
    <w:rsid w:val="00D81561"/>
    <w:rsid w:val="00D82334"/>
    <w:rsid w:val="00D83552"/>
    <w:rsid w:val="00D83A71"/>
    <w:rsid w:val="00D83A7E"/>
    <w:rsid w:val="00D847E7"/>
    <w:rsid w:val="00D85F42"/>
    <w:rsid w:val="00D862E5"/>
    <w:rsid w:val="00D8645B"/>
    <w:rsid w:val="00D905E7"/>
    <w:rsid w:val="00D908EA"/>
    <w:rsid w:val="00D93532"/>
    <w:rsid w:val="00D943DD"/>
    <w:rsid w:val="00D94404"/>
    <w:rsid w:val="00D9531A"/>
    <w:rsid w:val="00D96BAA"/>
    <w:rsid w:val="00D977BF"/>
    <w:rsid w:val="00D97FEB"/>
    <w:rsid w:val="00DA0D19"/>
    <w:rsid w:val="00DA100D"/>
    <w:rsid w:val="00DA35A3"/>
    <w:rsid w:val="00DA48B2"/>
    <w:rsid w:val="00DA5175"/>
    <w:rsid w:val="00DB17BF"/>
    <w:rsid w:val="00DB3082"/>
    <w:rsid w:val="00DB37ED"/>
    <w:rsid w:val="00DB3D19"/>
    <w:rsid w:val="00DB54D3"/>
    <w:rsid w:val="00DB7DF0"/>
    <w:rsid w:val="00DC000F"/>
    <w:rsid w:val="00DC2627"/>
    <w:rsid w:val="00DC300E"/>
    <w:rsid w:val="00DC349E"/>
    <w:rsid w:val="00DC3B71"/>
    <w:rsid w:val="00DC429D"/>
    <w:rsid w:val="00DD0E46"/>
    <w:rsid w:val="00DD0FFE"/>
    <w:rsid w:val="00DD1F80"/>
    <w:rsid w:val="00DD3D2C"/>
    <w:rsid w:val="00DD59C0"/>
    <w:rsid w:val="00DD634D"/>
    <w:rsid w:val="00DD6499"/>
    <w:rsid w:val="00DD6F29"/>
    <w:rsid w:val="00DD7351"/>
    <w:rsid w:val="00DE10B2"/>
    <w:rsid w:val="00DE33A3"/>
    <w:rsid w:val="00DE35A5"/>
    <w:rsid w:val="00DE3602"/>
    <w:rsid w:val="00DE4C29"/>
    <w:rsid w:val="00DE55EB"/>
    <w:rsid w:val="00DE5E85"/>
    <w:rsid w:val="00DF5D89"/>
    <w:rsid w:val="00DF66FB"/>
    <w:rsid w:val="00DF7DD1"/>
    <w:rsid w:val="00E0176D"/>
    <w:rsid w:val="00E03781"/>
    <w:rsid w:val="00E0582C"/>
    <w:rsid w:val="00E0687A"/>
    <w:rsid w:val="00E07CDF"/>
    <w:rsid w:val="00E1147C"/>
    <w:rsid w:val="00E11BC1"/>
    <w:rsid w:val="00E144EB"/>
    <w:rsid w:val="00E156A4"/>
    <w:rsid w:val="00E176E4"/>
    <w:rsid w:val="00E20F55"/>
    <w:rsid w:val="00E21DA1"/>
    <w:rsid w:val="00E21FFB"/>
    <w:rsid w:val="00E225D7"/>
    <w:rsid w:val="00E237FE"/>
    <w:rsid w:val="00E242C7"/>
    <w:rsid w:val="00E257EB"/>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3BAB"/>
    <w:rsid w:val="00EC3D8C"/>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42EE"/>
    <w:rsid w:val="00F35FE4"/>
    <w:rsid w:val="00F3749C"/>
    <w:rsid w:val="00F41805"/>
    <w:rsid w:val="00F41861"/>
    <w:rsid w:val="00F419BD"/>
    <w:rsid w:val="00F45145"/>
    <w:rsid w:val="00F454D9"/>
    <w:rsid w:val="00F465F9"/>
    <w:rsid w:val="00F51434"/>
    <w:rsid w:val="00F51E54"/>
    <w:rsid w:val="00F522DA"/>
    <w:rsid w:val="00F55C37"/>
    <w:rsid w:val="00F56E77"/>
    <w:rsid w:val="00F572A8"/>
    <w:rsid w:val="00F572D0"/>
    <w:rsid w:val="00F57C91"/>
    <w:rsid w:val="00F57FF4"/>
    <w:rsid w:val="00F616E3"/>
    <w:rsid w:val="00F62A09"/>
    <w:rsid w:val="00F63024"/>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1EB1"/>
    <w:rsid w:val="00F83296"/>
    <w:rsid w:val="00F8343C"/>
    <w:rsid w:val="00F83546"/>
    <w:rsid w:val="00F83992"/>
    <w:rsid w:val="00F84771"/>
    <w:rsid w:val="00F84EF9"/>
    <w:rsid w:val="00F917A6"/>
    <w:rsid w:val="00F928D5"/>
    <w:rsid w:val="00F93A6F"/>
    <w:rsid w:val="00F95A6C"/>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11214061403/http:/www.cml.org.uk/cml/policy/issues/721" TargetMode="External"/><Relationship Id="rId18" Type="http://schemas.openxmlformats.org/officeDocument/2006/relationships/hyperlink" Target="https://www.bis.org/press/p100912.pdf" TargetMode="External"/><Relationship Id="rId26" Type="http://schemas.openxmlformats.org/officeDocument/2006/relationships/hyperlink" Target="https://eba.europa.eu/regulation-and-policy/implementing-basel-iii-europe" TargetMode="External"/><Relationship Id="rId3" Type="http://schemas.openxmlformats.org/officeDocument/2006/relationships/styles" Target="styles.xml"/><Relationship Id="rId21" Type="http://schemas.openxmlformats.org/officeDocument/2006/relationships/hyperlink" Target="https://www.bis.org/press/p100912.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is.org/publ/bcbsca.htm" TargetMode="External"/><Relationship Id="rId17" Type="http://schemas.openxmlformats.org/officeDocument/2006/relationships/hyperlink" Target="https://www.bis.org/publ/bcbs128b.pdf" TargetMode="External"/><Relationship Id="rId25" Type="http://schemas.openxmlformats.org/officeDocument/2006/relationships/hyperlink" Target="https://financialservices.house.gov/uploadedfiles/061611scott.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Basel_II" TargetMode="External"/><Relationship Id="rId20" Type="http://schemas.openxmlformats.org/officeDocument/2006/relationships/hyperlink" Target="https://www.bis.org/press/p100912.pdf" TargetMode="External"/><Relationship Id="rId29" Type="http://schemas.openxmlformats.org/officeDocument/2006/relationships/hyperlink" Target="https://web.archive.org/web/20131102074614/http:/www.federalreserve.gov/FR_notice_lcr_201310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s.org/publ/bcbs148.pdf?noframes=1" TargetMode="External"/><Relationship Id="rId24" Type="http://schemas.openxmlformats.org/officeDocument/2006/relationships/hyperlink" Target="https://www.centralbanking.com/central-banking/news/2280726/fed-and-fdic-agree-6-leverage-ratio-for-us-sifi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occ.gov/news-issuances/news-releases/2007/nr-occ-2007-123.html" TargetMode="External"/><Relationship Id="rId23" Type="http://schemas.openxmlformats.org/officeDocument/2006/relationships/hyperlink" Target="https://www.bis.org/publ/bcbs270.pdf" TargetMode="External"/><Relationship Id="rId28" Type="http://schemas.openxmlformats.org/officeDocument/2006/relationships/hyperlink" Target="https://www.federalreserve.gov/newsevents/pressreleases/bcreg20111220a.htm" TargetMode="External"/><Relationship Id="rId10" Type="http://schemas.openxmlformats.org/officeDocument/2006/relationships/hyperlink" Target="https://www.bis.org/publ/bcbs128.pdf" TargetMode="External"/><Relationship Id="rId19" Type="http://schemas.openxmlformats.org/officeDocument/2006/relationships/hyperlink" Target="https://www.bis.org/publ/bcbs164.pdf" TargetMode="External"/><Relationship Id="rId31" Type="http://schemas.openxmlformats.org/officeDocument/2006/relationships/hyperlink" Target="https://www.bis.org/publ/cgfs24.htm" TargetMode="External"/><Relationship Id="rId4" Type="http://schemas.openxmlformats.org/officeDocument/2006/relationships/settings" Target="settings.xml"/><Relationship Id="rId9" Type="http://schemas.openxmlformats.org/officeDocument/2006/relationships/hyperlink" Target="https://www.bis.org/publ/bcbs118.pdf" TargetMode="External"/><Relationship Id="rId14" Type="http://schemas.openxmlformats.org/officeDocument/2006/relationships/hyperlink" Target="https://www.federalreserve.gov/boarddocs/press/bcreg/2005/20050930/default.htm" TargetMode="External"/><Relationship Id="rId22" Type="http://schemas.openxmlformats.org/officeDocument/2006/relationships/hyperlink" Target="https://www.bis.org/bcbs/basel3/basel3_phase_in_arrangements.pdf" TargetMode="External"/><Relationship Id="rId27" Type="http://schemas.openxmlformats.org/officeDocument/2006/relationships/hyperlink" Target="http://europa.eu/rapid/press-release_MEMO-14-579_en.htm" TargetMode="External"/><Relationship Id="rId30" Type="http://schemas.openxmlformats.org/officeDocument/2006/relationships/hyperlink" Target="https://en.wikipedia.org/wiki/Basel_III"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A2A25-B0AE-4597-AED4-30D013468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107</Pages>
  <Words>21707</Words>
  <Characters>123731</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145148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lakshmiDRIP;DROP</dc:creator>
  <cp:keywords>Capital Analytics</cp:keywords>
  <cp:lastModifiedBy>Lakshmi Krishnamurthy</cp:lastModifiedBy>
  <cp:revision>10</cp:revision>
  <cp:lastPrinted>2019-01-01T20:07:00Z</cp:lastPrinted>
  <dcterms:created xsi:type="dcterms:W3CDTF">2019-12-29T11:37:00Z</dcterms:created>
  <dcterms:modified xsi:type="dcterms:W3CDTF">2019-12-29T11:54:00Z</dcterms:modified>
</cp:coreProperties>
</file>