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41021">
        <w:rPr>
          <w:b/>
          <w:bCs/>
        </w:rPr>
        <w:t>9</w:t>
      </w:r>
      <w:r w:rsidR="004B4B80">
        <w:rPr>
          <w:b/>
          <w:bCs/>
        </w:rPr>
        <w:t>5</w:t>
      </w:r>
      <w:r>
        <w:t xml:space="preserve">, </w:t>
      </w:r>
      <w:r w:rsidR="00F33858">
        <w:t>2</w:t>
      </w:r>
      <w:r w:rsidR="004B4B80">
        <w:t>7</w:t>
      </w:r>
      <w:r>
        <w:t xml:space="preserve"> </w:t>
      </w:r>
      <w:r w:rsidR="00183F2E">
        <w:t>April</w:t>
      </w:r>
      <w:r w:rsidR="00766AB6">
        <w:t xml:space="preserve">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FD028E"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FD028E"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FD028E"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FD028E"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FD028E"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FD028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FD028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FD028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FD028E"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FD028E"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FD028E"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FD028E"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FD028E"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FD028E"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FD028E"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FD028E"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FD028E"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FD028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FD028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FD028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FD028E"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FD028E"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FD028E"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FD028E"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4" o:title=""/>
          </v:shape>
          <o:OLEObject Type="Embed" ProgID="Equation.3" ShapeID="_x0000_i1025" DrawAspect="Content" ObjectID="_1523276039"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4" o:title=""/>
          </v:shape>
          <o:OLEObject Type="Embed" ProgID="Equation.3" ShapeID="_x0000_i1026" DrawAspect="Content" ObjectID="_1523276040"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7" o:title=""/>
          </v:shape>
          <o:OLEObject Type="Embed" ProgID="Equation.3" ShapeID="_x0000_i1027" DrawAspect="Content" ObjectID="_1523276041"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69" o:title=""/>
          </v:shape>
          <o:OLEObject Type="Embed" ProgID="Equation.3" ShapeID="_x0000_i1028" DrawAspect="Content" ObjectID="_1523276042" r:id="rId70"/>
        </w:object>
      </w:r>
      <w:r>
        <w:t xml:space="preserve"> presents fundamentally no more of an advantage than a </w:t>
      </w:r>
      <w:r>
        <w:rPr>
          <w:position w:val="-6"/>
        </w:rPr>
        <w:object w:dxaOrig="300" w:dyaOrig="320">
          <v:shape id="_x0000_i1029" type="#_x0000_t75" style="width:14.4pt;height:14.4pt" o:ole="">
            <v:imagedata r:id="rId71" o:title=""/>
          </v:shape>
          <o:OLEObject Type="Embed" ProgID="Equation.3" ShapeID="_x0000_i1029" DrawAspect="Content" ObjectID="_1523276043"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FD028E"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FD028E"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FD028E"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FD028E"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FD028E"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FD028E"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23276044"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FD028E"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23276045"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23276046"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FD028E"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FD028E"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FD028E"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FD028E"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FD028E"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FD028E"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FD028E"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FD028E"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FD028E"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FD028E"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FD028E"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FD028E"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FD028E"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FD028E"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FD028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FD028E"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FD028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FD028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FD028E"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FD028E"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FD028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FD028E"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FD028E"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FD028E"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FD028E"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FD028E"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FD028E"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FD028E"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FD028E"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FD028E"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FD028E"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FD028E"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FD028E"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FD028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FD028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FD028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FD028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FD028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FD028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FD028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FD028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FD028E"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FD028E"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FD028E"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FD028E"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FD028E"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FD028E"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FD028E"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2" o:title=""/>
          </v:shape>
          <o:OLEObject Type="Embed" ProgID="Equation.3" ShapeID="_x0000_i1033" DrawAspect="Content" ObjectID="_1523276047"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FD028E"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FD028E"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FD028E"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FD028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FD028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FD028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FD028E"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FD028E"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FD028E"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FD028E"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FD028E"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FD028E"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FD028E"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FD028E"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FD028E"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FD028E"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FD028E"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FD028E"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FD028E"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FD028E"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FD028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FD028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FD028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FD028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FD028E"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FD028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FD028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FD028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FD028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FD028E"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FD028E"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FD028E"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FD028E"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FD028E"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FD028E"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FD028E"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4pt;height:14.4pt" o:ole="">
            <v:imagedata r:id="rId85" o:title=""/>
          </v:shape>
          <o:OLEObject Type="Embed" ProgID="Equation.3" ShapeID="_x0000_i1034" DrawAspect="Content" ObjectID="_1523276048"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FD028E"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FD028E"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FD028E"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FD028E"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FD028E"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FD028E"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FD028E"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FD028E"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FD028E"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FD028E"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FD028E"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FD028E"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FD028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FD028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FD028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FD028E"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FD028E"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FD028E"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FD028E"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FD028E"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FD028E"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FD028E"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FD028E"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FD028E"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FD028E"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FD028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FD028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FD028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FD028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FD028E"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FD028E"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FD028E"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FD028E"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FD028E"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FD028E"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FD028E"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FD028E"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FD028E"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FD028E"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FD028E"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FD028E"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FD028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FD028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FD028E"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FD028E"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FD028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FD028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FD028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FD028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FD028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FD028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FD028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FD028E"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FD028E"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FD028E"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FD028E"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FD028E"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FD028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FD028E"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FD028E"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FD028E"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FD028E"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FD028E"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FD028E"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FD028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FD028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FD028E"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FD028E"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FD028E"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FD028E"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FD028E"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FD028E"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FD028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FD028E"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FD028E"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FD028E"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FD028E"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FD028E"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FD028E"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FD028E"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FD028E"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FD028E"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FD028E"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FD028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FD028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FD028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FD028E"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FD028E"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FD028E"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FD028E"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FD028E"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FD028E"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FD028E"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FD028E"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FD028E"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FD028E"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FD028E"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FD028E"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FD028E"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FD028E"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FD028E"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FD028E"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FD028E"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FD028E"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FD028E"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FD028E"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FD028E"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FD028E"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FD028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FD028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FD028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FD028E"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FD028E"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FD028E"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FD028E"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FD028E"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FD028E"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FD028E"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FD028E"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FD028E"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FD028E"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FD028E"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FD028E"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FD028E"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FD028E"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FD028E"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FD028E"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FD028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FD028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FD028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FD028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FD028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FD028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FD028E"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FD028E"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FD028E"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FD028E"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FD028E"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FD028E"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FD028E"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FD028E"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FD028E"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FD028E"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FD028E"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FD028E"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FD028E"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FD028E"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FD028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FD028E"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FD028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FD028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FD028E"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FD028E"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FD028E"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FD028E"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FD028E"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FD028E"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FD028E"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FD028E"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FD028E"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FD028E"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FD028E"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FD028E"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FD028E"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FD028E"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FD028E"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FD028E"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FD028E"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FD028E"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FD028E"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FD028E"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FD028E"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FD028E"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FD028E"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FD028E"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FD028E"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FD028E"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FD028E"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FD028E"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FD028E"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FD028E"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FD028E"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FD028E"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FD028E"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FD028E"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FD028E"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FD028E"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FD028E"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FD028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FD028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FD028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FD028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FD028E"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FD028E"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FD028E"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FD028E"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FD028E"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FD028E"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FD028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FD028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FD028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FD028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FD028E"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FD028E"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FD028E"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FD028E"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FD028E"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FD028E"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FD028E"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FD028E"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FD028E"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FD028E"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FD028E"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FD028E"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FD028E"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FD028E"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FD028E"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FD028E"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FD028E"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FD028E"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FD028E"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FD028E"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FD028E"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FD028E"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FD028E"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FD028E"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FD028E"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FD028E"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FD028E"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FD028E"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FD028E"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FD028E"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FD028E"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4pt;height:14.4pt" o:ole="">
            <v:imagedata r:id="rId108" o:title=""/>
          </v:shape>
          <o:OLEObject Type="Embed" ProgID="Equation.3" ShapeID="_x0000_i1035" DrawAspect="Content" ObjectID="_1523276049"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FD028E"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4pt;height:14.4pt" o:ole="">
            <v:imagedata r:id="rId108" o:title=""/>
          </v:shape>
          <o:OLEObject Type="Embed" ProgID="Equation.3" ShapeID="_x0000_i1036" DrawAspect="Content" ObjectID="_1523276050"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FD028E"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FD028E"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FD028E"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FD028E"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FD028E"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FD028E"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FD028E"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FD028E"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FD028E"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FD028E"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FD028E"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FD028E"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FD028E"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FD028E"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FD028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FD028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FD028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FD028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FD028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FD028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FD028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FD028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FD028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FD028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FD028E"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FD028E"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FD028E"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FD028E"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FD028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FD028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FD028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FD028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FD028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FD028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FD028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FD028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FD028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FD028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FD028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FD028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FD028E"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FD028E"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FD028E"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FD028E"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FD028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D028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D028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D028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FD028E"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FD028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FD028E"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FD028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FD028E"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FD028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FD028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FD028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FD028E"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FD028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FD028E"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FD028E"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FD028E"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FD028E"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FD028E"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FD028E"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FD028E"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FD028E"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FD028E"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FD028E"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FD028E"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FD028E"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FD028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FD028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FD028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FD028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FD028E"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FD028E"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FD028E"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FD028E"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FD028E"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FD028E"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FD028E"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FD028E"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FD028E"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FD028E"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FD028E"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FD028E"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FD028E"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FD028E"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FD028E"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FD028E"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FD028E"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FD028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FD028E"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FD028E"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FD028E"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FD028E"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FD028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FD028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FD028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FD028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FD028E"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FD028E"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FD028E"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FD028E"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FD028E"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FD028E"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FD028E"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FD028E"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FD028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FD028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FD028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FD028E"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FD028E"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FD028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FD028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FD028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FD028E"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FD028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FD028E"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FD028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FD028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FD028E"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FD028E"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FD028E"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FD028E"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FD028E"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FD028E"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FD028E"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FD028E"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FD028E"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FD028E"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FD028E"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FD028E"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FD028E"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FD028E"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FD028E"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FD028E"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FD028E"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FD028E"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FD028E"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FD028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FD028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FD028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FD028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FD028E"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FD028E"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FD028E"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FD028E"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FD028E"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FD028E"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FD028E"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FD028E"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FD028E"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FD028E"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FD028E"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FD028E"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FD028E"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FD028E"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FD028E"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FD028E"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FD028E"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FD028E"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FD028E"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FD028E"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FD028E"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FD028E"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FD028E"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FD028E"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FD028E"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FD028E"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D028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D028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D028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FD028E"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FD028E"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FD028E"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FD028E"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FD028E"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FD028E"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FD028E"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FD028E"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FD028E"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FD028E"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FD028E"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FD028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FD028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FD028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FD028E"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FD028E"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D028E"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FD028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FD028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FD028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FD028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FD028E"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FD028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FD028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FD028E"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FD028E"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FD028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FD028E"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FD028E"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FD028E"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FD028E"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FD028E"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FD028E"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FD028E"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FD028E"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FD028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FD028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FD028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FD028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FD028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FD028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FD028E"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FD028E"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FD028E"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FD028E"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FD028E"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FD028E"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FD028E"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FD028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FD028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FD028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FD028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FD028E"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FD028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FD028E"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FD028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FD028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FD028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FD028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FD028E"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FD028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FD028E"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FD028E"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FD028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FD028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FD028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FD028E"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FD028E"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FD028E"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FD028E"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FD028E"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FD028E"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FD028E"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FD028E"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FD028E"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FD028E"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FD028E"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FD028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FD028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FD028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FD028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FD028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FD028E"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FD028E"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FD028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FD028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FD028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FD028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FD028E"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FD028E"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FD028E"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FD028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FD028E"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FD028E"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FD028E"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FD028E"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FD028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FD028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FD028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FD028E"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FD028E"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FD028E"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FD028E"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FD028E"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FD028E"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FD028E"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FD028E"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FD028E"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FD028E"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FD028E"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FD028E"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FD028E"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FD028E"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FD028E"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FD028E"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FD028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FD028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FD028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FD028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FD028E"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FD028E"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FD028E"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FD028E"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FD028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FD028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FD028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FD028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FD028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FD028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FD028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FD028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FD028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FD028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FD028E"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FD028E"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FD028E"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FD028E"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FD028E"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FD028E"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FD028E"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FD028E"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FD028E"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FD028E"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FD028E"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FD028E"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FD028E"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FD028E"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FD028E"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FD028E"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FD028E"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FD028E"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FD028E"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FD028E"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FD028E"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FD028E"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FD028E"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FD028E"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FD028E"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FD028E"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FD028E"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FD028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FD028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FD028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FD028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FD028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FD028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FD028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FD028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FD028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FD028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FD028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FD028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FD028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FD028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FD028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FD028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FD028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FD028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FD028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FD028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FD028E"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FD028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FD028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FD028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FD028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FD028E"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FD028E"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FD028E"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FD028E"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FD028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FD028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FD028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FD028E"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FD028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FD028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FD028E"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FD028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FD028E"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FD028E"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FD028E"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FD028E"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FD028E"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FD028E"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FD028E"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FD028E"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FD028E"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FD028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FD028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FD028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FD028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FD028E"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FD028E"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FD028E"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FD028E"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FD028E"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FD028E"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FD028E"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FD028E"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FD028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FD028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FD028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FD028E"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FD028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FD028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FD028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FD028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FD028E"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FD028E"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FD028E"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FD028E"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FD028E"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FD028E"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FD028E"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FD028E"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FD028E"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FD028E"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FD028E"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FD028E"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FD028E"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FD028E"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FD028E"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FD028E"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FD028E"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FD028E"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FD028E"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FD028E"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FD028E"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FD028E"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FD028E"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FD028E"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FD028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FD028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FD028E"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FD028E"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FD028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FD028E"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FD028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FD028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FD028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FD028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FD028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FD028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FD028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FD028E"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FD028E"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FD028E"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FD028E"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FD028E"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FD028E"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FD028E"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FD028E"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FD028E"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FD028E"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FD028E"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FD028E"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FD028E"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FD028E"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FD028E"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FD028E"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FD028E"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FD028E"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FD028E"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FD028E"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FD028E"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FD028E"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FD028E"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FD028E"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FD028E"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FD028E"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FD028E"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FD028E"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FD028E"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FD028E"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FD028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FD028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FD028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FD028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FD028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FD028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FD028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FD028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FD028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FD028E"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FD028E"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FD028E"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FD028E"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FD028E"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FD028E"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FD028E"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FD028E"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FD028E"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FD028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FD028E"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FD028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FD028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FD028E"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FD028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FD028E"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FD028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FD028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FD028E"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FD028E"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FD028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FD028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FD028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FD028E"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FD028E"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FD028E"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FD028E"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FD028E"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FD028E"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FD028E"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FD028E"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FD028E"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FD028E"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FD028E"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FD028E"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FD028E"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FD028E"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FD028E"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FD028E"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FD028E"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FD028E"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FD028E"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FD028E"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FD028E"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FD028E"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FD028E"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FD028E"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FD028E"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FD028E"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FD028E"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FD028E"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FD028E"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FD028E"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FD028E"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FD028E"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FD028E"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FD028E"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FD028E"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FD028E"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FD028E"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FD028E"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FD028E"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FD028E"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FD028E"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FD028E"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FD028E"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FD028E"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FD028E"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FD028E"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FD028E"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FD028E"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FD028E"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FD028E"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FD028E"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FD028E"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FD028E"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FD028E"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FD028E"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FD028E"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FD028E"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FD028E"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FD028E"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FD028E"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FD028E"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FD028E"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FD028E"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FD028E"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FD028E"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FD028E"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FD028E"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FD028E"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FD028E"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FD028E"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FD028E"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FD028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FD028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FD028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FD028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FD028E"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FD028E"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FD028E"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FD028E"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FD028E"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FD028E"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FD028E"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FD028E"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FD028E"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FD028E"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FD028E"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FD028E"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FD028E"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FD028E"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FD028E"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FD028E"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FD028E"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FD028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FD028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FD028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FD028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FD028E"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FD028E"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FD028E"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FD028E"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FD028E"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FD028E"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FD028E"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FD028E"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FD028E"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FD028E"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FD028E"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FD028E"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FD028E"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FD028E"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FD028E"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FD028E"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FD028E"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FD028E"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FD028E"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FD028E"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FD028E"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FD028E"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FD028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FD028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FD028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FD028E"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FD028E"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FD028E"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FD028E"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FD028E"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FD028E"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FD028E"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FD028E"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FD028E"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FD028E"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FD028E"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FD028E"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FD028E"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FD028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FD028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FD028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FD028E"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FD028E"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FD028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FD028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FD028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FD028E"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FD028E"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FD028E"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FD028E"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FD028E"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FD028E"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FD028E"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FD028E"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FD028E"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FD028E"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FD028E"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FD028E"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FD028E"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FD028E"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932"/>
        <w:gridCol w:w="3269"/>
        <w:gridCol w:w="3149"/>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572"/>
        <w:gridCol w:w="3216"/>
        <w:gridCol w:w="3562"/>
      </w:tblGrid>
      <w:tr w:rsidR="00C368FF" w:rsidTr="00446FBA">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269"/>
        <w:gridCol w:w="287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202"/>
        <w:gridCol w:w="2999"/>
        <w:gridCol w:w="314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t>Total_open_credit_lines</w:t>
            </w:r>
          </w:p>
          <w:p w:rsidR="00C368FF" w:rsidRDefault="00C368FF" w:rsidP="00FF0F2D">
            <w:pPr>
              <w:pStyle w:val="ListParagraph"/>
              <w:numPr>
                <w:ilvl w:val="0"/>
                <w:numId w:val="445"/>
              </w:numPr>
              <w:spacing w:after="160" w:line="360" w:lineRule="auto"/>
            </w:pPr>
            <w:r>
              <w:t>Cohort_2014</w:t>
            </w:r>
          </w:p>
          <w:p w:rsidR="00C368FF" w:rsidRDefault="00C368FF" w:rsidP="00FF0F2D">
            <w:pPr>
              <w:pStyle w:val="ListParagraph"/>
              <w:numPr>
                <w:ilvl w:val="0"/>
                <w:numId w:val="445"/>
              </w:numPr>
              <w:spacing w:after="160" w:line="360" w:lineRule="auto"/>
            </w:pPr>
            <w:r>
              <w:lastRenderedPageBreak/>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58"/>
        <w:gridCol w:w="3036"/>
        <w:gridCol w:w="3256"/>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059"/>
        <w:gridCol w:w="3202"/>
        <w:gridCol w:w="3089"/>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5B05A3" w:rsidRDefault="005B05A3" w:rsidP="005B05A3">
      <w:pPr>
        <w:spacing w:line="360" w:lineRule="auto"/>
      </w:pPr>
    </w:p>
    <w:p w:rsidR="005B05A3" w:rsidRPr="00B4359B" w:rsidRDefault="005B05A3" w:rsidP="005B05A3">
      <w:pPr>
        <w:spacing w:line="360" w:lineRule="auto"/>
        <w:rPr>
          <w:b/>
          <w:sz w:val="28"/>
          <w:szCs w:val="28"/>
        </w:rPr>
      </w:pPr>
      <w:r w:rsidRPr="00B4359B">
        <w:rPr>
          <w:b/>
          <w:sz w:val="28"/>
          <w:szCs w:val="28"/>
        </w:rPr>
        <w:t>Empirical Analysis of Seasoning Effects</w:t>
      </w:r>
    </w:p>
    <w:p w:rsidR="005B05A3" w:rsidRDefault="005B05A3" w:rsidP="005B05A3">
      <w:pPr>
        <w:spacing w:line="360" w:lineRule="auto"/>
      </w:pPr>
    </w:p>
    <w:p w:rsidR="005B05A3" w:rsidRDefault="005B05A3" w:rsidP="005B05A3">
      <w:pPr>
        <w:pStyle w:val="ListParagraph"/>
        <w:numPr>
          <w:ilvl w:val="0"/>
          <w:numId w:val="465"/>
        </w:numPr>
        <w:spacing w:line="360" w:lineRule="auto"/>
      </w:pPr>
      <w:r w:rsidRPr="00B4359B">
        <w:rPr>
          <w:u w:val="single"/>
        </w:rPr>
        <w:t>Default and Prepay over Time</w:t>
      </w:r>
      <w:r>
        <w:t>: Perhaps one of the most important predictors of a loan’s prepayment and default rate is just the passage of time. The empirical exhibits of the conditional prepayment C-P probabilities over age (months on balance) by PeerIQ (2015) illustrate that monthly prepayment probabilities generally increase with loan seasoning.</w:t>
      </w:r>
    </w:p>
    <w:p w:rsidR="005B05A3" w:rsidRDefault="005B05A3" w:rsidP="005B05A3">
      <w:pPr>
        <w:pStyle w:val="ListParagraph"/>
        <w:numPr>
          <w:ilvl w:val="0"/>
          <w:numId w:val="465"/>
        </w:numPr>
        <w:spacing w:line="360" w:lineRule="auto"/>
      </w:pPr>
      <w:r w:rsidRPr="00B4359B">
        <w:rPr>
          <w:u w:val="single"/>
        </w:rPr>
        <w:t>Time Impact on the Delinquency</w:t>
      </w:r>
      <w:r>
        <w:t>: Conversely, monthly rolls to delinquency (and ultimately to default) generally fall as a loan seasons. Conditional on the fact that a loan has not defaulted to a certain point in time, it is more generally likely to prepay and not default in the future.</w:t>
      </w:r>
    </w:p>
    <w:p w:rsidR="005B05A3" w:rsidRDefault="005B05A3" w:rsidP="005B05A3">
      <w:pPr>
        <w:pStyle w:val="ListParagraph"/>
        <w:numPr>
          <w:ilvl w:val="0"/>
          <w:numId w:val="465"/>
        </w:numPr>
        <w:spacing w:line="360" w:lineRule="auto"/>
      </w:pPr>
      <w:r>
        <w:rPr>
          <w:u w:val="single"/>
        </w:rPr>
        <w:t>Actual vs. Fitted C-P Probabilities</w:t>
      </w:r>
      <w:r w:rsidRPr="00B4359B">
        <w:t>:</w:t>
      </w:r>
      <w:r>
        <w:t xml:space="preserve"> PeerIQ (2015) find that the fitted C-P probabilities correspond quiet well to the actual C-P probabilities indicating that the age splines are quiet explanatory (however less so at later ages where there is some noise due to the thinning of the sample size). Nonetheless the general uptrend of prepayment by loan age is evident in both the actual and the fitted C-P probabilities.</w:t>
      </w:r>
    </w:p>
    <w:p w:rsidR="005B05A3" w:rsidRDefault="005B05A3" w:rsidP="005B05A3">
      <w:pPr>
        <w:pStyle w:val="ListParagraph"/>
        <w:numPr>
          <w:ilvl w:val="0"/>
          <w:numId w:val="465"/>
        </w:numPr>
        <w:spacing w:line="360" w:lineRule="auto"/>
      </w:pPr>
      <w:r>
        <w:rPr>
          <w:u w:val="single"/>
        </w:rPr>
        <w:t>Hump in the Delinquency Curve</w:t>
      </w:r>
      <w:r w:rsidRPr="0004563B">
        <w:t>:</w:t>
      </w:r>
      <w:r>
        <w:t xml:space="preserve"> Conversely, rolls into delinquency peak early in the life of a loan (within the first 15 months of age), followed by a gradual decline through the life of the loan. The result is particularly true for the 60 month loans which (due to their longer term) season meaningfully towards the back end.</w:t>
      </w:r>
    </w:p>
    <w:p w:rsidR="005B05A3" w:rsidRDefault="005B05A3" w:rsidP="005B05A3">
      <w:pPr>
        <w:spacing w:line="360" w:lineRule="auto"/>
      </w:pPr>
    </w:p>
    <w:p w:rsidR="005B05A3" w:rsidRDefault="005B05A3" w:rsidP="005B05A3">
      <w:pPr>
        <w:spacing w:line="360" w:lineRule="auto"/>
      </w:pPr>
    </w:p>
    <w:p w:rsidR="005B05A3" w:rsidRPr="0004563B" w:rsidRDefault="005B05A3" w:rsidP="005B05A3">
      <w:pPr>
        <w:spacing w:line="360" w:lineRule="auto"/>
        <w:rPr>
          <w:b/>
          <w:sz w:val="28"/>
          <w:szCs w:val="28"/>
        </w:rPr>
      </w:pPr>
      <w:r w:rsidRPr="0004563B">
        <w:rPr>
          <w:b/>
          <w:sz w:val="28"/>
          <w:szCs w:val="28"/>
        </w:rPr>
        <w:t>Analysis of the Vintage/Cohort Effects</w:t>
      </w:r>
    </w:p>
    <w:p w:rsidR="005B05A3" w:rsidRDefault="005B05A3" w:rsidP="005B05A3">
      <w:pPr>
        <w:spacing w:line="360" w:lineRule="auto"/>
      </w:pPr>
    </w:p>
    <w:p w:rsidR="005B05A3" w:rsidRDefault="005B05A3" w:rsidP="005B05A3">
      <w:pPr>
        <w:pStyle w:val="ListParagraph"/>
        <w:numPr>
          <w:ilvl w:val="0"/>
          <w:numId w:val="466"/>
        </w:numPr>
        <w:spacing w:line="360" w:lineRule="auto"/>
      </w:pPr>
      <w:r w:rsidRPr="0004563B">
        <w:rPr>
          <w:u w:val="single"/>
        </w:rPr>
        <w:t>Vintage/Cohort Impact on Loan</w:t>
      </w:r>
      <w:r>
        <w:t>: Vintage and cohort effects are designed to capture the difference in prepayment and default experience of loans identical in all respects except for the fact that they were originated at different times.</w:t>
      </w:r>
    </w:p>
    <w:p w:rsidR="005B05A3" w:rsidRDefault="005B05A3" w:rsidP="005B05A3">
      <w:pPr>
        <w:pStyle w:val="ListParagraph"/>
        <w:numPr>
          <w:ilvl w:val="0"/>
          <w:numId w:val="466"/>
        </w:numPr>
        <w:spacing w:line="360" w:lineRule="auto"/>
      </w:pPr>
      <w:r>
        <w:rPr>
          <w:u w:val="single"/>
        </w:rPr>
        <w:t>Impact on Prepay/Delinquency Rolls</w:t>
      </w:r>
      <w:r w:rsidRPr="0004563B">
        <w:t>:</w:t>
      </w:r>
      <w:r>
        <w:t xml:space="preserve"> While the monotonicity of the prepayment rates are likely due to the seasoning effects described above (for e.g., the relative lower prepayment probability of the younger 2015 vintage loans), the peak in fitted delinquency rolls around </w:t>
      </w:r>
      <w:r>
        <w:lastRenderedPageBreak/>
        <w:t>the 2012 vintage for the 60 month loans and the2013 vintage for the loan 36 month loans is both interesting and consistent with the prepay/default exist in LC data seen before.</w:t>
      </w:r>
    </w:p>
    <w:p w:rsidR="005B05A3" w:rsidRDefault="005B05A3" w:rsidP="005B05A3">
      <w:pPr>
        <w:spacing w:line="360" w:lineRule="auto"/>
      </w:pPr>
    </w:p>
    <w:p w:rsidR="005B05A3" w:rsidRDefault="005B05A3" w:rsidP="005B05A3">
      <w:pPr>
        <w:spacing w:line="360" w:lineRule="auto"/>
      </w:pPr>
    </w:p>
    <w:p w:rsidR="005B05A3" w:rsidRPr="004B04C0" w:rsidRDefault="005B05A3" w:rsidP="005B05A3">
      <w:pPr>
        <w:spacing w:line="360" w:lineRule="auto"/>
        <w:rPr>
          <w:b/>
          <w:sz w:val="28"/>
          <w:szCs w:val="28"/>
        </w:rPr>
      </w:pPr>
      <w:r w:rsidRPr="004B04C0">
        <w:rPr>
          <w:b/>
          <w:sz w:val="28"/>
          <w:szCs w:val="28"/>
        </w:rPr>
        <w:t>Analysis of Empirical Seasonality Effects</w:t>
      </w:r>
    </w:p>
    <w:p w:rsidR="005B05A3" w:rsidRDefault="005B05A3" w:rsidP="005B05A3">
      <w:pPr>
        <w:spacing w:line="360" w:lineRule="auto"/>
      </w:pPr>
    </w:p>
    <w:p w:rsidR="005B05A3" w:rsidRDefault="005B05A3" w:rsidP="005B05A3">
      <w:pPr>
        <w:pStyle w:val="ListParagraph"/>
        <w:numPr>
          <w:ilvl w:val="0"/>
          <w:numId w:val="467"/>
        </w:numPr>
        <w:spacing w:line="360" w:lineRule="auto"/>
      </w:pPr>
      <w:r w:rsidRPr="004B04C0">
        <w:rPr>
          <w:u w:val="single"/>
        </w:rPr>
        <w:t>Usage of Origination DTI Metric</w:t>
      </w:r>
      <w:r>
        <w:t>: Once again the DTI metrics used in the model are at origination. Again, the results are quite intuitive and fit the data well.</w:t>
      </w:r>
    </w:p>
    <w:p w:rsidR="005B05A3" w:rsidRDefault="005B05A3" w:rsidP="005B05A3">
      <w:pPr>
        <w:pStyle w:val="ListParagraph"/>
        <w:numPr>
          <w:ilvl w:val="0"/>
          <w:numId w:val="467"/>
        </w:numPr>
        <w:spacing w:line="360" w:lineRule="auto"/>
      </w:pPr>
      <w:r>
        <w:rPr>
          <w:u w:val="single"/>
        </w:rPr>
        <w:t>DTI Impact on Prepay/Delinquency</w:t>
      </w:r>
      <w:r w:rsidRPr="004B04C0">
        <w:t>:</w:t>
      </w:r>
      <w:r>
        <w:t xml:space="preserve"> Borrowers with higher DTI tend to prepay slower and tend to roll to delinquency at a higher rate, albeit not with the same effect as that observed on prepayment.</w:t>
      </w:r>
    </w:p>
    <w:p w:rsidR="008216B2" w:rsidRDefault="008216B2" w:rsidP="008216B2">
      <w:pPr>
        <w:spacing w:line="360" w:lineRule="auto"/>
      </w:pPr>
    </w:p>
    <w:p w:rsidR="008216B2" w:rsidRDefault="008216B2" w:rsidP="008216B2">
      <w:pPr>
        <w:spacing w:line="360" w:lineRule="auto"/>
      </w:pPr>
    </w:p>
    <w:p w:rsidR="008216B2" w:rsidRPr="003D35EC" w:rsidRDefault="008216B2" w:rsidP="008216B2">
      <w:pPr>
        <w:spacing w:line="360" w:lineRule="auto"/>
        <w:rPr>
          <w:b/>
          <w:sz w:val="28"/>
          <w:szCs w:val="28"/>
        </w:rPr>
      </w:pPr>
      <w:r w:rsidRPr="003D35EC">
        <w:rPr>
          <w:b/>
          <w:sz w:val="28"/>
          <w:szCs w:val="28"/>
        </w:rPr>
        <w:t>CPR And CDR Curve Estimation</w:t>
      </w:r>
    </w:p>
    <w:p w:rsidR="008216B2" w:rsidRDefault="008216B2" w:rsidP="008216B2">
      <w:pPr>
        <w:spacing w:line="360" w:lineRule="auto"/>
      </w:pPr>
    </w:p>
    <w:p w:rsidR="008216B2" w:rsidRDefault="008216B2" w:rsidP="008216B2">
      <w:pPr>
        <w:pStyle w:val="ListParagraph"/>
        <w:numPr>
          <w:ilvl w:val="0"/>
          <w:numId w:val="468"/>
        </w:numPr>
        <w:spacing w:line="360" w:lineRule="auto"/>
      </w:pPr>
      <w:r w:rsidRPr="003D35EC">
        <w:rPr>
          <w:u w:val="single"/>
        </w:rPr>
        <w:t>Definition of CPR and CDR</w:t>
      </w:r>
      <w:r>
        <w:t>: The fit probabilities (and therefore the sparse transition matrices) obtained from the above are used to derive CPR and CDR curves. CPR and CDR curves are defined as</w:t>
      </w:r>
    </w:p>
    <w:p w:rsidR="008216B2" w:rsidRDefault="008216B2" w:rsidP="008216B2">
      <w:pPr>
        <w:pStyle w:val="ListParagraph"/>
        <w:spacing w:line="360" w:lineRule="auto"/>
        <w:ind w:left="360"/>
        <w:rPr>
          <w:u w:val="single"/>
        </w:rPr>
      </w:pPr>
    </w:p>
    <w:p w:rsidR="008216B2" w:rsidRPr="003D35EC" w:rsidRDefault="008216B2" w:rsidP="008216B2">
      <w:pPr>
        <w:pStyle w:val="ListParagraph"/>
        <w:spacing w:line="360" w:lineRule="auto"/>
        <w:ind w:left="360"/>
      </w:pPr>
      <m:oMathPara>
        <m:oMath>
          <m:r>
            <w:rPr>
              <w:rFonts w:ascii="Cambria Math" w:hAnsi="Cambria Math"/>
            </w:rPr>
            <m:t>CDR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Default</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w:r>
        <w:t>and</w:t>
      </w:r>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m:oMathPara>
        <m:oMath>
          <m:r>
            <w:rPr>
              <w:rFonts w:ascii="Cambria Math" w:hAnsi="Cambria Math"/>
            </w:rPr>
            <m:t>CPR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Prepay</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CPR/CDR for Loan Pools</w:t>
      </w:r>
      <w:r>
        <w:t>: CPR and CDR therefore represent an annualized measure of prepay and default for every dollar of principal outstanding at the start of a period. Clearly, in order to estimate the CPR and CDR, we need to project the cash flows for a given pool of loans.</w:t>
      </w:r>
    </w:p>
    <w:p w:rsidR="008216B2" w:rsidRDefault="008216B2" w:rsidP="008216B2">
      <w:pPr>
        <w:pStyle w:val="ListParagraph"/>
        <w:numPr>
          <w:ilvl w:val="0"/>
          <w:numId w:val="468"/>
        </w:numPr>
        <w:spacing w:line="360" w:lineRule="auto"/>
      </w:pPr>
      <w:r>
        <w:rPr>
          <w:u w:val="single"/>
        </w:rPr>
        <w:lastRenderedPageBreak/>
        <w:t>Projecting Each Loan in Pool</w:t>
      </w:r>
      <w:r w:rsidRPr="003D35EC">
        <w:t>:</w:t>
      </w:r>
      <w:r>
        <w:t xml:space="preserve"> A first step to projecting the cash flows is to project the status of each loan in the pool at all future points in time. This is achieved by using the transition matrix</w:t>
      </w:r>
    </w:p>
    <w:p w:rsidR="008216B2" w:rsidRDefault="008216B2" w:rsidP="008216B2">
      <w:pPr>
        <w:pStyle w:val="ListParagraph"/>
        <w:spacing w:line="360" w:lineRule="auto"/>
        <w:ind w:left="360"/>
        <w:rPr>
          <w:u w:val="single"/>
        </w:rPr>
      </w:pPr>
    </w:p>
    <w:p w:rsidR="008216B2" w:rsidRDefault="00FD028E" w:rsidP="008216B2">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Using MNL Loan Transition Probabilities</w:t>
      </w:r>
      <w:r>
        <w:t xml:space="preserve">: Probabilities are estimated at all points in time, as per the earlier section. Suppose, for example, that at a given time </w:t>
      </w:r>
      <m:oMath>
        <m:r>
          <w:rPr>
            <w:rFonts w:ascii="Cambria Math" w:hAnsi="Cambria Math"/>
          </w:rPr>
          <m:t>t</m:t>
        </m:r>
      </m:oMath>
      <w:r>
        <w:t xml:space="preserve"> the loan status is current. Aw: The multinomial distribution for where the loan can transition to at time </w:t>
      </w:r>
      <m:oMath>
        <m:r>
          <w:rPr>
            <w:rFonts w:ascii="Cambria Math" w:hAnsi="Cambria Math"/>
          </w:rPr>
          <m:t>t+1</m:t>
        </m:r>
      </m:oMath>
      <w:r>
        <w:t xml:space="preserve"> is used, and it is simply by the first row of the transition matrix.</w:t>
      </w:r>
    </w:p>
    <w:p w:rsidR="008216B2" w:rsidRDefault="008216B2" w:rsidP="008216B2">
      <w:pPr>
        <w:pStyle w:val="ListParagraph"/>
        <w:numPr>
          <w:ilvl w:val="0"/>
          <w:numId w:val="468"/>
        </w:numPr>
        <w:spacing w:line="360" w:lineRule="auto"/>
      </w:pPr>
      <w:r>
        <w:rPr>
          <w:u w:val="single"/>
        </w:rPr>
        <w:t>Loan Target Status Random Draw</w:t>
      </w:r>
      <w:r>
        <w:t xml:space="preserve">: Therefore a random draw is made from this distribution to project the status of the loan at time </w:t>
      </w:r>
      <m:oMath>
        <m:r>
          <w:rPr>
            <w:rFonts w:ascii="Cambria Math" w:hAnsi="Cambria Math"/>
          </w:rPr>
          <m:t>t+1</m:t>
        </m:r>
      </m:oMath>
      <w:r>
        <w:t xml:space="preserve">. If, in that draw, the loan ended up in a status of 30-day delinquent, a simulation is done using the second row of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t+1</m:t>
            </m:r>
          </m:e>
        </m:d>
      </m:oMath>
      <w:r>
        <w:t xml:space="preserve"> and so on, until the earliest of one of maturity, default, or prepay.</w:t>
      </w:r>
    </w:p>
    <w:p w:rsidR="008216B2" w:rsidRDefault="008216B2" w:rsidP="008216B2">
      <w:pPr>
        <w:pStyle w:val="ListParagraph"/>
        <w:numPr>
          <w:ilvl w:val="0"/>
          <w:numId w:val="468"/>
        </w:numPr>
        <w:spacing w:line="360" w:lineRule="auto"/>
      </w:pPr>
      <w:r>
        <w:rPr>
          <w:u w:val="single"/>
        </w:rPr>
        <w:t>Projection of Loan Cash Flows</w:t>
      </w:r>
      <w:r w:rsidRPr="00B5090D">
        <w:t>:</w:t>
      </w:r>
      <w:r>
        <w:t xml:space="preserve"> After having obtained the future status of all the loans in the pool, we can compute the cash flows appropriate to the product under consideration (in this case the 36 month vs. the 60 month fixed rate loans).</w:t>
      </w:r>
    </w:p>
    <w:p w:rsidR="008216B2" w:rsidRDefault="008216B2" w:rsidP="008216B2">
      <w:pPr>
        <w:pStyle w:val="ListParagraph"/>
        <w:numPr>
          <w:ilvl w:val="0"/>
          <w:numId w:val="468"/>
        </w:numPr>
        <w:spacing w:line="360" w:lineRule="auto"/>
      </w:pPr>
      <w:r>
        <w:rPr>
          <w:u w:val="single"/>
        </w:rPr>
        <w:t>Loan State Dependent Cash Flow</w:t>
      </w:r>
      <w:r w:rsidRPr="00F97226">
        <w:t>:</w:t>
      </w:r>
      <w:r>
        <w:t xml:space="preserve"> For example, in the case of Lending Club, one can continue to apply the monthly fixed payment on the loan if the loan is in current status, and accrue interest if the loan becomes delinquent, or discontinue further payments altogether if the loan voluntarily prepays or defaults.</w:t>
      </w:r>
    </w:p>
    <w:p w:rsidR="008216B2" w:rsidRDefault="008216B2" w:rsidP="008216B2">
      <w:pPr>
        <w:pStyle w:val="ListParagraph"/>
        <w:numPr>
          <w:ilvl w:val="0"/>
          <w:numId w:val="468"/>
        </w:numPr>
        <w:spacing w:line="360" w:lineRule="auto"/>
      </w:pPr>
      <w:r>
        <w:rPr>
          <w:u w:val="single"/>
        </w:rPr>
        <w:t>CPR/CDR from Cash Flows</w:t>
      </w:r>
      <w:r w:rsidRPr="00F97226">
        <w:t>:</w:t>
      </w:r>
      <w:r>
        <w:t xml:space="preserve"> Such logic allows the computation of the loan balances from period to period, and ultimately the CPR and the CDR above.</w:t>
      </w:r>
    </w:p>
    <w:p w:rsidR="008216B2" w:rsidRDefault="008216B2" w:rsidP="008216B2">
      <w:pPr>
        <w:pStyle w:val="ListParagraph"/>
        <w:numPr>
          <w:ilvl w:val="0"/>
          <w:numId w:val="468"/>
        </w:numPr>
        <w:spacing w:line="360" w:lineRule="auto"/>
      </w:pPr>
      <w:r>
        <w:rPr>
          <w:u w:val="single"/>
        </w:rPr>
        <w:t>PeerIQ CPR and CDR Simulation</w:t>
      </w:r>
      <w:r w:rsidRPr="00F97226">
        <w:t>:</w:t>
      </w:r>
      <w:r>
        <w:t xml:space="preserve"> As a final example, PeerIQ (2015) project loan status, derive cash flows, and compute CPR and CDR for the entire population of outstanding Lending Club loans – outstanding as of January 2013 – and examine the results. PeerIQ generates the results of one simulation on the portfolio containing 14,000 Lending Club loans as at 1 January 2013.</w:t>
      </w:r>
    </w:p>
    <w:p w:rsidR="008216B2" w:rsidRDefault="008216B2" w:rsidP="008216B2">
      <w:pPr>
        <w:pStyle w:val="ListParagraph"/>
        <w:numPr>
          <w:ilvl w:val="0"/>
          <w:numId w:val="468"/>
        </w:numPr>
        <w:spacing w:line="360" w:lineRule="auto"/>
      </w:pPr>
      <w:r w:rsidRPr="00F97226">
        <w:rPr>
          <w:u w:val="single"/>
        </w:rPr>
        <w:lastRenderedPageBreak/>
        <w:t>Actual vs. Simulated CPR/CDR</w:t>
      </w:r>
      <w:r>
        <w:t>: As evidenced from the above, the projection for the CPR and the CDR agrees with the realized values for much of the projection period. For CDR, there is some volatility towards the latter end of the projection period where the sample thins out, and where the number of defaults (as a rare transition) can have a meaningful impact.</w:t>
      </w:r>
    </w:p>
    <w:p w:rsidR="008216B2" w:rsidRDefault="008216B2" w:rsidP="008216B2">
      <w:pPr>
        <w:pStyle w:val="ListParagraph"/>
        <w:numPr>
          <w:ilvl w:val="0"/>
          <w:numId w:val="468"/>
        </w:numPr>
        <w:spacing w:line="360" w:lineRule="auto"/>
      </w:pPr>
      <w:r>
        <w:rPr>
          <w:u w:val="single"/>
        </w:rPr>
        <w:t>Multi-Path CPR/CDR Simulation</w:t>
      </w:r>
      <w:r>
        <w:t xml:space="preserve">: In addition to such ‘single path’ projections of CPR and CDR on a portfolio, because the calibration produces a </w:t>
      </w:r>
      <w:r>
        <w:rPr>
          <w:i/>
        </w:rPr>
        <w:t>distribution</w:t>
      </w:r>
      <w:r>
        <w:t xml:space="preserve"> of transitions, one can generate multiple paths for the CPR and CDR on a loan portfolio. Using the model PeerIQ simulated 10 paths for the LC portfolio resulting in a distribution of CPR and CDR for the portfolio.</w:t>
      </w:r>
    </w:p>
    <w:p w:rsidR="008216B2" w:rsidRDefault="008216B2" w:rsidP="008216B2">
      <w:pPr>
        <w:spacing w:line="360" w:lineRule="auto"/>
      </w:pPr>
    </w:p>
    <w:p w:rsidR="008216B2" w:rsidRDefault="008216B2" w:rsidP="008216B2">
      <w:pPr>
        <w:spacing w:line="360" w:lineRule="auto"/>
      </w:pPr>
    </w:p>
    <w:p w:rsidR="008216B2" w:rsidRPr="005632B8" w:rsidRDefault="008216B2" w:rsidP="008216B2">
      <w:pPr>
        <w:spacing w:line="360" w:lineRule="auto"/>
        <w:rPr>
          <w:b/>
          <w:sz w:val="28"/>
          <w:szCs w:val="28"/>
        </w:rPr>
      </w:pPr>
      <w:r w:rsidRPr="005632B8">
        <w:rPr>
          <w:b/>
          <w:sz w:val="28"/>
          <w:szCs w:val="28"/>
        </w:rPr>
        <w:t>PeerIQ Credit Model Future Enhancements</w:t>
      </w:r>
    </w:p>
    <w:p w:rsidR="008216B2" w:rsidRDefault="008216B2" w:rsidP="008216B2">
      <w:pPr>
        <w:spacing w:line="360" w:lineRule="auto"/>
      </w:pPr>
    </w:p>
    <w:p w:rsidR="008216B2" w:rsidRDefault="008216B2" w:rsidP="0069057D">
      <w:pPr>
        <w:pStyle w:val="ListParagraph"/>
        <w:numPr>
          <w:ilvl w:val="0"/>
          <w:numId w:val="469"/>
        </w:numPr>
        <w:spacing w:after="160" w:line="360" w:lineRule="auto"/>
      </w:pPr>
      <w:r w:rsidRPr="008216B2">
        <w:rPr>
          <w:u w:val="single"/>
        </w:rPr>
        <w:t>Inclusion of Macro-economic Regressors</w:t>
      </w:r>
      <w:r>
        <w:t>: For the purposes of keeping the analysis simple, PeerIQ’s model excludes macro-economic regressors from the analysis. However economic variables can be integrated quiet easily into the structure of the model.</w:t>
      </w:r>
    </w:p>
    <w:p w:rsidR="008216B2" w:rsidRDefault="008216B2" w:rsidP="0069057D">
      <w:pPr>
        <w:pStyle w:val="ListParagraph"/>
        <w:numPr>
          <w:ilvl w:val="0"/>
          <w:numId w:val="469"/>
        </w:numPr>
        <w:spacing w:after="160" w:line="360" w:lineRule="auto"/>
      </w:pPr>
      <w:r w:rsidRPr="008216B2">
        <w:rPr>
          <w:u w:val="single"/>
        </w:rPr>
        <w:t>Stochastic Simulation of Market Variables</w:t>
      </w:r>
      <w:r w:rsidRPr="005632B8">
        <w:t>:</w:t>
      </w:r>
      <w:r>
        <w:t xml:space="preserve"> In future versions we plan to add in carefully selected market variables such as interest rates or unemployment, which can be used as scenario variables, or stochastically simulated via parameters calibrated from the prices of traded instruments (e.g., interest rate options).</w:t>
      </w:r>
    </w:p>
    <w:p w:rsidR="00487B3D" w:rsidRDefault="00487B3D" w:rsidP="000821C2">
      <w:pPr>
        <w:spacing w:after="160" w:line="360" w:lineRule="auto"/>
      </w:pPr>
    </w:p>
    <w:p w:rsidR="008216B2" w:rsidRDefault="008216B2"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FD028E" w:rsidP="00F91CD8">
      <w:pPr>
        <w:pStyle w:val="ListParagraph"/>
        <w:numPr>
          <w:ilvl w:val="0"/>
          <w:numId w:val="426"/>
        </w:numPr>
        <w:spacing w:after="160" w:line="360" w:lineRule="auto"/>
      </w:pPr>
      <w:hyperlink r:id="rId186" w:history="1">
        <w:r w:rsidR="00B93746" w:rsidRPr="00B93746">
          <w:rPr>
            <w:rStyle w:val="Hyperlink"/>
          </w:rPr>
          <w:t>Receiver Operating Characteristic (Wiki)</w:t>
        </w:r>
      </w:hyperlink>
      <w:r w:rsidR="00B93746">
        <w:t>.</w:t>
      </w:r>
    </w:p>
    <w:p w:rsidR="00C41021" w:rsidRDefault="000821C2" w:rsidP="00C41021">
      <w:pPr>
        <w:pStyle w:val="Footer"/>
        <w:tabs>
          <w:tab w:val="clear" w:pos="4320"/>
          <w:tab w:val="clear" w:pos="8640"/>
        </w:tabs>
        <w:spacing w:line="360" w:lineRule="auto"/>
      </w:pPr>
      <w:r>
        <w:t xml:space="preserve"> </w:t>
      </w:r>
      <w:r w:rsidR="00C41021">
        <w:br w:type="page"/>
      </w: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jc w:val="center"/>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Footer"/>
        <w:tabs>
          <w:tab w:val="clear" w:pos="4320"/>
          <w:tab w:val="clear" w:pos="8640"/>
        </w:tabs>
        <w:spacing w:line="360" w:lineRule="auto"/>
      </w:pPr>
    </w:p>
    <w:p w:rsidR="00C41021" w:rsidRDefault="00C41021" w:rsidP="00C41021">
      <w:pPr>
        <w:pStyle w:val="Heading1"/>
        <w:jc w:val="center"/>
        <w:rPr>
          <w:sz w:val="32"/>
          <w:u w:val="none"/>
        </w:rPr>
      </w:pPr>
      <w:r>
        <w:rPr>
          <w:sz w:val="32"/>
          <w:u w:val="none"/>
        </w:rPr>
        <w:t>Section XV: Asset Allocation and Portfolio Construction</w:t>
      </w:r>
    </w:p>
    <w:p w:rsidR="00C41021" w:rsidRPr="0085600D" w:rsidRDefault="00C41021" w:rsidP="00C41021">
      <w:pPr>
        <w:spacing w:after="160" w:line="360" w:lineRule="auto"/>
        <w:rPr>
          <w:szCs w:val="36"/>
        </w:rPr>
      </w:pPr>
      <w:r w:rsidRPr="0085600D">
        <w:rPr>
          <w:szCs w:val="36"/>
        </w:rPr>
        <w:br w:type="page"/>
      </w:r>
    </w:p>
    <w:p w:rsidR="00C41021" w:rsidRDefault="00C41021" w:rsidP="00C41021">
      <w:pPr>
        <w:spacing w:line="360" w:lineRule="auto"/>
        <w:jc w:val="center"/>
        <w:rPr>
          <w:b/>
          <w:sz w:val="32"/>
          <w:szCs w:val="32"/>
        </w:rPr>
      </w:pPr>
    </w:p>
    <w:p w:rsidR="00C41021" w:rsidRDefault="00C41021" w:rsidP="00C41021">
      <w:pPr>
        <w:spacing w:line="360" w:lineRule="auto"/>
        <w:jc w:val="center"/>
        <w:rPr>
          <w:b/>
          <w:sz w:val="32"/>
          <w:szCs w:val="32"/>
        </w:rPr>
      </w:pPr>
      <w:r>
        <w:rPr>
          <w:b/>
          <w:sz w:val="32"/>
          <w:szCs w:val="32"/>
        </w:rPr>
        <w:t>Modern Portfolio Theory</w:t>
      </w:r>
    </w:p>
    <w:p w:rsidR="00C41021" w:rsidRDefault="00C41021" w:rsidP="00C41021">
      <w:pPr>
        <w:spacing w:line="360" w:lineRule="auto"/>
      </w:pPr>
    </w:p>
    <w:p w:rsidR="00C41021" w:rsidRDefault="00C41021" w:rsidP="00C41021">
      <w:pPr>
        <w:spacing w:line="360" w:lineRule="auto"/>
      </w:pPr>
    </w:p>
    <w:p w:rsidR="00C41021" w:rsidRDefault="00C41021" w:rsidP="00C41021">
      <w:pPr>
        <w:spacing w:line="360" w:lineRule="auto"/>
        <w:rPr>
          <w:b/>
          <w:sz w:val="28"/>
          <w:szCs w:val="28"/>
        </w:rPr>
      </w:pPr>
      <w:r>
        <w:rPr>
          <w:b/>
          <w:sz w:val="28"/>
          <w:szCs w:val="28"/>
        </w:rPr>
        <w:t>Introduction, Background, Focus, and Motivation</w:t>
      </w:r>
    </w:p>
    <w:p w:rsidR="00C41021" w:rsidRDefault="00C41021" w:rsidP="00C41021">
      <w:pPr>
        <w:spacing w:line="360" w:lineRule="auto"/>
      </w:pPr>
    </w:p>
    <w:p w:rsidR="00C41021" w:rsidRDefault="00C41021" w:rsidP="00C41021">
      <w:pPr>
        <w:pStyle w:val="ListParagraph"/>
        <w:numPr>
          <w:ilvl w:val="0"/>
          <w:numId w:val="471"/>
        </w:numPr>
        <w:spacing w:after="160" w:line="360" w:lineRule="auto"/>
      </w:pPr>
      <w:r w:rsidRPr="00C41021">
        <w:rPr>
          <w:u w:val="single"/>
        </w:rPr>
        <w:t>Scope of Modern Portfolio Theory</w:t>
      </w:r>
      <w:r w:rsidRPr="0084037E">
        <w:t xml:space="preserve">: </w:t>
      </w:r>
      <w:r>
        <w:t>Modern Portfolio (MPT), or Mean Variance Analysis, is a mathematical framework for assembling assets such that the expected return is maximized for a given level of risk, defined as variance (Modern Portfolio Theory (Wiki)).</w:t>
      </w:r>
    </w:p>
    <w:p w:rsidR="00C41021" w:rsidRDefault="00C41021" w:rsidP="00C41021">
      <w:pPr>
        <w:pStyle w:val="ListParagraph"/>
        <w:numPr>
          <w:ilvl w:val="0"/>
          <w:numId w:val="471"/>
        </w:numPr>
        <w:spacing w:after="160" w:line="360" w:lineRule="auto"/>
      </w:pPr>
      <w:r w:rsidRPr="00C41021">
        <w:rPr>
          <w:u w:val="single"/>
        </w:rPr>
        <w:t>Asset Risk and Return Assessment</w:t>
      </w:r>
      <w:r>
        <w:t>: MPT’s key insight is that an asset’s risk and return should not be assessed by itself, but by how it contributes to the portfolio’s overall risk and return (Markowitz (1952)).</w:t>
      </w:r>
    </w:p>
    <w:p w:rsidR="00C41021" w:rsidRDefault="00C41021" w:rsidP="00C41021">
      <w:pPr>
        <w:spacing w:line="360" w:lineRule="auto"/>
      </w:pPr>
    </w:p>
    <w:p w:rsidR="00C41021" w:rsidRDefault="00C41021" w:rsidP="00C41021">
      <w:pPr>
        <w:spacing w:line="360" w:lineRule="auto"/>
      </w:pPr>
    </w:p>
    <w:p w:rsidR="00C41021" w:rsidRPr="00B22BD5" w:rsidRDefault="00C41021" w:rsidP="00C41021">
      <w:pPr>
        <w:spacing w:line="360" w:lineRule="auto"/>
        <w:rPr>
          <w:b/>
          <w:sz w:val="28"/>
          <w:szCs w:val="28"/>
        </w:rPr>
      </w:pPr>
      <w:r w:rsidRPr="00B22BD5">
        <w:rPr>
          <w:b/>
          <w:sz w:val="28"/>
          <w:szCs w:val="28"/>
        </w:rPr>
        <w:t>Mathematical Model</w:t>
      </w:r>
    </w:p>
    <w:p w:rsidR="00C41021" w:rsidRDefault="00C41021" w:rsidP="00C41021">
      <w:pPr>
        <w:spacing w:line="360" w:lineRule="auto"/>
      </w:pPr>
    </w:p>
    <w:p w:rsidR="00C41021" w:rsidRDefault="00C41021" w:rsidP="00C41021">
      <w:pPr>
        <w:pStyle w:val="ListParagraph"/>
        <w:numPr>
          <w:ilvl w:val="0"/>
          <w:numId w:val="470"/>
        </w:numPr>
        <w:spacing w:after="160" w:line="360" w:lineRule="auto"/>
      </w:pPr>
      <w:r w:rsidRPr="00A90664">
        <w:rPr>
          <w:u w:val="single"/>
        </w:rPr>
        <w:t>Investor Risk and Return Preferences</w:t>
      </w:r>
      <w:r>
        <w:t>: MPT assumes that investors are risk averse, meaning that, given two portfolios that offer the same expected returns, investors will prefer the less risky one. Thus an investor will take on increased risks only if compensated with higher expected returns. Conversely, an investor who wants higher expected returns must accept more risk.</w:t>
      </w:r>
    </w:p>
    <w:p w:rsidR="00C41021" w:rsidRDefault="00C41021" w:rsidP="00C41021">
      <w:pPr>
        <w:pStyle w:val="ListParagraph"/>
        <w:numPr>
          <w:ilvl w:val="0"/>
          <w:numId w:val="470"/>
        </w:numPr>
        <w:spacing w:after="160" w:line="360" w:lineRule="auto"/>
      </w:pPr>
      <w:r>
        <w:rPr>
          <w:u w:val="single"/>
        </w:rPr>
        <w:t>Investor Risky Portfolio Choice Assessment</w:t>
      </w:r>
      <w:r w:rsidRPr="00A90664">
        <w:t>:</w:t>
      </w:r>
      <w:r>
        <w:t xml:space="preserve"> The exact trade-off curve will be the same for all the investors, but different investors will evaluate the trade-off differently based on the individual risk aversion characteristics. The implication is that a rational investor will not invest in a portfolio if a second portfolio exists with a more favorable risk-to-expected return profile – i.e., if for that level of risk an alternate portfolio exists that has better expected returns.</w:t>
      </w:r>
    </w:p>
    <w:p w:rsidR="00C41021" w:rsidRDefault="00C41021" w:rsidP="00C41021">
      <w:pPr>
        <w:pStyle w:val="ListParagraph"/>
        <w:numPr>
          <w:ilvl w:val="0"/>
          <w:numId w:val="470"/>
        </w:numPr>
        <w:spacing w:after="160" w:line="360" w:lineRule="auto"/>
      </w:pPr>
      <w:r>
        <w:rPr>
          <w:u w:val="single"/>
        </w:rPr>
        <w:t>Portfolio Properties Used by MPT</w:t>
      </w:r>
      <w:r w:rsidRPr="00B22BD5">
        <w:t>:</w:t>
      </w:r>
      <w:r>
        <w:t xml:space="preserve"> Under the MPT, the portfolio return is the proportion-weighted combination of the constituent assets’ returns. Portfolio volatility is a function of the correlations </w:t>
      </w:r>
      <m:oMath>
        <m:sSub>
          <m:sSubPr>
            <m:ctrlPr>
              <w:rPr>
                <w:rFonts w:ascii="Cambria Math" w:hAnsi="Cambria Math"/>
                <w:i/>
              </w:rPr>
            </m:ctrlPr>
          </m:sSubPr>
          <m:e>
            <m:r>
              <w:rPr>
                <w:rFonts w:ascii="Cambria Math" w:hAnsi="Cambria Math"/>
              </w:rPr>
              <m:t>ρ</m:t>
            </m:r>
          </m:e>
          <m:sub>
            <m:r>
              <w:rPr>
                <w:rFonts w:ascii="Cambria Math" w:hAnsi="Cambria Math"/>
              </w:rPr>
              <m:t>ij</m:t>
            </m:r>
          </m:sub>
        </m:sSub>
      </m:oMath>
      <w:r>
        <w:t xml:space="preserve"> of the component assets for all asset pairs </w:t>
      </w:r>
      <m:oMath>
        <m:d>
          <m:dPr>
            <m:ctrlPr>
              <w:rPr>
                <w:rFonts w:ascii="Cambria Math" w:hAnsi="Cambria Math"/>
                <w:i/>
              </w:rPr>
            </m:ctrlPr>
          </m:dPr>
          <m:e>
            <m:r>
              <w:rPr>
                <w:rFonts w:ascii="Cambria Math" w:hAnsi="Cambria Math"/>
              </w:rPr>
              <m:t>i, j</m:t>
            </m:r>
          </m:e>
        </m:d>
      </m:oMath>
      <w:r>
        <w:t>.</w:t>
      </w:r>
    </w:p>
    <w:p w:rsidR="00C41021" w:rsidRDefault="00C41021" w:rsidP="00C41021">
      <w:pPr>
        <w:pStyle w:val="ListParagraph"/>
        <w:numPr>
          <w:ilvl w:val="0"/>
          <w:numId w:val="470"/>
        </w:numPr>
        <w:spacing w:after="160" w:line="360" w:lineRule="auto"/>
      </w:pPr>
      <w:r>
        <w:rPr>
          <w:u w:val="single"/>
        </w:rPr>
        <w:lastRenderedPageBreak/>
        <w:t>Multi Asset Portfolio Expected Return</w:t>
      </w:r>
      <w:r w:rsidRPr="003A2712">
        <w:t>:</w:t>
      </w:r>
      <w:r>
        <w:t xml:space="preserve"> The expected portfolio return is</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Pr>
          <w:rFonts w:eastAsiaTheme="minorEastAsia"/>
        </w:rPr>
        <w:t xml:space="preserve"> is the return on the portfolio,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is the return on the asset </w:t>
      </w:r>
      <m:oMath>
        <m:r>
          <w:rPr>
            <w:rFonts w:ascii="Cambria Math" w:hAnsi="Cambria Math"/>
          </w:rPr>
          <m:t>i</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is the weight of the asset </w:t>
      </w:r>
      <m:oMath>
        <m:r>
          <w:rPr>
            <w:rFonts w:ascii="Cambria Math" w:hAnsi="Cambria Math"/>
          </w:rPr>
          <m:t>i</m:t>
        </m:r>
      </m:oMath>
      <w:r>
        <w:rPr>
          <w:rFonts w:eastAsiaTheme="minorEastAsia"/>
        </w:rPr>
        <w:t>. The portfolio variance is</w:t>
      </w:r>
    </w:p>
    <w:p w:rsidR="00C41021" w:rsidRDefault="00C41021" w:rsidP="00C41021">
      <w:pPr>
        <w:pStyle w:val="ListParagraph"/>
        <w:spacing w:line="360" w:lineRule="auto"/>
        <w:ind w:left="360"/>
        <w:rPr>
          <w:rFonts w:eastAsiaTheme="minorEastAsia"/>
        </w:rPr>
      </w:pPr>
    </w:p>
    <w:p w:rsidR="00C41021" w:rsidRDefault="00FD028E"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2</m:t>
                  </m:r>
                </m:sup>
              </m:sSup>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oMath>
      <w:r>
        <w:rPr>
          <w:rFonts w:eastAsiaTheme="minorEastAsia"/>
        </w:rPr>
        <w:t xml:space="preserve"> is the correlation coefficient between the returns on assets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Alternatively the above expression can be re-cast as</w:t>
      </w:r>
    </w:p>
    <w:p w:rsidR="00C41021" w:rsidRDefault="00C41021" w:rsidP="00C41021">
      <w:pPr>
        <w:pStyle w:val="ListParagraph"/>
        <w:spacing w:line="360" w:lineRule="auto"/>
        <w:ind w:left="360"/>
        <w:rPr>
          <w:rFonts w:eastAsiaTheme="minorEastAsia"/>
        </w:rPr>
      </w:pPr>
    </w:p>
    <w:p w:rsidR="00C41021" w:rsidRDefault="00FD028E"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e>
              </m:nary>
            </m:e>
          </m:nary>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where</w:t>
      </w:r>
    </w:p>
    <w:p w:rsidR="00C41021" w:rsidRDefault="00FD028E"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for</w:t>
      </w:r>
    </w:p>
    <w:p w:rsidR="00C41021" w:rsidRDefault="00C41021" w:rsidP="00C41021">
      <w:pPr>
        <w:pStyle w:val="ListParagraph"/>
        <w:spacing w:line="360" w:lineRule="auto"/>
        <w:ind w:left="360"/>
        <w:rPr>
          <w:rFonts w:eastAsiaTheme="minorEastAsia"/>
        </w:rPr>
      </w:pPr>
    </w:p>
    <w:p w:rsidR="00C41021" w:rsidRPr="00FB3166" w:rsidRDefault="00C41021" w:rsidP="00C41021">
      <w:pPr>
        <w:pStyle w:val="ListParagraph"/>
        <w:spacing w:line="360" w:lineRule="auto"/>
        <w:ind w:left="360"/>
        <w:rPr>
          <w:rFonts w:eastAsiaTheme="minorEastAsia"/>
        </w:rPr>
      </w:pPr>
      <m:oMathPara>
        <m:oMath>
          <m:r>
            <w:rPr>
              <w:rFonts w:ascii="Cambria Math" w:eastAsiaTheme="minorEastAsia" w:hAnsi="Cambria Math"/>
            </w:rPr>
            <m:t>i=j</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corresponding portfolio return volatility (standard deviation) is</w:t>
      </w:r>
    </w:p>
    <w:p w:rsidR="00C41021" w:rsidRDefault="00C41021" w:rsidP="00C41021">
      <w:pPr>
        <w:pStyle w:val="ListParagraph"/>
        <w:spacing w:line="360" w:lineRule="auto"/>
        <w:ind w:left="360"/>
        <w:rPr>
          <w:rFonts w:eastAsiaTheme="minorEastAsia"/>
        </w:rPr>
      </w:pPr>
    </w:p>
    <w:p w:rsidR="00C41021" w:rsidRPr="00FB3166" w:rsidRDefault="00FD028E" w:rsidP="00C41021">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e>
          </m:rad>
        </m:oMath>
      </m:oMathPara>
    </w:p>
    <w:p w:rsidR="00C41021" w:rsidRPr="00FB3166" w:rsidRDefault="00C41021" w:rsidP="00C41021">
      <w:pPr>
        <w:pStyle w:val="ListParagraph"/>
        <w:spacing w:line="360" w:lineRule="auto"/>
        <w:ind w:left="360"/>
        <w:rPr>
          <w:rFonts w:eastAsiaTheme="minorEastAsia"/>
        </w:rPr>
      </w:pPr>
    </w:p>
    <w:p w:rsidR="00C41021" w:rsidRDefault="00C41021" w:rsidP="00C41021">
      <w:pPr>
        <w:pStyle w:val="ListParagraph"/>
        <w:numPr>
          <w:ilvl w:val="0"/>
          <w:numId w:val="470"/>
        </w:numPr>
        <w:spacing w:after="160" w:line="360" w:lineRule="auto"/>
      </w:pPr>
      <w:r>
        <w:rPr>
          <w:u w:val="single"/>
        </w:rPr>
        <w:t>Two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w:lastRenderedPageBreak/>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A</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FD028E"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oMath>
      </m:oMathPara>
    </w:p>
    <w:p w:rsidR="00C41021" w:rsidRPr="00A9066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Three Asset Portfolio Returns/Variance</w:t>
      </w:r>
      <w:r>
        <w:t>: Portfolio Returns is</w:t>
      </w:r>
    </w:p>
    <w:p w:rsidR="00C41021" w:rsidRDefault="00C41021" w:rsidP="00C41021">
      <w:pPr>
        <w:pStyle w:val="ListParagraph"/>
        <w:spacing w:line="360" w:lineRule="auto"/>
        <w:ind w:left="360"/>
        <w:rPr>
          <w:u w:val="single"/>
        </w:rPr>
      </w:pPr>
    </w:p>
    <w:p w:rsidR="00C41021" w:rsidRPr="00FB3166"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The Portfolio Variance is</w:t>
      </w:r>
    </w:p>
    <w:p w:rsidR="00C41021" w:rsidRDefault="00C41021" w:rsidP="00C41021">
      <w:pPr>
        <w:pStyle w:val="ListParagraph"/>
        <w:spacing w:line="360" w:lineRule="auto"/>
        <w:ind w:left="360"/>
        <w:rPr>
          <w:rFonts w:eastAsiaTheme="minorEastAsia"/>
        </w:rPr>
      </w:pPr>
    </w:p>
    <w:p w:rsidR="00C41021" w:rsidRPr="00FB3166" w:rsidRDefault="00FD028E"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e>
            <m:sup>
              <m:r>
                <w:rPr>
                  <w:rFonts w:ascii="Cambria Math" w:eastAsiaTheme="minorEastAsia" w:hAnsi="Cambria Math"/>
                </w:rPr>
                <m:t>2</m:t>
              </m:r>
            </m:sup>
          </m:sSup>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CA</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oMath>
      </m:oMathPara>
    </w:p>
    <w:p w:rsidR="00C41021" w:rsidRPr="007179E4" w:rsidRDefault="00C41021" w:rsidP="00C41021">
      <w:pPr>
        <w:pStyle w:val="ListParagraph"/>
        <w:spacing w:line="360" w:lineRule="auto"/>
        <w:ind w:left="360"/>
      </w:pPr>
    </w:p>
    <w:p w:rsidR="00C41021" w:rsidRDefault="00C41021" w:rsidP="00C41021">
      <w:pPr>
        <w:pStyle w:val="ListParagraph"/>
        <w:numPr>
          <w:ilvl w:val="0"/>
          <w:numId w:val="470"/>
        </w:numPr>
        <w:spacing w:after="160" w:line="360" w:lineRule="auto"/>
      </w:pPr>
      <w:r>
        <w:rPr>
          <w:u w:val="single"/>
        </w:rPr>
        <w:t>Portfolio Diversification - Inversely Correlated Assets</w:t>
      </w:r>
      <w:r>
        <w:t>: An investor can reduce the portfolio risk simply by holding combinations of instruments that are not perfectly positively correlated, i.e., correlation coefficient</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ij</m:t>
              </m:r>
            </m:sub>
          </m:sSub>
          <m:r>
            <w:rPr>
              <w:rFonts w:ascii="Cambria Math" w:eastAsiaTheme="minorEastAsia" w:hAnsi="Cambria Math"/>
            </w:rPr>
            <m:t>&lt;1</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In other words, investors can reduce their exposure to individual asset risk by holding a diversified portfolio of assets. Diversification may allow for the same portfolio expected return with reduced risk.</w:t>
      </w:r>
    </w:p>
    <w:p w:rsidR="00C41021" w:rsidRPr="00C850BF" w:rsidRDefault="00C41021" w:rsidP="00C41021">
      <w:pPr>
        <w:pStyle w:val="ListParagraph"/>
        <w:numPr>
          <w:ilvl w:val="0"/>
          <w:numId w:val="470"/>
        </w:numPr>
        <w:spacing w:after="160" w:line="360" w:lineRule="auto"/>
      </w:pPr>
      <w:r>
        <w:rPr>
          <w:rFonts w:eastAsiaTheme="minorEastAsia"/>
          <w:u w:val="single"/>
        </w:rPr>
        <w:t>Special Case - Completely Uncorrelated Assets</w:t>
      </w:r>
      <w:r>
        <w:rPr>
          <w:rFonts w:eastAsiaTheme="minorEastAsia"/>
        </w:rPr>
        <w:t xml:space="preserve">: If all asset pairs have correlations of </w:t>
      </w:r>
      <m:oMath>
        <m:r>
          <w:rPr>
            <w:rFonts w:ascii="Cambria Math" w:eastAsiaTheme="minorEastAsia" w:hAnsi="Cambria Math"/>
          </w:rPr>
          <m:t>0</m:t>
        </m:r>
      </m:oMath>
      <w:r>
        <w:rPr>
          <w:rFonts w:eastAsiaTheme="minorEastAsia"/>
        </w:rPr>
        <w:t>, i.e., they are perfectly uncorrelated, the portfolio’s return variance is the sum over all assets of the square of the fraction held in the asset times the asset’s return variance.</w:t>
      </w:r>
    </w:p>
    <w:p w:rsidR="00C41021" w:rsidRDefault="00C41021" w:rsidP="00C41021">
      <w:pPr>
        <w:pStyle w:val="ListParagraph"/>
        <w:numPr>
          <w:ilvl w:val="0"/>
          <w:numId w:val="470"/>
        </w:numPr>
        <w:spacing w:after="160" w:line="360" w:lineRule="auto"/>
      </w:pPr>
      <w:r>
        <w:rPr>
          <w:rFonts w:eastAsiaTheme="minorEastAsia"/>
          <w:u w:val="single"/>
        </w:rPr>
        <w:t>Frontier Without Risk-Free Asset</w:t>
      </w:r>
      <w:r w:rsidRPr="00C850BF">
        <w:t>:</w:t>
      </w:r>
      <w:r>
        <w:t xml:space="preserve"> Every possible combination of the risk assets, without including any holdings of the risk-free assets, can be plotted in the risk-expected returns space, and a collection of all such possible portfolios defines a region in this space. The left boundary of this region is a hyperbola (Merton (1972)), and the upper edge of this region is </w:t>
      </w:r>
      <w:r>
        <w:lastRenderedPageBreak/>
        <w:t>the efficient frontier in the absence of a risk-free asset (sometimes called that Markowitz bullet).</w:t>
      </w:r>
    </w:p>
    <w:p w:rsidR="00C41021" w:rsidRDefault="00C41021" w:rsidP="00C41021">
      <w:pPr>
        <w:pStyle w:val="ListParagraph"/>
        <w:numPr>
          <w:ilvl w:val="0"/>
          <w:numId w:val="470"/>
        </w:numPr>
        <w:spacing w:after="160" w:line="360" w:lineRule="auto"/>
      </w:pPr>
      <w:r>
        <w:rPr>
          <w:rFonts w:eastAsiaTheme="minorEastAsia"/>
          <w:u w:val="single"/>
        </w:rPr>
        <w:t>Portfolio at the Efficient Frontier</w:t>
      </w:r>
      <w:r w:rsidRPr="00FF2EA8">
        <w:t>:</w:t>
      </w:r>
      <w:r>
        <w:t xml:space="preserve"> Combinations along this upper edge represent portfolios (including no holdings of the risk-free asset) for which there is lowest risk for a given level of expected return. Equivalently, a portfolio lying on the efficient frontier represents the combination offering the best possible expected return for a given risk level. The tangent to the hyperbola at the tangency point indicates the best possible Capital Allocation Line (CAL).</w:t>
      </w:r>
    </w:p>
    <w:p w:rsidR="00C41021" w:rsidRDefault="00C41021" w:rsidP="00C41021">
      <w:pPr>
        <w:pStyle w:val="ListParagraph"/>
        <w:numPr>
          <w:ilvl w:val="0"/>
          <w:numId w:val="470"/>
        </w:numPr>
        <w:spacing w:after="160" w:line="360" w:lineRule="auto"/>
      </w:pPr>
      <w:r>
        <w:rPr>
          <w:rFonts w:eastAsiaTheme="minorEastAsia"/>
          <w:u w:val="single"/>
        </w:rPr>
        <w:t>Determination of the Efficient Frontier</w:t>
      </w:r>
      <w:r w:rsidRPr="00FF2EA8">
        <w:t>:</w:t>
      </w:r>
      <w:r>
        <w:t xml:space="preserve"> For a given risk tolerance</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the efficient frontier is found by minimizing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w-q</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where </w:t>
      </w:r>
      <m:oMath>
        <m:r>
          <w:rPr>
            <w:rFonts w:ascii="Cambria Math" w:eastAsiaTheme="minorEastAsia" w:hAnsi="Cambria Math"/>
          </w:rPr>
          <m:t>w</m:t>
        </m:r>
      </m:oMath>
      <w:r>
        <w:rPr>
          <w:rFonts w:eastAsiaTheme="minorEastAsia"/>
        </w:rPr>
        <w:t xml:space="preserve"> is the vector of portfolio weights, and</w:t>
      </w:r>
    </w:p>
    <w:p w:rsidR="00C41021" w:rsidRDefault="00C41021" w:rsidP="00C41021">
      <w:pPr>
        <w:pStyle w:val="ListParagraph"/>
        <w:spacing w:line="360" w:lineRule="auto"/>
        <w:ind w:left="360"/>
        <w:rPr>
          <w:rFonts w:eastAsiaTheme="minorEastAsia"/>
        </w:rPr>
      </w:pPr>
    </w:p>
    <w:p w:rsidR="00C41021" w:rsidRDefault="00FD028E" w:rsidP="00C41021">
      <w:pPr>
        <w:pStyle w:val="ListParagraph"/>
        <w:spacing w:line="360" w:lineRule="auto"/>
        <w:ind w:left="360"/>
        <w:rPr>
          <w:rFonts w:eastAsiaTheme="minorEastAsia"/>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=1</m:t>
          </m:r>
        </m:oMath>
      </m:oMathPara>
    </w:p>
    <w:p w:rsidR="00C41021" w:rsidRDefault="00C41021" w:rsidP="00C41021">
      <w:pPr>
        <w:pStyle w:val="ListParagraph"/>
        <w:spacing w:line="360" w:lineRule="auto"/>
        <w:ind w:left="360"/>
        <w:rPr>
          <w:rFonts w:eastAsiaTheme="minorEastAsia"/>
        </w:rPr>
      </w:pPr>
    </w:p>
    <w:p w:rsidR="00C41021" w:rsidRPr="00844B73" w:rsidRDefault="00C41021" w:rsidP="00C41021">
      <w:pPr>
        <w:pStyle w:val="ListParagraph"/>
        <w:spacing w:line="360" w:lineRule="auto"/>
        <w:ind w:left="360"/>
      </w:pPr>
      <w:r>
        <w:rPr>
          <w:rFonts w:eastAsiaTheme="minorEastAsia"/>
        </w:rPr>
        <w:t xml:space="preserve">(the weights can be negative, which means that the investors can short that security), </w:t>
      </w:r>
      <m:oMath>
        <m:r>
          <m:rPr>
            <m:sty m:val="p"/>
          </m:rPr>
          <w:rPr>
            <w:rFonts w:ascii="Cambria Math" w:eastAsiaTheme="minorEastAsia" w:hAnsi="Cambria Math"/>
          </w:rPr>
          <m:t>Ξ</m:t>
        </m:r>
      </m:oMath>
      <w:r>
        <w:rPr>
          <w:rFonts w:eastAsiaTheme="minorEastAsia"/>
        </w:rPr>
        <w:t xml:space="preserve"> is the covariance matrix for the returns on the assets in the portfolio, </w:t>
      </w:r>
      <m:oMath>
        <m:r>
          <w:rPr>
            <w:rFonts w:ascii="Cambria Math" w:eastAsiaTheme="minorEastAsia" w:hAnsi="Cambria Math"/>
          </w:rPr>
          <m:t>R</m:t>
        </m:r>
      </m:oMath>
      <w:r>
        <w:rPr>
          <w:rFonts w:eastAsiaTheme="minorEastAsia"/>
        </w:rPr>
        <w:t xml:space="preserve"> is the vector of expected returns,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rPr>
          <w:rFonts w:eastAsiaTheme="minorEastAsia"/>
        </w:rPr>
        <w:t xml:space="preserve"> is the variance of the portfolio returns, and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rPr>
          <w:rFonts w:eastAsiaTheme="minorEastAsia"/>
        </w:rPr>
        <w:t xml:space="preserve"> is the expected return on the portfolio.</w:t>
      </w:r>
    </w:p>
    <w:p w:rsidR="00C41021" w:rsidRPr="00163316" w:rsidRDefault="00C41021" w:rsidP="00C41021">
      <w:pPr>
        <w:pStyle w:val="ListParagraph"/>
        <w:numPr>
          <w:ilvl w:val="0"/>
          <w:numId w:val="470"/>
        </w:numPr>
        <w:spacing w:after="160" w:line="360" w:lineRule="auto"/>
      </w:pPr>
      <w:r>
        <w:rPr>
          <w:rFonts w:eastAsiaTheme="minorEastAsia"/>
          <w:u w:val="single"/>
        </w:rPr>
        <w:t>The Risk Tolerance Parameter Interpretation</w:t>
      </w:r>
      <w:r>
        <w:rPr>
          <w:rFonts w:eastAsiaTheme="minorEastAsia"/>
        </w:rPr>
        <w:t>:</w:t>
      </w:r>
    </w:p>
    <w:p w:rsidR="00C41021" w:rsidRDefault="00C41021" w:rsidP="00C41021">
      <w:pPr>
        <w:pStyle w:val="ListParagraph"/>
        <w:spacing w:line="360" w:lineRule="auto"/>
        <w:ind w:left="360"/>
        <w:rPr>
          <w:rFonts w:eastAsiaTheme="minorEastAsia"/>
          <w:u w:val="single"/>
        </w:rPr>
      </w:pPr>
    </w:p>
    <w:p w:rsidR="00C41021" w:rsidRDefault="00C41021" w:rsidP="00C41021">
      <w:pPr>
        <w:pStyle w:val="ListParagraph"/>
        <w:spacing w:line="360" w:lineRule="auto"/>
        <w:ind w:left="360"/>
        <w:rPr>
          <w:rFonts w:eastAsiaTheme="minorEastAsia"/>
        </w:rPr>
      </w:pPr>
      <m:oMathPara>
        <m:oMath>
          <m:r>
            <w:rPr>
              <w:rFonts w:ascii="Cambria Math" w:eastAsiaTheme="minorEastAsia" w:hAnsi="Cambria Math"/>
            </w:rPr>
            <m:t>q≥0</m:t>
          </m:r>
        </m:oMath>
      </m:oMathPara>
    </w:p>
    <w:p w:rsidR="00C41021" w:rsidRDefault="00C41021" w:rsidP="00C41021">
      <w:pPr>
        <w:pStyle w:val="ListParagraph"/>
        <w:spacing w:line="360" w:lineRule="auto"/>
        <w:ind w:left="360"/>
        <w:rPr>
          <w:rFonts w:eastAsiaTheme="minorEastAsia"/>
        </w:rPr>
      </w:pPr>
    </w:p>
    <w:p w:rsidR="00C41021" w:rsidRDefault="00C41021" w:rsidP="00C41021">
      <w:pPr>
        <w:pStyle w:val="ListParagraph"/>
        <w:spacing w:line="360" w:lineRule="auto"/>
        <w:ind w:left="360"/>
        <w:rPr>
          <w:rFonts w:eastAsiaTheme="minorEastAsia"/>
        </w:rPr>
      </w:pPr>
      <w:r>
        <w:rPr>
          <w:rFonts w:eastAsiaTheme="minorEastAsia"/>
        </w:rPr>
        <w:t xml:space="preserve">is a “risk tolerance” factor, where </w:t>
      </w:r>
      <m:oMath>
        <m:r>
          <w:rPr>
            <w:rFonts w:ascii="Cambria Math" w:eastAsiaTheme="minorEastAsia" w:hAnsi="Cambria Math"/>
          </w:rPr>
          <m:t>0</m:t>
        </m:r>
      </m:oMath>
      <w:r>
        <w:rPr>
          <w:rFonts w:eastAsiaTheme="minorEastAsia"/>
        </w:rPr>
        <w:t xml:space="preserve"> results in a portfolio with minimum risk, and </w:t>
      </w:r>
      <m:oMath>
        <m:r>
          <w:rPr>
            <w:rFonts w:ascii="Cambria Math" w:eastAsiaTheme="minorEastAsia" w:hAnsi="Cambria Math"/>
          </w:rPr>
          <m:t>∞</m:t>
        </m:r>
      </m:oMath>
      <w:r>
        <w:rPr>
          <w:rFonts w:eastAsiaTheme="minorEastAsia"/>
        </w:rPr>
        <w:t xml:space="preserve"> results in the portfolio being infinitely far out in the frontier with both the expected return and the risk unbounded. The above optimization finds the point on the frontier at which the inverse of the slope of the frontier would be </w:t>
      </w:r>
      <m:oMath>
        <m:r>
          <w:rPr>
            <w:rFonts w:ascii="Cambria Math" w:eastAsiaTheme="minorEastAsia" w:hAnsi="Cambria Math"/>
          </w:rPr>
          <m:t>q</m:t>
        </m:r>
      </m:oMath>
      <w:r>
        <w:rPr>
          <w:rFonts w:eastAsiaTheme="minorEastAsia"/>
        </w:rPr>
        <w:t xml:space="preserve"> if the portfolio return variance instead of the standard deviation were plotted horizontally. The frontier in its entirety is parametric on </w:t>
      </w:r>
      <m:oMath>
        <m:r>
          <w:rPr>
            <w:rFonts w:ascii="Cambria Math" w:eastAsiaTheme="minorEastAsia" w:hAnsi="Cambria Math"/>
          </w:rPr>
          <m:t>q</m:t>
        </m:r>
      </m:oMath>
      <w:r>
        <w:rPr>
          <w:rFonts w:eastAsiaTheme="minorEastAsia"/>
        </w:rPr>
        <w:t xml:space="preserve">. Many </w:t>
      </w:r>
      <w:r>
        <w:rPr>
          <w:rFonts w:eastAsiaTheme="minorEastAsia"/>
        </w:rPr>
        <w:lastRenderedPageBreak/>
        <w:t>software packages, including MATLAB, Microsoft Excel, Mathematica, and R provide optimization routines suitable for the above problem.</w:t>
      </w:r>
    </w:p>
    <w:p w:rsidR="00C41021" w:rsidRDefault="00C41021" w:rsidP="00C41021">
      <w:pPr>
        <w:pStyle w:val="ListParagraph"/>
        <w:numPr>
          <w:ilvl w:val="0"/>
          <w:numId w:val="470"/>
        </w:numPr>
        <w:spacing w:after="160" w:line="360" w:lineRule="auto"/>
      </w:pPr>
      <w:r w:rsidRPr="00424258">
        <w:rPr>
          <w:u w:val="single"/>
        </w:rPr>
        <w:t>Alternate Efficient Frontier Approach Specification</w:t>
      </w:r>
      <w:r>
        <w:t xml:space="preserve">: An alternate approach to specifying the efficient frontier is to do so parametrically on the expected portfolio return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m:t>
        </m:r>
      </m:oMath>
      <w:r>
        <w:t xml:space="preserve">. This version of the problem requires that we minimize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m:rPr>
            <m:sty m:val="p"/>
          </m:rPr>
          <w:rPr>
            <w:rFonts w:ascii="Cambria Math" w:eastAsiaTheme="minorEastAsia" w:hAnsi="Cambria Math"/>
          </w:rPr>
          <m:t>Ξ</m:t>
        </m:r>
        <m:r>
          <w:rPr>
            <w:rFonts w:ascii="Cambria Math" w:eastAsiaTheme="minorEastAsia" w:hAnsi="Cambria Math"/>
          </w:rPr>
          <m:t>w</m:t>
        </m:r>
      </m:oMath>
      <w:r>
        <w:t xml:space="preserve"> subject to</w:t>
      </w:r>
    </w:p>
    <w:p w:rsidR="00C41021" w:rsidRDefault="00C41021" w:rsidP="00C41021">
      <w:pPr>
        <w:pStyle w:val="ListParagraph"/>
        <w:spacing w:line="360" w:lineRule="auto"/>
        <w:ind w:left="360"/>
        <w:rPr>
          <w:u w:val="single"/>
        </w:rPr>
      </w:pPr>
    </w:p>
    <w:p w:rsidR="00C41021" w:rsidRDefault="00FD028E" w:rsidP="00C41021">
      <w:pPr>
        <w:pStyle w:val="ListParagraph"/>
        <w:spacing w:line="360" w:lineRule="auto"/>
        <w:ind w:left="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r>
            <w:rPr>
              <w:rFonts w:ascii="Cambria Math" w:eastAsiaTheme="minorEastAsia" w:hAnsi="Cambria Math"/>
            </w:rPr>
            <m:t>w=μ</m:t>
          </m:r>
        </m:oMath>
      </m:oMathPara>
    </w:p>
    <w:p w:rsidR="00C41021" w:rsidRDefault="00C41021" w:rsidP="00C41021">
      <w:pPr>
        <w:pStyle w:val="ListParagraph"/>
        <w:spacing w:line="360" w:lineRule="auto"/>
        <w:ind w:left="360"/>
        <w:rPr>
          <w:rFonts w:eastAsiaTheme="minorEastAsia"/>
        </w:rPr>
      </w:pPr>
    </w:p>
    <w:p w:rsidR="00C41021" w:rsidRPr="00424258" w:rsidRDefault="00C41021" w:rsidP="00C41021">
      <w:pPr>
        <w:pStyle w:val="ListParagraph"/>
        <w:spacing w:line="360" w:lineRule="auto"/>
        <w:ind w:left="360"/>
        <w:rPr>
          <w:rFonts w:eastAsiaTheme="minorHAnsi"/>
        </w:rPr>
      </w:pPr>
      <w:r>
        <w:rPr>
          <w:rFonts w:eastAsiaTheme="minorEastAsia"/>
        </w:rPr>
        <w:t xml:space="preserve">for a parameter </w:t>
      </w:r>
      <m:oMath>
        <m:r>
          <w:rPr>
            <w:rFonts w:ascii="Cambria Math" w:eastAsiaTheme="minorEastAsia" w:hAnsi="Cambria Math"/>
          </w:rPr>
          <m:t>μ</m:t>
        </m:r>
      </m:oMath>
      <w:r>
        <w:rPr>
          <w:rFonts w:eastAsiaTheme="minorEastAsia"/>
        </w:rPr>
        <w:t>. This problem is easily solved using a Lagrange multiplier.</w:t>
      </w:r>
    </w:p>
    <w:p w:rsidR="00C41021" w:rsidRDefault="00C41021" w:rsidP="00C41021">
      <w:pPr>
        <w:pStyle w:val="ListParagraph"/>
        <w:numPr>
          <w:ilvl w:val="0"/>
          <w:numId w:val="470"/>
        </w:numPr>
        <w:spacing w:after="160" w:line="360" w:lineRule="auto"/>
      </w:pPr>
      <w:r>
        <w:rPr>
          <w:u w:val="single"/>
        </w:rPr>
        <w:t>Two Mutual Fund Theorem - Concept</w:t>
      </w:r>
      <w:r>
        <w:t>: One key result of the above analysis is the two mutual fund theorem (Merton (1972)). The theorem states that any portfolio on the efficient frontier can be generated by any two give portfolios on the frontier; the latter two portfolios are the mutual funds in the theorem’s name. So in the absence of a risk-free asset, the investor can achieve any desired efficient portfolio even if all that is accessible is a pair of efficient mutual funds.</w:t>
      </w:r>
    </w:p>
    <w:p w:rsidR="00C41021" w:rsidRDefault="00C41021" w:rsidP="00C41021">
      <w:pPr>
        <w:pStyle w:val="ListParagraph"/>
        <w:numPr>
          <w:ilvl w:val="0"/>
          <w:numId w:val="470"/>
        </w:numPr>
        <w:spacing w:after="160" w:line="360" w:lineRule="auto"/>
      </w:pPr>
      <w:r>
        <w:rPr>
          <w:u w:val="single"/>
        </w:rPr>
        <w:t>Two Mutual Fund Theorem - Allocation</w:t>
      </w:r>
      <w:r w:rsidRPr="00424258">
        <w:t>:</w:t>
      </w:r>
      <w:r>
        <w:t xml:space="preserve"> If the location of the desired portfolio on the frontier is between the location of the two mutual funds, both mutual funds will be held in positive quantities. If the desired portfolio is outside the range spanned by the two mutual funds, then one of the mutual funds must be sold short (held in negative quantity) while the size of the investment in the other mutual fund must be greater than the amount available for investment – the excess being funded by borrowing from the other mutual fund.</w:t>
      </w:r>
    </w:p>
    <w:p w:rsidR="00C41021" w:rsidRDefault="00C41021" w:rsidP="00C41021">
      <w:pPr>
        <w:pStyle w:val="ListParagraph"/>
        <w:numPr>
          <w:ilvl w:val="0"/>
          <w:numId w:val="470"/>
        </w:numPr>
        <w:spacing w:after="160" w:line="360" w:lineRule="auto"/>
      </w:pPr>
      <w:r>
        <w:rPr>
          <w:u w:val="single"/>
        </w:rPr>
        <w:t>Characteristics of the Risk-Free Asset</w:t>
      </w:r>
      <w:r w:rsidRPr="00540338">
        <w:t>:</w:t>
      </w:r>
      <w:r>
        <w:t xml:space="preserve"> The risk free asset is a hypothetical asset that pays a risk free rate. In practice, short term government securities such as UST bills are used as risk-free asset because they pay a fixed coupon and have an exceptionally low default risk. The risk-free rate has zero variance in its returns (hence risk-free); it is also uncorrelated with any other asset (by definition, since its variance is zero).As a result, when combined with any other asset or portfolio of assets, the change in return is linearly related to the change in risk as the proportions in the combination vary.</w:t>
      </w:r>
    </w:p>
    <w:p w:rsidR="00C41021" w:rsidRDefault="00C41021" w:rsidP="00C41021">
      <w:pPr>
        <w:pStyle w:val="ListParagraph"/>
        <w:numPr>
          <w:ilvl w:val="0"/>
          <w:numId w:val="470"/>
        </w:numPr>
        <w:spacing w:after="160" w:line="360" w:lineRule="auto"/>
      </w:pPr>
      <w:r>
        <w:rPr>
          <w:u w:val="single"/>
        </w:rPr>
        <w:t>Risk Free Asset Efficient Frontier</w:t>
      </w:r>
      <w:r w:rsidRPr="000E7219">
        <w:t>:</w:t>
      </w:r>
      <w:r>
        <w:t xml:space="preserve"> When a risk-free asset is introduced the corresponding half-line becomes the new efficient frontier – this line is the tangent to the hyperbola at the pure risky portfolio with the highest Sharpe ratio.</w:t>
      </w:r>
    </w:p>
    <w:p w:rsidR="00C41021" w:rsidRDefault="00C41021" w:rsidP="00C41021">
      <w:pPr>
        <w:pStyle w:val="ListParagraph"/>
        <w:numPr>
          <w:ilvl w:val="0"/>
          <w:numId w:val="470"/>
        </w:numPr>
        <w:spacing w:after="160" w:line="360" w:lineRule="auto"/>
      </w:pPr>
      <w:r>
        <w:rPr>
          <w:u w:val="single"/>
        </w:rPr>
        <w:lastRenderedPageBreak/>
        <w:t>Corresponding Efficient Frontier Portfolio Weights</w:t>
      </w:r>
      <w:r>
        <w:t>: As demonstrated in Modern Portfolio Theory (Wiki), the vertical intercept represents a portfolio with 100% of holdings in the risk-free asset; the tangency with the hyperbola represents a portfolio with no risk-free holdings and 100% of the assets held in the portfolio occurring at the tangency point; and points on the half-line beyond the tangency point are leveraged portfolios involving negative holdings of the risk free asset (the latter has been sold short – in other words the investor has borrowed at the risk-free rate) and an amount invested in the tangency portfolio equal to more than 100% of the investor’s initial capital.</w:t>
      </w:r>
    </w:p>
    <w:p w:rsidR="00C41021" w:rsidRDefault="00C41021" w:rsidP="00C41021">
      <w:pPr>
        <w:pStyle w:val="ListParagraph"/>
        <w:numPr>
          <w:ilvl w:val="0"/>
          <w:numId w:val="470"/>
        </w:numPr>
        <w:spacing w:after="160" w:line="360" w:lineRule="auto"/>
      </w:pPr>
      <w:r>
        <w:rPr>
          <w:u w:val="single"/>
        </w:rPr>
        <w:t>The Capital Allocation Line - Definition</w:t>
      </w:r>
      <w:r w:rsidRPr="009B751E">
        <w:t>:</w:t>
      </w:r>
      <w:r>
        <w:t xml:space="preserve"> The efficient half-line is called the Capital Allocation Line (CAL) and its formula can be shown to be</w:t>
      </w:r>
    </w:p>
    <w:p w:rsidR="00C41021" w:rsidRDefault="00C41021" w:rsidP="00C41021">
      <w:pPr>
        <w:pStyle w:val="ListParagraph"/>
        <w:spacing w:line="360" w:lineRule="auto"/>
        <w:ind w:left="360"/>
        <w:rPr>
          <w:u w:val="single"/>
        </w:rPr>
      </w:pPr>
    </w:p>
    <w:p w:rsidR="00C41021" w:rsidRDefault="00C41021" w:rsidP="00C41021">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P</m:t>
                  </m:r>
                </m:sub>
              </m:sSub>
            </m:den>
          </m:f>
          <m:d>
            <m:dPr>
              <m:ctrlPr>
                <w:rPr>
                  <w:rFonts w:ascii="Cambria Math" w:eastAsiaTheme="minorEastAsia"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C41021" w:rsidRDefault="00C41021" w:rsidP="00C41021">
      <w:pPr>
        <w:pStyle w:val="ListParagraph"/>
        <w:spacing w:line="360" w:lineRule="auto"/>
        <w:ind w:left="360"/>
      </w:pPr>
    </w:p>
    <w:p w:rsidR="00C41021" w:rsidRDefault="00C41021" w:rsidP="00C41021">
      <w:pPr>
        <w:pStyle w:val="ListParagraph"/>
        <w:spacing w:line="360" w:lineRule="auto"/>
        <w:ind w:left="360"/>
      </w:pPr>
      <w:r>
        <w:t xml:space="preserve">Here </w:t>
      </w:r>
      <m:oMath>
        <m:r>
          <w:rPr>
            <w:rFonts w:ascii="Cambria Math" w:eastAsiaTheme="minorEastAsia" w:hAnsi="Cambria Math"/>
          </w:rPr>
          <m:t>P</m:t>
        </m:r>
      </m:oMath>
      <w:r>
        <w:t xml:space="preserve"> is the sub-portfolio of the risky assets at the tangency point with the Markowitz bullet, </w:t>
      </w:r>
      <m:oMath>
        <m:r>
          <w:rPr>
            <w:rFonts w:ascii="Cambria Math" w:eastAsiaTheme="minorEastAsia" w:hAnsi="Cambria Math"/>
          </w:rPr>
          <m:t>F</m:t>
        </m:r>
      </m:oMath>
      <w:r>
        <w:t xml:space="preserve"> is the risk-free asset, and </w:t>
      </w:r>
      <m:oMath>
        <m:r>
          <w:rPr>
            <w:rFonts w:ascii="Cambria Math" w:eastAsiaTheme="minorEastAsia" w:hAnsi="Cambria Math"/>
          </w:rPr>
          <m:t>C</m:t>
        </m:r>
      </m:oMath>
      <w:r>
        <w:t xml:space="preserve"> is a combination of portfolios </w:t>
      </w:r>
      <m:oMath>
        <m:r>
          <w:rPr>
            <w:rFonts w:ascii="Cambria Math" w:eastAsiaTheme="minorEastAsia" w:hAnsi="Cambria Math"/>
          </w:rPr>
          <m:t>P</m:t>
        </m:r>
      </m:oMath>
      <w:r>
        <w:t xml:space="preserve"> and </w:t>
      </w:r>
      <m:oMath>
        <m:r>
          <w:rPr>
            <w:rFonts w:ascii="Cambria Math" w:eastAsiaTheme="minorEastAsia" w:hAnsi="Cambria Math"/>
          </w:rPr>
          <m:t>F</m:t>
        </m:r>
      </m:oMath>
      <w:r>
        <w:t>.</w:t>
      </w:r>
    </w:p>
    <w:p w:rsidR="00C41021" w:rsidRDefault="00C41021" w:rsidP="00C41021">
      <w:pPr>
        <w:pStyle w:val="ListParagraph"/>
        <w:numPr>
          <w:ilvl w:val="0"/>
          <w:numId w:val="470"/>
        </w:numPr>
        <w:spacing w:after="160" w:line="360" w:lineRule="auto"/>
      </w:pPr>
      <w:r>
        <w:rPr>
          <w:u w:val="single"/>
        </w:rPr>
        <w:t>Improved Risk Adjusted Returns Profile</w:t>
      </w:r>
      <w:r w:rsidRPr="00153F1F">
        <w:t>:</w:t>
      </w:r>
      <w:r>
        <w:t xml:space="preserve"> Thus the introduction of the risk-free asset as a possible component of the portfolio has improved the range of the risk-expected returns available, because everywhere except at the tangency portfolio the half-line gives a higher expected returns than the hyperbola does at every possible risk level.</w:t>
      </w:r>
    </w:p>
    <w:p w:rsidR="00C41021" w:rsidRPr="00A90664" w:rsidRDefault="00C41021" w:rsidP="00C41021">
      <w:pPr>
        <w:pStyle w:val="ListParagraph"/>
        <w:numPr>
          <w:ilvl w:val="0"/>
          <w:numId w:val="470"/>
        </w:numPr>
        <w:spacing w:after="160" w:line="360" w:lineRule="auto"/>
      </w:pPr>
      <w:r>
        <w:rPr>
          <w:u w:val="single"/>
        </w:rPr>
        <w:t>The One Mutual Fund Theorem</w:t>
      </w:r>
      <w:r w:rsidRPr="00153F1F">
        <w:t>:</w:t>
      </w:r>
      <w:r>
        <w:t xml:space="preserve"> The fact that all points on the linear efficient locus can be achieved by a combination of holdings of the risk-free asset and the tangency portfolio is known as the One Mutual Fund Theorem (Merton (1972)), where the mutual fund referred to is the tangency portfolio.</w:t>
      </w:r>
    </w:p>
    <w:p w:rsidR="00183F2E" w:rsidRDefault="00183F2E" w:rsidP="00183F2E">
      <w:pPr>
        <w:spacing w:line="360" w:lineRule="auto"/>
      </w:pPr>
    </w:p>
    <w:p w:rsidR="00183F2E" w:rsidRDefault="00183F2E" w:rsidP="00183F2E">
      <w:pPr>
        <w:spacing w:line="360" w:lineRule="auto"/>
      </w:pPr>
    </w:p>
    <w:p w:rsidR="00183F2E" w:rsidRPr="001E5678" w:rsidRDefault="00183F2E" w:rsidP="00183F2E">
      <w:pPr>
        <w:spacing w:line="360" w:lineRule="auto"/>
        <w:rPr>
          <w:b/>
          <w:sz w:val="28"/>
          <w:szCs w:val="28"/>
        </w:rPr>
      </w:pPr>
      <w:r w:rsidRPr="001E5678">
        <w:rPr>
          <w:b/>
          <w:sz w:val="28"/>
          <w:szCs w:val="28"/>
        </w:rPr>
        <w:t>Asset Pricing</w:t>
      </w:r>
    </w:p>
    <w:p w:rsidR="00183F2E" w:rsidRDefault="00183F2E" w:rsidP="00183F2E">
      <w:pPr>
        <w:spacing w:line="360" w:lineRule="auto"/>
      </w:pPr>
    </w:p>
    <w:p w:rsidR="00183F2E" w:rsidRDefault="00183F2E" w:rsidP="00183F2E">
      <w:pPr>
        <w:pStyle w:val="ListParagraph"/>
        <w:numPr>
          <w:ilvl w:val="0"/>
          <w:numId w:val="472"/>
        </w:numPr>
        <w:spacing w:after="160" w:line="360" w:lineRule="auto"/>
      </w:pPr>
      <w:r w:rsidRPr="001E5678">
        <w:rPr>
          <w:u w:val="single"/>
        </w:rPr>
        <w:t>MPT Basis For Asset Pricing</w:t>
      </w:r>
      <w:r>
        <w:t xml:space="preserve">: The analysis above describes the optimal behavior of an individual investor. Asset pricing theory builds on this analysis as follows. Since everyone holds risky assets in identical proportions to each other – namely in proportions given by the </w:t>
      </w:r>
      <w:r>
        <w:lastRenderedPageBreak/>
        <w:t>tangency portfolio – in market equilibrium, the risky assets’ prices, and therefore their expected returns, will adjust so that the ratios in the tangency portfolio are the same as in the ratios in which the risky assets are supplied to the market.</w:t>
      </w:r>
    </w:p>
    <w:p w:rsidR="00183F2E" w:rsidRDefault="00183F2E" w:rsidP="00183F2E">
      <w:pPr>
        <w:pStyle w:val="ListParagraph"/>
        <w:numPr>
          <w:ilvl w:val="0"/>
          <w:numId w:val="472"/>
        </w:numPr>
        <w:spacing w:after="160" w:line="360" w:lineRule="auto"/>
      </w:pPr>
      <w:r>
        <w:rPr>
          <w:u w:val="single"/>
        </w:rPr>
        <w:t>Asset Supply/Demand Re-adjustment</w:t>
      </w:r>
      <w:r w:rsidRPr="001E5678">
        <w:t>:</w:t>
      </w:r>
      <w:r>
        <w:t xml:space="preserve"> Thus the relative supplies will equal relative demands. MPT derives the required expected return for a correctly priced asset in this context.</w:t>
      </w:r>
    </w:p>
    <w:p w:rsidR="00183F2E" w:rsidRDefault="00183F2E" w:rsidP="00183F2E">
      <w:pPr>
        <w:pStyle w:val="ListParagraph"/>
        <w:numPr>
          <w:ilvl w:val="0"/>
          <w:numId w:val="472"/>
        </w:numPr>
        <w:spacing w:after="160" w:line="360" w:lineRule="auto"/>
      </w:pPr>
      <w:r>
        <w:rPr>
          <w:u w:val="single"/>
        </w:rPr>
        <w:t>The Diversifiable Idiosyncratic/Specific Risk</w:t>
      </w:r>
      <w:r w:rsidRPr="001E5678">
        <w:t>:</w:t>
      </w:r>
      <w:r>
        <w:t xml:space="preserve"> Specific risk is the risk associated with the individual assets – within a portfolio these risks can be reduced through diversification (i.e., specific risks cancel out). Thus specific risk is also called diversifiable, unique, unsystematic, or idiosyncratic risk.</w:t>
      </w:r>
    </w:p>
    <w:p w:rsidR="00183F2E" w:rsidRDefault="00183F2E" w:rsidP="00183F2E">
      <w:pPr>
        <w:pStyle w:val="ListParagraph"/>
        <w:numPr>
          <w:ilvl w:val="0"/>
          <w:numId w:val="472"/>
        </w:numPr>
        <w:spacing w:after="160" w:line="360" w:lineRule="auto"/>
      </w:pPr>
      <w:r>
        <w:rPr>
          <w:u w:val="single"/>
        </w:rPr>
        <w:t>The Non-Diversifiable Systematic Risk</w:t>
      </w:r>
      <w:r w:rsidRPr="009A01EE">
        <w:t>:</w:t>
      </w:r>
      <w:r>
        <w:t xml:space="preserve"> Systematic risk (a. k. a portfolio risk or market risk) refers to the risk common to all securities – except for selling short, systematic risk cannot be diversified away in one market. Within the market portfolio, asset specific risk will be diversifiable away to the extent possible. Systematic risk is therefore equated with the risk (standard deviation) of the market portfolio.</w:t>
      </w:r>
    </w:p>
    <w:p w:rsidR="00183F2E" w:rsidRDefault="00183F2E" w:rsidP="00183F2E">
      <w:pPr>
        <w:pStyle w:val="ListParagraph"/>
        <w:numPr>
          <w:ilvl w:val="0"/>
          <w:numId w:val="472"/>
        </w:numPr>
        <w:spacing w:after="160" w:line="360" w:lineRule="auto"/>
      </w:pPr>
      <w:r>
        <w:rPr>
          <w:u w:val="single"/>
        </w:rPr>
        <w:t>Rational Approach to Security Purchase</w:t>
      </w:r>
      <w:r w:rsidRPr="009A01EE">
        <w:t>:</w:t>
      </w:r>
      <w:r>
        <w:t xml:space="preserve"> Since a security will be purchased only if it improves the risk-expected return characteristics of the market portfolio, the relevant measure of the risk of a security is the risk it adds to the market portfolio, and not its risk in isolation.</w:t>
      </w:r>
    </w:p>
    <w:p w:rsidR="00183F2E" w:rsidRDefault="00183F2E" w:rsidP="00183F2E">
      <w:pPr>
        <w:pStyle w:val="ListParagraph"/>
        <w:numPr>
          <w:ilvl w:val="0"/>
          <w:numId w:val="472"/>
        </w:numPr>
        <w:spacing w:after="160" w:line="360" w:lineRule="auto"/>
      </w:pPr>
      <w:r>
        <w:rPr>
          <w:u w:val="single"/>
        </w:rPr>
        <w:t>Conditional Asset Pricing Model Approaches</w:t>
      </w:r>
      <w:r w:rsidRPr="007A5987">
        <w:t>:</w:t>
      </w:r>
      <w:r>
        <w:t xml:space="preserve"> In this context, the volatility of the asset, and its correlation with the market portfolio, are historically observed, and are therefore given. There are several approaches to asset pricing that attempt to price assets by modeling the stochastic properties of the moments of the assets’ returns – these are broadly referred to as conditional asset pricing models.</w:t>
      </w:r>
    </w:p>
    <w:p w:rsidR="00183F2E" w:rsidRDefault="00183F2E" w:rsidP="00183F2E">
      <w:pPr>
        <w:pStyle w:val="ListParagraph"/>
        <w:numPr>
          <w:ilvl w:val="0"/>
          <w:numId w:val="472"/>
        </w:numPr>
        <w:spacing w:after="160" w:line="360" w:lineRule="auto"/>
      </w:pPr>
      <w:r>
        <w:rPr>
          <w:u w:val="single"/>
        </w:rPr>
        <w:t>Long/Short Market Model Portfolios</w:t>
      </w:r>
      <w:r w:rsidRPr="00364C18">
        <w:t>:</w:t>
      </w:r>
      <w:r>
        <w:t xml:space="preserve"> Systematic risks within one market can be managed through a strategy of using both long and short portfolios within one portfolio, creating a market neutral portfolio. Market neutral portfolios will therefore have correlations of zero.</w:t>
      </w:r>
    </w:p>
    <w:p w:rsidR="00183F2E" w:rsidRDefault="00183F2E" w:rsidP="00183F2E">
      <w:pPr>
        <w:pStyle w:val="ListParagraph"/>
        <w:numPr>
          <w:ilvl w:val="0"/>
          <w:numId w:val="472"/>
        </w:numPr>
        <w:spacing w:after="160" w:line="360" w:lineRule="auto"/>
      </w:pPr>
      <w:r>
        <w:rPr>
          <w:u w:val="single"/>
        </w:rPr>
        <w:t>Capital Asset Pricing Model - Definition</w:t>
      </w:r>
      <w:r w:rsidRPr="00364C18">
        <w:t>:</w:t>
      </w:r>
      <w:r>
        <w:t xml:space="preserve"> The asset returns depend on the amount paid for the asset today. The price paid must ensure that the market portfolio’s risk/return characteristics improve when the asset is added to it. The CAPM is a model that derives the theoretical required expected return (i.e., discount rate) for an asset in the market, given the risk-free rate available to investors and the risk of the market as a whole.</w:t>
      </w:r>
    </w:p>
    <w:p w:rsidR="00183F2E" w:rsidRDefault="00183F2E" w:rsidP="00183F2E">
      <w:pPr>
        <w:pStyle w:val="ListParagraph"/>
        <w:numPr>
          <w:ilvl w:val="0"/>
          <w:numId w:val="472"/>
        </w:numPr>
        <w:spacing w:after="160" w:line="360" w:lineRule="auto"/>
      </w:pPr>
      <w:r w:rsidRPr="00000032">
        <w:rPr>
          <w:u w:val="single"/>
        </w:rPr>
        <w:lastRenderedPageBreak/>
        <w:t>CAPM - Mathematical Framework Specification</w:t>
      </w:r>
      <w:r w:rsidRPr="00000032">
        <w:t>: The CAPM is usually expressed as</w:t>
      </w:r>
    </w:p>
    <w:p w:rsidR="00183F2E" w:rsidRDefault="00183F2E" w:rsidP="00183F2E">
      <w:pPr>
        <w:pStyle w:val="ListParagraph"/>
        <w:spacing w:line="360" w:lineRule="auto"/>
        <w:ind w:left="360"/>
        <w:rPr>
          <w:u w:val="single"/>
        </w:rPr>
      </w:pPr>
    </w:p>
    <w:p w:rsidR="00183F2E"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pPr>
    </w:p>
    <w:p w:rsidR="00183F2E" w:rsidRPr="00000032" w:rsidRDefault="00183F2E" w:rsidP="00183F2E">
      <w:pPr>
        <w:pStyle w:val="ListParagraph"/>
        <w:spacing w:line="360" w:lineRule="auto"/>
        <w:ind w:left="360"/>
      </w:pPr>
      <w:r w:rsidRPr="00000032">
        <w:t xml:space="preserve"> Here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is the measure of the asset sensitivity to a movement in the overall market;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is usually estimated through regression on historical data.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exceeding </w:t>
      </w:r>
      <m:oMath>
        <m:r>
          <w:rPr>
            <w:rFonts w:ascii="Cambria Math" w:hAnsi="Cambria Math"/>
          </w:rPr>
          <m:t>1</m:t>
        </m:r>
      </m:oMath>
      <w:r w:rsidRPr="00000032">
        <w:rPr>
          <w:rFonts w:eastAsiaTheme="minorEastAsia"/>
        </w:rPr>
        <w:t xml:space="preserve"> signifies more than average riskiness in the sense of the asset’s contribution to the overall portfolio risk;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000032">
        <w:rPr>
          <w:rFonts w:eastAsiaTheme="minorEastAsia"/>
        </w:rPr>
        <w:t xml:space="preserve"> below one indicate a lower than average risk combination.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w:r w:rsidRPr="00000032">
        <w:rPr>
          <w:rFonts w:eastAsiaTheme="minorEastAsia"/>
        </w:rPr>
        <w:t xml:space="preserve"> is the market premium, the expected excess return of the market portfolio’s expected return over the risk-free rate.</w:t>
      </w:r>
    </w:p>
    <w:p w:rsidR="00183F2E" w:rsidRPr="00000032" w:rsidRDefault="00183F2E" w:rsidP="00183F2E">
      <w:pPr>
        <w:pStyle w:val="ListParagraph"/>
        <w:numPr>
          <w:ilvl w:val="0"/>
          <w:numId w:val="472"/>
        </w:numPr>
        <w:spacing w:after="160" w:line="360" w:lineRule="auto"/>
      </w:pPr>
      <w:r>
        <w:rPr>
          <w:u w:val="single"/>
        </w:rPr>
        <w:t>CAPM Derivation Market Portfolio Risk</w:t>
      </w:r>
      <w:r>
        <w:t xml:space="preserve">: The incremental impact on risk and expected return when an additional risky asset </w:t>
      </w:r>
      <m:oMath>
        <m:r>
          <w:rPr>
            <w:rFonts w:ascii="Cambria Math" w:hAnsi="Cambria Math"/>
          </w:rPr>
          <m:t>a</m:t>
        </m:r>
      </m:oMath>
      <w:r>
        <w:rPr>
          <w:rFonts w:eastAsiaTheme="minorEastAsia"/>
        </w:rPr>
        <w:t xml:space="preserve"> is added to the market portfolio </w:t>
      </w:r>
      <m:oMath>
        <m:r>
          <w:rPr>
            <w:rFonts w:ascii="Cambria Math" w:hAnsi="Cambria Math"/>
          </w:rPr>
          <m:t>m</m:t>
        </m:r>
      </m:oMath>
      <w:r>
        <w:rPr>
          <w:rFonts w:eastAsiaTheme="minorEastAsia"/>
        </w:rPr>
        <w:t xml:space="preserve"> follows the formula for a two-asset portfolio. The results are used to derive the asset appropriate discount rate. Market portfolio’s risk is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m</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m</m:t>
                </m:r>
              </m:sub>
            </m:sSub>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a</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e>
        </m:d>
      </m:oMath>
      <w:r>
        <w:rPr>
          <w:rFonts w:eastAsiaTheme="minorEastAsia"/>
        </w:rPr>
        <w:t xml:space="preserve"> Hence the risk added to the portfolio is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a</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oMath>
      <w:r>
        <w:rPr>
          <w:rFonts w:eastAsiaTheme="minorEastAsia"/>
        </w:rPr>
        <w:t>, but since the weight of the asset is relatively low</w:t>
      </w:r>
    </w:p>
    <w:p w:rsidR="00183F2E" w:rsidRDefault="00183F2E" w:rsidP="00183F2E">
      <w:pPr>
        <w:pStyle w:val="ListParagraph"/>
        <w:spacing w:line="360" w:lineRule="auto"/>
        <w:ind w:left="360"/>
        <w:rPr>
          <w:u w:val="single"/>
        </w:rPr>
      </w:pPr>
    </w:p>
    <w:p w:rsidR="00183F2E" w:rsidRDefault="00FD028E" w:rsidP="00183F2E">
      <w:pPr>
        <w:pStyle w:val="ListParagraph"/>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a</m:t>
                  </m:r>
                </m:sub>
              </m:sSub>
            </m:e>
            <m:sup>
              <m:r>
                <w:rPr>
                  <w:rFonts w:ascii="Cambria Math" w:hAnsi="Cambria Math"/>
                </w:rPr>
                <m:t>2</m:t>
              </m:r>
            </m:sup>
          </m:sSup>
          <m:r>
            <w:rPr>
              <w:rFonts w:ascii="Cambria Math" w:hAnsi="Cambria Math"/>
            </w:rPr>
            <m:t>≈0</m:t>
          </m:r>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 xml:space="preserve">i.e., the additional risk is </w:t>
      </w:r>
      <m:oMath>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oMath>
      <w:r>
        <w:rPr>
          <w:rFonts w:eastAsiaTheme="minorEastAsia"/>
        </w:rPr>
        <w:t>.</w:t>
      </w:r>
    </w:p>
    <w:p w:rsidR="00183F2E" w:rsidRDefault="00183F2E" w:rsidP="00183F2E">
      <w:pPr>
        <w:pStyle w:val="ListParagraph"/>
        <w:numPr>
          <w:ilvl w:val="0"/>
          <w:numId w:val="472"/>
        </w:numPr>
        <w:spacing w:after="160" w:line="360" w:lineRule="auto"/>
        <w:rPr>
          <w:rFonts w:eastAsiaTheme="minorEastAsia"/>
        </w:rPr>
      </w:pPr>
      <w:r w:rsidRPr="008A3B61">
        <w:rPr>
          <w:rFonts w:eastAsiaTheme="minorEastAsia"/>
          <w:u w:val="single"/>
        </w:rPr>
        <w:t>CAPM Derivation Market Portfolio Return</w:t>
      </w:r>
      <w:r w:rsidRPr="008A3B61">
        <w:rPr>
          <w:rFonts w:eastAsiaTheme="minorEastAsia"/>
        </w:rPr>
        <w:t xml:space="preserve">: The market portfolio’s expected return is </w:t>
      </w:r>
      <m:oMath>
        <m:sSub>
          <m:sSubPr>
            <m:ctrlPr>
              <w:rPr>
                <w:rFonts w:ascii="Cambria Math" w:hAnsi="Cambria Math"/>
                <w:i/>
              </w:rPr>
            </m:ctrlPr>
          </m:sSubPr>
          <m:e>
            <m:r>
              <w:rPr>
                <w:rFonts w:ascii="Cambria Math" w:hAnsi="Cambria Math"/>
              </w:rPr>
              <m:t>w</m:t>
            </m:r>
          </m:e>
          <m:sub>
            <m:r>
              <w:rPr>
                <w:rFonts w:ascii="Cambria Math" w:hAnsi="Cambria Math"/>
              </w:rPr>
              <m:t>m</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e>
        </m:d>
      </m:oMath>
      <w:r w:rsidRPr="008A3B61">
        <w:rPr>
          <w:rFonts w:eastAsiaTheme="minorEastAsia"/>
        </w:rPr>
        <w:t xml:space="preserve"> Hence the additional expected return is </w:t>
      </w:r>
      <m:oMath>
        <m:sSub>
          <m:sSubPr>
            <m:ctrlPr>
              <w:rPr>
                <w:rFonts w:ascii="Cambria Math" w:hAnsi="Cambria Math"/>
                <w:i/>
              </w:rPr>
            </m:ctrlPr>
          </m:sSubPr>
          <m:e>
            <m:r>
              <w:rPr>
                <w:rFonts w:ascii="Cambria Math" w:hAnsi="Cambria Math"/>
              </w:rPr>
              <m:t>w</m:t>
            </m:r>
          </m:e>
          <m:sub>
            <m:r>
              <w:rPr>
                <w:rFonts w:ascii="Cambria Math" w:hAnsi="Cambria Math"/>
              </w:rPr>
              <m:t>a</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oMath>
      <w:r w:rsidRPr="008A3B61">
        <w:rPr>
          <w:rFonts w:eastAsiaTheme="minorEastAsia"/>
        </w:rPr>
        <w:t>.</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 Risk/Return Portfolio</w:t>
      </w:r>
      <w:r w:rsidRPr="008A3B61">
        <w:rPr>
          <w:rFonts w:eastAsiaTheme="minorEastAsia"/>
        </w:rPr>
        <w:t>:</w:t>
      </w:r>
      <w:r>
        <w:rPr>
          <w:rFonts w:eastAsiaTheme="minorEastAsia"/>
        </w:rPr>
        <w:t xml:space="preserve"> If an asset </w:t>
      </w:r>
      <m:oMath>
        <m:r>
          <w:rPr>
            <w:rFonts w:ascii="Cambria Math" w:hAnsi="Cambria Math"/>
          </w:rPr>
          <m:t>a</m:t>
        </m:r>
      </m:oMath>
      <w:r>
        <w:rPr>
          <w:rFonts w:eastAsiaTheme="minorEastAsia"/>
        </w:rPr>
        <w:t xml:space="preserve"> is correctly priced, the improvement in the risk-to-expected return ratio achieved by adding it to a market portfolio </w:t>
      </w:r>
      <m:oMath>
        <m:r>
          <w:rPr>
            <w:rFonts w:ascii="Cambria Math" w:hAnsi="Cambria Math"/>
          </w:rPr>
          <m:t>m</m:t>
        </m:r>
      </m:oMath>
      <w:r>
        <w:rPr>
          <w:rFonts w:eastAsiaTheme="minorEastAsia"/>
        </w:rPr>
        <w:t xml:space="preserve"> will at least match the gains of spending that amount on an increased stake in the market portfolio. The assumption is that the investor will purchase the asset with funds borrowed at the risk free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this is rational if</w:t>
      </w:r>
    </w:p>
    <w:p w:rsidR="00183F2E" w:rsidRDefault="00183F2E" w:rsidP="00183F2E">
      <w:pPr>
        <w:pStyle w:val="ListParagraph"/>
        <w:spacing w:line="360" w:lineRule="auto"/>
        <w:ind w:left="360"/>
        <w:rPr>
          <w:rFonts w:eastAsiaTheme="minorEastAsia"/>
          <w:u w:val="single"/>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Excess Returns/Risk</w:t>
      </w:r>
      <w:r>
        <w:rPr>
          <w:rFonts w:eastAsiaTheme="minorEastAsia"/>
        </w:rPr>
        <w:t>: Thus</w:t>
      </w:r>
    </w:p>
    <w:p w:rsidR="00183F2E" w:rsidRDefault="00183F2E" w:rsidP="00183F2E">
      <w:pPr>
        <w:pStyle w:val="ListParagraph"/>
        <w:spacing w:line="360" w:lineRule="auto"/>
        <w:ind w:left="360"/>
        <w:rPr>
          <w:rFonts w:eastAsiaTheme="minorEastAsia"/>
          <w:u w:val="single"/>
        </w:rPr>
      </w:pPr>
    </w:p>
    <w:p w:rsidR="00183F2E" w:rsidRDefault="00FD028E" w:rsidP="00183F2E">
      <w:pPr>
        <w:pStyle w:val="ListParagraph"/>
        <w:spacing w:line="360" w:lineRule="auto"/>
        <w:ind w:left="360"/>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m:t>
                  </m:r>
                </m:sub>
              </m:sSub>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i.e.</w:t>
      </w:r>
    </w:p>
    <w:p w:rsidR="00183F2E" w:rsidRDefault="00183F2E" w:rsidP="00183F2E">
      <w:pPr>
        <w:pStyle w:val="ListParagraph"/>
        <w:spacing w:line="360" w:lineRule="auto"/>
        <w:ind w:left="360"/>
        <w:rPr>
          <w:rFonts w:eastAsiaTheme="minorEastAsia"/>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am</m:t>
                  </m:r>
                </m:sub>
              </m:sSub>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m</m:t>
                  </m:r>
                </m:sub>
              </m:sSub>
              <m:sSub>
                <m:sSubPr>
                  <m:ctrlPr>
                    <w:rPr>
                      <w:rFonts w:ascii="Cambria Math" w:hAnsi="Cambria Math"/>
                      <w:i/>
                    </w:rPr>
                  </m:ctrlPr>
                </m:sSubPr>
                <m:e>
                  <m:r>
                    <w:rPr>
                      <w:rFonts w:ascii="Cambria Math" w:hAnsi="Cambria Math"/>
                    </w:rPr>
                    <m:t>σ</m:t>
                  </m:r>
                </m:e>
                <m:sub>
                  <m:r>
                    <w:rPr>
                      <w:rFonts w:ascii="Cambria Math" w:hAnsi="Cambria Math"/>
                    </w:rPr>
                    <m:t>m</m:t>
                  </m:r>
                </m:sub>
              </m:sSub>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i.e.</w:t>
      </w:r>
    </w:p>
    <w:p w:rsidR="00183F2E" w:rsidRDefault="00183F2E" w:rsidP="00183F2E">
      <w:pPr>
        <w:pStyle w:val="ListParagraph"/>
        <w:spacing w:line="360" w:lineRule="auto"/>
        <w:ind w:left="360"/>
        <w:rPr>
          <w:rFonts w:eastAsiaTheme="minorEastAsia"/>
        </w:rPr>
      </w:pPr>
    </w:p>
    <w:p w:rsidR="00183F2E" w:rsidRPr="00F60AB5" w:rsidRDefault="00183F2E" w:rsidP="00183F2E">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m:t>
                  </m:r>
                </m:sub>
              </m:sSub>
            </m:num>
            <m:den>
              <m:sSub>
                <m:sSubPr>
                  <m:ctrlPr>
                    <w:rPr>
                      <w:rFonts w:ascii="Cambria Math" w:hAnsi="Cambria Math"/>
                      <w:i/>
                    </w:rPr>
                  </m:ctrlPr>
                </m:sSubPr>
                <m:e>
                  <m:r>
                    <w:rPr>
                      <w:rFonts w:ascii="Cambria Math" w:hAnsi="Cambria Math"/>
                    </w:rPr>
                    <m:t>σ</m:t>
                  </m:r>
                </m:e>
                <m:sub>
                  <m:r>
                    <w:rPr>
                      <w:rFonts w:ascii="Cambria Math" w:hAnsi="Cambria Math"/>
                    </w:rPr>
                    <m:t>mm</m:t>
                  </m:r>
                </m:sub>
              </m:sSub>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CAPM Derivation Asset-to-Market</w:t>
      </w:r>
      <w:r>
        <w:rPr>
          <w:rFonts w:eastAsiaTheme="minorEastAsia"/>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m:t>
                </m:r>
              </m:sub>
            </m:sSub>
          </m:num>
          <m:den>
            <m:sSub>
              <m:sSubPr>
                <m:ctrlPr>
                  <w:rPr>
                    <w:rFonts w:ascii="Cambria Math" w:hAnsi="Cambria Math"/>
                    <w:i/>
                  </w:rPr>
                </m:ctrlPr>
              </m:sSubPr>
              <m:e>
                <m:r>
                  <w:rPr>
                    <w:rFonts w:ascii="Cambria Math" w:hAnsi="Cambria Math"/>
                  </w:rPr>
                  <m:t>σ</m:t>
                </m:r>
              </m:e>
              <m:sub>
                <m:r>
                  <w:rPr>
                    <w:rFonts w:ascii="Cambria Math" w:hAnsi="Cambria Math"/>
                  </w:rPr>
                  <m:t>mm</m:t>
                </m:r>
              </m:sub>
            </m:sSub>
          </m:den>
        </m:f>
      </m:oMath>
      <w:r>
        <w:rPr>
          <w:rFonts w:eastAsiaTheme="minorEastAsia"/>
        </w:rPr>
        <w:t xml:space="preserve"> is the beta,  - the covariance between the asset return and the market return divided by the variance of the market return – i.e., the sensitivity of the asset price to movement in the market’s portfolio value.</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The Security Characteristic Line (SCL)</w:t>
      </w:r>
      <w:r w:rsidRPr="003F47F2">
        <w:rPr>
          <w:rFonts w:eastAsiaTheme="minorEastAsia"/>
        </w:rPr>
        <w:t>:</w:t>
      </w:r>
      <w:r>
        <w:rPr>
          <w:rFonts w:eastAsiaTheme="minorEastAsia"/>
        </w:rPr>
        <w:t xml:space="preserve"> The excess asset returns can be estimated statistically using the following regression equation:</w:t>
      </w:r>
    </w:p>
    <w:p w:rsidR="00183F2E" w:rsidRDefault="00183F2E" w:rsidP="00183F2E">
      <w:pPr>
        <w:pStyle w:val="ListParagraph"/>
        <w:spacing w:line="360" w:lineRule="auto"/>
        <w:ind w:left="360"/>
        <w:rPr>
          <w:rFonts w:eastAsiaTheme="minorEastAsia"/>
          <w:u w:val="single"/>
        </w:rPr>
      </w:pPr>
    </w:p>
    <w:p w:rsidR="00183F2E" w:rsidRDefault="00FD028E" w:rsidP="00183F2E">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m:oMathPara>
    </w:p>
    <w:p w:rsidR="00183F2E" w:rsidRDefault="00183F2E" w:rsidP="00183F2E">
      <w:pPr>
        <w:pStyle w:val="ListParagraph"/>
        <w:spacing w:line="360" w:lineRule="auto"/>
        <w:ind w:left="360"/>
        <w:rPr>
          <w:rFonts w:eastAsiaTheme="minorEastAsia"/>
        </w:rPr>
      </w:pPr>
    </w:p>
    <w:p w:rsidR="00183F2E" w:rsidRDefault="00183F2E" w:rsidP="00183F2E">
      <w:pPr>
        <w:pStyle w:val="ListParagraph"/>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Pr>
          <w:rFonts w:eastAsiaTheme="minorEastAsia"/>
        </w:rPr>
        <w:t xml:space="preserve">  is called the asset’s alpha, and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Pr>
          <w:rFonts w:eastAsiaTheme="minorEastAsia"/>
        </w:rPr>
        <w:t xml:space="preserve"> is the asset’s beta coefficient.</w:t>
      </w:r>
    </w:p>
    <w:p w:rsidR="00183F2E" w:rsidRDefault="00183F2E" w:rsidP="00183F2E">
      <w:pPr>
        <w:pStyle w:val="ListParagraph"/>
        <w:numPr>
          <w:ilvl w:val="0"/>
          <w:numId w:val="472"/>
        </w:numPr>
        <w:spacing w:after="160" w:line="360" w:lineRule="auto"/>
        <w:rPr>
          <w:rFonts w:eastAsiaTheme="minorEastAsia"/>
        </w:rPr>
      </w:pPr>
      <w:r>
        <w:rPr>
          <w:rFonts w:eastAsiaTheme="minorEastAsia"/>
          <w:u w:val="single"/>
        </w:rPr>
        <w:t>Expected Returns as Asset Numeraire</w:t>
      </w:r>
      <w:r w:rsidRPr="00864883">
        <w:rPr>
          <w:rFonts w:eastAsiaTheme="minorEastAsia"/>
        </w:rPr>
        <w:t>:</w:t>
      </w:r>
      <w:r>
        <w:rPr>
          <w:rFonts w:eastAsiaTheme="minorEastAsia"/>
        </w:rPr>
        <w:t xml:space="preserve"> Once an asset’s expected return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oMath>
      <w:r>
        <w:rPr>
          <w:rFonts w:eastAsiaTheme="minorEastAsia"/>
        </w:rPr>
        <w:t xml:space="preserve"> is calculated using CAPM the future cash flows of the asset can be discounted to their present values using this rate to establish the correct price for the asset. A riskier stock will have a higher beta and be discounted at a higher rate, and a less sensitive stock will have a lower beta and be discounted at a lower rate. In theory an asset is correctly priced when its observed price is the same as its value calculated using the CAPM derived discount rate. If the observed price is higher than the valuation, the asset is over-valued; it is under-valued for too low a price.</w:t>
      </w:r>
    </w:p>
    <w:p w:rsidR="00183F2E" w:rsidRDefault="00183F2E" w:rsidP="00183F2E">
      <w:pPr>
        <w:spacing w:line="360" w:lineRule="auto"/>
        <w:rPr>
          <w:rFonts w:eastAsiaTheme="minorEastAsia"/>
        </w:rPr>
      </w:pPr>
    </w:p>
    <w:p w:rsidR="00183F2E" w:rsidRDefault="00183F2E" w:rsidP="00183F2E">
      <w:pPr>
        <w:spacing w:line="360" w:lineRule="auto"/>
        <w:rPr>
          <w:rFonts w:eastAsiaTheme="minorEastAsia"/>
        </w:rPr>
      </w:pPr>
    </w:p>
    <w:p w:rsidR="00183F2E" w:rsidRPr="00F60AB5" w:rsidRDefault="00183F2E" w:rsidP="00183F2E">
      <w:pPr>
        <w:spacing w:line="360" w:lineRule="auto"/>
        <w:rPr>
          <w:rFonts w:eastAsiaTheme="minorEastAsia"/>
          <w:b/>
        </w:rPr>
      </w:pPr>
      <w:r w:rsidRPr="00F60AB5">
        <w:rPr>
          <w:rFonts w:eastAsiaTheme="minorEastAsia"/>
          <w:b/>
        </w:rPr>
        <w:lastRenderedPageBreak/>
        <w:t>Criticisms</w:t>
      </w:r>
    </w:p>
    <w:p w:rsidR="00183F2E" w:rsidRDefault="00183F2E" w:rsidP="00183F2E">
      <w:pPr>
        <w:spacing w:line="360" w:lineRule="auto"/>
        <w:rPr>
          <w:rFonts w:eastAsiaTheme="minorEastAsia"/>
        </w:rPr>
      </w:pPr>
    </w:p>
    <w:p w:rsidR="00183F2E" w:rsidRDefault="00183F2E" w:rsidP="00183F2E">
      <w:pPr>
        <w:pStyle w:val="ListParagraph"/>
        <w:numPr>
          <w:ilvl w:val="0"/>
          <w:numId w:val="473"/>
        </w:numPr>
        <w:spacing w:after="160" w:line="360" w:lineRule="auto"/>
        <w:rPr>
          <w:rFonts w:eastAsiaTheme="minorEastAsia"/>
        </w:rPr>
      </w:pPr>
      <w:r w:rsidRPr="00527E33">
        <w:rPr>
          <w:rFonts w:eastAsiaTheme="minorEastAsia"/>
          <w:u w:val="single"/>
        </w:rPr>
        <w:t>Historical vs Future Statistical Inputs</w:t>
      </w:r>
      <w:r>
        <w:rPr>
          <w:rFonts w:eastAsiaTheme="minorEastAsia"/>
        </w:rPr>
        <w:t>: The risk, the return, and the correlation measures used by MPT are based on expected, i.e., they are mathematical values about the future. In practice, investors must substitute predictions based on historical measurements of asset returns and volatility for these values. Very often such expected values fail to take into account new circumstances that did not exist when the historical data were first generated (Damghani (2013)).</w:t>
      </w:r>
    </w:p>
    <w:p w:rsidR="00183F2E" w:rsidRDefault="00183F2E" w:rsidP="00183F2E">
      <w:pPr>
        <w:pStyle w:val="ListParagraph"/>
        <w:numPr>
          <w:ilvl w:val="0"/>
          <w:numId w:val="473"/>
        </w:numPr>
        <w:spacing w:after="160" w:line="360" w:lineRule="auto"/>
        <w:rPr>
          <w:rFonts w:eastAsiaTheme="minorEastAsia"/>
        </w:rPr>
      </w:pPr>
      <w:r w:rsidRPr="00130FC5">
        <w:rPr>
          <w:rFonts w:eastAsiaTheme="minorEastAsia"/>
          <w:u w:val="single"/>
        </w:rPr>
        <w:t>Structural Approach to Risk Management</w:t>
      </w:r>
      <w:r>
        <w:rPr>
          <w:rFonts w:eastAsiaTheme="minorEastAsia"/>
        </w:rPr>
        <w:t>: More fundamentally investors are stuck with estimating key parameters from past market data because MPT attempts to model risk in terms of likelihood of losses, but says nothing about why those losses might occur. The risk measurements used are probabilistic in nature, not structural. This is a major difference compared to many engineering approaches to risk management (Hubbard (2007)).</w:t>
      </w:r>
    </w:p>
    <w:p w:rsidR="00183F2E" w:rsidRDefault="00183F2E" w:rsidP="00183F2E">
      <w:pPr>
        <w:pStyle w:val="ListParagraph"/>
        <w:numPr>
          <w:ilvl w:val="0"/>
          <w:numId w:val="473"/>
        </w:numPr>
        <w:spacing w:after="160" w:line="360" w:lineRule="auto"/>
        <w:rPr>
          <w:rFonts w:eastAsiaTheme="minorEastAsia"/>
        </w:rPr>
      </w:pPr>
      <w:r>
        <w:rPr>
          <w:rFonts w:eastAsiaTheme="minorEastAsia"/>
          <w:u w:val="single"/>
        </w:rPr>
        <w:t>Better Measures for Investors’ Preferences</w:t>
      </w:r>
      <w:r w:rsidRPr="00C70AA3">
        <w:rPr>
          <w:rFonts w:eastAsiaTheme="minorEastAsia"/>
        </w:rPr>
        <w:t>:</w:t>
      </w:r>
      <w:r>
        <w:rPr>
          <w:rFonts w:eastAsiaTheme="minorEastAsia"/>
        </w:rPr>
        <w:t xml:space="preserve"> MPT uses the mathematical concept of variance to quantify risk, and this may be justified under elliptically distributed returns such as normal returns, but for general return distributions, other risk measures (e.g. coherent risk measures) might reflect investors’ true preferences.</w:t>
      </w:r>
    </w:p>
    <w:p w:rsidR="00183F2E" w:rsidRDefault="00183F2E" w:rsidP="00183F2E">
      <w:pPr>
        <w:pStyle w:val="ListParagraph"/>
        <w:numPr>
          <w:ilvl w:val="0"/>
          <w:numId w:val="473"/>
        </w:numPr>
        <w:spacing w:after="160" w:line="360" w:lineRule="auto"/>
        <w:rPr>
          <w:rFonts w:eastAsiaTheme="minorEastAsia"/>
        </w:rPr>
      </w:pPr>
      <w:r>
        <w:rPr>
          <w:rFonts w:eastAsiaTheme="minorEastAsia"/>
          <w:u w:val="single"/>
        </w:rPr>
        <w:t>Fundamentally Asymmetric Nature of Risk</w:t>
      </w:r>
      <w:r w:rsidRPr="00C70AA3">
        <w:rPr>
          <w:rFonts w:eastAsiaTheme="minorEastAsia"/>
        </w:rPr>
        <w:t>:</w:t>
      </w:r>
      <w:r>
        <w:rPr>
          <w:rFonts w:eastAsiaTheme="minorEastAsia"/>
        </w:rPr>
        <w:t xml:space="preserve"> In particular, variance is a symmetric measure that counts abnormally high returns as just as risky as abnormally low returns. In reality, many investors are only concerned about losses, and do not care about the dispersion or tightness of above-average returns. According to this view, the intuitive concept of risk is fundamentally asymmetric in nature.</w:t>
      </w:r>
    </w:p>
    <w:p w:rsidR="00C578FF" w:rsidRPr="00C578FF" w:rsidRDefault="00183F2E" w:rsidP="00087920">
      <w:pPr>
        <w:pStyle w:val="ListParagraph"/>
        <w:numPr>
          <w:ilvl w:val="0"/>
          <w:numId w:val="473"/>
        </w:numPr>
        <w:spacing w:after="160" w:line="360" w:lineRule="auto"/>
      </w:pPr>
      <w:r w:rsidRPr="00C578FF">
        <w:rPr>
          <w:rFonts w:eastAsiaTheme="minorEastAsia"/>
          <w:u w:val="single"/>
        </w:rPr>
        <w:t>Gaussian Nature of Returns Distribution</w:t>
      </w:r>
      <w:r w:rsidRPr="00C578FF">
        <w:rPr>
          <w:rFonts w:eastAsiaTheme="minorEastAsia"/>
        </w:rPr>
        <w:t>: MPT has also been criticized because it assumes that returns follow a Gaussian distribution (Taleb (2007)). Researchers have built on previous work that proposed using stable distributions instead, and have presented strategies for deriving optimal portfolios in such settings (Rachev and Mittnik (2000), Risk Manager Journal (2006), Doganoglu, Hartz, and Mittnik (2007)).</w:t>
      </w:r>
    </w:p>
    <w:p w:rsidR="00C41021" w:rsidRDefault="00183F2E" w:rsidP="00087920">
      <w:pPr>
        <w:pStyle w:val="ListParagraph"/>
        <w:numPr>
          <w:ilvl w:val="0"/>
          <w:numId w:val="473"/>
        </w:numPr>
        <w:spacing w:after="160" w:line="360" w:lineRule="auto"/>
      </w:pPr>
      <w:r w:rsidRPr="00C578FF">
        <w:rPr>
          <w:rFonts w:eastAsiaTheme="minorEastAsia"/>
          <w:u w:val="single"/>
        </w:rPr>
        <w:t>Extensions by Black and Litterman</w:t>
      </w:r>
      <w:r w:rsidRPr="00C578FF">
        <w:rPr>
          <w:rFonts w:eastAsiaTheme="minorEastAsia"/>
        </w:rPr>
        <w:t>: The Black-Litterman model is an extension of the unconstrained Markowitz optimization that incorporates relative and absolute “views” on inputs of risk and returns.</w:t>
      </w:r>
    </w:p>
    <w:p w:rsidR="006B522E" w:rsidRDefault="006B522E" w:rsidP="006B522E">
      <w:pPr>
        <w:spacing w:line="360" w:lineRule="auto"/>
        <w:rPr>
          <w:rFonts w:eastAsiaTheme="minorEastAsia"/>
        </w:rPr>
      </w:pPr>
    </w:p>
    <w:p w:rsidR="006B522E" w:rsidRDefault="006B522E" w:rsidP="006B522E">
      <w:pPr>
        <w:spacing w:line="360" w:lineRule="auto"/>
        <w:rPr>
          <w:rFonts w:eastAsiaTheme="minorEastAsia"/>
        </w:rPr>
      </w:pPr>
    </w:p>
    <w:p w:rsidR="006B522E" w:rsidRPr="00F60AB5" w:rsidRDefault="006B522E" w:rsidP="006B522E">
      <w:pPr>
        <w:spacing w:line="360" w:lineRule="auto"/>
        <w:rPr>
          <w:rFonts w:eastAsiaTheme="minorEastAsia"/>
          <w:b/>
        </w:rPr>
      </w:pPr>
      <w:r>
        <w:rPr>
          <w:rFonts w:eastAsiaTheme="minorEastAsia"/>
          <w:b/>
        </w:rPr>
        <w:t>Other Applications</w:t>
      </w:r>
    </w:p>
    <w:p w:rsidR="006B522E" w:rsidRDefault="006B522E" w:rsidP="006B522E">
      <w:pPr>
        <w:spacing w:line="360" w:lineRule="auto"/>
        <w:rPr>
          <w:rFonts w:eastAsiaTheme="minorEastAsia"/>
        </w:rPr>
      </w:pP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MPT Applied in Regional Science</w:t>
      </w:r>
      <w:r w:rsidRPr="00ED5222">
        <w:rPr>
          <w:rFonts w:eastAsiaTheme="minorEastAsia"/>
        </w:rPr>
        <w:t xml:space="preserve">: </w:t>
      </w:r>
      <w:r>
        <w:rPr>
          <w:rFonts w:eastAsiaTheme="minorEastAsia"/>
        </w:rPr>
        <w:t>In a series of seminal works, Michael Conroy modeled the labor force in economy using portfolio-theoretic methods to examine growth and variability in the labor force</w:t>
      </w:r>
      <w:r w:rsidRPr="00ED5222">
        <w:rPr>
          <w:rFonts w:eastAsiaTheme="minorEastAsia"/>
        </w:rPr>
        <w:t>.</w:t>
      </w:r>
      <w:r>
        <w:rPr>
          <w:rFonts w:eastAsiaTheme="minorEastAsia"/>
        </w:rPr>
        <w:t xml:space="preserve"> This was followed by a long literature on the relationship between economic growth and volatility (Chandra (2003)).</w:t>
      </w: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Modeling of the Concept of “Self”</w:t>
      </w:r>
      <w:r w:rsidRPr="00ED5222">
        <w:rPr>
          <w:rFonts w:eastAsiaTheme="minorEastAsia"/>
        </w:rPr>
        <w:t>:</w:t>
      </w:r>
      <w:r>
        <w:rPr>
          <w:rFonts w:eastAsiaTheme="minorEastAsia"/>
        </w:rPr>
        <w:t xml:space="preserve"> MPT has been used to model the concept of “self” in social psychology. When the self attributes comprising the self-concept constitute a well-diversified portfolio, the psychological outcomes at the level of an individual such as mood and self-esteem should be more stable than when the self-concept is undiversified (Chandra and Shadel (2007)). This prediction has been confirmed in studies involving human subjects.</w:t>
      </w: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Correlation/Uncertainty in Information Retrieval</w:t>
      </w:r>
      <w:r w:rsidRPr="001A6606">
        <w:rPr>
          <w:rFonts w:eastAsiaTheme="minorEastAsia"/>
        </w:rPr>
        <w:t>:</w:t>
      </w:r>
      <w:r>
        <w:rPr>
          <w:rFonts w:eastAsiaTheme="minorEastAsia"/>
        </w:rPr>
        <w:t xml:space="preserve"> Recently MPT has been applied to modeling the uncertainty and correlation between documents in information retrieval. Given a query, the aim is to maximize the overall relevance of a ranked list of documents and at the same time minimize the overall uncertainty of the ranked list (Wang (2009)).</w:t>
      </w:r>
    </w:p>
    <w:p w:rsidR="006B522E" w:rsidRDefault="006B522E" w:rsidP="006B522E">
      <w:pPr>
        <w:pStyle w:val="ListParagraph"/>
        <w:numPr>
          <w:ilvl w:val="0"/>
          <w:numId w:val="474"/>
        </w:numPr>
        <w:spacing w:after="160" w:line="360" w:lineRule="auto"/>
        <w:rPr>
          <w:rFonts w:eastAsiaTheme="minorEastAsia"/>
        </w:rPr>
      </w:pPr>
      <w:r>
        <w:rPr>
          <w:rFonts w:eastAsiaTheme="minorEastAsia"/>
          <w:u w:val="single"/>
        </w:rPr>
        <w:t>Project Portfolios/Non-Financial Assets</w:t>
      </w:r>
      <w:r w:rsidRPr="00182417">
        <w:rPr>
          <w:rFonts w:eastAsiaTheme="minorEastAsia"/>
        </w:rPr>
        <w:t>:</w:t>
      </w:r>
      <w:r>
        <w:rPr>
          <w:rFonts w:eastAsiaTheme="minorEastAsia"/>
        </w:rPr>
        <w:t xml:space="preserve"> When MPT is applied outside of traditional financial portfolios, some differences may need to be considered, e.g., the discrete nature of projects (i.e., projects may be all/nothing, have inseparable logical units, etc.), launch/closure limitations (e.g., no recovery/salvage of a half complete project) (Hubbard (2007), Sabbadini (2010)).</w:t>
      </w:r>
    </w:p>
    <w:p w:rsidR="006B522E" w:rsidRPr="00ED5222" w:rsidRDefault="006B522E" w:rsidP="006B522E">
      <w:pPr>
        <w:pStyle w:val="ListParagraph"/>
        <w:numPr>
          <w:ilvl w:val="0"/>
          <w:numId w:val="474"/>
        </w:numPr>
        <w:spacing w:after="160" w:line="360" w:lineRule="auto"/>
        <w:rPr>
          <w:rFonts w:eastAsiaTheme="minorEastAsia"/>
        </w:rPr>
      </w:pPr>
      <w:r>
        <w:rPr>
          <w:rFonts w:eastAsiaTheme="minorEastAsia"/>
          <w:u w:val="single"/>
        </w:rPr>
        <w:t>Re-defining the Investment Boundaries</w:t>
      </w:r>
      <w:r w:rsidRPr="00182417">
        <w:rPr>
          <w:rFonts w:eastAsiaTheme="minorEastAsia"/>
        </w:rPr>
        <w:t>:</w:t>
      </w:r>
      <w:r>
        <w:rPr>
          <w:rFonts w:eastAsiaTheme="minorEastAsia"/>
        </w:rPr>
        <w:t xml:space="preserve"> Some of the simplest elements of MPT are applicable to virtually any kind of portfolio. As an example, for major projects the MPT investment boundary can be defined in more general terms like “choice of an ROI less than the cost of capital” or “chance of losing more than half of the investment” as opposed to the well-defined historical variance used in MPT. When risk is specified in terms of the uncertainty of forecasts and possible losses, the concept is then transferrable to various types of investments (Hubbard (2007)).</w:t>
      </w:r>
    </w:p>
    <w:p w:rsidR="00C41021" w:rsidRDefault="00C41021" w:rsidP="00C41021">
      <w:pPr>
        <w:spacing w:line="360" w:lineRule="auto"/>
      </w:pPr>
    </w:p>
    <w:p w:rsidR="006B522E" w:rsidRDefault="006B522E" w:rsidP="00C41021">
      <w:pPr>
        <w:spacing w:line="360" w:lineRule="auto"/>
      </w:pPr>
    </w:p>
    <w:p w:rsidR="00C41021" w:rsidRDefault="00C41021" w:rsidP="00C41021">
      <w:pPr>
        <w:spacing w:line="360" w:lineRule="auto"/>
        <w:rPr>
          <w:b/>
          <w:sz w:val="28"/>
          <w:szCs w:val="28"/>
        </w:rPr>
      </w:pPr>
      <w:r>
        <w:rPr>
          <w:b/>
          <w:sz w:val="28"/>
          <w:szCs w:val="28"/>
        </w:rPr>
        <w:t>References</w:t>
      </w:r>
    </w:p>
    <w:p w:rsidR="00C41021" w:rsidRDefault="00C41021" w:rsidP="00C41021">
      <w:pPr>
        <w:tabs>
          <w:tab w:val="left" w:pos="7800"/>
        </w:tabs>
        <w:spacing w:line="360" w:lineRule="auto"/>
      </w:pPr>
      <w:r>
        <w:lastRenderedPageBreak/>
        <w:tab/>
      </w:r>
    </w:p>
    <w:p w:rsidR="006B522E" w:rsidRDefault="006B522E" w:rsidP="006B522E">
      <w:pPr>
        <w:pStyle w:val="ListParagraph"/>
        <w:numPr>
          <w:ilvl w:val="0"/>
          <w:numId w:val="373"/>
        </w:numPr>
        <w:spacing w:after="160" w:line="360" w:lineRule="auto"/>
      </w:pPr>
      <w:r>
        <w:t xml:space="preserve">Chandra, S. (2003): Regional Economy Size and the Growth-Instability Frontier: Evidence from Europe </w:t>
      </w:r>
      <w:r>
        <w:rPr>
          <w:i/>
        </w:rPr>
        <w:t>Journal of Regional Science</w:t>
      </w:r>
      <w:r>
        <w:t xml:space="preserve"> </w:t>
      </w:r>
      <w:r>
        <w:rPr>
          <w:b/>
        </w:rPr>
        <w:t>43 (1)</w:t>
      </w:r>
      <w:r>
        <w:t xml:space="preserve"> 95-122.</w:t>
      </w:r>
    </w:p>
    <w:p w:rsidR="006B522E" w:rsidRDefault="006B522E" w:rsidP="006B522E">
      <w:pPr>
        <w:pStyle w:val="ListParagraph"/>
        <w:numPr>
          <w:ilvl w:val="0"/>
          <w:numId w:val="373"/>
        </w:numPr>
        <w:spacing w:after="160" w:line="360" w:lineRule="auto"/>
      </w:pPr>
      <w:r>
        <w:t xml:space="preserve">Chandra, S., and W. G. Shadel (2007): Crossing Disciplinary Boundaries: Applying the Financial Portfolio Theory to Model the Organization of the Self-Concept </w:t>
      </w:r>
      <w:r>
        <w:rPr>
          <w:i/>
        </w:rPr>
        <w:t>Journal of Research in Personality</w:t>
      </w:r>
      <w:r>
        <w:t xml:space="preserve"> </w:t>
      </w:r>
      <w:r>
        <w:rPr>
          <w:b/>
        </w:rPr>
        <w:t>41 (2)</w:t>
      </w:r>
      <w:r>
        <w:t xml:space="preserve"> 346-373.</w:t>
      </w:r>
    </w:p>
    <w:p w:rsidR="006B522E" w:rsidRDefault="006B522E" w:rsidP="006B522E">
      <w:pPr>
        <w:pStyle w:val="ListParagraph"/>
        <w:numPr>
          <w:ilvl w:val="0"/>
          <w:numId w:val="373"/>
        </w:numPr>
        <w:spacing w:after="160" w:line="360" w:lineRule="auto"/>
      </w:pPr>
      <w:r>
        <w:t xml:space="preserve">Damghani, M. B. (2013): The Non-misleading Value of Inferred Correlation: An Introduction to the Co-intelation Model </w:t>
      </w:r>
      <w:r>
        <w:rPr>
          <w:i/>
        </w:rPr>
        <w:t>Wilmott Magazine</w:t>
      </w:r>
      <w:r>
        <w:t>.</w:t>
      </w:r>
    </w:p>
    <w:p w:rsidR="006B522E" w:rsidRDefault="006B522E" w:rsidP="006B522E">
      <w:pPr>
        <w:pStyle w:val="ListParagraph"/>
        <w:numPr>
          <w:ilvl w:val="0"/>
          <w:numId w:val="373"/>
        </w:numPr>
        <w:spacing w:after="160" w:line="360" w:lineRule="auto"/>
      </w:pPr>
      <w:r>
        <w:t xml:space="preserve">Doganoglu, T., C. Hartz, and S. Mittnik (2007): Portfolio Optimization when Risk Factors are Conditionally Varying and Heavy Tailed </w:t>
      </w:r>
      <w:r>
        <w:rPr>
          <w:i/>
        </w:rPr>
        <w:t>Computational Economics</w:t>
      </w:r>
      <w:r>
        <w:t xml:space="preserve"> </w:t>
      </w:r>
      <w:r>
        <w:rPr>
          <w:b/>
        </w:rPr>
        <w:t>29</w:t>
      </w:r>
      <w:r>
        <w:t xml:space="preserve"> 333-354.</w:t>
      </w:r>
    </w:p>
    <w:p w:rsidR="006B522E" w:rsidRDefault="006B522E" w:rsidP="006B522E">
      <w:pPr>
        <w:pStyle w:val="ListParagraph"/>
        <w:numPr>
          <w:ilvl w:val="0"/>
          <w:numId w:val="373"/>
        </w:numPr>
        <w:spacing w:after="160" w:line="360" w:lineRule="auto"/>
      </w:pPr>
      <w:r>
        <w:t xml:space="preserve">Hubbard, D. W. (2007): </w:t>
      </w:r>
      <w:r>
        <w:rPr>
          <w:i/>
        </w:rPr>
        <w:t>How to Measure Anything: Finding the Value of Intangibles in Business</w:t>
      </w:r>
      <w:r>
        <w:t xml:space="preserve"> </w:t>
      </w:r>
      <w:r>
        <w:rPr>
          <w:b/>
        </w:rPr>
        <w:t>John Wiley &amp; Sons</w:t>
      </w:r>
      <w:r>
        <w:t>.</w:t>
      </w:r>
    </w:p>
    <w:p w:rsidR="006B522E" w:rsidRDefault="006B522E" w:rsidP="006B522E">
      <w:pPr>
        <w:pStyle w:val="ListParagraph"/>
        <w:numPr>
          <w:ilvl w:val="0"/>
          <w:numId w:val="373"/>
        </w:numPr>
        <w:spacing w:after="160" w:line="360" w:lineRule="auto"/>
      </w:pPr>
      <w:r>
        <w:t xml:space="preserve">Hubbard, D. W. (2009): </w:t>
      </w:r>
      <w:r>
        <w:rPr>
          <w:i/>
        </w:rPr>
        <w:t>The Failure of Risk Management</w:t>
      </w:r>
      <w:r>
        <w:t xml:space="preserve"> </w:t>
      </w:r>
      <w:r>
        <w:rPr>
          <w:b/>
        </w:rPr>
        <w:t>John Wiley &amp; Sons</w:t>
      </w:r>
      <w:r>
        <w:t>.</w:t>
      </w:r>
    </w:p>
    <w:p w:rsidR="006B522E" w:rsidRDefault="006B522E" w:rsidP="006B522E">
      <w:pPr>
        <w:pStyle w:val="ListParagraph"/>
        <w:numPr>
          <w:ilvl w:val="0"/>
          <w:numId w:val="373"/>
        </w:numPr>
        <w:spacing w:after="160" w:line="360" w:lineRule="auto"/>
      </w:pPr>
      <w:r>
        <w:t xml:space="preserve">Markowitz, H. M. (1952): Portfolio Selection </w:t>
      </w:r>
      <w:r>
        <w:rPr>
          <w:i/>
        </w:rPr>
        <w:t>The Journal of Finance</w:t>
      </w:r>
      <w:r>
        <w:t xml:space="preserve"> </w:t>
      </w:r>
      <w:r>
        <w:rPr>
          <w:b/>
        </w:rPr>
        <w:t>7 (1)</w:t>
      </w:r>
      <w:r>
        <w:t xml:space="preserve"> 77-91.</w:t>
      </w:r>
    </w:p>
    <w:p w:rsidR="006B522E" w:rsidRPr="00872EE3" w:rsidRDefault="006B522E" w:rsidP="006B522E">
      <w:pPr>
        <w:pStyle w:val="ListParagraph"/>
        <w:numPr>
          <w:ilvl w:val="0"/>
          <w:numId w:val="373"/>
        </w:numPr>
        <w:spacing w:after="160" w:line="360" w:lineRule="auto"/>
      </w:pPr>
      <w:r>
        <w:t xml:space="preserve">Merton, R. (1972): An Analytic Derivation of the Efficient Portfolio Frontier </w:t>
      </w:r>
      <w:r>
        <w:rPr>
          <w:i/>
        </w:rPr>
        <w:t>Journal of Financial and Quantitative Analysis</w:t>
      </w:r>
      <w:r>
        <w:t xml:space="preserve"> </w:t>
      </w:r>
      <w:r>
        <w:rPr>
          <w:b/>
        </w:rPr>
        <w:t>7</w:t>
      </w:r>
      <w:r>
        <w:t xml:space="preserve"> 1851-1872.</w:t>
      </w:r>
    </w:p>
    <w:p w:rsidR="006B522E" w:rsidRDefault="00FD028E" w:rsidP="006B522E">
      <w:pPr>
        <w:pStyle w:val="ListParagraph"/>
        <w:numPr>
          <w:ilvl w:val="0"/>
          <w:numId w:val="373"/>
        </w:numPr>
        <w:spacing w:after="160" w:line="360" w:lineRule="auto"/>
      </w:pPr>
      <w:hyperlink r:id="rId187" w:history="1">
        <w:r w:rsidR="006B522E" w:rsidRPr="00D12E00">
          <w:rPr>
            <w:rStyle w:val="Hyperlink"/>
          </w:rPr>
          <w:t>Modern Portfolio Theory (Wiki)</w:t>
        </w:r>
      </w:hyperlink>
      <w:r w:rsidR="006B522E" w:rsidRPr="00D12E00">
        <w:t>.</w:t>
      </w:r>
    </w:p>
    <w:p w:rsidR="006B522E" w:rsidRDefault="006B522E" w:rsidP="006B522E">
      <w:pPr>
        <w:pStyle w:val="ListParagraph"/>
        <w:numPr>
          <w:ilvl w:val="0"/>
          <w:numId w:val="373"/>
        </w:numPr>
        <w:spacing w:after="160" w:line="360" w:lineRule="auto"/>
      </w:pPr>
      <w:r>
        <w:t xml:space="preserve">Rachev, S. T., and S. Mittnik (2000): </w:t>
      </w:r>
      <w:r>
        <w:rPr>
          <w:i/>
        </w:rPr>
        <w:t>Stable Paretian Models in Finance</w:t>
      </w:r>
      <w:r>
        <w:t xml:space="preserve"> </w:t>
      </w:r>
      <w:r>
        <w:rPr>
          <w:b/>
        </w:rPr>
        <w:t>Wiley</w:t>
      </w:r>
      <w:r>
        <w:t>.</w:t>
      </w:r>
    </w:p>
    <w:p w:rsidR="006B522E" w:rsidRDefault="006B522E" w:rsidP="006B522E">
      <w:pPr>
        <w:pStyle w:val="ListParagraph"/>
        <w:numPr>
          <w:ilvl w:val="0"/>
          <w:numId w:val="373"/>
        </w:numPr>
        <w:spacing w:after="160" w:line="360" w:lineRule="auto"/>
      </w:pPr>
      <w:r>
        <w:t xml:space="preserve">Risk Manager Journal (2006): </w:t>
      </w:r>
      <w:hyperlink r:id="rId188" w:history="1">
        <w:r w:rsidRPr="00D12E00">
          <w:rPr>
            <w:rStyle w:val="Hyperlink"/>
          </w:rPr>
          <w:t>New Approaches for Portfolio Optimization: Parting with the Bell Curve – Interview with Professor Rachev and Professor Mittnik</w:t>
        </w:r>
      </w:hyperlink>
      <w:r>
        <w:rPr>
          <w:rStyle w:val="Hyperlink"/>
        </w:rPr>
        <w:t>.</w:t>
      </w:r>
    </w:p>
    <w:p w:rsidR="006B522E" w:rsidRDefault="006B522E" w:rsidP="006B522E">
      <w:pPr>
        <w:pStyle w:val="ListParagraph"/>
        <w:numPr>
          <w:ilvl w:val="0"/>
          <w:numId w:val="373"/>
        </w:numPr>
        <w:spacing w:after="160" w:line="360" w:lineRule="auto"/>
      </w:pPr>
      <w:r>
        <w:t xml:space="preserve">Sabbadini, T. (2010): </w:t>
      </w:r>
      <w:r>
        <w:rPr>
          <w:i/>
        </w:rPr>
        <w:t>Manufacturing Portfolio Theory</w:t>
      </w:r>
      <w:r>
        <w:t xml:space="preserve"> </w:t>
      </w:r>
      <w:r>
        <w:rPr>
          <w:b/>
        </w:rPr>
        <w:t>Institute for Advanced Studies in Systems Research and Cybernetics</w:t>
      </w:r>
      <w:r>
        <w:t>.</w:t>
      </w:r>
    </w:p>
    <w:p w:rsidR="006B522E" w:rsidRDefault="006B522E" w:rsidP="006B522E">
      <w:pPr>
        <w:pStyle w:val="ListParagraph"/>
        <w:numPr>
          <w:ilvl w:val="0"/>
          <w:numId w:val="373"/>
        </w:numPr>
        <w:spacing w:after="160" w:line="360" w:lineRule="auto"/>
      </w:pPr>
      <w:r>
        <w:t xml:space="preserve">Taleb, N. N. (2007): </w:t>
      </w:r>
      <w:r>
        <w:rPr>
          <w:i/>
        </w:rPr>
        <w:t>The Black Swan: The Impact of the Highly Improbable</w:t>
      </w:r>
      <w:r>
        <w:t xml:space="preserve"> </w:t>
      </w:r>
      <w:r>
        <w:rPr>
          <w:b/>
        </w:rPr>
        <w:t>Random House</w:t>
      </w:r>
      <w:r>
        <w:t>.</w:t>
      </w:r>
    </w:p>
    <w:p w:rsidR="006B522E" w:rsidRDefault="006B522E" w:rsidP="006B522E">
      <w:pPr>
        <w:pStyle w:val="ListParagraph"/>
        <w:numPr>
          <w:ilvl w:val="0"/>
          <w:numId w:val="373"/>
        </w:numPr>
        <w:spacing w:after="160" w:line="360" w:lineRule="auto"/>
      </w:pPr>
      <w:r>
        <w:t xml:space="preserve">Wang, J. (2009)): </w:t>
      </w:r>
      <w:hyperlink r:id="rId189" w:history="1">
        <w:r w:rsidRPr="001A6606">
          <w:rPr>
            <w:rStyle w:val="Hyperlink"/>
          </w:rPr>
          <w:t>Portfolio Theory of Information Retrieval</w:t>
        </w:r>
      </w:hyperlink>
    </w:p>
    <w:p w:rsidR="00F33858" w:rsidRDefault="00F33858">
      <w:pPr>
        <w:spacing w:after="160" w:line="259" w:lineRule="auto"/>
      </w:pPr>
      <w:r>
        <w:br w:type="page"/>
      </w:r>
    </w:p>
    <w:p w:rsidR="00F33858" w:rsidRDefault="00F33858" w:rsidP="00F33858">
      <w:pPr>
        <w:spacing w:line="360" w:lineRule="auto"/>
        <w:jc w:val="center"/>
        <w:rPr>
          <w:b/>
          <w:sz w:val="32"/>
          <w:szCs w:val="32"/>
        </w:rPr>
      </w:pPr>
    </w:p>
    <w:p w:rsidR="00F33858" w:rsidRDefault="00F33858" w:rsidP="00F33858">
      <w:pPr>
        <w:spacing w:line="360" w:lineRule="auto"/>
        <w:jc w:val="center"/>
        <w:rPr>
          <w:b/>
          <w:sz w:val="32"/>
          <w:szCs w:val="32"/>
        </w:rPr>
      </w:pPr>
      <w:r>
        <w:rPr>
          <w:b/>
          <w:sz w:val="32"/>
          <w:szCs w:val="32"/>
        </w:rPr>
        <w:t>The Black-Litterman Model</w:t>
      </w:r>
    </w:p>
    <w:p w:rsidR="00F33858" w:rsidRDefault="00F33858" w:rsidP="00F33858">
      <w:pPr>
        <w:spacing w:line="360" w:lineRule="auto"/>
      </w:pPr>
    </w:p>
    <w:p w:rsidR="00F33858" w:rsidRDefault="00F33858" w:rsidP="00F33858">
      <w:pPr>
        <w:spacing w:line="360" w:lineRule="auto"/>
      </w:pPr>
    </w:p>
    <w:p w:rsidR="00F33858" w:rsidRDefault="00F33858" w:rsidP="00F33858">
      <w:pPr>
        <w:spacing w:line="360" w:lineRule="auto"/>
        <w:rPr>
          <w:b/>
          <w:sz w:val="28"/>
          <w:szCs w:val="28"/>
        </w:rPr>
      </w:pPr>
      <w:r>
        <w:rPr>
          <w:b/>
          <w:sz w:val="28"/>
          <w:szCs w:val="28"/>
        </w:rPr>
        <w:t>Overview</w:t>
      </w:r>
    </w:p>
    <w:p w:rsidR="00F33858" w:rsidRDefault="00F33858" w:rsidP="00F33858">
      <w:pPr>
        <w:spacing w:line="360" w:lineRule="auto"/>
      </w:pPr>
    </w:p>
    <w:p w:rsidR="00F33858" w:rsidRDefault="00F33858" w:rsidP="00123389">
      <w:pPr>
        <w:pStyle w:val="ListParagraph"/>
        <w:numPr>
          <w:ilvl w:val="0"/>
          <w:numId w:val="475"/>
        </w:numPr>
        <w:spacing w:after="160" w:line="360" w:lineRule="auto"/>
      </w:pPr>
      <w:r>
        <w:rPr>
          <w:u w:val="single"/>
        </w:rPr>
        <w:t>Black Litterman Chronology and Taxonomy</w:t>
      </w:r>
      <w:r w:rsidRPr="00550D1C">
        <w:t xml:space="preserve">: </w:t>
      </w:r>
      <w:r>
        <w:t>This section surveys the literature on the Black-Litterman model</w:t>
      </w:r>
      <w:r w:rsidRPr="00550D1C">
        <w:t>.</w:t>
      </w:r>
      <w:r>
        <w:t xml:space="preserve"> The survey, drawn heavily from Walters (2014), is provided as both a chronology and as a taxonomy, as there are many claims on the model in the literature.</w:t>
      </w:r>
    </w:p>
    <w:p w:rsidR="00F33858" w:rsidRDefault="00F33858" w:rsidP="00123389">
      <w:pPr>
        <w:pStyle w:val="ListParagraph"/>
        <w:numPr>
          <w:ilvl w:val="0"/>
          <w:numId w:val="475"/>
        </w:numPr>
        <w:spacing w:after="160" w:line="360" w:lineRule="auto"/>
      </w:pPr>
      <w:r>
        <w:rPr>
          <w:u w:val="single"/>
        </w:rPr>
        <w:t>The Canonical Model and Derivations</w:t>
      </w:r>
      <w:r w:rsidRPr="00B51B5E">
        <w:t>:</w:t>
      </w:r>
      <w:r>
        <w:t xml:space="preserve"> A complete description of the canonical model including full derivations from the underlying principles using both Theil’s Mixed Estimation Model and the Bayes’ Theory is provided.</w:t>
      </w:r>
    </w:p>
    <w:p w:rsidR="00F33858" w:rsidRPr="00550D1C" w:rsidRDefault="00F33858" w:rsidP="00123389">
      <w:pPr>
        <w:pStyle w:val="ListParagraph"/>
        <w:numPr>
          <w:ilvl w:val="0"/>
          <w:numId w:val="475"/>
        </w:numPr>
        <w:spacing w:after="160" w:line="360" w:lineRule="auto"/>
      </w:pPr>
      <w:r>
        <w:rPr>
          <w:u w:val="single"/>
        </w:rPr>
        <w:t>Model Parameters Calibration and Computation</w:t>
      </w:r>
      <w:r w:rsidRPr="00B51B5E">
        <w:t>:</w:t>
      </w:r>
      <w:r>
        <w:t xml:space="preserve"> The various parameters of the model are considered, along with the information on the calibration and the computation. Further treatment is given to several of the key papers, including worked samples illustrating the concept.</w:t>
      </w:r>
    </w:p>
    <w:p w:rsidR="00F33858" w:rsidRDefault="00F33858" w:rsidP="00F33858">
      <w:pPr>
        <w:spacing w:line="360" w:lineRule="auto"/>
      </w:pPr>
    </w:p>
    <w:p w:rsidR="00F33858" w:rsidRDefault="00F33858" w:rsidP="00F33858">
      <w:pPr>
        <w:spacing w:line="360" w:lineRule="auto"/>
      </w:pPr>
    </w:p>
    <w:p w:rsidR="00F33858" w:rsidRDefault="00F33858" w:rsidP="00F33858">
      <w:pPr>
        <w:spacing w:line="360" w:lineRule="auto"/>
        <w:rPr>
          <w:b/>
          <w:sz w:val="28"/>
          <w:szCs w:val="28"/>
        </w:rPr>
      </w:pPr>
      <w:r>
        <w:rPr>
          <w:b/>
          <w:sz w:val="28"/>
          <w:szCs w:val="28"/>
        </w:rPr>
        <w:t>Introduction</w:t>
      </w:r>
    </w:p>
    <w:p w:rsidR="00F33858" w:rsidRDefault="00F33858" w:rsidP="00F33858">
      <w:pPr>
        <w:spacing w:line="360" w:lineRule="auto"/>
      </w:pPr>
    </w:p>
    <w:p w:rsidR="00F33858" w:rsidRDefault="00F33858" w:rsidP="00123389">
      <w:pPr>
        <w:pStyle w:val="ListParagraph"/>
        <w:numPr>
          <w:ilvl w:val="0"/>
          <w:numId w:val="476"/>
        </w:numPr>
        <w:spacing w:after="160" w:line="360" w:lineRule="auto"/>
      </w:pPr>
      <w:r w:rsidRPr="00B34FBD">
        <w:rPr>
          <w:u w:val="single"/>
        </w:rPr>
        <w:t xml:space="preserve">Black Litterman </w:t>
      </w:r>
      <w:r>
        <w:rPr>
          <w:u w:val="single"/>
        </w:rPr>
        <w:t xml:space="preserve">Model </w:t>
      </w:r>
      <w:r w:rsidRPr="00B34FBD">
        <w:rPr>
          <w:u w:val="single"/>
        </w:rPr>
        <w:t xml:space="preserve">and </w:t>
      </w:r>
      <w:r>
        <w:rPr>
          <w:u w:val="single"/>
        </w:rPr>
        <w:t>Evolution</w:t>
      </w:r>
      <w:r w:rsidRPr="00B34FBD">
        <w:t>: Th</w:t>
      </w:r>
      <w:r>
        <w:t>e Black-Litterman model was first published by Fischer Black and Robert Litterman in 1990</w:t>
      </w:r>
      <w:r w:rsidRPr="00B34FBD">
        <w:t>.</w:t>
      </w:r>
      <w:r>
        <w:t xml:space="preserve"> During the 20+ years since the original paper, many authors have published research referring to their model as Black-Litterman. This has led to a variety of models being labeled as Back-Litterman even though they may be very different from the original model.</w:t>
      </w:r>
    </w:p>
    <w:p w:rsidR="00F33858" w:rsidRDefault="00F33858" w:rsidP="00123389">
      <w:pPr>
        <w:pStyle w:val="ListParagraph"/>
        <w:numPr>
          <w:ilvl w:val="0"/>
          <w:numId w:val="476"/>
        </w:numPr>
        <w:spacing w:after="160" w:line="360" w:lineRule="auto"/>
      </w:pPr>
      <w:r>
        <w:rPr>
          <w:u w:val="single"/>
        </w:rPr>
        <w:t>Variants in Literature and Taxonomy</w:t>
      </w:r>
      <w:r w:rsidRPr="003263F3">
        <w:t>:</w:t>
      </w:r>
      <w:r>
        <w:t xml:space="preserve"> In the chronological survey of the literature, Walters (2014) introduces several papers that make significant contributions to the literature on the Black-Litterman model. He also documents the taxonomy of models that have been described as Black-Litterman, and further refers to the Black-Litterman Model as described in the original papers as the Canonical Black-Litterman Model.</w:t>
      </w:r>
    </w:p>
    <w:p w:rsidR="00F33858" w:rsidRDefault="00F33858" w:rsidP="00123389">
      <w:pPr>
        <w:pStyle w:val="ListParagraph"/>
        <w:numPr>
          <w:ilvl w:val="0"/>
          <w:numId w:val="476"/>
        </w:numPr>
        <w:spacing w:after="160" w:line="360" w:lineRule="auto"/>
      </w:pPr>
      <w:r>
        <w:rPr>
          <w:u w:val="single"/>
        </w:rPr>
        <w:lastRenderedPageBreak/>
        <w:t>Equilibrium Market Portfolio as Prior</w:t>
      </w:r>
      <w:r w:rsidRPr="002C6B54">
        <w:t>:</w:t>
      </w:r>
      <w:r>
        <w:t xml:space="preserve"> The Canonical Model of Black-Litterman makes two significant contributions to the problem of asset allocation. First it provides an intuitive prior – the equilibrium market portfolio – as a starting point for the estimation of the asset returns.</w:t>
      </w:r>
    </w:p>
    <w:p w:rsidR="00F33858" w:rsidRDefault="00F33858" w:rsidP="00123389">
      <w:pPr>
        <w:pStyle w:val="ListParagraph"/>
        <w:numPr>
          <w:ilvl w:val="0"/>
          <w:numId w:val="476"/>
        </w:numPr>
        <w:spacing w:after="160" w:line="360" w:lineRule="auto"/>
      </w:pPr>
      <w:r>
        <w:rPr>
          <w:u w:val="single"/>
        </w:rPr>
        <w:t>Alternative Priors in Earlier Work</w:t>
      </w:r>
      <w:r w:rsidRPr="002C6B54">
        <w:t>:</w:t>
      </w:r>
      <w:r>
        <w:t xml:space="preserve"> Previous similar work started with the uninformative uniform prior distribution or with the global minimum variance portfolio. The latter method, studied by Frost and Savarino (1986) and Jorion (1986), took a shrinkage approach to describe the final asset allocation. Neither of these methods have an intuitive connection back to the market.</w:t>
      </w:r>
    </w:p>
    <w:p w:rsidR="00F33858" w:rsidRDefault="00F33858" w:rsidP="00123389">
      <w:pPr>
        <w:pStyle w:val="ListParagraph"/>
        <w:numPr>
          <w:ilvl w:val="0"/>
          <w:numId w:val="476"/>
        </w:numPr>
        <w:spacing w:after="160" w:line="360" w:lineRule="auto"/>
      </w:pPr>
      <w:r>
        <w:rPr>
          <w:u w:val="single"/>
        </w:rPr>
        <w:t>Shrinkage Based on “Reverse Optimization”</w:t>
      </w:r>
      <w:r w:rsidRPr="006B47AC">
        <w:t>:</w:t>
      </w:r>
      <w:r>
        <w:t xml:space="preserve"> The idea one could use “reverse optimization” to generate a stable distribution of returns from the equilibrium market portfolio as a starting point for shrinkage is a significant improvement to the process of returns estimation.</w:t>
      </w:r>
    </w:p>
    <w:p w:rsidR="00F33858" w:rsidRDefault="00F33858" w:rsidP="00123389">
      <w:pPr>
        <w:pStyle w:val="ListParagraph"/>
        <w:numPr>
          <w:ilvl w:val="0"/>
          <w:numId w:val="476"/>
        </w:numPr>
        <w:spacing w:after="160" w:line="360" w:lineRule="auto"/>
      </w:pPr>
      <w:r>
        <w:rPr>
          <w:u w:val="single"/>
        </w:rPr>
        <w:t>Incorporating Investors’ Views on Returns</w:t>
      </w:r>
      <w:r w:rsidRPr="006B47AC">
        <w:t>:</w:t>
      </w:r>
      <w:r>
        <w:t xml:space="preserve"> Second, the Black-Litterman model provides a clear way for the investors to specify views on returns and to blend those views with prior information. The investors’ views’ are allowed to be partial or complete, and the views can span arbitrary and overlapping sets of assets. The model outputs estimates of excess returns and the corresponding precision.</w:t>
      </w:r>
    </w:p>
    <w:p w:rsidR="00F33858" w:rsidRDefault="00F33858" w:rsidP="00123389">
      <w:pPr>
        <w:pStyle w:val="ListParagraph"/>
        <w:numPr>
          <w:ilvl w:val="0"/>
          <w:numId w:val="476"/>
        </w:numPr>
        <w:spacing w:after="160" w:line="360" w:lineRule="auto"/>
      </w:pPr>
      <w:r>
        <w:rPr>
          <w:u w:val="single"/>
        </w:rPr>
        <w:t>Blending Prior with the Investors’ Views</w:t>
      </w:r>
      <w:r w:rsidRPr="006B47AC">
        <w:t>:</w:t>
      </w:r>
      <w:r>
        <w:t xml:space="preserve"> Prior to Black and Litterman (1991a) nothing similar had been proposed for the portfolio selection problem. Theil’s mixing model had been developed, but nobody had applied it to the problem of estimating asset returns. No research linked the process of specifying the views to the blending of the prior and the investors’ views. The Black-Litterman model provides a quantitative framework for specifying the investors’ views, and a clear way to combine those investors’ views with an intuitive prior to arrive at a new combined distribution.</w:t>
      </w:r>
    </w:p>
    <w:p w:rsidR="00F33858" w:rsidRDefault="00F33858" w:rsidP="00123389">
      <w:pPr>
        <w:pStyle w:val="ListParagraph"/>
        <w:numPr>
          <w:ilvl w:val="0"/>
          <w:numId w:val="476"/>
        </w:numPr>
        <w:spacing w:after="160" w:line="360" w:lineRule="auto"/>
      </w:pPr>
      <w:r>
        <w:rPr>
          <w:u w:val="single"/>
        </w:rPr>
        <w:t>Enhancements to the Original Model</w:t>
      </w:r>
      <w:r w:rsidRPr="00AE404B">
        <w:t>:</w:t>
      </w:r>
      <w:r>
        <w:t xml:space="preserve"> The state of the art in the portfolio selection problem has significantly changed during the time since the publication of the original Black-Litterman model. Because of its rich theoretical basis it can be applied alongside several modern portfolio selection approaches as can be seen in the literature.</w:t>
      </w:r>
    </w:p>
    <w:p w:rsidR="00F33858" w:rsidRDefault="00F33858" w:rsidP="00F33858">
      <w:pPr>
        <w:spacing w:line="360" w:lineRule="auto"/>
      </w:pPr>
    </w:p>
    <w:p w:rsidR="00F33858" w:rsidRDefault="00F33858" w:rsidP="00F33858">
      <w:pPr>
        <w:spacing w:line="360" w:lineRule="auto"/>
      </w:pPr>
    </w:p>
    <w:p w:rsidR="00F33858" w:rsidRPr="00557507" w:rsidRDefault="00F33858" w:rsidP="00F33858">
      <w:pPr>
        <w:spacing w:line="360" w:lineRule="auto"/>
        <w:rPr>
          <w:b/>
          <w:sz w:val="28"/>
          <w:szCs w:val="28"/>
        </w:rPr>
      </w:pPr>
      <w:r w:rsidRPr="00557507">
        <w:rPr>
          <w:b/>
          <w:sz w:val="28"/>
          <w:szCs w:val="28"/>
        </w:rPr>
        <w:t>Historical Taxonomy and Literature Survey</w:t>
      </w:r>
    </w:p>
    <w:p w:rsidR="00F33858" w:rsidRDefault="00F33858" w:rsidP="00F33858">
      <w:pPr>
        <w:spacing w:line="360" w:lineRule="auto"/>
      </w:pPr>
    </w:p>
    <w:p w:rsidR="00F33858" w:rsidRDefault="00F33858" w:rsidP="00123389">
      <w:pPr>
        <w:pStyle w:val="ListParagraph"/>
        <w:numPr>
          <w:ilvl w:val="0"/>
          <w:numId w:val="477"/>
        </w:numPr>
        <w:spacing w:after="160" w:line="360" w:lineRule="auto"/>
      </w:pPr>
      <w:r w:rsidRPr="00C365AE">
        <w:rPr>
          <w:u w:val="single"/>
        </w:rPr>
        <w:lastRenderedPageBreak/>
        <w:t>Black-Litterman Model Classification Traits</w:t>
      </w:r>
      <w:r>
        <w:t xml:space="preserve">: The primary dimensions used by Walters (2014) to classify the models will be: does it specify the parameters as distributions or as point estimates, and does it include the parameter </w:t>
      </w:r>
      <m:oMath>
        <m:r>
          <w:rPr>
            <w:rFonts w:ascii="Cambria Math" w:hAnsi="Cambria Math"/>
          </w:rPr>
          <m:t>τ</m:t>
        </m:r>
      </m:oMath>
      <w:r>
        <w:t>. In order for an author’s model to be considered as the Canonical Black-Litterman it would need to match both these criteria.</w:t>
      </w:r>
    </w:p>
    <w:p w:rsidR="00F33858" w:rsidRDefault="00F33858" w:rsidP="00123389">
      <w:pPr>
        <w:pStyle w:val="ListParagraph"/>
        <w:numPr>
          <w:ilvl w:val="0"/>
          <w:numId w:val="477"/>
        </w:numPr>
        <w:spacing w:after="160" w:line="360" w:lineRule="auto"/>
      </w:pPr>
      <w:r>
        <w:rPr>
          <w:u w:val="single"/>
        </w:rPr>
        <w:t>Canonical Black-Litterman Reference Model</w:t>
      </w:r>
      <w:r w:rsidRPr="00557507">
        <w:t>:</w:t>
      </w:r>
      <w:r>
        <w:t xml:space="preserve"> Walters (2014) collects the efforts into three different Reference Models based on the dimensions provided above. The situation where both of the above conditions are met is called the Canonical Reference Model, i.e., the model described by the original authors.</w:t>
      </w:r>
    </w:p>
    <w:p w:rsidR="00F33858" w:rsidRDefault="00F33858" w:rsidP="00123389">
      <w:pPr>
        <w:pStyle w:val="ListParagraph"/>
        <w:numPr>
          <w:ilvl w:val="0"/>
          <w:numId w:val="477"/>
        </w:numPr>
        <w:spacing w:after="160" w:line="360" w:lineRule="auto"/>
      </w:pPr>
      <w:r>
        <w:rPr>
          <w:u w:val="single"/>
        </w:rPr>
        <w:t>Alternative Black-Litterman Reference Model</w:t>
      </w:r>
      <w:r w:rsidRPr="00557507">
        <w:t>:</w:t>
      </w:r>
      <w:r>
        <w:t xml:space="preserve"> The Alternate Reference Models describe models that use point estimates, but for some reason include </w:t>
      </w:r>
      <m:oMath>
        <m:r>
          <w:rPr>
            <w:rFonts w:ascii="Cambria Math" w:hAnsi="Cambria Math"/>
          </w:rPr>
          <m:t>τ</m:t>
        </m:r>
      </m:oMath>
      <w:r>
        <w:t>, which now becomes a scaling factor with no quantitative basis. These authors typically treat the model as just a shrinkage/mixing estimator, thereby losing the explicit connection to Bayesian statistics. As Walters (2014) shows, using the Bayes’ law formula – but substituting in different variables – is not theoretically tenable.</w:t>
      </w:r>
    </w:p>
    <w:p w:rsidR="00F33858" w:rsidRPr="00557507" w:rsidRDefault="00F33858" w:rsidP="00123389">
      <w:pPr>
        <w:pStyle w:val="ListParagraph"/>
        <w:numPr>
          <w:ilvl w:val="0"/>
          <w:numId w:val="477"/>
        </w:numPr>
        <w:spacing w:after="160" w:line="360" w:lineRule="auto"/>
      </w:pPr>
      <w:r>
        <w:rPr>
          <w:u w:val="single"/>
        </w:rPr>
        <w:t>“Beyond Black Litterman” Reference Model</w:t>
      </w:r>
      <w:r w:rsidRPr="00557507">
        <w:t>:</w:t>
      </w:r>
      <w:r>
        <w:t xml:space="preserve"> Finally the “Beyond Black Litterman” Reference Model uses point estimates and no longer includes </w:t>
      </w:r>
      <m:oMath>
        <m:r>
          <w:rPr>
            <w:rFonts w:ascii="Cambria Math" w:hAnsi="Cambria Math"/>
          </w:rPr>
          <m:t>τ</m:t>
        </m:r>
      </m:oMath>
      <w:r>
        <w:rPr>
          <w:rFonts w:eastAsiaTheme="minorEastAsia"/>
        </w:rPr>
        <w:t xml:space="preserve"> at all. This makes it a pure shrinkage/mixing model.</w:t>
      </w:r>
    </w:p>
    <w:p w:rsidR="00F33858" w:rsidRDefault="00F33858" w:rsidP="00123389">
      <w:pPr>
        <w:pStyle w:val="ListParagraph"/>
        <w:numPr>
          <w:ilvl w:val="0"/>
          <w:numId w:val="477"/>
        </w:numPr>
        <w:spacing w:after="160" w:line="360" w:lineRule="auto"/>
      </w:pPr>
      <w:r>
        <w:rPr>
          <w:u w:val="single"/>
        </w:rPr>
        <w:t>Black-Litterman Model First Version</w:t>
      </w:r>
      <w:r>
        <w:t>: The Black-Litterman Model was first published by Fischer Black and Robert Litterman of Goldman Sachs in an internal Goldman Sachs Fixed Income Research Note (Black and Litterman (1990)). This research note was extended into a paper (Black and Litterman (1991a)). The paper provides a good overview of the features of then model, but does not provide all of the formulas used in the model.</w:t>
      </w:r>
    </w:p>
    <w:p w:rsidR="00F33858" w:rsidRDefault="00F33858" w:rsidP="00123389">
      <w:pPr>
        <w:pStyle w:val="ListParagraph"/>
        <w:numPr>
          <w:ilvl w:val="0"/>
          <w:numId w:val="477"/>
        </w:numPr>
        <w:spacing w:after="160" w:line="360" w:lineRule="auto"/>
      </w:pPr>
      <w:r>
        <w:rPr>
          <w:u w:val="single"/>
        </w:rPr>
        <w:t>Black-Litterman Model Second Version</w:t>
      </w:r>
      <w:r w:rsidRPr="009C4C74">
        <w:t>:</w:t>
      </w:r>
      <w:r>
        <w:t xml:space="preserve"> A second internal Goldman Sachs Fixed Income research Note was published in the same year (Black and Litterman (1991b)). This paper was later extended and published in the Financial Analysis Journal (Black and Litterman (1992)). It provides the rationale for the methodology, and some steps involved in the derivation, but does not show all the formulas or a full derivation. It also includes a rather complex worked example based on global equilibrium – see Litterman (2003) on the details of the methods required to address this problem.</w:t>
      </w:r>
    </w:p>
    <w:p w:rsidR="00F33858" w:rsidRDefault="00F33858" w:rsidP="00123389">
      <w:pPr>
        <w:pStyle w:val="ListParagraph"/>
        <w:numPr>
          <w:ilvl w:val="0"/>
          <w:numId w:val="477"/>
        </w:numPr>
        <w:spacing w:after="160" w:line="360" w:lineRule="auto"/>
      </w:pPr>
      <w:r>
        <w:rPr>
          <w:u w:val="single"/>
        </w:rPr>
        <w:t>Black- Litterman Model Third Version</w:t>
      </w:r>
      <w:r w:rsidRPr="009C4C74">
        <w:t>:</w:t>
      </w:r>
      <w:r>
        <w:t xml:space="preserve"> Unfortunately, because of the merging of the two problems, the second version of the Black-Litterman Model produces results that are difficult </w:t>
      </w:r>
      <w:r>
        <w:lastRenderedPageBreak/>
        <w:t>to reproduce. He and Litterman (1999) provide more details on the workings of the model, but not a complete set of formulas. They do provide, however, a much simpler to reproduce working model.</w:t>
      </w:r>
    </w:p>
    <w:p w:rsidR="00F33858" w:rsidRDefault="00F33858" w:rsidP="00123389">
      <w:pPr>
        <w:pStyle w:val="ListParagraph"/>
        <w:numPr>
          <w:ilvl w:val="0"/>
          <w:numId w:val="477"/>
        </w:numPr>
        <w:spacing w:after="160" w:line="360" w:lineRule="auto"/>
      </w:pPr>
      <w:r>
        <w:rPr>
          <w:u w:val="single"/>
        </w:rPr>
        <w:t>Goldman Sachs Asset Allocation Process</w:t>
      </w:r>
      <w:r w:rsidRPr="00C8364E">
        <w:t>:</w:t>
      </w:r>
      <w:r>
        <w:t xml:space="preserve"> Bevan and Winkelmann provide details on how they use the Black-Litterman Model as part of their broader asset allocation process at Goldman Sachs, including some calibrations of the model which they perform. This is useful to anyone planning on building a Black-Litterman approach onto an ongoing asset allocation process.</w:t>
      </w:r>
    </w:p>
    <w:p w:rsidR="00F33858" w:rsidRDefault="00F33858" w:rsidP="00123389">
      <w:pPr>
        <w:pStyle w:val="ListParagraph"/>
        <w:numPr>
          <w:ilvl w:val="0"/>
          <w:numId w:val="477"/>
        </w:numPr>
        <w:spacing w:after="160" w:line="360" w:lineRule="auto"/>
      </w:pPr>
      <w:r>
        <w:rPr>
          <w:u w:val="single"/>
        </w:rPr>
        <w:t>The Satchell and Scowcroft Model</w:t>
      </w:r>
      <w:r w:rsidRPr="00EB775D">
        <w:t>:</w:t>
      </w:r>
      <w:r>
        <w:t xml:space="preserve"> Satchell and Scowcroft (2000) attempt to de-mystify the Black-Litterman Model, but instead introduce a new non-Bayesian expression of the model. Their model uses point estimates for the prior and the views, and use </w:t>
      </w:r>
      <m:oMath>
        <m:r>
          <w:rPr>
            <w:rFonts w:ascii="Cambria Math" w:hAnsi="Cambria Math"/>
          </w:rPr>
          <m:t>τ</m:t>
        </m:r>
      </m:oMath>
      <w:r>
        <w:t xml:space="preserve"> and </w:t>
      </w:r>
      <m:oMath>
        <m:r>
          <m:rPr>
            <m:sty m:val="p"/>
          </m:rPr>
          <w:rPr>
            <w:rFonts w:ascii="Cambria Math" w:hAnsi="Cambria Math"/>
          </w:rPr>
          <m:t>Ω</m:t>
        </m:r>
      </m:oMath>
      <w:r>
        <w:t xml:space="preserve"> only to control the shrinkage of the views on the prior. Because they use point estimates instead of distributions, their model does not include any information on the precision of the estimate. This allows them to recommend setting</w:t>
      </w:r>
    </w:p>
    <w:p w:rsidR="00F33858" w:rsidRDefault="00F33858" w:rsidP="00F33858">
      <w:pPr>
        <w:pStyle w:val="ListParagraph"/>
        <w:spacing w:line="360" w:lineRule="auto"/>
        <w:ind w:left="360"/>
        <w:rPr>
          <w:u w:val="single"/>
        </w:rPr>
      </w:pPr>
    </w:p>
    <w:p w:rsidR="00F33858" w:rsidRPr="00AC47BD" w:rsidRDefault="00F33858" w:rsidP="00F33858">
      <w:pPr>
        <w:pStyle w:val="ListParagraph"/>
        <w:spacing w:line="360" w:lineRule="auto"/>
        <w:ind w:left="360"/>
      </w:pPr>
      <m:oMathPara>
        <m:oMath>
          <m:r>
            <w:rPr>
              <w:rFonts w:ascii="Cambria Math" w:hAnsi="Cambria Math"/>
            </w:rPr>
            <m:t>τ=1</m:t>
          </m:r>
        </m:oMath>
      </m:oMathPara>
    </w:p>
    <w:p w:rsidR="00F33858" w:rsidRDefault="00F33858" w:rsidP="00F33858">
      <w:pPr>
        <w:pStyle w:val="ListParagraph"/>
        <w:spacing w:line="360" w:lineRule="auto"/>
        <w:ind w:left="360"/>
      </w:pPr>
    </w:p>
    <w:p w:rsidR="00F33858" w:rsidRPr="00B61630" w:rsidRDefault="00F33858" w:rsidP="00123389">
      <w:pPr>
        <w:pStyle w:val="ListParagraph"/>
        <w:numPr>
          <w:ilvl w:val="0"/>
          <w:numId w:val="477"/>
        </w:numPr>
        <w:spacing w:after="160" w:line="360" w:lineRule="auto"/>
      </w:pPr>
      <w:r>
        <w:rPr>
          <w:u w:val="single"/>
        </w:rPr>
        <w:t xml:space="preserve">Use of a Stochastic </w:t>
      </w:r>
      <m:oMath>
        <m:r>
          <w:rPr>
            <w:rFonts w:ascii="Cambria Math" w:hAnsi="Cambria Math"/>
            <w:u w:val="single"/>
          </w:rPr>
          <m:t>τ</m:t>
        </m:r>
      </m:oMath>
      <w:r>
        <w:rPr>
          <w:rFonts w:eastAsiaTheme="minorEastAsia"/>
        </w:rPr>
        <w:t xml:space="preserve">: Satchell and Scowcroft (2000) also introduce a stochastic </w:t>
      </w:r>
      <m:oMath>
        <m:r>
          <w:rPr>
            <w:rFonts w:ascii="Cambria Math" w:hAnsi="Cambria Math"/>
          </w:rPr>
          <m:t>τ</m:t>
        </m:r>
      </m:oMath>
      <w:r>
        <w:rPr>
          <w:rFonts w:eastAsiaTheme="minorEastAsia"/>
        </w:rPr>
        <w:t>, but because they use point estimates, this really becomes a model with stochastic covariance of returns. The model was occasionally used in the literature after this point, but was largely replaced by Meucci’s models in the mid-2000’s.</w:t>
      </w:r>
    </w:p>
    <w:p w:rsidR="00F33858" w:rsidRDefault="00F33858" w:rsidP="00123389">
      <w:pPr>
        <w:pStyle w:val="ListParagraph"/>
        <w:numPr>
          <w:ilvl w:val="0"/>
          <w:numId w:val="477"/>
        </w:numPr>
        <w:spacing w:after="160" w:line="360" w:lineRule="auto"/>
      </w:pPr>
      <w:r>
        <w:rPr>
          <w:u w:val="single"/>
        </w:rPr>
        <w:t>Black Litterman Model Confidence Estimation</w:t>
      </w:r>
      <w:r w:rsidRPr="00B61630">
        <w:t>:</w:t>
      </w:r>
      <w:r>
        <w:t xml:space="preserve"> Drobetz (2001) provides a further description of the Black-Litterman Model including a good description of how to interpret the confidence in the estimates including a diagram – he also works out an example.</w:t>
      </w:r>
    </w:p>
    <w:p w:rsidR="00F33858" w:rsidRPr="00B17F17" w:rsidRDefault="00F33858" w:rsidP="00123389">
      <w:pPr>
        <w:pStyle w:val="ListParagraph"/>
        <w:numPr>
          <w:ilvl w:val="0"/>
          <w:numId w:val="477"/>
        </w:numPr>
        <w:spacing w:after="160" w:line="360" w:lineRule="auto"/>
      </w:pPr>
      <w:r>
        <w:rPr>
          <w:u w:val="single"/>
        </w:rPr>
        <w:t>The Fusai and Meucci Model</w:t>
      </w:r>
      <w:r w:rsidRPr="00AC47BD">
        <w:t>:</w:t>
      </w:r>
      <w:r>
        <w:t xml:space="preserve"> Fusai and Meucci (2003) introduced yet another non-Bayesian variant of the model that removed the parameter </w:t>
      </w:r>
      <m:oMath>
        <m:r>
          <w:rPr>
            <w:rFonts w:ascii="Cambria Math" w:hAnsi="Cambria Math"/>
          </w:rPr>
          <m:t>τ</m:t>
        </m:r>
      </m:oMath>
      <w:r>
        <w:rPr>
          <w:rFonts w:eastAsiaTheme="minorEastAsia"/>
        </w:rPr>
        <w:t xml:space="preserve"> altogether. Meucci (2005) followed up on this paper and coined the phrase “Beyond Black Litterman”. Once the model is viewed as only a shrinkage model, </w:t>
      </w:r>
      <m:oMath>
        <m:r>
          <m:rPr>
            <m:sty m:val="p"/>
          </m:rPr>
          <w:rPr>
            <w:rFonts w:ascii="Cambria Math" w:hAnsi="Cambria Math"/>
          </w:rPr>
          <m:t>Ω</m:t>
        </m:r>
      </m:oMath>
      <w:r>
        <w:rPr>
          <w:rFonts w:eastAsiaTheme="minorEastAsia"/>
        </w:rPr>
        <w:t xml:space="preserve"> provides enough degrees of freedom to the shrinkage and the parameter </w:t>
      </w:r>
      <m:oMath>
        <m:r>
          <w:rPr>
            <w:rFonts w:ascii="Cambria Math" w:hAnsi="Cambria Math"/>
          </w:rPr>
          <m:t>τ</m:t>
        </m:r>
      </m:oMath>
      <w:r>
        <w:rPr>
          <w:rFonts w:eastAsiaTheme="minorEastAsia"/>
        </w:rPr>
        <w:t xml:space="preserve"> becomes superfluous and confusing. Since the mid-2000’s, there has been a mixture of the “Canonical” and the “Beyond Black Litterman” Models used in the literature </w:t>
      </w:r>
      <w:r>
        <w:rPr>
          <w:rFonts w:eastAsiaTheme="minorEastAsia"/>
        </w:rPr>
        <w:lastRenderedPageBreak/>
        <w:t xml:space="preserve">(a more comprehensive survey can be found at </w:t>
      </w:r>
      <w:hyperlink r:id="rId190" w:history="1">
        <w:r w:rsidRPr="00182941">
          <w:rPr>
            <w:rStyle w:val="Hyperlink"/>
            <w:rFonts w:eastAsiaTheme="minorEastAsia"/>
          </w:rPr>
          <w:t>http://www.blacklitterman.org/methods.html</w:t>
        </w:r>
      </w:hyperlink>
      <w:r>
        <w:rPr>
          <w:rFonts w:eastAsiaTheme="minorEastAsia"/>
        </w:rPr>
        <w:t>). However these hybrid models were later debunked by Michaud et al (2013).</w:t>
      </w:r>
    </w:p>
    <w:p w:rsidR="00F33858" w:rsidRPr="00616F43" w:rsidRDefault="00F33858" w:rsidP="00123389">
      <w:pPr>
        <w:pStyle w:val="ListParagraph"/>
        <w:numPr>
          <w:ilvl w:val="0"/>
          <w:numId w:val="477"/>
        </w:numPr>
        <w:spacing w:after="160" w:line="360" w:lineRule="auto"/>
      </w:pPr>
      <w:r>
        <w:rPr>
          <w:u w:val="single"/>
        </w:rPr>
        <w:t>The Firoozye and Blamont Model</w:t>
      </w:r>
      <w:r>
        <w:t xml:space="preserve">: Firoozye and Blamont (2003) provide a good overview of the Canonical Reference Model and present an intuition into the parameter </w:t>
      </w:r>
      <m:oMath>
        <m:r>
          <w:rPr>
            <w:rFonts w:ascii="Cambria Math" w:hAnsi="Cambria Math"/>
          </w:rPr>
          <m:t>τ</m:t>
        </m:r>
      </m:oMath>
      <w:r>
        <w:rPr>
          <w:rFonts w:eastAsiaTheme="minorEastAsia"/>
        </w:rPr>
        <w:t>. They also illustrate the reduction in the variance of the posterior estimate as a result of the mixing.</w:t>
      </w:r>
    </w:p>
    <w:p w:rsidR="00F33858" w:rsidRDefault="00F33858" w:rsidP="00123389">
      <w:pPr>
        <w:pStyle w:val="ListParagraph"/>
        <w:numPr>
          <w:ilvl w:val="0"/>
          <w:numId w:val="477"/>
        </w:numPr>
        <w:spacing w:after="160" w:line="360" w:lineRule="auto"/>
      </w:pPr>
      <w:r>
        <w:rPr>
          <w:u w:val="single"/>
        </w:rPr>
        <w:t>The Herold Model - Active Portfolios</w:t>
      </w:r>
      <w:r w:rsidRPr="00616F43">
        <w:t>:</w:t>
      </w:r>
      <w:r>
        <w:t xml:space="preserve"> Herold (2003) provides an alternate view of the problem where he examines optimizing alpha generation for active portfolio management, essentially specifying that the sample distribution has zero mean. He uses the Alternate Reference Model with point estimates and tracking error to determine how much shrinkage to allow. The two significant contributions by his paper are: a) application of the model to active portfolio management, and b) designing some additional measures that can be used to validate that the views are reasonable.</w:t>
      </w:r>
    </w:p>
    <w:p w:rsidR="00F33858" w:rsidRPr="00932E3D" w:rsidRDefault="00F33858" w:rsidP="00123389">
      <w:pPr>
        <w:pStyle w:val="ListParagraph"/>
        <w:numPr>
          <w:ilvl w:val="0"/>
          <w:numId w:val="477"/>
        </w:numPr>
        <w:spacing w:after="160" w:line="360" w:lineRule="auto"/>
      </w:pPr>
      <w:r>
        <w:rPr>
          <w:u w:val="single"/>
        </w:rPr>
        <w:t>The Koch Model - 100% Certainty</w:t>
      </w:r>
      <w:r w:rsidRPr="00616F43">
        <w:t>:</w:t>
      </w:r>
      <w:r>
        <w:t xml:space="preserve"> Koch (2008) includes derivations of the “master formula” and the alternative form under 100% certainty. He does not mention posterior variance, or show the alternate form of master formula under uncertainty (the general case). He does include a slide on the sensitivity of the posterior estimate of </w:t>
      </w:r>
      <m:oMath>
        <m:r>
          <w:rPr>
            <w:rFonts w:ascii="Cambria Math" w:hAnsi="Cambria Math"/>
          </w:rPr>
          <m:t>τ</m:t>
        </m:r>
      </m:oMath>
      <w:r>
        <w:rPr>
          <w:rFonts w:eastAsiaTheme="minorEastAsia"/>
        </w:rPr>
        <w:t>, but he uses the Alternate Reference Model, so this treatment is not valid for the Canonical Model.</w:t>
      </w:r>
    </w:p>
    <w:p w:rsidR="00F33858" w:rsidRPr="00E346CE" w:rsidRDefault="00F33858" w:rsidP="00123389">
      <w:pPr>
        <w:pStyle w:val="ListParagraph"/>
        <w:numPr>
          <w:ilvl w:val="0"/>
          <w:numId w:val="477"/>
        </w:numPr>
        <w:spacing w:after="160" w:line="360" w:lineRule="auto"/>
      </w:pPr>
      <w:r>
        <w:rPr>
          <w:u w:val="single"/>
        </w:rPr>
        <w:t>The Idzorek Model - Shrinkage Impact</w:t>
      </w:r>
      <w:r>
        <w:t xml:space="preserve">: Idzorek (2005) introduced a technique for specifying </w:t>
      </w:r>
      <m:oMath>
        <m:r>
          <m:rPr>
            <m:sty m:val="p"/>
          </m:rPr>
          <w:rPr>
            <w:rFonts w:ascii="Cambria Math" w:hAnsi="Cambria Math"/>
          </w:rPr>
          <m:t>Ω</m:t>
        </m:r>
      </m:oMath>
      <w:r>
        <w:rPr>
          <w:rFonts w:eastAsiaTheme="minorEastAsia"/>
        </w:rPr>
        <w:t xml:space="preserve"> such that the impact of the shrinkage was specified in terms of percentage of change in the weights between </w:t>
      </w:r>
      <m:oMath>
        <m:r>
          <w:rPr>
            <w:rFonts w:ascii="Cambria Math" w:hAnsi="Cambria Math"/>
          </w:rPr>
          <m:t>0</m:t>
        </m:r>
      </m:oMath>
      <w:r>
        <w:rPr>
          <w:rFonts w:eastAsiaTheme="minorEastAsia"/>
        </w:rPr>
        <w:t xml:space="preserve"> and the change caused by </w:t>
      </w:r>
      <m:oMath>
        <m:r>
          <w:rPr>
            <w:rFonts w:ascii="Cambria Math" w:hAnsi="Cambria Math"/>
          </w:rPr>
          <m:t>100%</m:t>
        </m:r>
      </m:oMath>
      <w:r>
        <w:rPr>
          <w:rFonts w:eastAsiaTheme="minorEastAsia"/>
        </w:rPr>
        <w:t xml:space="preserve"> confidence. His paper uses the Alternative Reference Model but his techniques can be applied to the Canonical Black-Litterman Model because it is sensitive to the value of </w:t>
      </w:r>
      <m:oMath>
        <m:r>
          <w:rPr>
            <w:rFonts w:ascii="Cambria Math" w:hAnsi="Cambria Math"/>
          </w:rPr>
          <m:t>τ</m:t>
        </m:r>
      </m:oMath>
      <w:r>
        <w:rPr>
          <w:rFonts w:eastAsiaTheme="minorEastAsia"/>
        </w:rPr>
        <w:t xml:space="preserve"> specified by the investor.</w:t>
      </w:r>
    </w:p>
    <w:p w:rsidR="00F33858" w:rsidRDefault="00F33858" w:rsidP="00123389">
      <w:pPr>
        <w:pStyle w:val="ListParagraph"/>
        <w:numPr>
          <w:ilvl w:val="0"/>
          <w:numId w:val="477"/>
        </w:numPr>
        <w:spacing w:after="160" w:line="360" w:lineRule="auto"/>
      </w:pPr>
      <w:r>
        <w:rPr>
          <w:u w:val="single"/>
        </w:rPr>
        <w:t>The Krishnan and Mains Model</w:t>
      </w:r>
      <w:r>
        <w:t>: Krishnan and Mains (2005) provide an extension to the Black-Litterman model to account for an additional factor that is uncorrelated with the market. They call this the two-factor Black-Litterman Model and they demonstrate an example of extending the Black-Litterman model with a recession factor. They show how it intuitively impacts the expected returns computed from the model.</w:t>
      </w:r>
    </w:p>
    <w:p w:rsidR="00F33858" w:rsidRPr="00311EC2" w:rsidRDefault="00F33858" w:rsidP="00123389">
      <w:pPr>
        <w:pStyle w:val="ListParagraph"/>
        <w:numPr>
          <w:ilvl w:val="0"/>
          <w:numId w:val="477"/>
        </w:numPr>
        <w:spacing w:after="160" w:line="360" w:lineRule="auto"/>
      </w:pPr>
      <w:r w:rsidRPr="00311EC2">
        <w:rPr>
          <w:u w:val="single"/>
        </w:rPr>
        <w:t xml:space="preserve">The Mankert Model </w:t>
      </w:r>
      <w:r>
        <w:rPr>
          <w:u w:val="single"/>
        </w:rPr>
        <w:t xml:space="preserve">- </w:t>
      </w:r>
      <w:r w:rsidRPr="00311EC2">
        <w:rPr>
          <w:u w:val="single"/>
        </w:rPr>
        <w:t>Sampling Theory</w:t>
      </w:r>
      <w:r>
        <w:t xml:space="preserve">: Mankert (2006) provides a detailed walk-through of the model and works the elaborate transformation between the two specifications of the Black-Litterman “master formula” for the estimated asset returns. She approaches the </w:t>
      </w:r>
      <w:r>
        <w:lastRenderedPageBreak/>
        <w:t xml:space="preserve">problem from the point of view of Sampling Theory and provides additional intuition on the value of </w:t>
      </w:r>
      <m:oMath>
        <m:r>
          <w:rPr>
            <w:rFonts w:ascii="Cambria Math" w:hAnsi="Cambria Math"/>
          </w:rPr>
          <m:t>τ</m:t>
        </m:r>
      </m:oMath>
      <w:r>
        <w:rPr>
          <w:rFonts w:eastAsiaTheme="minorEastAsia"/>
        </w:rPr>
        <w:t xml:space="preserve"> in the context of the Alternate Reference Model.</w:t>
      </w:r>
    </w:p>
    <w:p w:rsidR="00F33858" w:rsidRDefault="00F33858" w:rsidP="00123389">
      <w:pPr>
        <w:pStyle w:val="ListParagraph"/>
        <w:numPr>
          <w:ilvl w:val="0"/>
          <w:numId w:val="477"/>
        </w:numPr>
        <w:spacing w:after="160" w:line="360" w:lineRule="auto"/>
      </w:pPr>
      <w:r>
        <w:rPr>
          <w:u w:val="single"/>
        </w:rPr>
        <w:t>The Meucci Model - Non-Normality</w:t>
      </w:r>
      <w:r>
        <w:t>: Meucci (2006) provides a method for using non-normal views in the Black-Litterman model. Meucci (2008) extends this model to a wider range of parameters, and allows for the usage of the full distribution as well as for scenario analysis.</w:t>
      </w:r>
    </w:p>
    <w:p w:rsidR="00F33858" w:rsidRPr="00391B72" w:rsidRDefault="00F33858" w:rsidP="00123389">
      <w:pPr>
        <w:pStyle w:val="ListParagraph"/>
        <w:numPr>
          <w:ilvl w:val="0"/>
          <w:numId w:val="477"/>
        </w:numPr>
        <w:spacing w:after="160" w:line="360" w:lineRule="auto"/>
      </w:pPr>
      <w:r>
        <w:rPr>
          <w:u w:val="single"/>
        </w:rPr>
        <w:t>The Beach and Orlov Model</w:t>
      </w:r>
      <w:r w:rsidRPr="00391B72">
        <w:t>:</w:t>
      </w:r>
      <w:r>
        <w:t xml:space="preserve"> Beach and Orlov (2007) illustrate using GARCH models to generate the views. They use a model for international equities across 20 countries. They show how the results change as the investor uses different values for </w:t>
      </w:r>
      <m:oMath>
        <m:r>
          <w:rPr>
            <w:rFonts w:ascii="Cambria Math" w:hAnsi="Cambria Math"/>
          </w:rPr>
          <m:t>τ</m:t>
        </m:r>
      </m:oMath>
      <w:r>
        <w:rPr>
          <w:rFonts w:eastAsiaTheme="minorEastAsia"/>
        </w:rPr>
        <w:t>. They do not provide exact details for the uncertainty of the views and appear to be using an Alternative Reference Model even though their techniques can be applied to the Canonical Reference Model.</w:t>
      </w:r>
    </w:p>
    <w:p w:rsidR="00F33858" w:rsidRDefault="00F33858" w:rsidP="00123389">
      <w:pPr>
        <w:pStyle w:val="ListParagraph"/>
        <w:numPr>
          <w:ilvl w:val="0"/>
          <w:numId w:val="477"/>
        </w:numPr>
        <w:spacing w:after="160" w:line="360" w:lineRule="auto"/>
      </w:pPr>
      <w:r>
        <w:rPr>
          <w:u w:val="single"/>
        </w:rPr>
        <w:t>The Braga and Natale Model</w:t>
      </w:r>
      <w:r w:rsidRPr="00391B72">
        <w:t>:</w:t>
      </w:r>
      <w:r>
        <w:t xml:space="preserve"> Braga and Natale (2007) describe a model for calibrating the uncertainty in the views using the Tracking Error Volatility (TEV). They provide sensitivities for the posterior estimates to the various views. The TEV metric is well-known for its use in active portfolio management. They use the Alternative Reference Model, but their work could be used for the Canonical Reference Model as well.</w:t>
      </w:r>
    </w:p>
    <w:p w:rsidR="00F33858" w:rsidRDefault="00F33858" w:rsidP="00123389">
      <w:pPr>
        <w:pStyle w:val="ListParagraph"/>
        <w:numPr>
          <w:ilvl w:val="0"/>
          <w:numId w:val="477"/>
        </w:numPr>
        <w:spacing w:after="160" w:line="360" w:lineRule="auto"/>
      </w:pPr>
      <w:r>
        <w:rPr>
          <w:u w:val="single"/>
        </w:rPr>
        <w:t>The Martellini and Ziemann Model</w:t>
      </w:r>
      <w:r w:rsidRPr="00F71B1B">
        <w:t>:</w:t>
      </w:r>
      <w:r>
        <w:t xml:space="preserve"> Martellini and Ziemann (2007) describe an approach to the active management of a fund of hedge funds. They use VaR as their objective function for the reverse optimization, and they use a variant of the CAPM model extended to include skewness and kurtosis in determining the market portfolio. They use a factor model to generate the rankings, and then convert the rankings into their confidence in the views. They do not use Bayesian features of the model, but rather use point estimates, and thus do not have information on the precision of their estimates.</w:t>
      </w:r>
    </w:p>
    <w:p w:rsidR="00F33858" w:rsidRDefault="00F33858" w:rsidP="00123389">
      <w:pPr>
        <w:pStyle w:val="ListParagraph"/>
        <w:numPr>
          <w:ilvl w:val="0"/>
          <w:numId w:val="477"/>
        </w:numPr>
        <w:spacing w:after="160" w:line="360" w:lineRule="auto"/>
      </w:pPr>
      <w:r>
        <w:rPr>
          <w:u w:val="single"/>
        </w:rPr>
        <w:t>Stable Paretian Distributions for Measures</w:t>
      </w:r>
      <w:r>
        <w:t>: Giacometti, Bertocci, Rachev, and Fabozzi (2007) provide an approach to computing the neutral portfolio using stable Paretian distributions rather than the normal distribution described in the original Black and Litterman model. They also use multiple different measures of risk for their portfolio selection model – variance VaR and CVaR.</w:t>
      </w:r>
    </w:p>
    <w:p w:rsidR="00F33858" w:rsidRDefault="00F33858" w:rsidP="00123389">
      <w:pPr>
        <w:pStyle w:val="ListParagraph"/>
        <w:numPr>
          <w:ilvl w:val="0"/>
          <w:numId w:val="477"/>
        </w:numPr>
        <w:spacing w:after="160" w:line="360" w:lineRule="auto"/>
      </w:pPr>
      <w:r>
        <w:rPr>
          <w:u w:val="single"/>
        </w:rPr>
        <w:t>The Cheung Model</w:t>
      </w:r>
      <w:r w:rsidRPr="00E11B18">
        <w:t>:</w:t>
      </w:r>
      <w:r>
        <w:t xml:space="preserve"> Cheung (2009) introduces the concept of an augmented model. This version of the model integrates a factor model and does a joint estimation of the factor returns. Cheung uses an Alternate Reference Model, his variant of the model can easily be used with the Canonical Reference Model.</w:t>
      </w:r>
    </w:p>
    <w:p w:rsidR="00F33858" w:rsidRDefault="00F33858" w:rsidP="00123389">
      <w:pPr>
        <w:pStyle w:val="ListParagraph"/>
        <w:numPr>
          <w:ilvl w:val="0"/>
          <w:numId w:val="477"/>
        </w:numPr>
        <w:spacing w:after="160" w:line="360" w:lineRule="auto"/>
      </w:pPr>
      <w:r>
        <w:rPr>
          <w:u w:val="single"/>
        </w:rPr>
        <w:lastRenderedPageBreak/>
        <w:t>Bertsimas, Gupta, and Paschalidis Model</w:t>
      </w:r>
      <w:r w:rsidRPr="00E11B18">
        <w:t>:</w:t>
      </w:r>
      <w:r>
        <w:t xml:space="preserve"> Bertsimas, Gupta, and Paschalidis (2012) introduce a way to measure the alignment of views with prior estimate by comparing the view portfolio weights with the eigenvalues of the prior covariance matrix.</w:t>
      </w:r>
    </w:p>
    <w:p w:rsidR="00F33858" w:rsidRDefault="00F33858" w:rsidP="00123389">
      <w:pPr>
        <w:pStyle w:val="ListParagraph"/>
        <w:numPr>
          <w:ilvl w:val="0"/>
          <w:numId w:val="477"/>
        </w:numPr>
        <w:spacing w:after="160" w:line="360" w:lineRule="auto"/>
      </w:pPr>
      <w:r>
        <w:rPr>
          <w:u w:val="single"/>
        </w:rPr>
        <w:t>Michaud, Esch, and Michaud Model</w:t>
      </w:r>
      <w:r w:rsidRPr="00FA56BE">
        <w:t>:</w:t>
      </w:r>
      <w:r>
        <w:t xml:space="preserve"> Michaud, Esch, and Michaud (2012) provide a blistering critique of the Alternative Reference Model. Owing to their focus on the Alternative Reference Model, a significant part is devoted to problems with point estimates, and much of it is not relevant to the Canonical Reference Model. Further, the basic arguments are on the elementary statistical properties of time series, essentially ignoring non-stationary and auto-regressive models, as well as the richer, state-of-the-art econometric models.</w:t>
      </w:r>
    </w:p>
    <w:p w:rsidR="00F33858" w:rsidRPr="00F71B1B" w:rsidRDefault="00F33858" w:rsidP="00123389">
      <w:pPr>
        <w:pStyle w:val="ListParagraph"/>
        <w:numPr>
          <w:ilvl w:val="0"/>
          <w:numId w:val="477"/>
        </w:numPr>
        <w:spacing w:after="160" w:line="360" w:lineRule="auto"/>
      </w:pPr>
      <w:r>
        <w:rPr>
          <w:u w:val="single"/>
        </w:rPr>
        <w:t>Model Interoperability</w:t>
      </w:r>
      <w:r w:rsidRPr="007228B7">
        <w:t>:</w:t>
      </w:r>
      <w:r>
        <w:t xml:space="preserve"> Much of the work presented with any of the reference models can be used with the Canonical Reference Model, even if it has been initially formulated for the Alternative Reference Model (for additional notes, see Christodoulakis (2002)).</w:t>
      </w:r>
    </w:p>
    <w:p w:rsidR="00F33858" w:rsidRDefault="00F33858" w:rsidP="00F33858">
      <w:pPr>
        <w:spacing w:line="360" w:lineRule="auto"/>
      </w:pPr>
    </w:p>
    <w:p w:rsidR="00F33858" w:rsidRDefault="00F33858" w:rsidP="00F33858">
      <w:pPr>
        <w:spacing w:line="360" w:lineRule="auto"/>
      </w:pPr>
    </w:p>
    <w:p w:rsidR="00F33858" w:rsidRPr="0064476C" w:rsidRDefault="00F33858" w:rsidP="00F33858">
      <w:pPr>
        <w:spacing w:line="360" w:lineRule="auto"/>
        <w:rPr>
          <w:b/>
          <w:sz w:val="28"/>
          <w:szCs w:val="28"/>
        </w:rPr>
      </w:pPr>
      <w:r w:rsidRPr="0064476C">
        <w:rPr>
          <w:b/>
          <w:sz w:val="28"/>
          <w:szCs w:val="28"/>
        </w:rPr>
        <w:t>Canonical Black-Litterman Reference Model</w:t>
      </w:r>
    </w:p>
    <w:p w:rsidR="00F33858" w:rsidRDefault="00F33858" w:rsidP="00F33858">
      <w:pPr>
        <w:spacing w:line="360" w:lineRule="auto"/>
      </w:pPr>
    </w:p>
    <w:p w:rsidR="00F33858" w:rsidRDefault="00F33858" w:rsidP="00123389">
      <w:pPr>
        <w:pStyle w:val="ListParagraph"/>
        <w:numPr>
          <w:ilvl w:val="0"/>
          <w:numId w:val="478"/>
        </w:numPr>
        <w:spacing w:after="160" w:line="360" w:lineRule="auto"/>
      </w:pPr>
      <w:r w:rsidRPr="0064476C">
        <w:rPr>
          <w:u w:val="single"/>
        </w:rPr>
        <w:t>The Black-Litterman Reference Model</w:t>
      </w:r>
      <w:r w:rsidRPr="0064476C">
        <w:t>: The reference model for the returns is the base upon which the rest of the Black-Litterman Model is built. It includes assumptions on which variables are random, and which ones are not. It also defines which parameters are modeled, and which ones are not modeled. Most importantly, some authors of papers on the Black-Litterman model use reference models, e.g., Alternate Reference Models, or Beyond Black-Litterman Model, and these do not have the same theoretical basis as the Canonical one which was initially specified in Black and Litterman (1992).</w:t>
      </w:r>
    </w:p>
    <w:p w:rsidR="00F33858" w:rsidRDefault="00F33858" w:rsidP="00123389">
      <w:pPr>
        <w:pStyle w:val="ListParagraph"/>
        <w:numPr>
          <w:ilvl w:val="0"/>
          <w:numId w:val="478"/>
        </w:numPr>
        <w:spacing w:after="160" w:line="360" w:lineRule="auto"/>
      </w:pPr>
      <w:r>
        <w:rPr>
          <w:u w:val="single"/>
        </w:rPr>
        <w:t>Normal Distribution for Expected Returns</w:t>
      </w:r>
      <w:r w:rsidRPr="00B95E03">
        <w:t>:</w:t>
      </w:r>
      <w:r>
        <w:t xml:space="preserve"> The normally distributed expected returns can be expressed as</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r~</m:t>
          </m:r>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Ψ</m:t>
              </m:r>
            </m:e>
          </m:d>
        </m:oMath>
      </m:oMathPara>
    </w:p>
    <w:p w:rsidR="00F33858" w:rsidRDefault="00F33858" w:rsidP="00F33858">
      <w:pPr>
        <w:pStyle w:val="ListParagraph"/>
        <w:spacing w:line="360" w:lineRule="auto"/>
        <w:ind w:left="360"/>
        <w:rPr>
          <w:rFonts w:eastAsiaTheme="minorEastAsia"/>
        </w:rPr>
      </w:pPr>
    </w:p>
    <w:p w:rsidR="00F33858" w:rsidRPr="00B95E03" w:rsidRDefault="00F33858" w:rsidP="00F33858">
      <w:pPr>
        <w:pStyle w:val="ListParagraph"/>
        <w:spacing w:line="360" w:lineRule="auto"/>
        <w:ind w:left="360"/>
      </w:pPr>
      <w:r>
        <w:rPr>
          <w:rFonts w:eastAsiaTheme="minorEastAsia"/>
        </w:rPr>
        <w:t xml:space="preserve">The fundamental goal of the Black-Litterman model is to model the expected returns, which are assumed to be normally distributed with a mean </w:t>
      </w:r>
      <m:oMath>
        <m:r>
          <w:rPr>
            <w:rFonts w:ascii="Cambria Math" w:hAnsi="Cambria Math"/>
          </w:rPr>
          <m:t>μ</m:t>
        </m:r>
      </m:oMath>
      <w:r>
        <w:rPr>
          <w:rFonts w:eastAsiaTheme="minorEastAsia"/>
        </w:rPr>
        <w:t xml:space="preserve"> and variance </w:t>
      </w:r>
      <m:oMath>
        <m:r>
          <m:rPr>
            <m:sty m:val="p"/>
          </m:rPr>
          <w:rPr>
            <w:rFonts w:ascii="Cambria Math" w:hAnsi="Cambria Math"/>
          </w:rPr>
          <m:t>Ψ</m:t>
        </m:r>
      </m:oMath>
      <w:r>
        <w:rPr>
          <w:rFonts w:eastAsiaTheme="minorEastAsia"/>
        </w:rPr>
        <w:t xml:space="preserve">. Note that we will need </w:t>
      </w:r>
      <w:r>
        <w:rPr>
          <w:rFonts w:eastAsiaTheme="minorEastAsia"/>
        </w:rPr>
        <w:lastRenderedPageBreak/>
        <w:t>at least these values – the expected returns and the covariance matrix later as inputs into a portfolio selection model.</w:t>
      </w:r>
    </w:p>
    <w:p w:rsidR="00F33858" w:rsidRPr="00253114" w:rsidRDefault="00F33858" w:rsidP="00123389">
      <w:pPr>
        <w:pStyle w:val="ListParagraph"/>
        <w:numPr>
          <w:ilvl w:val="0"/>
          <w:numId w:val="478"/>
        </w:numPr>
        <w:spacing w:after="160" w:line="360" w:lineRule="auto"/>
      </w:pPr>
      <w:r>
        <w:rPr>
          <w:u w:val="single"/>
        </w:rPr>
        <w:t>The Random Unknown Mean Return</w:t>
      </w:r>
      <w:r w:rsidRPr="00B95E03">
        <w:t>:</w:t>
      </w:r>
      <w:r>
        <w:t xml:space="preserve"> We define </w:t>
      </w:r>
      <m:oMath>
        <m:r>
          <w:rPr>
            <w:rFonts w:ascii="Cambria Math" w:hAnsi="Cambria Math"/>
          </w:rPr>
          <m:t>μ</m:t>
        </m:r>
      </m:oMath>
      <w:r>
        <w:rPr>
          <w:rFonts w:eastAsiaTheme="minorEastAsia"/>
        </w:rPr>
        <w:t xml:space="preserve"> the unknown men return, as a random variable itself distributed as</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μ~</m:t>
          </m:r>
          <m:r>
            <m:rPr>
              <m:scr m:val="script"/>
            </m:rPr>
            <w:rPr>
              <w:rFonts w:ascii="Cambria Math" w:hAnsi="Cambria Math"/>
            </w:rPr>
            <m:t>N</m:t>
          </m:r>
          <m:d>
            <m:dPr>
              <m:ctrlPr>
                <w:rPr>
                  <w:rFonts w:ascii="Cambria Math" w:hAnsi="Cambria Math"/>
                  <w:i/>
                </w:rPr>
              </m:ctrlPr>
            </m:dPr>
            <m:e>
              <m:r>
                <w:rPr>
                  <w:rFonts w:ascii="Cambria Math" w:hAnsi="Cambria Math"/>
                </w:rPr>
                <m:t xml:space="preserve">ϰ, </m:t>
              </m:r>
              <m:sSub>
                <m:sSubPr>
                  <m:ctrlPr>
                    <w:rPr>
                      <w:rFonts w:ascii="Cambria Math" w:hAnsi="Cambria Math"/>
                    </w:rPr>
                  </m:ctrlPr>
                </m:sSubPr>
                <m:e>
                  <m:r>
                    <m:rPr>
                      <m:sty m:val="p"/>
                    </m:rPr>
                    <w:rPr>
                      <w:rFonts w:ascii="Cambria Math" w:hAnsi="Cambria Math"/>
                    </w:rPr>
                    <m:t>Ψ</m:t>
                  </m:r>
                </m:e>
                <m:sub>
                  <m:r>
                    <w:rPr>
                      <w:rFonts w:ascii="Cambria Math" w:hAnsi="Cambria Math"/>
                    </w:rPr>
                    <m:t>ϰ</m:t>
                  </m:r>
                </m:sub>
              </m:sSub>
            </m:e>
          </m:d>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
        <m:r>
          <w:rPr>
            <w:rFonts w:ascii="Cambria Math" w:hAnsi="Cambria Math"/>
          </w:rPr>
          <m:t>ϰ</m:t>
        </m:r>
      </m:oMath>
      <w:r>
        <w:rPr>
          <w:rFonts w:eastAsiaTheme="minorEastAsia"/>
        </w:rPr>
        <w:t xml:space="preserve"> is our estimate of the mean and </w:t>
      </w:r>
      <m:oMath>
        <m:sSub>
          <m:sSubPr>
            <m:ctrlPr>
              <w:rPr>
                <w:rFonts w:ascii="Cambria Math" w:hAnsi="Cambria Math"/>
              </w:rPr>
            </m:ctrlPr>
          </m:sSubPr>
          <m:e>
            <m:r>
              <m:rPr>
                <m:sty m:val="p"/>
              </m:rPr>
              <w:rPr>
                <w:rFonts w:ascii="Cambria Math" w:hAnsi="Cambria Math"/>
              </w:rPr>
              <m:t>Ψ</m:t>
            </m:r>
          </m:e>
          <m:sub>
            <m:r>
              <w:rPr>
                <w:rFonts w:ascii="Cambria Math" w:hAnsi="Cambria Math"/>
              </w:rPr>
              <m:t>ϰ</m:t>
            </m:r>
          </m:sub>
        </m:sSub>
      </m:oMath>
      <w:r>
        <w:rPr>
          <w:rFonts w:eastAsiaTheme="minorEastAsia"/>
        </w:rPr>
        <w:t xml:space="preserve"> is the variance of the unknown mean </w:t>
      </w:r>
      <m:oMath>
        <m:r>
          <w:rPr>
            <w:rFonts w:ascii="Cambria Math" w:hAnsi="Cambria Math"/>
          </w:rPr>
          <m:t>μ</m:t>
        </m:r>
      </m:oMath>
      <w:r>
        <w:rPr>
          <w:rFonts w:eastAsiaTheme="minorEastAsia"/>
        </w:rPr>
        <w:t xml:space="preserve"> about the estimate. Another way to view this simple relationship is shown in the formula below:</w:t>
      </w:r>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r>
            <w:rPr>
              <w:rFonts w:ascii="Cambria Math" w:hAnsi="Cambria Math"/>
            </w:rPr>
            <m:t>μ=ϰ+</m:t>
          </m:r>
          <m:sSub>
            <m:sSubPr>
              <m:ctrlPr>
                <w:rPr>
                  <w:rFonts w:ascii="Cambria Math" w:hAnsi="Cambria Math"/>
                  <w:i/>
                </w:rPr>
              </m:ctrlPr>
            </m:sSubPr>
            <m:e>
              <m:r>
                <w:rPr>
                  <w:rFonts w:ascii="Cambria Math" w:hAnsi="Cambria Math"/>
                </w:rPr>
                <m:t>ϵ</m:t>
              </m:r>
            </m:e>
            <m:sub>
              <m:r>
                <w:rPr>
                  <w:rFonts w:ascii="Cambria Math" w:hAnsi="Cambria Math"/>
                </w:rPr>
                <m:t>ϰ</m:t>
              </m:r>
            </m:sub>
          </m:sSub>
        </m:oMath>
      </m:oMathPara>
    </w:p>
    <w:p w:rsidR="00F33858" w:rsidRDefault="00F33858" w:rsidP="00F33858">
      <w:pPr>
        <w:pStyle w:val="ListParagraph"/>
        <w:spacing w:line="360" w:lineRule="auto"/>
        <w:ind w:left="360"/>
        <w:rPr>
          <w:rFonts w:eastAsiaTheme="minorEastAsia"/>
        </w:rPr>
      </w:pPr>
    </w:p>
    <w:p w:rsidR="00F33858" w:rsidRPr="00915855" w:rsidRDefault="00F33858" w:rsidP="00F33858">
      <w:pPr>
        <w:pStyle w:val="ListParagraph"/>
        <w:spacing w:line="360" w:lineRule="auto"/>
        <w:ind w:left="360"/>
      </w:pPr>
      <w:r>
        <w:rPr>
          <w:rFonts w:eastAsiaTheme="minorEastAsia"/>
        </w:rPr>
        <w:t xml:space="preserve">i.e., the prior returns are normally distributed around </w:t>
      </w:r>
      <m:oMath>
        <m:r>
          <w:rPr>
            <w:rFonts w:ascii="Cambria Math" w:hAnsi="Cambria Math"/>
          </w:rPr>
          <m:t>ϰ</m:t>
        </m:r>
      </m:oMath>
      <w:r>
        <w:rPr>
          <w:rFonts w:eastAsiaTheme="minorEastAsia"/>
        </w:rPr>
        <w:t xml:space="preserve"> with a disturbance value </w:t>
      </w:r>
      <m:oMath>
        <m:sSub>
          <m:sSubPr>
            <m:ctrlPr>
              <w:rPr>
                <w:rFonts w:ascii="Cambria Math" w:hAnsi="Cambria Math"/>
                <w:i/>
              </w:rPr>
            </m:ctrlPr>
          </m:sSubPr>
          <m:e>
            <m:r>
              <w:rPr>
                <w:rFonts w:ascii="Cambria Math" w:hAnsi="Cambria Math"/>
              </w:rPr>
              <m:t>ϵ</m:t>
            </m:r>
          </m:e>
          <m:sub>
            <m:r>
              <w:rPr>
                <w:rFonts w:ascii="Cambria Math" w:hAnsi="Cambria Math"/>
              </w:rPr>
              <m:t>ϰ</m:t>
            </m:r>
          </m:sub>
        </m:sSub>
      </m:oMath>
      <w:r>
        <w:rPr>
          <w:rFonts w:eastAsiaTheme="minorEastAsia"/>
        </w:rPr>
        <w:t>.</w:t>
      </w:r>
    </w:p>
    <w:p w:rsidR="00F33858" w:rsidRPr="00253114" w:rsidRDefault="00F33858" w:rsidP="00123389">
      <w:pPr>
        <w:pStyle w:val="ListParagraph"/>
        <w:numPr>
          <w:ilvl w:val="0"/>
          <w:numId w:val="478"/>
        </w:numPr>
        <w:spacing w:after="160" w:line="360" w:lineRule="auto"/>
      </w:pPr>
      <w:r w:rsidRPr="00915855">
        <w:rPr>
          <w:u w:val="single"/>
        </w:rPr>
        <w:t xml:space="preserve">Relation Between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ϰ</m:t>
            </m:r>
          </m:sub>
        </m:sSub>
      </m:oMath>
      <w:r w:rsidRPr="00915855">
        <w:rPr>
          <w:rFonts w:eastAsiaTheme="minorEastAsia"/>
          <w:u w:val="single"/>
        </w:rPr>
        <w:t xml:space="preserve"> and </w:t>
      </w:r>
      <m:oMath>
        <m:r>
          <w:rPr>
            <w:rFonts w:ascii="Cambria Math" w:hAnsi="Cambria Math"/>
            <w:u w:val="single"/>
          </w:rPr>
          <m:t>ϵ</m:t>
        </m:r>
      </m:oMath>
      <w:r>
        <w:rPr>
          <w:rFonts w:eastAsiaTheme="minorEastAsia"/>
        </w:rPr>
        <w:t xml:space="preserve">: </w:t>
      </w:r>
      <m:oMath>
        <m:sSub>
          <m:sSubPr>
            <m:ctrlPr>
              <w:rPr>
                <w:rFonts w:ascii="Cambria Math" w:hAnsi="Cambria Math"/>
                <w:i/>
              </w:rPr>
            </m:ctrlPr>
          </m:sSubPr>
          <m:e>
            <m:r>
              <w:rPr>
                <w:rFonts w:ascii="Cambria Math" w:hAnsi="Cambria Math"/>
              </w:rPr>
              <m:t>ϵ</m:t>
            </m:r>
          </m:e>
          <m:sub>
            <m:r>
              <w:rPr>
                <w:rFonts w:ascii="Cambria Math" w:hAnsi="Cambria Math"/>
              </w:rPr>
              <m:t>ϰ</m:t>
            </m:r>
          </m:sub>
        </m:sSub>
      </m:oMath>
      <w:r>
        <w:rPr>
          <w:rFonts w:eastAsiaTheme="minorEastAsia"/>
        </w:rPr>
        <w:t xml:space="preserve"> is normally distributed with zero mean and </w:t>
      </w:r>
      <m:oMath>
        <m:sSub>
          <m:sSubPr>
            <m:ctrlPr>
              <w:rPr>
                <w:rFonts w:ascii="Cambria Math" w:hAnsi="Cambria Math"/>
              </w:rPr>
            </m:ctrlPr>
          </m:sSubPr>
          <m:e>
            <m:r>
              <m:rPr>
                <m:sty m:val="p"/>
              </m:rPr>
              <w:rPr>
                <w:rFonts w:ascii="Cambria Math" w:hAnsi="Cambria Math"/>
              </w:rPr>
              <m:t>Ψ</m:t>
            </m:r>
          </m:e>
          <m:sub>
            <m:r>
              <w:rPr>
                <w:rFonts w:ascii="Cambria Math" w:hAnsi="Cambria Math"/>
              </w:rPr>
              <m:t>ϰ</m:t>
            </m:r>
          </m:sub>
        </m:sSub>
      </m:oMath>
      <w:r>
        <w:rPr>
          <w:rFonts w:eastAsiaTheme="minorEastAsia"/>
        </w:rPr>
        <w:t xml:space="preserve"> variance, and is assumed to be uncorrelated with </w:t>
      </w:r>
      <m:oMath>
        <m:r>
          <w:rPr>
            <w:rFonts w:ascii="Cambria Math" w:hAnsi="Cambria Math"/>
          </w:rPr>
          <m:t>ϵ</m:t>
        </m:r>
      </m:oMath>
      <w:r>
        <w:rPr>
          <w:rFonts w:eastAsiaTheme="minorEastAsia"/>
        </w:rPr>
        <w:t xml:space="preserve">, where </w:t>
      </w:r>
      <m:oMath>
        <m:r>
          <w:rPr>
            <w:rFonts w:ascii="Cambria Math" w:hAnsi="Cambria Math"/>
          </w:rPr>
          <m:t>ϵ</m:t>
        </m:r>
      </m:oMath>
      <w:r>
        <w:rPr>
          <w:rFonts w:eastAsiaTheme="minorEastAsia"/>
        </w:rPr>
        <w:t xml:space="preserve"> is defined as</w:t>
      </w:r>
    </w:p>
    <w:p w:rsidR="00F33858" w:rsidRDefault="00F33858" w:rsidP="00F33858">
      <w:pPr>
        <w:pStyle w:val="ListParagraph"/>
        <w:spacing w:line="360" w:lineRule="auto"/>
        <w:ind w:left="360"/>
        <w:rPr>
          <w:u w:val="single"/>
        </w:rPr>
      </w:pPr>
    </w:p>
    <w:p w:rsidR="00F33858" w:rsidRPr="00253114" w:rsidRDefault="00F33858" w:rsidP="00F33858">
      <w:pPr>
        <w:pStyle w:val="ListParagraph"/>
        <w:spacing w:line="360" w:lineRule="auto"/>
        <w:ind w:left="360"/>
        <w:rPr>
          <w:rFonts w:eastAsiaTheme="minorEastAsia"/>
        </w:rPr>
      </w:pPr>
      <m:oMathPara>
        <m:oMath>
          <m:r>
            <w:rPr>
              <w:rFonts w:ascii="Cambria Math" w:eastAsiaTheme="minorEastAsia" w:hAnsi="Cambria Math"/>
            </w:rPr>
            <m:t>r=μ+</m:t>
          </m:r>
          <m:r>
            <w:rPr>
              <w:rFonts w:ascii="Cambria Math" w:hAnsi="Cambria Math"/>
            </w:rPr>
            <m:t>ϵ</m:t>
          </m:r>
        </m:oMath>
      </m:oMathPara>
    </w:p>
    <w:p w:rsidR="00F33858" w:rsidRPr="00915855" w:rsidRDefault="00F33858" w:rsidP="00F33858">
      <w:pPr>
        <w:pStyle w:val="ListParagraph"/>
        <w:spacing w:line="360" w:lineRule="auto"/>
        <w:ind w:left="360"/>
      </w:pPr>
    </w:p>
    <w:p w:rsidR="00F33858" w:rsidRDefault="00F33858" w:rsidP="00123389">
      <w:pPr>
        <w:pStyle w:val="ListParagraph"/>
        <w:numPr>
          <w:ilvl w:val="0"/>
          <w:numId w:val="478"/>
        </w:numPr>
        <w:spacing w:after="160" w:line="360" w:lineRule="auto"/>
      </w:pPr>
      <w:r>
        <w:rPr>
          <w:u w:val="single"/>
        </w:rPr>
        <w:t>Relationship between all the Variances</w:t>
      </w:r>
      <w:r w:rsidRPr="00915855">
        <w:t>:</w:t>
      </w:r>
      <w:r>
        <w:t xml:space="preserve"> The Reference Model can be completed by defining </w:t>
      </w:r>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oMath>
      <w:r>
        <w:t xml:space="preserve"> as the variance of the returns about our estimate </w:t>
      </w:r>
      <m:oMath>
        <m:r>
          <w:rPr>
            <w:rFonts w:ascii="Cambria Math" w:hAnsi="Cambria Math"/>
          </w:rPr>
          <m:t>ϰ</m:t>
        </m:r>
      </m:oMath>
      <w:r>
        <w:t>. From</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μ=ϰ+</m:t>
          </m:r>
          <m:sSub>
            <m:sSubPr>
              <m:ctrlPr>
                <w:rPr>
                  <w:rFonts w:ascii="Cambria Math" w:hAnsi="Cambria Math"/>
                  <w:i/>
                </w:rPr>
              </m:ctrlPr>
            </m:sSubPr>
            <m:e>
              <m:r>
                <w:rPr>
                  <w:rFonts w:ascii="Cambria Math" w:hAnsi="Cambria Math"/>
                </w:rPr>
                <m:t>ϵ</m:t>
              </m:r>
            </m:e>
            <m:sub>
              <m:r>
                <w:rPr>
                  <w:rFonts w:ascii="Cambria Math" w:hAnsi="Cambria Math"/>
                </w:rPr>
                <m:t>ϰ</m:t>
              </m:r>
            </m:sub>
          </m:sSub>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pPr>
      <w:r>
        <w:t xml:space="preserve">and the assumption above that </w:t>
      </w:r>
      <m:oMath>
        <m:r>
          <w:rPr>
            <w:rFonts w:ascii="Cambria Math" w:hAnsi="Cambria Math"/>
          </w:rPr>
          <m:t>ϰ</m:t>
        </m:r>
      </m:oMath>
      <w:r>
        <w:t xml:space="preserve"> and </w:t>
      </w:r>
      <m:oMath>
        <m:r>
          <w:rPr>
            <w:rFonts w:ascii="Cambria Math" w:hAnsi="Cambria Math"/>
          </w:rPr>
          <m:t>μ</m:t>
        </m:r>
      </m:oMath>
      <w:r>
        <w:t xml:space="preserve"> are not correlated, the formula to compute </w:t>
      </w:r>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oMath>
      <w:r>
        <w:t xml:space="preserve"> is</w:t>
      </w:r>
    </w:p>
    <w:p w:rsidR="00F33858" w:rsidRDefault="00F33858" w:rsidP="00F33858">
      <w:pPr>
        <w:pStyle w:val="ListParagraph"/>
        <w:spacing w:line="360" w:lineRule="auto"/>
        <w:ind w:left="360"/>
      </w:pPr>
    </w:p>
    <w:p w:rsidR="00F33858" w:rsidRPr="00253114" w:rsidRDefault="00FD028E" w:rsidP="00F33858">
      <w:pPr>
        <w:pStyle w:val="ListParagraph"/>
        <w:spacing w:line="360" w:lineRule="auto"/>
        <w:ind w:left="360"/>
        <w:rPr>
          <w:rFonts w:eastAsiaTheme="minorEastAsia"/>
        </w:rPr>
      </w:pPr>
      <m:oMathPara>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r>
            <w:rPr>
              <w:rFonts w:ascii="Cambria Math" w:hAnsi="Cambria Math"/>
            </w:rPr>
            <m:t>=</m:t>
          </m:r>
          <m:r>
            <m:rPr>
              <m:sty m:val="p"/>
            </m:rPr>
            <w:rPr>
              <w:rFonts w:ascii="Cambria Math" w:hAnsi="Cambria Math"/>
            </w:rPr>
            <m:t>Ψ</m:t>
          </m:r>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ϰ</m:t>
              </m:r>
            </m:sub>
          </m:sSub>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pPr>
      <w:r>
        <w:t>The formula indicates that the proper relationship between the variances is</w:t>
      </w:r>
    </w:p>
    <w:p w:rsidR="00F33858" w:rsidRDefault="00F33858" w:rsidP="00F33858">
      <w:pPr>
        <w:pStyle w:val="ListParagraph"/>
        <w:spacing w:line="360" w:lineRule="auto"/>
        <w:ind w:left="360"/>
      </w:pPr>
    </w:p>
    <w:p w:rsidR="00F33858" w:rsidRPr="00253114" w:rsidRDefault="00FD028E" w:rsidP="00F33858">
      <w:pPr>
        <w:pStyle w:val="ListParagraph"/>
        <w:spacing w:line="360" w:lineRule="auto"/>
        <w:ind w:left="360"/>
        <w:rPr>
          <w:rFonts w:eastAsiaTheme="minorEastAsia"/>
        </w:rPr>
      </w:pPr>
      <m:oMathPara>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m:rPr>
                      <m:sty m:val="p"/>
                    </m:rPr>
                    <w:rPr>
                      <w:rFonts w:ascii="Cambria Math" w:hAnsi="Cambria Math"/>
                    </w:rPr>
                    <m:t>Ψ</m:t>
                  </m:r>
                  <m:r>
                    <w:rPr>
                      <w:rFonts w:ascii="Cambria Math" w:hAnsi="Cambria Math"/>
                    </w:rPr>
                    <m:t xml:space="preserve">, </m:t>
                  </m:r>
                  <m:sSub>
                    <m:sSubPr>
                      <m:ctrlPr>
                        <w:rPr>
                          <w:rFonts w:ascii="Cambria Math" w:hAnsi="Cambria Math"/>
                        </w:rPr>
                      </m:ctrlPr>
                    </m:sSubPr>
                    <m:e>
                      <m:r>
                        <m:rPr>
                          <m:sty m:val="p"/>
                        </m:rPr>
                        <w:rPr>
                          <w:rFonts w:ascii="Cambria Math" w:hAnsi="Cambria Math"/>
                        </w:rPr>
                        <m:t>Ψ</m:t>
                      </m:r>
                    </m:e>
                    <m:sub>
                      <m:r>
                        <w:rPr>
                          <w:rFonts w:ascii="Cambria Math" w:hAnsi="Cambria Math"/>
                        </w:rPr>
                        <m:t>ϰ</m:t>
                      </m:r>
                    </m:sub>
                  </m:sSub>
                </m:e>
              </m:d>
            </m:e>
          </m:func>
        </m:oMath>
      </m:oMathPara>
    </w:p>
    <w:p w:rsidR="00F33858" w:rsidRPr="005C4B13" w:rsidRDefault="00F33858" w:rsidP="00F33858">
      <w:pPr>
        <w:pStyle w:val="ListParagraph"/>
        <w:spacing w:line="360" w:lineRule="auto"/>
        <w:ind w:left="360"/>
      </w:pPr>
    </w:p>
    <w:p w:rsidR="00F33858" w:rsidRPr="00253114" w:rsidRDefault="00F33858" w:rsidP="00123389">
      <w:pPr>
        <w:pStyle w:val="ListParagraph"/>
        <w:numPr>
          <w:ilvl w:val="0"/>
          <w:numId w:val="478"/>
        </w:numPr>
        <w:spacing w:after="160" w:line="360" w:lineRule="auto"/>
      </w:pPr>
      <w:r>
        <w:rPr>
          <w:u w:val="single"/>
        </w:rPr>
        <w:lastRenderedPageBreak/>
        <w:t xml:space="preserve">Boundary Conditions Check for </w:t>
      </w:r>
      <m:oMath>
        <m:sSub>
          <m:sSubPr>
            <m:ctrlPr>
              <w:rPr>
                <w:rFonts w:ascii="Cambria Math" w:hAnsi="Cambria Math"/>
                <w:u w:val="single"/>
              </w:rPr>
            </m:ctrlPr>
          </m:sSubPr>
          <m:e>
            <m:r>
              <m:rPr>
                <m:sty m:val="p"/>
              </m:rPr>
              <w:rPr>
                <w:rFonts w:ascii="Cambria Math" w:hAnsi="Cambria Math"/>
                <w:u w:val="single"/>
              </w:rPr>
              <m:t>Ψ</m:t>
            </m:r>
          </m:e>
          <m:sub>
            <m:r>
              <w:rPr>
                <w:rFonts w:ascii="Cambria Math" w:hAnsi="Cambria Math"/>
                <w:u w:val="single"/>
              </w:rPr>
              <m:t>r</m:t>
            </m:r>
          </m:sub>
        </m:sSub>
      </m:oMath>
      <w:r>
        <w:rPr>
          <w:rFonts w:eastAsiaTheme="minorEastAsia"/>
        </w:rPr>
        <w:t>: A check at the boundaries ensures that the Reference Model is correct. In the absence of estimation error, e.g.</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ϵ=0</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then</w:t>
      </w:r>
    </w:p>
    <w:p w:rsidR="00F33858" w:rsidRDefault="00F33858" w:rsidP="00F33858">
      <w:pPr>
        <w:pStyle w:val="ListParagraph"/>
        <w:spacing w:line="360" w:lineRule="auto"/>
        <w:ind w:left="360"/>
        <w:rPr>
          <w:rFonts w:eastAsiaTheme="minorEastAsia"/>
        </w:rPr>
      </w:pPr>
    </w:p>
    <w:p w:rsidR="00F33858" w:rsidRDefault="00FD028E" w:rsidP="00F33858">
      <w:pPr>
        <w:pStyle w:val="ListParagraph"/>
        <w:spacing w:line="360" w:lineRule="auto"/>
        <w:ind w:left="360"/>
        <w:rPr>
          <w:rFonts w:eastAsiaTheme="minorEastAsia"/>
        </w:rPr>
      </w:pPr>
      <m:oMathPara>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r>
            <w:rPr>
              <w:rFonts w:ascii="Cambria Math" w:hAnsi="Cambria Math"/>
            </w:rPr>
            <m:t>=</m:t>
          </m:r>
          <m:r>
            <m:rPr>
              <m:sty m:val="p"/>
            </m:rPr>
            <w:rPr>
              <w:rFonts w:ascii="Cambria Math" w:hAnsi="Cambria Math"/>
            </w:rPr>
            <m:t>Ψ</m:t>
          </m:r>
        </m:oMath>
      </m:oMathPara>
    </w:p>
    <w:p w:rsidR="00F33858" w:rsidRDefault="00F33858" w:rsidP="00F33858">
      <w:pPr>
        <w:pStyle w:val="ListParagraph"/>
        <w:spacing w:line="360" w:lineRule="auto"/>
        <w:ind w:left="360"/>
        <w:rPr>
          <w:rFonts w:eastAsiaTheme="minorEastAsia"/>
        </w:rPr>
      </w:pPr>
    </w:p>
    <w:p w:rsidR="00F33858" w:rsidRPr="005C4B13" w:rsidRDefault="00F33858" w:rsidP="00F33858">
      <w:pPr>
        <w:pStyle w:val="ListParagraph"/>
        <w:spacing w:line="360" w:lineRule="auto"/>
        <w:ind w:left="360"/>
      </w:pPr>
      <w:r>
        <w:rPr>
          <w:rFonts w:eastAsiaTheme="minorEastAsia"/>
        </w:rPr>
        <w:t xml:space="preserve">As the estimate gets worse, i.e., as </w:t>
      </w:r>
      <m:oMath>
        <m:sSub>
          <m:sSubPr>
            <m:ctrlPr>
              <w:rPr>
                <w:rFonts w:ascii="Cambria Math" w:hAnsi="Cambria Math"/>
              </w:rPr>
            </m:ctrlPr>
          </m:sSubPr>
          <m:e>
            <m:r>
              <m:rPr>
                <m:sty m:val="p"/>
              </m:rPr>
              <w:rPr>
                <w:rFonts w:ascii="Cambria Math" w:hAnsi="Cambria Math"/>
              </w:rPr>
              <m:t>Ψ</m:t>
            </m:r>
          </m:e>
          <m:sub>
            <m:r>
              <w:rPr>
                <w:rFonts w:ascii="Cambria Math" w:hAnsi="Cambria Math"/>
              </w:rPr>
              <m:t>ϰ</m:t>
            </m:r>
          </m:sub>
        </m:sSub>
      </m:oMath>
      <w:r>
        <w:rPr>
          <w:rFonts w:eastAsiaTheme="minorEastAsia"/>
        </w:rPr>
        <w:t xml:space="preserve"> increases, </w:t>
      </w:r>
      <m:oMath>
        <m:sSub>
          <m:sSubPr>
            <m:ctrlPr>
              <w:rPr>
                <w:rFonts w:ascii="Cambria Math" w:hAnsi="Cambria Math"/>
              </w:rPr>
            </m:ctrlPr>
          </m:sSubPr>
          <m:e>
            <m:r>
              <m:rPr>
                <m:sty m:val="p"/>
              </m:rPr>
              <w:rPr>
                <w:rFonts w:ascii="Cambria Math" w:hAnsi="Cambria Math"/>
              </w:rPr>
              <m:t>Ψ</m:t>
            </m:r>
          </m:e>
          <m:sub>
            <m:r>
              <w:rPr>
                <w:rFonts w:ascii="Cambria Math" w:hAnsi="Cambria Math"/>
              </w:rPr>
              <m:t>r</m:t>
            </m:r>
          </m:sub>
        </m:sSub>
      </m:oMath>
      <w:r>
        <w:rPr>
          <w:rFonts w:eastAsiaTheme="minorEastAsia"/>
        </w:rPr>
        <w:t xml:space="preserve"> increases as well.</w:t>
      </w:r>
    </w:p>
    <w:p w:rsidR="00F33858" w:rsidRPr="00253114" w:rsidRDefault="00F33858" w:rsidP="00123389">
      <w:pPr>
        <w:pStyle w:val="ListParagraph"/>
        <w:numPr>
          <w:ilvl w:val="0"/>
          <w:numId w:val="478"/>
        </w:numPr>
        <w:spacing w:after="160" w:line="360" w:lineRule="auto"/>
      </w:pPr>
      <w:r w:rsidRPr="005C4B13">
        <w:rPr>
          <w:u w:val="single"/>
        </w:rPr>
        <w:t>Alternate vs</w:t>
      </w:r>
      <w:r>
        <w:rPr>
          <w:u w:val="single"/>
        </w:rPr>
        <w:t>.</w:t>
      </w:r>
      <w:r w:rsidRPr="005C4B13">
        <w:rPr>
          <w:u w:val="single"/>
        </w:rPr>
        <w:t xml:space="preserve"> Canonical </w:t>
      </w:r>
      <m:oMath>
        <m:r>
          <w:rPr>
            <w:rFonts w:ascii="Cambria Math" w:eastAsiaTheme="minorEastAsia" w:hAnsi="Cambria Math"/>
            <w:u w:val="single"/>
          </w:rPr>
          <m:t>μ</m:t>
        </m:r>
      </m:oMath>
      <w:r w:rsidRPr="005C4B13">
        <w:rPr>
          <w:rFonts w:eastAsiaTheme="minorEastAsia"/>
          <w:u w:val="single"/>
        </w:rPr>
        <w:t xml:space="preserve"> Estimate</w:t>
      </w:r>
      <w:r>
        <w:rPr>
          <w:rFonts w:eastAsiaTheme="minorEastAsia"/>
        </w:rPr>
        <w:t>: The Canonical Reference Model for the Black-Litterman Model expected return is</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r~</m:t>
          </m:r>
          <m:r>
            <m:rPr>
              <m:scr m:val="script"/>
            </m:rPr>
            <w:rPr>
              <w:rFonts w:ascii="Cambria Math" w:hAnsi="Cambria Math"/>
            </w:rPr>
            <m:t>N</m:t>
          </m:r>
          <m:d>
            <m:dPr>
              <m:ctrlPr>
                <w:rPr>
                  <w:rFonts w:ascii="Cambria Math" w:hAnsi="Cambria Math"/>
                  <w:i/>
                </w:rPr>
              </m:ctrlPr>
            </m:dPr>
            <m:e>
              <m:r>
                <w:rPr>
                  <w:rFonts w:ascii="Cambria Math" w:hAnsi="Cambria Math"/>
                </w:rPr>
                <m:t xml:space="preserve">ϰ, </m:t>
              </m:r>
              <m:sSub>
                <m:sSubPr>
                  <m:ctrlPr>
                    <w:rPr>
                      <w:rFonts w:ascii="Cambria Math" w:hAnsi="Cambria Math"/>
                    </w:rPr>
                  </m:ctrlPr>
                </m:sSubPr>
                <m:e>
                  <m:r>
                    <m:rPr>
                      <m:sty m:val="p"/>
                    </m:rPr>
                    <w:rPr>
                      <w:rFonts w:ascii="Cambria Math" w:hAnsi="Cambria Math"/>
                    </w:rPr>
                    <m:t>Ψ</m:t>
                  </m:r>
                </m:e>
                <m:sub>
                  <m:r>
                    <w:rPr>
                      <w:rFonts w:ascii="Cambria Math" w:hAnsi="Cambria Math"/>
                    </w:rPr>
                    <m:t>r</m:t>
                  </m:r>
                </m:sub>
              </m:sSub>
            </m:e>
          </m:d>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A common misconception about the Canonical Black-Litterman Reference Model is that</w:t>
      </w:r>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r>
            <w:rPr>
              <w:rFonts w:ascii="Cambria Math" w:eastAsiaTheme="minorEastAsia" w:hAnsi="Cambria Math"/>
            </w:rPr>
            <m:t>r</m:t>
          </m:r>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Ψ</m:t>
              </m:r>
            </m:e>
          </m:d>
        </m:oMath>
      </m:oMathPara>
    </w:p>
    <w:p w:rsidR="00F33858" w:rsidRDefault="00F33858" w:rsidP="00F33858">
      <w:pPr>
        <w:pStyle w:val="ListParagraph"/>
        <w:spacing w:line="360" w:lineRule="auto"/>
        <w:ind w:left="360"/>
        <w:rPr>
          <w:rFonts w:eastAsiaTheme="minorEastAsia"/>
        </w:rPr>
      </w:pPr>
    </w:p>
    <w:p w:rsidR="00F33858" w:rsidRPr="00253114" w:rsidRDefault="00F33858" w:rsidP="00F33858">
      <w:pPr>
        <w:pStyle w:val="ListParagraph"/>
        <w:spacing w:line="360" w:lineRule="auto"/>
        <w:ind w:left="360"/>
      </w:pPr>
      <w:r>
        <w:rPr>
          <w:rFonts w:eastAsiaTheme="minorEastAsia"/>
        </w:rPr>
        <w:t xml:space="preserve">is a Reference Model, and that </w:t>
      </w:r>
      <m:oMath>
        <m:r>
          <w:rPr>
            <w:rFonts w:ascii="Cambria Math" w:hAnsi="Cambria Math"/>
          </w:rPr>
          <m:t>μ</m:t>
        </m:r>
      </m:oMath>
      <w:r>
        <w:rPr>
          <w:rFonts w:eastAsiaTheme="minorEastAsia"/>
        </w:rPr>
        <w:t xml:space="preserve"> is a point estimate. This approach is what is labeled the Alternate Reference Model.</w:t>
      </w:r>
    </w:p>
    <w:p w:rsidR="00F33858" w:rsidRPr="0064476C" w:rsidRDefault="00F33858" w:rsidP="00123389">
      <w:pPr>
        <w:pStyle w:val="ListParagraph"/>
        <w:numPr>
          <w:ilvl w:val="0"/>
          <w:numId w:val="478"/>
        </w:numPr>
        <w:spacing w:after="160" w:line="360" w:lineRule="auto"/>
      </w:pPr>
      <w:r>
        <w:rPr>
          <w:u w:val="single"/>
        </w:rPr>
        <w:t>Impact of the Reference Model</w:t>
      </w:r>
      <w:r w:rsidRPr="00253114">
        <w:t>:</w:t>
      </w:r>
      <w:r>
        <w:t xml:space="preserve"> Several authors approach the model from this point of view so it cannot be neglected, but it is a fundamentally different model. When considering the results from the various Black-Litterman implementations it is important to understand how the various parameters will impact the results.</w:t>
      </w:r>
    </w:p>
    <w:p w:rsidR="00F33858" w:rsidRDefault="00F33858" w:rsidP="00F33858">
      <w:pPr>
        <w:spacing w:line="360" w:lineRule="auto"/>
      </w:pPr>
    </w:p>
    <w:p w:rsidR="00F33858" w:rsidRDefault="00F33858" w:rsidP="00F33858">
      <w:pPr>
        <w:spacing w:line="360" w:lineRule="auto"/>
      </w:pPr>
    </w:p>
    <w:p w:rsidR="00F33858" w:rsidRPr="006233BA" w:rsidRDefault="00F33858" w:rsidP="00F33858">
      <w:pPr>
        <w:spacing w:line="360" w:lineRule="auto"/>
        <w:rPr>
          <w:b/>
          <w:sz w:val="28"/>
          <w:szCs w:val="28"/>
        </w:rPr>
      </w:pPr>
      <w:r w:rsidRPr="006233BA">
        <w:rPr>
          <w:b/>
          <w:sz w:val="28"/>
          <w:szCs w:val="28"/>
        </w:rPr>
        <w:t>Computing the Equilibrium Returns</w:t>
      </w:r>
    </w:p>
    <w:p w:rsidR="00F33858" w:rsidRDefault="00F33858" w:rsidP="00F33858">
      <w:pPr>
        <w:spacing w:line="360" w:lineRule="auto"/>
      </w:pPr>
    </w:p>
    <w:p w:rsidR="00F33858" w:rsidRDefault="00F33858" w:rsidP="00123389">
      <w:pPr>
        <w:pStyle w:val="ListParagraph"/>
        <w:numPr>
          <w:ilvl w:val="0"/>
          <w:numId w:val="479"/>
        </w:numPr>
        <w:spacing w:after="160" w:line="360" w:lineRule="auto"/>
      </w:pPr>
      <w:r w:rsidRPr="006233BA">
        <w:rPr>
          <w:u w:val="single"/>
        </w:rPr>
        <w:lastRenderedPageBreak/>
        <w:t>Using the General Equilibrium Theory</w:t>
      </w:r>
      <w:r w:rsidRPr="006233BA">
        <w:t>: The Black-Litterman Model starts with a market neutral equilibrium portfolio for the prior estimate of returns. The model relies on the General Equilibrium Theory to state of the aggregate portfolio is at equilibrium, each of the sub-portfolio must be at equilibrium.</w:t>
      </w:r>
    </w:p>
    <w:p w:rsidR="00F33858" w:rsidRDefault="00F33858" w:rsidP="00123389">
      <w:pPr>
        <w:pStyle w:val="ListParagraph"/>
        <w:numPr>
          <w:ilvl w:val="0"/>
          <w:numId w:val="479"/>
        </w:numPr>
        <w:spacing w:after="160" w:line="360" w:lineRule="auto"/>
      </w:pPr>
      <w:r>
        <w:rPr>
          <w:u w:val="single"/>
        </w:rPr>
        <w:t>Quadratic Utility for CAPM Portfolio</w:t>
      </w:r>
      <w:r w:rsidRPr="006233BA">
        <w:t>:</w:t>
      </w:r>
      <w:r>
        <w:t xml:space="preserve"> The Black-Litterman Model can be used with any utility function, which makes it very flexible. In practice most practitioners use the Quadratic Utility Function and assume a risk-free asset, and thus the equilibrium model reduces to the Capital Asset Pricing Model (CAPM). The neutral portfolio in this situation is the CAPM Market Portfolio.</w:t>
      </w:r>
    </w:p>
    <w:p w:rsidR="00F33858" w:rsidRDefault="00F33858" w:rsidP="00123389">
      <w:pPr>
        <w:pStyle w:val="ListParagraph"/>
        <w:numPr>
          <w:ilvl w:val="0"/>
          <w:numId w:val="479"/>
        </w:numPr>
        <w:spacing w:after="160" w:line="360" w:lineRule="auto"/>
      </w:pPr>
      <w:r>
        <w:rPr>
          <w:u w:val="single"/>
        </w:rPr>
        <w:t>Consistency across the Utility Functions</w:t>
      </w:r>
      <w:r w:rsidRPr="006233BA">
        <w:t>:</w:t>
      </w:r>
      <w:r>
        <w:t xml:space="preserve"> Some authors have used other utility functions – most notably Bertsimas, Gupta, and Pascha</w:t>
      </w:r>
      <w:r w:rsidRPr="00DB1D42">
        <w:t>lidis</w:t>
      </w:r>
      <w:r>
        <w:t xml:space="preserve"> (2012) – but others have used CVaR and the other measures of portfolio risk without applying the same theoretical basis. In order to preserve the symmetry of the model the practitioners should use the same utility function to both identify the neutral portfolio as well as in the portfolio selection area.</w:t>
      </w:r>
    </w:p>
    <w:p w:rsidR="00F33858" w:rsidRDefault="00F33858" w:rsidP="00123389">
      <w:pPr>
        <w:pStyle w:val="ListParagraph"/>
        <w:numPr>
          <w:ilvl w:val="0"/>
          <w:numId w:val="479"/>
        </w:numPr>
        <w:spacing w:after="160" w:line="360" w:lineRule="auto"/>
      </w:pPr>
      <w:r>
        <w:rPr>
          <w:u w:val="single"/>
        </w:rPr>
        <w:t>The Standard Formulation Setting Choices</w:t>
      </w:r>
      <w:r w:rsidRPr="007D7149">
        <w:t>:</w:t>
      </w:r>
      <w:r>
        <w:t xml:space="preserve"> In his paper Walters (2014) uses the Quadratic Utility Function, the CAPM, and the Unconstrained Mean-Variance Optimizer because it is a well-understood model.</w:t>
      </w:r>
    </w:p>
    <w:p w:rsidR="00F33858" w:rsidRDefault="00F33858" w:rsidP="00123389">
      <w:pPr>
        <w:pStyle w:val="ListParagraph"/>
        <w:numPr>
          <w:ilvl w:val="0"/>
          <w:numId w:val="479"/>
        </w:numPr>
        <w:spacing w:after="160" w:line="360" w:lineRule="auto"/>
      </w:pPr>
      <w:r>
        <w:rPr>
          <w:u w:val="single"/>
        </w:rPr>
        <w:t>CAPM Market Excess Returns Prior</w:t>
      </w:r>
      <w:r w:rsidRPr="007D7149">
        <w:t>:</w:t>
      </w:r>
      <w:r>
        <w:t xml:space="preserve"> Given the previous assumption, the prior distribution for the Black-Litterman portfolio is the estimated mean excess return from the CAPM market portfolio. The process of computing the CAPM equilibrium excess returns is straightforward.</w:t>
      </w:r>
    </w:p>
    <w:p w:rsidR="00F33858" w:rsidRDefault="00F33858" w:rsidP="00123389">
      <w:pPr>
        <w:pStyle w:val="ListParagraph"/>
        <w:numPr>
          <w:ilvl w:val="0"/>
          <w:numId w:val="479"/>
        </w:numPr>
        <w:spacing w:after="160" w:line="360" w:lineRule="auto"/>
      </w:pPr>
      <w:r>
        <w:rPr>
          <w:u w:val="single"/>
        </w:rPr>
        <w:t>The Basic CAPM Market Model</w:t>
      </w:r>
      <w:r w:rsidRPr="007D7149">
        <w:t>:</w:t>
      </w:r>
      <w:r>
        <w:t xml:space="preserve"> CAPM is based on the concept that there is a linear relationship between risk (as measured by the standard deviation of returns) and expected returns. Further it requires returns to be normally distributed. The model is of the form</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m:rPr>
              <m:scr m:val="double-struck"/>
            </m:rPr>
            <w:rPr>
              <w:rFonts w:ascii="Cambria Math" w:hAnsi="Cambria Math"/>
            </w:rPr>
            <m:t>E</m:t>
          </m:r>
          <m:d>
            <m:dPr>
              <m:begChr m:val="["/>
              <m:endChr m:val="]"/>
              <m:ctrlPr>
                <w:rPr>
                  <w:rFonts w:ascii="Cambria Math" w:eastAsiaTheme="minorHAnsi" w:hAnsi="Cambria Math"/>
                  <w:i/>
                </w:rPr>
              </m:ctrlPr>
            </m:dPr>
            <m:e>
              <m:r>
                <w:rPr>
                  <w:rFonts w:ascii="Cambria Math" w:hAnsi="Cambria Math"/>
                </w:rPr>
                <m:t>r</m:t>
              </m:r>
            </m:e>
          </m:d>
          <m:r>
            <w:rPr>
              <w:rFonts w:ascii="Cambria Math" w:hAnsi="Cambria Math"/>
            </w:rPr>
            <m:t>=</m:t>
          </m:r>
          <m:sSub>
            <m:sSubPr>
              <m:ctrlPr>
                <w:rPr>
                  <w:rFonts w:ascii="Cambria Math" w:eastAsiaTheme="minorHAnsi" w:hAnsi="Cambria Math"/>
                  <w:i/>
                </w:rPr>
              </m:ctrlPr>
            </m:sSubPr>
            <m:e>
              <m:r>
                <w:rPr>
                  <w:rFonts w:ascii="Cambria Math" w:hAnsi="Cambria Math"/>
                </w:rPr>
                <m:t>r</m:t>
              </m:r>
            </m:e>
            <m:sub>
              <m:r>
                <w:rPr>
                  <w:rFonts w:ascii="Cambria Math" w:hAnsi="Cambria Math"/>
                </w:rPr>
                <m:t>f</m:t>
              </m:r>
            </m:sub>
          </m:sSub>
          <m:r>
            <w:rPr>
              <w:rFonts w:ascii="Cambria Math" w:hAnsi="Cambria Math"/>
            </w:rPr>
            <m:t>+β</m:t>
          </m:r>
          <m:sSub>
            <m:sSubPr>
              <m:ctrlPr>
                <w:rPr>
                  <w:rFonts w:ascii="Cambria Math" w:eastAsiaTheme="minorHAnsi" w:hAnsi="Cambria Math"/>
                  <w:i/>
                </w:rPr>
              </m:ctrlPr>
            </m:sSubPr>
            <m:e>
              <m:r>
                <w:rPr>
                  <w:rFonts w:ascii="Cambria Math" w:hAnsi="Cambria Math"/>
                </w:rPr>
                <m:t>r</m:t>
              </m:r>
            </m:e>
            <m:sub>
              <m:r>
                <w:rPr>
                  <w:rFonts w:ascii="Cambria Math" w:hAnsi="Cambria Math"/>
                </w:rPr>
                <m:t>m</m:t>
              </m:r>
            </m:sub>
          </m:sSub>
          <m:r>
            <w:rPr>
              <w:rFonts w:ascii="Cambria Math" w:hAnsi="Cambria Math"/>
            </w:rPr>
            <m:t>+α</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 xml:space="preserve">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f</m:t>
            </m:r>
          </m:sub>
        </m:sSub>
      </m:oMath>
      <w:r>
        <w:t xml:space="preserve"> is the risk free rate, </w:t>
      </w:r>
      <m:oMath>
        <m:sSub>
          <m:sSubPr>
            <m:ctrlPr>
              <w:rPr>
                <w:rFonts w:ascii="Cambria Math" w:eastAsiaTheme="minorHAnsi" w:hAnsi="Cambria Math"/>
                <w:i/>
              </w:rPr>
            </m:ctrlPr>
          </m:sSubPr>
          <m:e>
            <m:r>
              <w:rPr>
                <w:rFonts w:ascii="Cambria Math" w:hAnsi="Cambria Math"/>
              </w:rPr>
              <m:t>r</m:t>
            </m:r>
          </m:e>
          <m:sub>
            <m:r>
              <w:rPr>
                <w:rFonts w:ascii="Cambria Math" w:hAnsi="Cambria Math"/>
              </w:rPr>
              <m:t>m</m:t>
            </m:r>
          </m:sub>
        </m:sSub>
      </m:oMath>
      <w:r>
        <w:t xml:space="preserve"> is the excess returns of the market portfolio, </w:t>
      </w:r>
      <m:oMath>
        <m:r>
          <w:rPr>
            <w:rFonts w:ascii="Cambria Math" w:hAnsi="Cambria Math"/>
          </w:rPr>
          <m:t>β</m:t>
        </m:r>
      </m:oMath>
      <w:r>
        <w:t xml:space="preserve"> is a regression coefficient computed as</w:t>
      </w:r>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m:oMathPara>
        <m:oMath>
          <m:r>
            <w:rPr>
              <w:rFonts w:ascii="Cambria Math" w:hAnsi="Cambria Math"/>
            </w:rPr>
            <m:t>β=ρ</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hAnsi="Cambria Math"/>
                    </w:rPr>
                    <m:t>σ</m:t>
                  </m:r>
                </m:e>
                <m:sub>
                  <m:r>
                    <w:rPr>
                      <w:rFonts w:ascii="Cambria Math" w:hAnsi="Cambria Math"/>
                    </w:rPr>
                    <m:t>p</m:t>
                  </m:r>
                </m:sub>
              </m:sSub>
            </m:num>
            <m:den>
              <m:sSub>
                <m:sSubPr>
                  <m:ctrlPr>
                    <w:rPr>
                      <w:rFonts w:ascii="Cambria Math" w:eastAsiaTheme="minorHAnsi" w:hAnsi="Cambria Math"/>
                      <w:i/>
                    </w:rPr>
                  </m:ctrlPr>
                </m:sSubPr>
                <m:e>
                  <m:r>
                    <w:rPr>
                      <w:rFonts w:ascii="Cambria Math" w:hAnsi="Cambria Math"/>
                    </w:rPr>
                    <m:t>σ</m:t>
                  </m:r>
                </m:e>
                <m:sub>
                  <m:r>
                    <w:rPr>
                      <w:rFonts w:ascii="Cambria Math" w:hAnsi="Cambria Math"/>
                    </w:rPr>
                    <m:t>m</m:t>
                  </m:r>
                </m:sub>
              </m:sSub>
            </m:den>
          </m:f>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pPr>
      <w:r>
        <w:t xml:space="preserve">and </w:t>
      </w:r>
      <m:oMath>
        <m:r>
          <w:rPr>
            <w:rFonts w:ascii="Cambria Math" w:hAnsi="Cambria Math"/>
          </w:rPr>
          <m:t>α</m:t>
        </m:r>
      </m:oMath>
      <w:r>
        <w:t xml:space="preserve"> is the residual – or asset specific (idiosyncratic) – excess return.</w:t>
      </w:r>
    </w:p>
    <w:p w:rsidR="00F33858" w:rsidRPr="00916900" w:rsidRDefault="00F33858" w:rsidP="00123389">
      <w:pPr>
        <w:pStyle w:val="ListParagraph"/>
        <w:numPr>
          <w:ilvl w:val="0"/>
          <w:numId w:val="479"/>
        </w:numPr>
        <w:spacing w:after="160" w:line="360" w:lineRule="auto"/>
        <w:rPr>
          <w:rFonts w:eastAsiaTheme="minorHAnsi"/>
        </w:rPr>
      </w:pPr>
      <w:r w:rsidRPr="00E73C57">
        <w:rPr>
          <w:u w:val="single"/>
        </w:rPr>
        <w:t>Idiosyncratic Risk Reduction through Diversification</w:t>
      </w:r>
      <w:r>
        <w:t xml:space="preserve">: Under CAPM the idiosyncratic risk associated with an asset is uncorrelated with that from the other assets, and this risk can be reduced through diversification. Thus the investor is rewarded for taking systematic risk measured by </w:t>
      </w:r>
      <m:oMath>
        <m:r>
          <w:rPr>
            <w:rFonts w:ascii="Cambria Math" w:hAnsi="Cambria Math"/>
          </w:rPr>
          <m:t>β</m:t>
        </m:r>
      </m:oMath>
      <w:r>
        <w:rPr>
          <w:rFonts w:eastAsiaTheme="minorEastAsia"/>
        </w:rPr>
        <w:t xml:space="preserve"> but is not rewarded for the idiosyncratic risk associated with </w:t>
      </w:r>
      <m:oMath>
        <m:r>
          <w:rPr>
            <w:rFonts w:ascii="Cambria Math" w:hAnsi="Cambria Math"/>
          </w:rPr>
          <m:t>α</m:t>
        </m:r>
      </m:oMath>
      <w:r>
        <w:rPr>
          <w:rFonts w:eastAsiaTheme="minorEastAsia"/>
        </w:rPr>
        <w:t>.</w:t>
      </w:r>
    </w:p>
    <w:p w:rsidR="00F33858" w:rsidRDefault="00F33858" w:rsidP="00123389">
      <w:pPr>
        <w:pStyle w:val="ListParagraph"/>
        <w:numPr>
          <w:ilvl w:val="0"/>
          <w:numId w:val="479"/>
        </w:numPr>
        <w:spacing w:after="160" w:line="360" w:lineRule="auto"/>
      </w:pPr>
      <w:r>
        <w:rPr>
          <w:u w:val="single"/>
        </w:rPr>
        <w:t>CAPM Market Portfolio Special Features</w:t>
      </w:r>
      <w:r>
        <w:t xml:space="preserve">: In the CAPM world all investors should hold the same risky portfolio – the CAPM market portfolio. Because all investors hold risky assets only in their market portfolio, at equilibrium the market capitalization of the various assets will determine their weights in the market portfolio. Defining the Sharpe ratio as the excess returns divided by the excess risk, i.e. </w:t>
      </w:r>
      <m:oMath>
        <m:f>
          <m:fPr>
            <m:ctrlPr>
              <w:rPr>
                <w:rFonts w:ascii="Cambria Math" w:eastAsiaTheme="minorHAnsi" w:hAnsi="Cambria Math"/>
                <w:i/>
              </w:rPr>
            </m:ctrlPr>
          </m:fPr>
          <m:num>
            <m:r>
              <w:rPr>
                <w:rFonts w:ascii="Cambria Math" w:hAnsi="Cambria Math"/>
              </w:rPr>
              <m:t>r-</m:t>
            </m:r>
            <m:sSub>
              <m:sSubPr>
                <m:ctrlPr>
                  <w:rPr>
                    <w:rFonts w:ascii="Cambria Math" w:eastAsiaTheme="minorHAnsi" w:hAnsi="Cambria Math"/>
                    <w:i/>
                  </w:rPr>
                </m:ctrlPr>
              </m:sSubPr>
              <m:e>
                <m:r>
                  <w:rPr>
                    <w:rFonts w:ascii="Cambria Math" w:hAnsi="Cambria Math"/>
                  </w:rPr>
                  <m:t>r</m:t>
                </m:r>
              </m:e>
              <m:sub>
                <m:r>
                  <w:rPr>
                    <w:rFonts w:ascii="Cambria Math" w:hAnsi="Cambria Math"/>
                  </w:rPr>
                  <m:t>f</m:t>
                </m:r>
              </m:sub>
            </m:sSub>
          </m:num>
          <m:den>
            <m:r>
              <w:rPr>
                <w:rFonts w:ascii="Cambria Math" w:hAnsi="Cambria Math"/>
              </w:rPr>
              <m:t>σ</m:t>
            </m:r>
          </m:den>
        </m:f>
      </m:oMath>
      <w:r>
        <w:t>, it can be seen that the CAPM market portfolio has the maximum Sharpe Ration of any portfolio on the efficient frontier.</w:t>
      </w:r>
    </w:p>
    <w:p w:rsidR="00F33858" w:rsidRDefault="00F33858" w:rsidP="00123389">
      <w:pPr>
        <w:pStyle w:val="ListParagraph"/>
        <w:numPr>
          <w:ilvl w:val="0"/>
          <w:numId w:val="479"/>
        </w:numPr>
        <w:spacing w:after="160" w:line="360" w:lineRule="auto"/>
      </w:pPr>
      <w:r>
        <w:rPr>
          <w:u w:val="single"/>
        </w:rPr>
        <w:t>Challenges Computing the Optimized Market Portfolio</w:t>
      </w:r>
      <w:r w:rsidRPr="00916900">
        <w:t>:</w:t>
      </w:r>
      <w:r>
        <w:t xml:space="preserve"> Note that the CAPM Market Portfolio contains all investable assets, which makes it very hard to actually specify. Because we are in equilibrium all sub markets should also be in equilibrium so that any sub-market we choose is part of the global equilibrium. While this allows us to reverse optimize the excess returns from the market capitalization and the covariance matrix, forward optimization from this point to identify the investors’ optimal portfolio within CAPM is problematic as we do not have information for the entire market portfolio.</w:t>
      </w:r>
    </w:p>
    <w:p w:rsidR="00F33858" w:rsidRDefault="00F33858" w:rsidP="00123389">
      <w:pPr>
        <w:pStyle w:val="ListParagraph"/>
        <w:numPr>
          <w:ilvl w:val="0"/>
          <w:numId w:val="479"/>
        </w:numPr>
        <w:spacing w:after="160" w:line="360" w:lineRule="auto"/>
      </w:pPr>
      <w:r>
        <w:rPr>
          <w:u w:val="single"/>
        </w:rPr>
        <w:t>Optimal Allocation among the Assets</w:t>
      </w:r>
      <w:r>
        <w:t>: In general, however, the investor usually selects an investible universe and the desired optimal asset allocation within that universe, so the theoretical problem with the market portfolio can be ignored.</w:t>
      </w:r>
    </w:p>
    <w:p w:rsidR="00F33858" w:rsidRDefault="00F33858" w:rsidP="00123389">
      <w:pPr>
        <w:pStyle w:val="ListParagraph"/>
        <w:numPr>
          <w:ilvl w:val="0"/>
          <w:numId w:val="479"/>
        </w:numPr>
        <w:spacing w:after="160" w:line="360" w:lineRule="auto"/>
      </w:pPr>
      <w:r>
        <w:rPr>
          <w:u w:val="single"/>
        </w:rPr>
        <w:t>The Capital Market Line Construction</w:t>
      </w:r>
      <w:r w:rsidRPr="001E5A07">
        <w:t>:</w:t>
      </w:r>
      <w:r>
        <w:t xml:space="preserve"> The Capital Market Line is the line through the risk-free rate and the CAPM market portfolio. The Two-Fund Separation Theorem, closely related to the CAPM, states that all investors should hold portfolios on the Capital Market Line.</w:t>
      </w:r>
    </w:p>
    <w:p w:rsidR="00F33858" w:rsidRDefault="00F33858" w:rsidP="00123389">
      <w:pPr>
        <w:pStyle w:val="ListParagraph"/>
        <w:numPr>
          <w:ilvl w:val="0"/>
          <w:numId w:val="479"/>
        </w:numPr>
        <w:spacing w:after="160" w:line="360" w:lineRule="auto"/>
      </w:pPr>
      <w:r>
        <w:rPr>
          <w:u w:val="single"/>
        </w:rPr>
        <w:t>Significance of the Capital Market Line</w:t>
      </w:r>
      <w:r w:rsidRPr="001E5A07">
        <w:t>:</w:t>
      </w:r>
      <w:r>
        <w:t xml:space="preserve"> Any portfolio on the Capital Market Line dominates all the portfolios on the Efficient Frontier, the CAPM being the only point on both the Efficient Frontier and the Capital Market Line. Depending on their risk aversion the investor will hold arbitrary fractions of wealth in the risk-free asset and/or the CAPM market portfolio.</w:t>
      </w:r>
    </w:p>
    <w:p w:rsidR="00F33858" w:rsidRDefault="00F33858" w:rsidP="00123389">
      <w:pPr>
        <w:pStyle w:val="ListParagraph"/>
        <w:numPr>
          <w:ilvl w:val="0"/>
          <w:numId w:val="479"/>
        </w:numPr>
        <w:spacing w:after="160" w:line="360" w:lineRule="auto"/>
      </w:pPr>
      <w:r>
        <w:rPr>
          <w:u w:val="single"/>
        </w:rPr>
        <w:lastRenderedPageBreak/>
        <w:t>Risk-Free Asset in the Portfolio</w:t>
      </w:r>
      <w:r w:rsidRPr="004B2E91">
        <w:t>:</w:t>
      </w:r>
      <w:r>
        <w:t xml:space="preserve"> Starting with the market portfolio, the starting point will be a set of weights which are all greater than zero and naturally sum to one. The market portfolio only includes risk assets, because by definition, the investor is rewarded only for taking systematic risk. Thus, in CAPM, the risk-free asset with</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β=0</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will not be included in the market portfolio. Walters (2014) examines the case where the Bayesian investor may invest in the risk-free asset based on their confidence on their returns estimates.</w:t>
      </w:r>
    </w:p>
    <w:p w:rsidR="00F33858" w:rsidRDefault="00F33858" w:rsidP="00123389">
      <w:pPr>
        <w:pStyle w:val="ListParagraph"/>
        <w:numPr>
          <w:ilvl w:val="0"/>
          <w:numId w:val="479"/>
        </w:numPr>
        <w:spacing w:after="160" w:line="360" w:lineRule="auto"/>
      </w:pPr>
      <w:r w:rsidRPr="00EF1DB7">
        <w:rPr>
          <w:u w:val="single"/>
        </w:rPr>
        <w:t>Historical Returns Covariance Matrix Estimation</w:t>
      </w:r>
      <w:r>
        <w:t xml:space="preserve">: One assumption here is that the covariance matrix of the returns </w:t>
      </w:r>
      <m:oMath>
        <m:r>
          <m:rPr>
            <m:sty m:val="p"/>
          </m:rPr>
          <w:rPr>
            <w:rFonts w:ascii="Cambria Math" w:hAnsi="Cambria Math"/>
          </w:rPr>
          <m:t>Ψ</m:t>
        </m:r>
      </m:oMath>
      <w:r>
        <w:t xml:space="preserve"> is known. In practice, this covariance matrix is estimated from historical returns data. It is often computed from higher frequency data and scaled up to the time frame required for the asset allocation problem. By computing it from the actual historical data, we can ensure that the covariance matrix is positive definite.</w:t>
      </w:r>
    </w:p>
    <w:p w:rsidR="00F33858" w:rsidRDefault="00F33858" w:rsidP="00123389">
      <w:pPr>
        <w:pStyle w:val="ListParagraph"/>
        <w:numPr>
          <w:ilvl w:val="0"/>
          <w:numId w:val="479"/>
        </w:numPr>
        <w:spacing w:after="160" w:line="360" w:lineRule="auto"/>
      </w:pPr>
      <w:r>
        <w:rPr>
          <w:u w:val="single"/>
        </w:rPr>
        <w:t>Other Returns Covariance Estimation Techniques</w:t>
      </w:r>
      <w:r w:rsidRPr="00EF1DB7">
        <w:t>:</w:t>
      </w:r>
      <w:r>
        <w:t xml:space="preserve"> Without basing the estimation process on actual data, there are significant issues involved in ensuring that the covariance matrix is positive definite. One could, however, apply shrinkage or modern random matrix theory filters to make it more robust.</w:t>
      </w:r>
    </w:p>
    <w:p w:rsidR="00F33858" w:rsidRDefault="00F33858" w:rsidP="00123389">
      <w:pPr>
        <w:pStyle w:val="ListParagraph"/>
        <w:numPr>
          <w:ilvl w:val="0"/>
          <w:numId w:val="479"/>
        </w:numPr>
        <w:spacing w:after="160" w:line="360" w:lineRule="auto"/>
      </w:pPr>
      <w:r>
        <w:rPr>
          <w:u w:val="single"/>
        </w:rPr>
        <w:t>Note on the Notation Used</w:t>
      </w:r>
      <w:r w:rsidRPr="00EF1DB7">
        <w:t>:</w:t>
      </w:r>
      <w:r>
        <w:t xml:space="preserve"> This section follows Walters (2014) where the notation used is similar to that used in He and Litterman (1999) for all the terms in the formulas. The notation is a little different from (and conflicts with) the notation used later in the section on Bayesian Theory.</w:t>
      </w:r>
    </w:p>
    <w:p w:rsidR="00F33858" w:rsidRDefault="00F33858" w:rsidP="00123389">
      <w:pPr>
        <w:pStyle w:val="ListParagraph"/>
        <w:numPr>
          <w:ilvl w:val="0"/>
          <w:numId w:val="479"/>
        </w:numPr>
        <w:spacing w:after="160" w:line="360" w:lineRule="auto"/>
      </w:pPr>
      <w:r>
        <w:rPr>
          <w:u w:val="single"/>
        </w:rPr>
        <w:t>Equation for the “Reverse Optimization”</w:t>
      </w:r>
      <w:r w:rsidRPr="00C106BF">
        <w:t>:</w:t>
      </w:r>
      <w:r>
        <w:t xml:space="preserve"> One can derive the equation for reverse optimization starting from the quadratic utility function</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U=</m:t>
          </m:r>
          <m:sSup>
            <m:sSupPr>
              <m:ctrlPr>
                <w:rPr>
                  <w:rFonts w:ascii="Cambria Math" w:eastAsiaTheme="minorHAnsi" w:hAnsi="Cambria Math"/>
                  <w:i/>
                </w:rPr>
              </m:ctrlPr>
            </m:sSupPr>
            <m:e>
              <m:r>
                <w:rPr>
                  <w:rFonts w:ascii="Cambria Math" w:hAnsi="Cambria Math"/>
                </w:rPr>
                <m:t>w</m:t>
              </m:r>
            </m:e>
            <m:sup>
              <m:r>
                <w:rPr>
                  <w:rFonts w:ascii="Cambria Math" w:hAnsi="Cambria Math"/>
                </w:rPr>
                <m:t>T</m:t>
              </m:r>
            </m:sup>
          </m:sSup>
          <m:r>
            <w:rPr>
              <w:rFonts w:ascii="Cambria Math" w:hAnsi="Cambria Math"/>
            </w:rPr>
            <m:t>Π-</m:t>
          </m:r>
          <m:f>
            <m:fPr>
              <m:ctrlPr>
                <w:rPr>
                  <w:rFonts w:ascii="Cambria Math" w:eastAsiaTheme="minorHAnsi" w:hAnsi="Cambria Math"/>
                  <w:i/>
                </w:rPr>
              </m:ctrlPr>
            </m:fPr>
            <m:num>
              <m:r>
                <w:rPr>
                  <w:rFonts w:ascii="Cambria Math" w:hAnsi="Cambria Math"/>
                </w:rPr>
                <m:t>δ</m:t>
              </m:r>
            </m:num>
            <m:den>
              <m:r>
                <w:rPr>
                  <w:rFonts w:ascii="Cambria Math" w:hAnsi="Cambria Math"/>
                </w:rPr>
                <m:t>2</m:t>
              </m:r>
            </m:den>
          </m:f>
          <m:sSup>
            <m:sSupPr>
              <m:ctrlPr>
                <w:rPr>
                  <w:rFonts w:ascii="Cambria Math" w:eastAsiaTheme="minorHAnsi" w:hAnsi="Cambria Math"/>
                  <w:i/>
                </w:rPr>
              </m:ctrlPr>
            </m:sSupPr>
            <m:e>
              <m:r>
                <w:rPr>
                  <w:rFonts w:ascii="Cambria Math" w:hAnsi="Cambria Math"/>
                </w:rPr>
                <m:t>w</m:t>
              </m:r>
            </m:e>
            <m:sup>
              <m:r>
                <w:rPr>
                  <w:rFonts w:ascii="Cambria Math" w:hAnsi="Cambria Math"/>
                </w:rPr>
                <m:t>T</m:t>
              </m:r>
            </m:sup>
          </m:sSup>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pPr>
    </w:p>
    <w:p w:rsidR="00F33858" w:rsidRPr="00C106BF" w:rsidRDefault="00F33858" w:rsidP="00F33858">
      <w:pPr>
        <w:pStyle w:val="ListParagraph"/>
        <w:spacing w:line="360" w:lineRule="auto"/>
        <w:ind w:left="360"/>
        <w:rPr>
          <w:rFonts w:eastAsiaTheme="minorHAnsi"/>
        </w:rPr>
      </w:pPr>
      <w:r>
        <w:t xml:space="preserve">where  represents the investors’ utility – this is the objective function used for the Mean-Variance Optimization, </w:t>
      </w:r>
      <m:oMath>
        <m:r>
          <w:rPr>
            <w:rFonts w:ascii="Cambria Math" w:hAnsi="Cambria Math"/>
          </w:rPr>
          <m:t>w</m:t>
        </m:r>
      </m:oMath>
      <w:r>
        <w:t xml:space="preserve"> is the vector of weights invested in each asset, </w:t>
      </w:r>
      <m:oMath>
        <m:r>
          <w:rPr>
            <w:rFonts w:ascii="Cambria Math" w:hAnsi="Cambria Math"/>
          </w:rPr>
          <m:t>Π</m:t>
        </m:r>
      </m:oMath>
      <w:r>
        <w:rPr>
          <w:rFonts w:eastAsiaTheme="minorEastAsia"/>
        </w:rPr>
        <w:t xml:space="preserve"> is the vector or </w:t>
      </w:r>
      <w:r>
        <w:rPr>
          <w:rFonts w:eastAsiaTheme="minorEastAsia"/>
        </w:rPr>
        <w:lastRenderedPageBreak/>
        <w:t>equilibrium excess returns for each asset,</w:t>
      </w:r>
      <w:r>
        <w:t xml:space="preserve"> </w:t>
      </w:r>
      <m:oMath>
        <m:r>
          <w:rPr>
            <w:rFonts w:ascii="Cambria Math" w:hAnsi="Cambria Math"/>
          </w:rPr>
          <m:t>δ</m:t>
        </m:r>
      </m:oMath>
      <w:r>
        <w:t xml:space="preserve"> is the risk aversion parameters, and </w:t>
      </w:r>
      <m:oMath>
        <m:r>
          <m:rPr>
            <m:sty m:val="p"/>
          </m:rPr>
          <w:rPr>
            <w:rFonts w:ascii="Cambria Math" w:hAnsi="Cambria Math"/>
          </w:rPr>
          <m:t>Ψ</m:t>
        </m:r>
      </m:oMath>
      <w:r>
        <w:rPr>
          <w:rFonts w:eastAsiaTheme="minorEastAsia"/>
        </w:rPr>
        <w:t xml:space="preserve"> is the covariance matrix of the excess returns of the assets.</w:t>
      </w:r>
    </w:p>
    <w:p w:rsidR="00F33858" w:rsidRPr="00F857A5" w:rsidRDefault="00F33858" w:rsidP="00123389">
      <w:pPr>
        <w:pStyle w:val="ListParagraph"/>
        <w:numPr>
          <w:ilvl w:val="0"/>
          <w:numId w:val="479"/>
        </w:numPr>
        <w:spacing w:after="160" w:line="360" w:lineRule="auto"/>
        <w:rPr>
          <w:rFonts w:eastAsiaTheme="minorHAnsi"/>
        </w:rPr>
      </w:pPr>
      <w:r>
        <w:rPr>
          <w:u w:val="single"/>
        </w:rPr>
        <w:t>Maxima for the Utility Function</w:t>
      </w:r>
      <w:r>
        <w:t xml:space="preserve">: </w:t>
      </w:r>
      <m:oMath>
        <m:r>
          <w:rPr>
            <w:rFonts w:ascii="Cambria Math" w:hAnsi="Cambria Math"/>
          </w:rPr>
          <m:t>U</m:t>
        </m:r>
      </m:oMath>
      <w:r>
        <w:rPr>
          <w:rFonts w:eastAsiaTheme="minorEastAsia"/>
        </w:rPr>
        <w:t xml:space="preserve"> is a convex function, so it will have a single maxima. If we maximize the utility with no constraints, there is a closed form solution. The exact solution is found by taking the first derivative with respect to the weights </w:t>
      </w:r>
      <m:oMath>
        <m:r>
          <w:rPr>
            <w:rFonts w:ascii="Cambria Math" w:hAnsi="Cambria Math"/>
          </w:rPr>
          <m:t>w</m:t>
        </m:r>
      </m:oMath>
      <w:r>
        <w:rPr>
          <w:rFonts w:eastAsiaTheme="minorEastAsia"/>
        </w:rPr>
        <w:t xml:space="preserve"> and setting it to zero.</w:t>
      </w:r>
    </w:p>
    <w:p w:rsidR="00F33858" w:rsidRDefault="00F33858" w:rsidP="00F33858">
      <w:pPr>
        <w:pStyle w:val="ListParagraph"/>
        <w:spacing w:line="360" w:lineRule="auto"/>
        <w:ind w:left="360"/>
        <w:rPr>
          <w:u w:val="single"/>
        </w:rPr>
      </w:pPr>
    </w:p>
    <w:p w:rsidR="00F33858" w:rsidRPr="00F857A5" w:rsidRDefault="00FD028E" w:rsidP="00F33858">
      <w:pPr>
        <w:pStyle w:val="ListParagraph"/>
        <w:spacing w:line="360" w:lineRule="auto"/>
        <w:ind w:left="360"/>
        <w:rPr>
          <w:rFonts w:eastAsiaTheme="minorEastAsia"/>
        </w:rPr>
      </w:pPr>
      <m:oMathPara>
        <m:oMath>
          <m:f>
            <m:fPr>
              <m:ctrlPr>
                <w:rPr>
                  <w:rFonts w:ascii="Cambria Math" w:eastAsiaTheme="minorHAnsi" w:hAnsi="Cambria Math"/>
                  <w:i/>
                </w:rPr>
              </m:ctrlPr>
            </m:fPr>
            <m:num>
              <m:r>
                <w:rPr>
                  <w:rFonts w:ascii="Cambria Math" w:hAnsi="Cambria Math"/>
                </w:rPr>
                <m:t>∂U</m:t>
              </m:r>
            </m:num>
            <m:den>
              <m:r>
                <w:rPr>
                  <w:rFonts w:ascii="Cambria Math" w:hAnsi="Cambria Math"/>
                </w:rPr>
                <m:t>∂w</m:t>
              </m:r>
            </m:den>
          </m:f>
          <m:r>
            <w:rPr>
              <w:rFonts w:ascii="Cambria Math" w:hAnsi="Cambria Math"/>
            </w:rPr>
            <m:t>=Π-δ</m:t>
          </m:r>
          <m:r>
            <m:rPr>
              <m:sty m:val="p"/>
            </m:rPr>
            <w:rPr>
              <w:rFonts w:ascii="Cambria Math" w:hAnsi="Cambria Math"/>
            </w:rPr>
            <m:t>Ψ</m:t>
          </m:r>
          <m:r>
            <w:rPr>
              <w:rFonts w:ascii="Cambria Math" w:hAnsi="Cambria Math"/>
            </w:rPr>
            <m:t>w</m:t>
          </m:r>
          <m:r>
            <w:rPr>
              <w:rFonts w:ascii="Cambria Math" w:eastAsiaTheme="minorEastAsia" w:hAnsi="Cambria Math"/>
            </w:rPr>
            <m:t>=0</m:t>
          </m:r>
        </m:oMath>
      </m:oMathPara>
    </w:p>
    <w:p w:rsidR="00F33858" w:rsidRPr="00F857A5" w:rsidRDefault="00F33858" w:rsidP="00F33858">
      <w:pPr>
        <w:pStyle w:val="ListParagraph"/>
        <w:spacing w:line="360" w:lineRule="auto"/>
        <w:ind w:left="360"/>
        <w:rPr>
          <w:rFonts w:eastAsiaTheme="minorHAnsi"/>
        </w:rPr>
      </w:pPr>
    </w:p>
    <w:p w:rsidR="00F33858" w:rsidRPr="00F857A5" w:rsidRDefault="00F33858" w:rsidP="00123389">
      <w:pPr>
        <w:pStyle w:val="ListParagraph"/>
        <w:numPr>
          <w:ilvl w:val="0"/>
          <w:numId w:val="479"/>
        </w:numPr>
        <w:spacing w:after="160" w:line="360" w:lineRule="auto"/>
        <w:rPr>
          <w:rFonts w:eastAsiaTheme="minorHAnsi"/>
        </w:rPr>
      </w:pPr>
      <w:r>
        <w:rPr>
          <w:u w:val="single"/>
        </w:rPr>
        <w:t>Estimation of the Excess Returns Vector</w:t>
      </w:r>
      <w:r>
        <w:t xml:space="preserve">: Solving this for </w:t>
      </w:r>
      <m:oMath>
        <m:r>
          <w:rPr>
            <w:rFonts w:ascii="Cambria Math" w:hAnsi="Cambria Math"/>
          </w:rPr>
          <m:t>Π</m:t>
        </m:r>
      </m:oMath>
      <w:r>
        <w:rPr>
          <w:rFonts w:eastAsiaTheme="minorEastAsia"/>
        </w:rPr>
        <w:t xml:space="preserve"> – the vector of excess returns – yields</w:t>
      </w:r>
    </w:p>
    <w:p w:rsidR="00F33858" w:rsidRDefault="00F33858" w:rsidP="00F33858">
      <w:pPr>
        <w:pStyle w:val="ListParagraph"/>
        <w:spacing w:line="360" w:lineRule="auto"/>
        <w:ind w:left="360"/>
        <w:rPr>
          <w:u w:val="single"/>
        </w:rPr>
      </w:pPr>
    </w:p>
    <w:p w:rsidR="00F33858" w:rsidRPr="006233BA" w:rsidRDefault="00F33858" w:rsidP="00F33858">
      <w:pPr>
        <w:pStyle w:val="ListParagraph"/>
        <w:spacing w:line="360" w:lineRule="auto"/>
        <w:ind w:left="360"/>
      </w:pPr>
      <m:oMathPara>
        <m:oMath>
          <m:r>
            <w:rPr>
              <w:rFonts w:ascii="Cambria Math" w:hAnsi="Cambria Math"/>
            </w:rPr>
            <m:t>Π=δ</m:t>
          </m:r>
          <m:r>
            <m:rPr>
              <m:sty m:val="p"/>
            </m:rPr>
            <w:rPr>
              <w:rFonts w:ascii="Cambria Math" w:hAnsi="Cambria Math"/>
            </w:rPr>
            <m:t>Ψ</m:t>
          </m:r>
          <m:r>
            <w:rPr>
              <w:rFonts w:ascii="Cambria Math" w:hAnsi="Cambria Math"/>
            </w:rPr>
            <m:t>w</m:t>
          </m:r>
        </m:oMath>
      </m:oMathPara>
    </w:p>
    <w:p w:rsidR="00F33858" w:rsidRDefault="00F33858" w:rsidP="00F33858">
      <w:pPr>
        <w:spacing w:line="360" w:lineRule="auto"/>
      </w:pPr>
    </w:p>
    <w:p w:rsidR="00F33858" w:rsidRPr="00E2208C" w:rsidRDefault="00F33858" w:rsidP="00123389">
      <w:pPr>
        <w:pStyle w:val="ListParagraph"/>
        <w:numPr>
          <w:ilvl w:val="0"/>
          <w:numId w:val="479"/>
        </w:numPr>
        <w:spacing w:after="160" w:line="360" w:lineRule="auto"/>
        <w:rPr>
          <w:rFonts w:eastAsiaTheme="minorHAnsi"/>
        </w:rPr>
      </w:pPr>
      <w:r w:rsidRPr="00E2208C">
        <w:rPr>
          <w:u w:val="single"/>
        </w:rPr>
        <w:t>Estimating the Risk Aversion Factor</w:t>
      </w:r>
      <w:r w:rsidRPr="00E2208C">
        <w:t xml:space="preserve">: </w:t>
      </w:r>
      <w:r>
        <w:t xml:space="preserve">In order to use the above formula to solve for the CAPM Market Portfolio, there needs to be a value for </w:t>
      </w:r>
      <m:oMath>
        <m:r>
          <w:rPr>
            <w:rFonts w:ascii="Cambria Math" w:hAnsi="Cambria Math"/>
          </w:rPr>
          <m:t>δ</m:t>
        </m:r>
      </m:oMath>
      <w:r>
        <w:t xml:space="preserve"> - the risk aversion coefficient of the market. One way of finding </w:t>
      </w:r>
      <m:oMath>
        <m:r>
          <w:rPr>
            <w:rFonts w:ascii="Cambria Math" w:hAnsi="Cambria Math"/>
          </w:rPr>
          <m:t>δ</m:t>
        </m:r>
      </m:oMath>
      <w:r>
        <w:rPr>
          <w:rFonts w:eastAsiaTheme="minorEastAsia"/>
        </w:rPr>
        <w:t xml:space="preserve"> is by multiplying both sides by </w:t>
      </w:r>
      <m:oMath>
        <m:sSup>
          <m:sSupPr>
            <m:ctrlPr>
              <w:rPr>
                <w:rFonts w:ascii="Cambria Math" w:eastAsiaTheme="minorHAnsi" w:hAnsi="Cambria Math"/>
                <w:i/>
              </w:rPr>
            </m:ctrlPr>
          </m:sSupPr>
          <m:e>
            <m:r>
              <w:rPr>
                <w:rFonts w:ascii="Cambria Math" w:hAnsi="Cambria Math"/>
              </w:rPr>
              <m:t>w</m:t>
            </m:r>
          </m:e>
          <m:sup>
            <m:r>
              <w:rPr>
                <w:rFonts w:ascii="Cambria Math" w:hAnsi="Cambria Math"/>
              </w:rPr>
              <m:t>T</m:t>
            </m:r>
          </m:sup>
        </m:sSup>
      </m:oMath>
      <w:r>
        <w:rPr>
          <w:rFonts w:eastAsiaTheme="minorEastAsia"/>
        </w:rPr>
        <w:t xml:space="preserve"> and replacing the vector terms with scalar terms</w:t>
      </w:r>
    </w:p>
    <w:p w:rsidR="00F33858" w:rsidRDefault="00F33858" w:rsidP="00F33858">
      <w:pPr>
        <w:pStyle w:val="ListParagraph"/>
        <w:spacing w:line="360" w:lineRule="auto"/>
        <w:ind w:left="360"/>
        <w:rPr>
          <w:u w:val="single"/>
        </w:rPr>
      </w:pPr>
    </w:p>
    <w:p w:rsidR="00F33858" w:rsidRPr="00E2208C" w:rsidRDefault="00F33858" w:rsidP="00F33858">
      <w:pPr>
        <w:pStyle w:val="ListParagraph"/>
        <w:spacing w:line="360" w:lineRule="auto"/>
        <w:ind w:left="360"/>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m:t>
          </m:r>
          <m:r>
            <w:rPr>
              <w:rFonts w:ascii="Cambria Math" w:hAnsi="Cambria Math"/>
            </w:rPr>
            <m:t>δ</m:t>
          </m:r>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oMath>
      </m:oMathPara>
    </w:p>
    <w:p w:rsidR="00F33858" w:rsidRPr="00E2208C" w:rsidRDefault="00F33858" w:rsidP="00F33858">
      <w:pPr>
        <w:pStyle w:val="ListParagraph"/>
        <w:spacing w:line="360" w:lineRule="auto"/>
        <w:ind w:left="360"/>
        <w:rPr>
          <w:rFonts w:eastAsiaTheme="minorHAnsi"/>
        </w:rPr>
      </w:pPr>
    </w:p>
    <w:p w:rsidR="00F33858" w:rsidRDefault="00F33858" w:rsidP="00123389">
      <w:pPr>
        <w:pStyle w:val="ListParagraph"/>
        <w:numPr>
          <w:ilvl w:val="0"/>
          <w:numId w:val="479"/>
        </w:numPr>
        <w:spacing w:after="160" w:line="360" w:lineRule="auto"/>
      </w:pPr>
      <m:oMath>
        <m:r>
          <w:rPr>
            <w:rFonts w:ascii="Cambria Math" w:hAnsi="Cambria Math"/>
            <w:u w:val="single"/>
          </w:rPr>
          <m:t>δ</m:t>
        </m:r>
      </m:oMath>
      <w:r>
        <w:rPr>
          <w:u w:val="single"/>
        </w:rPr>
        <w:t xml:space="preserve"> Estimate for Equilibrium Portfolio</w:t>
      </w:r>
      <w:r>
        <w:t>: The expression at equilibrium above states that the excess returns on the portfolio is equal to the risk aversion parameter scaled by the variance of the portfolio. Conversely</w:t>
      </w:r>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m:oMathPara>
        <m:oMath>
          <m:r>
            <w:rPr>
              <w:rFonts w:ascii="Cambria Math" w:hAnsi="Cambria Math"/>
            </w:rPr>
            <m:t>δ=</m:t>
          </m:r>
          <m:f>
            <m:fPr>
              <m:ctrlPr>
                <w:rPr>
                  <w:rFonts w:ascii="Cambria Math" w:eastAsiaTheme="minorHAnsi"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num>
            <m:den>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den>
          </m:f>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w:r>
        <w:t xml:space="preserve">where </w:t>
      </w:r>
      <m:oMath>
        <m:r>
          <w:rPr>
            <w:rFonts w:ascii="Cambria Math" w:hAnsi="Cambria Math"/>
          </w:rPr>
          <m:t>r</m:t>
        </m:r>
      </m:oMath>
      <w:r>
        <w:rPr>
          <w:rFonts w:eastAsiaTheme="minorEastAsia"/>
        </w:rPr>
        <w:t xml:space="preserve"> is the total return on the Market Portfolio, i.e.</w:t>
      </w:r>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m:oMathPara>
    </w:p>
    <w:p w:rsidR="00F33858" w:rsidRDefault="00F33858" w:rsidP="00F33858">
      <w:pPr>
        <w:pStyle w:val="ListParagraph"/>
        <w:spacing w:line="360" w:lineRule="auto"/>
        <w:ind w:left="360"/>
        <w:rPr>
          <w:rFonts w:eastAsiaTheme="minorEastAsia"/>
        </w:rPr>
      </w:pPr>
    </w:p>
    <w:p w:rsidR="00F33858" w:rsidRDefault="00FD028E" w:rsidP="00F33858">
      <w:pPr>
        <w:pStyle w:val="ListParagraph"/>
        <w:spacing w:line="360" w:lineRule="auto"/>
        <w:ind w:left="360"/>
        <w:rPr>
          <w:rFonts w:eastAsiaTheme="minorEastAsia"/>
        </w:rPr>
      </w:pPr>
      <m:oMath>
        <m:sSub>
          <m:sSubPr>
            <m:ctrlPr>
              <w:rPr>
                <w:rFonts w:ascii="Cambria Math" w:eastAsiaTheme="minorHAnsi" w:hAnsi="Cambria Math"/>
                <w:i/>
              </w:rPr>
            </m:ctrlPr>
          </m:sSubPr>
          <m:e>
            <m:r>
              <w:rPr>
                <w:rFonts w:ascii="Cambria Math" w:hAnsi="Cambria Math"/>
              </w:rPr>
              <m:t>r</m:t>
            </m:r>
          </m:e>
          <m:sub>
            <m:r>
              <w:rPr>
                <w:rFonts w:ascii="Cambria Math" w:hAnsi="Cambria Math"/>
              </w:rPr>
              <m:t>f</m:t>
            </m:r>
          </m:sub>
        </m:sSub>
      </m:oMath>
      <w:r w:rsidR="00F33858">
        <w:rPr>
          <w:rFonts w:eastAsiaTheme="minorEastAsia"/>
        </w:rPr>
        <w:t xml:space="preserve"> is the risk-free rate, and </w:t>
      </w:r>
      <m:oMath>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oMath>
      <w:r w:rsidR="00F33858">
        <w:rPr>
          <w:rFonts w:eastAsiaTheme="minorEastAsia"/>
        </w:rPr>
        <w:t xml:space="preserve"> is the variance of the Market Portfolio, i.e.</w:t>
      </w:r>
    </w:p>
    <w:p w:rsidR="00F33858" w:rsidRDefault="00F33858" w:rsidP="00F33858">
      <w:pPr>
        <w:pStyle w:val="ListParagraph"/>
        <w:spacing w:line="360" w:lineRule="auto"/>
        <w:ind w:left="360"/>
        <w:rPr>
          <w:rFonts w:eastAsiaTheme="minorEastAsia"/>
        </w:rPr>
      </w:pPr>
    </w:p>
    <w:p w:rsidR="00F33858" w:rsidRPr="00081E67" w:rsidRDefault="00FD028E" w:rsidP="00F33858">
      <w:pPr>
        <w:pStyle w:val="ListParagraph"/>
        <w:spacing w:line="360" w:lineRule="auto"/>
        <w:ind w:left="360"/>
        <w:rPr>
          <w:rFonts w:eastAsiaTheme="minorEastAsia"/>
        </w:rPr>
      </w:pPr>
      <m:oMathPara>
        <m:oMath>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eastAsiaTheme="minorHAnsi" w:hAnsi="Cambria Math"/>
                  <w:i/>
                </w:rPr>
              </m:ctrlPr>
            </m:sSupPr>
            <m:e>
              <m:r>
                <w:rPr>
                  <w:rFonts w:ascii="Cambria Math" w:hAnsi="Cambria Math"/>
                </w:rPr>
                <m:t>w</m:t>
              </m:r>
            </m:e>
            <m:sup>
              <m:r>
                <w:rPr>
                  <w:rFonts w:ascii="Cambria Math" w:hAnsi="Cambria Math"/>
                </w:rPr>
                <m:t>T</m:t>
              </m:r>
            </m:sup>
          </m:sSup>
          <m:r>
            <m:rPr>
              <m:sty m:val="p"/>
            </m:rPr>
            <w:rPr>
              <w:rFonts w:ascii="Cambria Math" w:hAnsi="Cambria Math"/>
            </w:rPr>
            <m:t>Ψ</m:t>
          </m:r>
          <m:r>
            <w:rPr>
              <w:rFonts w:ascii="Cambria Math" w:hAnsi="Cambria Math"/>
            </w:rPr>
            <m:t>w</m:t>
          </m:r>
        </m:oMath>
      </m:oMathPara>
    </w:p>
    <w:p w:rsidR="00F33858" w:rsidRPr="00514E9D" w:rsidRDefault="00F33858" w:rsidP="00F33858">
      <w:pPr>
        <w:pStyle w:val="ListParagraph"/>
        <w:spacing w:line="360" w:lineRule="auto"/>
        <w:ind w:left="360"/>
        <w:rPr>
          <w:rFonts w:eastAsiaTheme="minorHAnsi"/>
        </w:rPr>
      </w:pPr>
    </w:p>
    <w:p w:rsidR="00F33858" w:rsidRPr="00514E9D" w:rsidRDefault="00F33858" w:rsidP="00123389">
      <w:pPr>
        <w:pStyle w:val="ListParagraph"/>
        <w:numPr>
          <w:ilvl w:val="0"/>
          <w:numId w:val="479"/>
        </w:numPr>
        <w:spacing w:after="160" w:line="360" w:lineRule="auto"/>
        <w:rPr>
          <w:rFonts w:eastAsiaTheme="minorHAnsi"/>
          <w:u w:val="single"/>
        </w:rPr>
      </w:pPr>
      <m:oMath>
        <m:r>
          <w:rPr>
            <w:rFonts w:ascii="Cambria Math" w:hAnsi="Cambria Math"/>
            <w:u w:val="single"/>
          </w:rPr>
          <m:t>δ</m:t>
        </m:r>
      </m:oMath>
      <w:r>
        <w:rPr>
          <w:rFonts w:eastAsiaTheme="minorEastAsia"/>
          <w:u w:val="single"/>
        </w:rPr>
        <w:t xml:space="preserve"> Values used in Literature</w:t>
      </w:r>
      <w:r>
        <w:rPr>
          <w:rFonts w:eastAsiaTheme="minorEastAsia"/>
        </w:rPr>
        <w:t xml:space="preserve">: Most authors specify that value of </w:t>
      </w:r>
      <m:oMath>
        <m:r>
          <w:rPr>
            <w:rFonts w:ascii="Cambria Math" w:hAnsi="Cambria Math"/>
          </w:rPr>
          <m:t>δ</m:t>
        </m:r>
      </m:oMath>
      <w:r>
        <w:rPr>
          <w:rFonts w:eastAsiaTheme="minorEastAsia"/>
        </w:rPr>
        <w:t xml:space="preserve"> that they used. Bevan and Winkelmann (1998) describe their process of calibrating their returns to an average Sharpe Ratio based on their experience. For global fixed income – their area of expertise – they use a Sharpe Ratio of </w:t>
      </w:r>
      <m:oMath>
        <m:r>
          <w:rPr>
            <w:rFonts w:ascii="Cambria Math" w:hAnsi="Cambria Math"/>
          </w:rPr>
          <m:t>1.0</m:t>
        </m:r>
      </m:oMath>
      <w:r>
        <w:rPr>
          <w:rFonts w:eastAsiaTheme="minorEastAsia"/>
        </w:rPr>
        <w:t xml:space="preserve">. Black and Litterman (1992) use a Sharpe Ratio closer to </w:t>
      </w:r>
      <m:oMath>
        <m:r>
          <w:rPr>
            <w:rFonts w:ascii="Cambria Math" w:hAnsi="Cambria Math"/>
          </w:rPr>
          <m:t>0.5</m:t>
        </m:r>
      </m:oMath>
      <w:r>
        <w:rPr>
          <w:rFonts w:eastAsiaTheme="minorEastAsia"/>
        </w:rPr>
        <w:t xml:space="preserve"> in the example in their paper.</w:t>
      </w:r>
    </w:p>
    <w:p w:rsidR="00F33858" w:rsidRPr="00081E67" w:rsidRDefault="00F33858" w:rsidP="00123389">
      <w:pPr>
        <w:pStyle w:val="ListParagraph"/>
        <w:numPr>
          <w:ilvl w:val="0"/>
          <w:numId w:val="479"/>
        </w:numPr>
        <w:spacing w:after="160" w:line="360" w:lineRule="auto"/>
        <w:rPr>
          <w:rFonts w:eastAsiaTheme="minorHAnsi"/>
          <w:u w:val="single"/>
        </w:rPr>
      </w:pPr>
      <w:r>
        <w:rPr>
          <w:u w:val="single"/>
        </w:rPr>
        <w:t>Risk Aversion from Sharpe Ratio</w:t>
      </w:r>
      <w:r>
        <w:t xml:space="preserve">: Given the Sharpe Ratio one can write the formula for </w:t>
      </w:r>
      <m:oMath>
        <m:r>
          <w:rPr>
            <w:rFonts w:ascii="Cambria Math" w:hAnsi="Cambria Math"/>
          </w:rPr>
          <m:t>δ</m:t>
        </m:r>
      </m:oMath>
      <w:r>
        <w:rPr>
          <w:rFonts w:eastAsiaTheme="minorEastAsia"/>
        </w:rPr>
        <w:t xml:space="preserve"> in terms of Sharpe Ratio as</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δ=</m:t>
          </m:r>
          <m:f>
            <m:fPr>
              <m:ctrlPr>
                <w:rPr>
                  <w:rFonts w:ascii="Cambria Math" w:eastAsiaTheme="minorHAnsi" w:hAnsi="Cambria Math"/>
                  <w:i/>
                </w:rPr>
              </m:ctrlPr>
            </m:fPr>
            <m:num>
              <m:r>
                <w:rPr>
                  <w:rFonts w:ascii="Cambria Math" w:hAnsi="Cambria Math"/>
                </w:rPr>
                <m:t>SharpeRatio</m:t>
              </m:r>
            </m:num>
            <m:den>
              <m:sSub>
                <m:sSubPr>
                  <m:ctrlPr>
                    <w:rPr>
                      <w:rFonts w:ascii="Cambria Math" w:eastAsiaTheme="minorHAnsi" w:hAnsi="Cambria Math"/>
                      <w:i/>
                    </w:rPr>
                  </m:ctrlPr>
                </m:sSubPr>
                <m:e>
                  <m:r>
                    <w:rPr>
                      <w:rFonts w:ascii="Cambria Math" w:hAnsi="Cambria Math"/>
                    </w:rPr>
                    <m:t>σ</m:t>
                  </m:r>
                </m:e>
                <m:sub>
                  <m:r>
                    <w:rPr>
                      <w:rFonts w:ascii="Cambria Math" w:hAnsi="Cambria Math"/>
                    </w:rPr>
                    <m:t>m</m:t>
                  </m:r>
                </m:sub>
              </m:sSub>
            </m:den>
          </m:f>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Thus one can calibrate the returns in terms of</w:t>
      </w:r>
    </w:p>
    <w:p w:rsidR="00F33858" w:rsidRDefault="00F33858" w:rsidP="00F33858">
      <w:pPr>
        <w:pStyle w:val="ListParagraph"/>
        <w:spacing w:line="360" w:lineRule="auto"/>
        <w:ind w:left="360"/>
        <w:rPr>
          <w:rFonts w:eastAsiaTheme="minorEastAsia"/>
        </w:rPr>
      </w:pPr>
    </w:p>
    <w:p w:rsidR="00F33858" w:rsidRPr="00081E67" w:rsidRDefault="00F33858" w:rsidP="00F33858">
      <w:pPr>
        <w:pStyle w:val="ListParagraph"/>
        <w:spacing w:line="360" w:lineRule="auto"/>
        <w:ind w:left="360"/>
        <w:rPr>
          <w:rFonts w:eastAsiaTheme="minorEastAsia"/>
        </w:rPr>
      </w:pPr>
      <m:oMathPara>
        <m:oMath>
          <m:r>
            <w:rPr>
              <w:rFonts w:ascii="Cambria Math" w:hAnsi="Cambria Math"/>
            </w:rPr>
            <m:t>δ=</m:t>
          </m:r>
          <m:f>
            <m:fPr>
              <m:ctrlPr>
                <w:rPr>
                  <w:rFonts w:ascii="Cambria Math" w:eastAsiaTheme="minorHAnsi"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num>
            <m:den>
              <m:sSup>
                <m:sSupPr>
                  <m:ctrlPr>
                    <w:rPr>
                      <w:rFonts w:ascii="Cambria Math" w:eastAsiaTheme="minorHAnsi" w:hAnsi="Cambria Math"/>
                      <w:i/>
                    </w:rPr>
                  </m:ctrlPr>
                </m:sSupPr>
                <m:e>
                  <m:sSub>
                    <m:sSubPr>
                      <m:ctrlPr>
                        <w:rPr>
                          <w:rFonts w:ascii="Cambria Math" w:eastAsiaTheme="minorHAnsi" w:hAnsi="Cambria Math"/>
                          <w:i/>
                        </w:rPr>
                      </m:ctrlPr>
                    </m:sSubPr>
                    <m:e>
                      <m:r>
                        <w:rPr>
                          <w:rFonts w:ascii="Cambria Math" w:hAnsi="Cambria Math"/>
                        </w:rPr>
                        <m:t>σ</m:t>
                      </m:r>
                    </m:e>
                    <m:sub>
                      <m:r>
                        <w:rPr>
                          <w:rFonts w:ascii="Cambria Math" w:hAnsi="Cambria Math"/>
                        </w:rPr>
                        <m:t>m</m:t>
                      </m:r>
                    </m:sub>
                  </m:sSub>
                </m:e>
                <m:sup>
                  <m:r>
                    <w:rPr>
                      <w:rFonts w:ascii="Cambria Math" w:hAnsi="Cambria Math"/>
                    </w:rPr>
                    <m:t>2</m:t>
                  </m:r>
                </m:sup>
              </m:sSup>
            </m:den>
          </m:f>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or</w:t>
      </w:r>
    </w:p>
    <w:p w:rsidR="00F33858" w:rsidRDefault="00F33858" w:rsidP="00F33858">
      <w:pPr>
        <w:pStyle w:val="ListParagraph"/>
        <w:spacing w:line="360" w:lineRule="auto"/>
        <w:ind w:left="360"/>
        <w:rPr>
          <w:rFonts w:eastAsiaTheme="minorEastAsia"/>
        </w:rPr>
      </w:pPr>
    </w:p>
    <w:p w:rsidR="00F33858" w:rsidRPr="00514E9D" w:rsidRDefault="00F33858" w:rsidP="00F33858">
      <w:pPr>
        <w:pStyle w:val="ListParagraph"/>
        <w:spacing w:line="360" w:lineRule="auto"/>
        <w:ind w:left="360"/>
        <w:rPr>
          <w:rFonts w:eastAsiaTheme="minorHAnsi"/>
          <w:u w:val="single"/>
        </w:rPr>
      </w:pPr>
      <m:oMathPara>
        <m:oMath>
          <m:r>
            <w:rPr>
              <w:rFonts w:ascii="Cambria Math" w:hAnsi="Cambria Math"/>
            </w:rPr>
            <m:t>δ=</m:t>
          </m:r>
          <m:f>
            <m:fPr>
              <m:ctrlPr>
                <w:rPr>
                  <w:rFonts w:ascii="Cambria Math" w:eastAsiaTheme="minorHAnsi" w:hAnsi="Cambria Math"/>
                  <w:i/>
                </w:rPr>
              </m:ctrlPr>
            </m:fPr>
            <m:num>
              <m:r>
                <w:rPr>
                  <w:rFonts w:ascii="Cambria Math" w:hAnsi="Cambria Math"/>
                </w:rPr>
                <m:t>SharpeRatio</m:t>
              </m:r>
            </m:num>
            <m:den>
              <m:sSub>
                <m:sSubPr>
                  <m:ctrlPr>
                    <w:rPr>
                      <w:rFonts w:ascii="Cambria Math" w:eastAsiaTheme="minorHAnsi" w:hAnsi="Cambria Math"/>
                      <w:i/>
                    </w:rPr>
                  </m:ctrlPr>
                </m:sSubPr>
                <m:e>
                  <m:r>
                    <w:rPr>
                      <w:rFonts w:ascii="Cambria Math" w:hAnsi="Cambria Math"/>
                    </w:rPr>
                    <m:t>σ</m:t>
                  </m:r>
                </m:e>
                <m:sub>
                  <m:r>
                    <w:rPr>
                      <w:rFonts w:ascii="Cambria Math" w:hAnsi="Cambria Math"/>
                    </w:rPr>
                    <m:t>m</m:t>
                  </m:r>
                </m:sub>
              </m:sSub>
            </m:den>
          </m:f>
        </m:oMath>
      </m:oMathPara>
    </w:p>
    <w:p w:rsidR="00F33858" w:rsidRDefault="00F33858" w:rsidP="00F33858">
      <w:pPr>
        <w:spacing w:line="360" w:lineRule="auto"/>
      </w:pPr>
    </w:p>
    <w:p w:rsidR="00F33858" w:rsidRDefault="00F33858" w:rsidP="00123389">
      <w:pPr>
        <w:pStyle w:val="ListParagraph"/>
        <w:numPr>
          <w:ilvl w:val="0"/>
          <w:numId w:val="479"/>
        </w:numPr>
        <w:spacing w:after="160" w:line="360" w:lineRule="auto"/>
      </w:pPr>
      <w:r>
        <w:rPr>
          <w:u w:val="single"/>
        </w:rPr>
        <w:t>Sharpe Ratio of Market Portfolio</w:t>
      </w:r>
      <w:r>
        <w:t>: In order to use</w:t>
      </w:r>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m:oMathPara>
        <m:oMath>
          <m:r>
            <w:rPr>
              <w:rFonts w:ascii="Cambria Math" w:hAnsi="Cambria Math"/>
            </w:rPr>
            <m:t>δ=</m:t>
          </m:r>
          <m:f>
            <m:fPr>
              <m:ctrlPr>
                <w:rPr>
                  <w:rFonts w:ascii="Cambria Math" w:eastAsiaTheme="minorHAnsi"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num>
            <m:den>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den>
          </m:f>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pPr>
      <w:r>
        <w:lastRenderedPageBreak/>
        <w:t>one needs to have an implied return for the market portfolio which may be harder to estimate than the Sharpe Ratio of the market portfolio.</w:t>
      </w:r>
    </w:p>
    <w:p w:rsidR="00F33858" w:rsidRDefault="00F33858" w:rsidP="00123389">
      <w:pPr>
        <w:pStyle w:val="ListParagraph"/>
        <w:numPr>
          <w:ilvl w:val="0"/>
          <w:numId w:val="479"/>
        </w:numPr>
        <w:spacing w:after="160" w:line="360" w:lineRule="auto"/>
      </w:pPr>
      <w:r>
        <w:rPr>
          <w:u w:val="single"/>
        </w:rPr>
        <w:t>No-Constraint Reverse Portfolio Optimization</w:t>
      </w:r>
      <w:r w:rsidRPr="00934597">
        <w:t>:</w:t>
      </w:r>
      <w:r>
        <w:t xml:space="preserve"> Once there is a value for</w:t>
      </w:r>
    </w:p>
    <w:p w:rsidR="00F33858" w:rsidRDefault="00F33858" w:rsidP="00F33858">
      <w:pPr>
        <w:pStyle w:val="ListParagraph"/>
        <w:spacing w:line="360" w:lineRule="auto"/>
        <w:ind w:left="360"/>
        <w:rPr>
          <w:rFonts w:eastAsiaTheme="minorEastAsia"/>
        </w:rPr>
      </w:pPr>
    </w:p>
    <w:p w:rsidR="00F33858" w:rsidRPr="00161B9D" w:rsidRDefault="00F33858" w:rsidP="00F33858">
      <w:pPr>
        <w:pStyle w:val="ListParagraph"/>
        <w:spacing w:line="360" w:lineRule="auto"/>
        <w:ind w:left="360"/>
        <w:rPr>
          <w:rFonts w:eastAsiaTheme="minorEastAsia"/>
        </w:rPr>
      </w:pPr>
      <m:oMathPara>
        <m:oMath>
          <m:r>
            <w:rPr>
              <w:rFonts w:ascii="Cambria Math" w:hAnsi="Cambria Math"/>
            </w:rPr>
            <m:t>Π=δ</m:t>
          </m:r>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 xml:space="preserve">plugging in </w:t>
      </w:r>
      <m:oMath>
        <m:r>
          <w:rPr>
            <w:rFonts w:ascii="Cambria Math" w:hAnsi="Cambria Math"/>
          </w:rPr>
          <m:t>w</m:t>
        </m:r>
      </m:oMath>
      <w:r>
        <w:t xml:space="preserve">, </w:t>
      </w:r>
      <m:oMath>
        <m:r>
          <w:rPr>
            <w:rFonts w:ascii="Cambria Math" w:hAnsi="Cambria Math"/>
          </w:rPr>
          <m:t>δ</m:t>
        </m:r>
      </m:oMath>
      <w:r>
        <w:t xml:space="preserve">, and </w:t>
      </w:r>
      <m:oMath>
        <m:r>
          <m:rPr>
            <m:sty m:val="p"/>
          </m:rPr>
          <w:rPr>
            <w:rFonts w:ascii="Cambria Math" w:hAnsi="Cambria Math"/>
          </w:rPr>
          <m:t>Ψ</m:t>
        </m:r>
      </m:oMath>
      <w:r>
        <w:t xml:space="preserve"> into</w:t>
      </w:r>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m:oMathPara>
        <m:oMath>
          <m:r>
            <w:rPr>
              <w:rFonts w:ascii="Cambria Math" w:hAnsi="Cambria Math"/>
            </w:rPr>
            <m:t>Π=δ</m:t>
          </m:r>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generates the set of equilibrium returns.</w:t>
      </w:r>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m:oMathPara>
        <m:oMath>
          <m:r>
            <w:rPr>
              <w:rFonts w:ascii="Cambria Math" w:hAnsi="Cambria Math"/>
            </w:rPr>
            <m:t>Π=δ</m:t>
          </m:r>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is the closed form solution to the reverse optimization problem for computing asset returns given an mean-variance portfolio in the absence of constraints. Re-arranging</w:t>
      </w:r>
    </w:p>
    <w:p w:rsidR="00F33858" w:rsidRDefault="00F33858" w:rsidP="00F33858">
      <w:pPr>
        <w:pStyle w:val="ListParagraph"/>
        <w:spacing w:line="360" w:lineRule="auto"/>
        <w:ind w:left="360"/>
      </w:pPr>
    </w:p>
    <w:p w:rsidR="00F33858" w:rsidRPr="00161B9D" w:rsidRDefault="00F33858" w:rsidP="00F33858">
      <w:pPr>
        <w:pStyle w:val="ListParagraph"/>
        <w:spacing w:line="360" w:lineRule="auto"/>
        <w:ind w:left="360"/>
        <w:rPr>
          <w:rFonts w:eastAsiaTheme="minorEastAsia"/>
        </w:rPr>
      </w:pPr>
      <m:oMathPara>
        <m:oMath>
          <m:r>
            <w:rPr>
              <w:rFonts w:ascii="Cambria Math" w:hAnsi="Cambria Math"/>
            </w:rPr>
            <m:t>Π=δ</m:t>
          </m:r>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pPr>
      <w:r>
        <w:t>produce a formula for the closed form calculation of the optimal portfolio weights in the absence of constraints:</w:t>
      </w:r>
    </w:p>
    <w:p w:rsidR="00F33858" w:rsidRDefault="00F33858" w:rsidP="00F33858">
      <w:pPr>
        <w:pStyle w:val="ListParagraph"/>
        <w:spacing w:line="360" w:lineRule="auto"/>
        <w:ind w:left="360"/>
      </w:pPr>
    </w:p>
    <w:p w:rsidR="00F33858" w:rsidRPr="00934597" w:rsidRDefault="00F33858" w:rsidP="00F33858">
      <w:pPr>
        <w:pStyle w:val="ListParagraph"/>
        <w:spacing w:line="360" w:lineRule="auto"/>
        <w:ind w:left="360"/>
      </w:pPr>
      <m:oMathPara>
        <m:oMath>
          <m:r>
            <w:rPr>
              <w:rFonts w:ascii="Cambria Math" w:hAnsi="Cambria Math"/>
            </w:rPr>
            <m:t>w=</m:t>
          </m:r>
          <m:sSup>
            <m:sSupPr>
              <m:ctrlPr>
                <w:rPr>
                  <w:rFonts w:ascii="Cambria Math" w:eastAsiaTheme="minorHAnsi" w:hAnsi="Cambria Math"/>
                  <w:i/>
                </w:rPr>
              </m:ctrlPr>
            </m:sSupPr>
            <m:e>
              <m:d>
                <m:dPr>
                  <m:ctrlPr>
                    <w:rPr>
                      <w:rFonts w:ascii="Cambria Math" w:eastAsiaTheme="minorHAnsi" w:hAnsi="Cambria Math"/>
                      <w:i/>
                    </w:rPr>
                  </m:ctrlPr>
                </m:dPr>
                <m:e>
                  <m:r>
                    <m:rPr>
                      <m:sty m:val="p"/>
                    </m:rPr>
                    <w:rPr>
                      <w:rFonts w:ascii="Cambria Math" w:hAnsi="Cambria Math"/>
                    </w:rPr>
                    <m:t>δΨ</m:t>
                  </m:r>
                </m:e>
              </m:d>
            </m:e>
            <m:sup>
              <m:r>
                <w:rPr>
                  <w:rFonts w:ascii="Cambria Math" w:hAnsi="Cambria Math"/>
                </w:rPr>
                <m:t>-1</m:t>
              </m:r>
            </m:sup>
          </m:sSup>
          <m:r>
            <w:rPr>
              <w:rFonts w:ascii="Cambria Math" w:hAnsi="Cambria Math"/>
            </w:rPr>
            <m:t>Π</m:t>
          </m:r>
        </m:oMath>
      </m:oMathPara>
    </w:p>
    <w:p w:rsidR="00F33858" w:rsidRDefault="00F33858" w:rsidP="00F33858">
      <w:pPr>
        <w:spacing w:line="360" w:lineRule="auto"/>
      </w:pPr>
    </w:p>
    <w:p w:rsidR="00F33858" w:rsidRDefault="00F33858" w:rsidP="00123389">
      <w:pPr>
        <w:pStyle w:val="ListParagraph"/>
        <w:numPr>
          <w:ilvl w:val="0"/>
          <w:numId w:val="479"/>
        </w:numPr>
        <w:spacing w:after="160" w:line="360" w:lineRule="auto"/>
      </w:pPr>
      <w:r w:rsidRPr="00161B9D">
        <w:rPr>
          <w:u w:val="single"/>
        </w:rPr>
        <w:t>Reverse Optimization under Simple Constraints</w:t>
      </w:r>
      <w:r>
        <w:t>: Herold (2005) provides insights into how implied returns can be computed in the presence of simple equality constraints such as the budget constraint of the full investment</w:t>
      </w:r>
    </w:p>
    <w:p w:rsidR="00F33858" w:rsidRDefault="00F33858" w:rsidP="00F33858">
      <w:pPr>
        <w:pStyle w:val="ListParagraph"/>
        <w:spacing w:line="360" w:lineRule="auto"/>
        <w:ind w:left="360"/>
        <w:rPr>
          <w:u w:val="single"/>
        </w:rPr>
      </w:pPr>
    </w:p>
    <w:p w:rsidR="00F33858" w:rsidRDefault="00FD028E" w:rsidP="00F33858">
      <w:pPr>
        <w:pStyle w:val="ListParagraph"/>
        <w:spacing w:line="360" w:lineRule="auto"/>
        <w:ind w:left="360"/>
        <w:rPr>
          <w:rFonts w:eastAsiaTheme="minorEastAsia"/>
        </w:rPr>
      </w:pPr>
      <m:oMathPara>
        <m:oMath>
          <m:nary>
            <m:naryPr>
              <m:chr m:val="∑"/>
              <m:limLoc m:val="undOvr"/>
              <m:subHide m:val="1"/>
              <m:supHide m:val="1"/>
              <m:ctrlPr>
                <w:rPr>
                  <w:rFonts w:ascii="Cambria Math" w:eastAsiaTheme="minorHAnsi" w:hAnsi="Cambria Math"/>
                  <w:i/>
                </w:rPr>
              </m:ctrlPr>
            </m:naryPr>
            <m:sub/>
            <m:sup/>
            <m:e>
              <m:r>
                <w:rPr>
                  <w:rFonts w:ascii="Cambria Math" w:hAnsi="Cambria Math"/>
                </w:rPr>
                <m:t>w</m:t>
              </m:r>
            </m:e>
          </m:nary>
          <m:r>
            <w:rPr>
              <w:rFonts w:ascii="Cambria Math" w:eastAsiaTheme="minorEastAsia" w:hAnsi="Cambria Math"/>
            </w:rPr>
            <m:t>=1</m:t>
          </m:r>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rPr>
          <w:rFonts w:eastAsiaTheme="minorEastAsia"/>
        </w:rPr>
      </w:pPr>
      <w:r>
        <w:lastRenderedPageBreak/>
        <w:t xml:space="preserve">constraint. He illustrates how errors can be introduced during the reverse optimization if the constraints are assumed to be non-binding when they are actually binding for a given portfolio. Note that since one is dealing with the market portfolio which has only positive weights that sum to </w:t>
      </w:r>
      <m:oMath>
        <m:r>
          <w:rPr>
            <w:rFonts w:ascii="Cambria Math" w:eastAsiaTheme="minorEastAsia" w:hAnsi="Cambria Math"/>
          </w:rPr>
          <m:t>1</m:t>
        </m:r>
      </m:oMath>
      <w:r>
        <w:rPr>
          <w:rFonts w:eastAsiaTheme="minorEastAsia"/>
        </w:rPr>
        <w:t>, one can safely assume that there are no binding constraints on the reverse optimization.</w:t>
      </w:r>
    </w:p>
    <w:p w:rsidR="00F33858" w:rsidRPr="00A15138" w:rsidRDefault="00F33858" w:rsidP="00123389">
      <w:pPr>
        <w:pStyle w:val="ListParagraph"/>
        <w:numPr>
          <w:ilvl w:val="0"/>
          <w:numId w:val="479"/>
        </w:numPr>
        <w:spacing w:after="160" w:line="360" w:lineRule="auto"/>
        <w:rPr>
          <w:rFonts w:eastAsiaTheme="minorHAnsi"/>
        </w:rPr>
      </w:pPr>
      <w:r w:rsidRPr="00C76672">
        <w:rPr>
          <w:rFonts w:eastAsiaTheme="minorEastAsia"/>
          <w:u w:val="single"/>
        </w:rPr>
        <w:t>Incorporating the Prior Distribution Variance</w:t>
      </w:r>
      <w:r>
        <w:rPr>
          <w:rFonts w:eastAsiaTheme="minorEastAsia"/>
        </w:rPr>
        <w:t xml:space="preserve">: The only piece missing is the variance of our estimate of the mean. Looking back at the Reference Model what is needed is </w:t>
      </w:r>
      <m:oMath>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ϰ</m:t>
            </m:r>
          </m:sub>
        </m:sSub>
      </m:oMath>
      <w:r>
        <w:rPr>
          <w:rFonts w:eastAsiaTheme="minorEastAsia"/>
        </w:rPr>
        <w:t xml:space="preserve">. Black and Litterman made the simplifying assumption that the structure of the covariance matrix of the estimate is proportional to the covariance of the returns </w:t>
      </w:r>
      <m:oMath>
        <m:r>
          <m:rPr>
            <m:sty m:val="p"/>
          </m:rPr>
          <w:rPr>
            <w:rFonts w:ascii="Cambria Math" w:eastAsiaTheme="minorEastAsia" w:hAnsi="Cambria Math"/>
          </w:rPr>
          <m:t>Ψ</m:t>
        </m:r>
      </m:oMath>
      <w:r>
        <w:rPr>
          <w:rFonts w:eastAsiaTheme="minorEastAsia"/>
        </w:rPr>
        <w:t xml:space="preserve">. They created a parameter </w:t>
      </w:r>
      <m:oMath>
        <m:r>
          <w:rPr>
            <w:rFonts w:ascii="Cambria Math" w:eastAsiaTheme="minorEastAsia" w:hAnsi="Cambria Math"/>
          </w:rPr>
          <m:t>τ</m:t>
        </m:r>
      </m:oMath>
      <w:r>
        <w:rPr>
          <w:rFonts w:eastAsiaTheme="minorEastAsia"/>
        </w:rPr>
        <w:t xml:space="preserve"> as the constant of proportionality. Given the assumption</w:t>
      </w:r>
    </w:p>
    <w:p w:rsidR="00F33858" w:rsidRDefault="00F33858" w:rsidP="00F33858">
      <w:pPr>
        <w:pStyle w:val="ListParagraph"/>
        <w:spacing w:line="360" w:lineRule="auto"/>
        <w:ind w:left="360"/>
        <w:rPr>
          <w:rFonts w:eastAsiaTheme="minorEastAsia"/>
          <w:u w:val="single"/>
        </w:rPr>
      </w:pPr>
    </w:p>
    <w:p w:rsidR="00F33858" w:rsidRDefault="00FD028E" w:rsidP="00F33858">
      <w:pPr>
        <w:pStyle w:val="ListParagraph"/>
        <w:spacing w:line="360" w:lineRule="auto"/>
        <w:ind w:left="36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Ψ</m:t>
              </m:r>
            </m:e>
            <m:sub>
              <m:r>
                <w:rPr>
                  <w:rFonts w:ascii="Cambria Math" w:eastAsiaTheme="minorEastAsia" w:hAnsi="Cambria Math"/>
                </w:rPr>
                <m:t>ϰ</m:t>
              </m:r>
            </m:sub>
          </m:sSub>
          <m:r>
            <w:rPr>
              <w:rFonts w:ascii="Cambria Math" w:eastAsiaTheme="minorEastAsia" w:hAnsi="Cambria Math"/>
            </w:rPr>
            <m:t>=τ</m:t>
          </m:r>
          <m:r>
            <m:rPr>
              <m:sty m:val="p"/>
            </m:rPr>
            <w:rPr>
              <w:rFonts w:ascii="Cambria Math" w:eastAsiaTheme="minorEastAsia" w:hAnsi="Cambria Math"/>
            </w:rPr>
            <m:t>Ψ</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the prior distribution is</w:t>
      </w:r>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r>
            <w:rPr>
              <w:rFonts w:ascii="Cambria Math" w:eastAsiaTheme="minorEastAsia" w:hAnsi="Cambria Math"/>
            </w:rPr>
            <m:t>Prior</m:t>
          </m:r>
          <m:d>
            <m:dPr>
              <m:ctrlPr>
                <w:rPr>
                  <w:rFonts w:ascii="Cambria Math" w:eastAsiaTheme="minorEastAsia" w:hAnsi="Cambria Math"/>
                  <w:i/>
                </w:rPr>
              </m:ctrlPr>
            </m:dPr>
            <m:e>
              <m:r>
                <w:rPr>
                  <w:rFonts w:ascii="Cambria Math" w:eastAsiaTheme="minorEastAsia" w:hAnsi="Cambria Math"/>
                </w:rPr>
                <m:t>A</m:t>
              </m:r>
            </m:e>
          </m:d>
          <m:r>
            <m:rPr>
              <m:scr m:val="script"/>
            </m:rPr>
            <w:rPr>
              <w:rFonts w:ascii="Cambria Math" w:hAnsi="Cambria Math"/>
            </w:rPr>
            <m:t>~N</m:t>
          </m:r>
          <m:d>
            <m:dPr>
              <m:ctrlPr>
                <w:rPr>
                  <w:rFonts w:ascii="Cambria Math" w:hAnsi="Cambria Math"/>
                  <w:i/>
                </w:rPr>
              </m:ctrlPr>
            </m:dPr>
            <m:e>
              <m:r>
                <w:rPr>
                  <w:rFonts w:ascii="Cambria Math" w:hAnsi="Cambria Math"/>
                </w:rPr>
                <m:t>ϰ, τ</m:t>
              </m:r>
              <m:r>
                <m:rPr>
                  <m:sty m:val="p"/>
                </m:rPr>
                <w:rPr>
                  <w:rFonts w:ascii="Cambria Math" w:hAnsi="Cambria Math"/>
                </w:rPr>
                <m:t>Ψ</m:t>
              </m:r>
            </m:e>
          </m:d>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or</w:t>
      </w:r>
    </w:p>
    <w:p w:rsidR="00F33858" w:rsidRDefault="00F33858" w:rsidP="00F33858">
      <w:pPr>
        <w:pStyle w:val="ListParagraph"/>
        <w:spacing w:line="360" w:lineRule="auto"/>
        <w:ind w:left="360"/>
        <w:rPr>
          <w:rFonts w:eastAsiaTheme="minorEastAsia"/>
        </w:rPr>
      </w:pPr>
    </w:p>
    <w:p w:rsidR="00F33858" w:rsidRDefault="00FD028E" w:rsidP="00F33858">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m:rPr>
              <m:scr m:val="script"/>
            </m:rPr>
            <w:rPr>
              <w:rFonts w:ascii="Cambria Math" w:hAnsi="Cambria Math"/>
            </w:rPr>
            <m:t>~N</m:t>
          </m:r>
          <m:d>
            <m:dPr>
              <m:ctrlPr>
                <w:rPr>
                  <w:rFonts w:ascii="Cambria Math" w:hAnsi="Cambria Math"/>
                  <w:i/>
                </w:rPr>
              </m:ctrlPr>
            </m:dPr>
            <m:e>
              <m:r>
                <w:rPr>
                  <w:rFonts w:ascii="Cambria Math" w:eastAsiaTheme="minorEastAsia" w:hAnsi="Cambria Math"/>
                </w:rPr>
                <m:t>Prior</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 xml:space="preserve">, </m:t>
              </m:r>
              <m:r>
                <m:rPr>
                  <m:sty m:val="p"/>
                </m:rPr>
                <w:rPr>
                  <w:rFonts w:ascii="Cambria Math" w:hAnsi="Cambria Math"/>
                </w:rPr>
                <m:t>Ψ</m:t>
              </m:r>
            </m:e>
          </m:d>
        </m:oMath>
      </m:oMathPara>
    </w:p>
    <w:p w:rsidR="00F33858" w:rsidRDefault="00F33858" w:rsidP="00F33858">
      <w:pPr>
        <w:pStyle w:val="ListParagraph"/>
        <w:spacing w:line="360" w:lineRule="auto"/>
        <w:ind w:left="360"/>
        <w:rPr>
          <w:rFonts w:eastAsiaTheme="minorEastAsia"/>
        </w:rPr>
      </w:pPr>
    </w:p>
    <w:p w:rsidR="00F33858" w:rsidRPr="00AB2CAB" w:rsidRDefault="00F33858" w:rsidP="00F33858">
      <w:pPr>
        <w:pStyle w:val="ListParagraph"/>
        <w:spacing w:line="360" w:lineRule="auto"/>
        <w:ind w:left="360"/>
        <w:rPr>
          <w:rFonts w:eastAsiaTheme="minorHAnsi"/>
        </w:rPr>
      </w:pPr>
      <w:r>
        <w:rPr>
          <w:rFonts w:eastAsiaTheme="minorEastAsia"/>
        </w:rPr>
        <w:t>This is the prior distribution of the Black Litterman Model. It represents the estimate of the mean, which is expressed as a distribution of the actual unknown mean about the estimate.</w:t>
      </w:r>
    </w:p>
    <w:p w:rsidR="00F33858" w:rsidRDefault="00F33858" w:rsidP="00123389">
      <w:pPr>
        <w:pStyle w:val="ListParagraph"/>
        <w:numPr>
          <w:ilvl w:val="0"/>
          <w:numId w:val="479"/>
        </w:numPr>
        <w:spacing w:after="160" w:line="360" w:lineRule="auto"/>
      </w:pPr>
      <w:r>
        <w:rPr>
          <w:rFonts w:eastAsiaTheme="minorEastAsia"/>
          <w:u w:val="single"/>
        </w:rPr>
        <w:t>Incorporating Prior and Conditional Variance</w:t>
      </w:r>
      <w:r w:rsidRPr="00AB2CAB">
        <w:rPr>
          <w:rFonts w:eastAsiaTheme="minorHAnsi"/>
        </w:rPr>
        <w:t>:</w:t>
      </w:r>
      <w:r>
        <w:t xml:space="preserve"> Using</w:t>
      </w:r>
    </w:p>
    <w:p w:rsidR="00F33858" w:rsidRDefault="00F33858" w:rsidP="00F33858">
      <w:pPr>
        <w:pStyle w:val="ListParagraph"/>
        <w:spacing w:line="360" w:lineRule="auto"/>
        <w:ind w:left="360"/>
        <w:rPr>
          <w:rFonts w:eastAsiaTheme="minorEastAsia"/>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r~</m:t>
          </m:r>
          <m:r>
            <m:rPr>
              <m:scr m:val="script"/>
            </m:rPr>
            <w:rPr>
              <w:rFonts w:ascii="Cambria Math" w:hAnsi="Cambria Math"/>
            </w:rPr>
            <m:t>N</m:t>
          </m:r>
          <m:d>
            <m:dPr>
              <m:ctrlPr>
                <w:rPr>
                  <w:rFonts w:ascii="Cambria Math" w:hAnsi="Cambria Math"/>
                  <w:i/>
                </w:rPr>
              </m:ctrlPr>
            </m:dPr>
            <m:e>
              <m:r>
                <w:rPr>
                  <w:rFonts w:ascii="Cambria Math" w:hAnsi="Cambria Math"/>
                </w:rPr>
                <m:t xml:space="preserve">ϰ, </m:t>
              </m:r>
              <m:sSub>
                <m:sSubPr>
                  <m:ctrlPr>
                    <w:rPr>
                      <w:rFonts w:ascii="Cambria Math" w:eastAsiaTheme="minorHAnsi" w:hAnsi="Cambria Math"/>
                    </w:rPr>
                  </m:ctrlPr>
                </m:sSubPr>
                <m:e>
                  <m:r>
                    <m:rPr>
                      <m:sty m:val="p"/>
                    </m:rPr>
                    <w:rPr>
                      <w:rFonts w:ascii="Cambria Math" w:hAnsi="Cambria Math"/>
                    </w:rPr>
                    <m:t>Ψ</m:t>
                  </m:r>
                </m:e>
                <m:sub>
                  <m:r>
                    <w:rPr>
                      <w:rFonts w:ascii="Cambria Math" w:hAnsi="Cambria Math"/>
                    </w:rPr>
                    <m:t>r</m:t>
                  </m:r>
                </m:sub>
              </m:sSub>
            </m:e>
          </m:d>
        </m:oMath>
      </m:oMathPara>
    </w:p>
    <w:p w:rsidR="00F33858" w:rsidRDefault="00F33858" w:rsidP="00F33858">
      <w:pPr>
        <w:pStyle w:val="ListParagraph"/>
        <w:spacing w:line="360" w:lineRule="auto"/>
        <w:ind w:left="360"/>
      </w:pPr>
    </w:p>
    <w:p w:rsidR="00F33858" w:rsidRDefault="00F33858" w:rsidP="00F33858">
      <w:pPr>
        <w:pStyle w:val="ListParagraph"/>
        <w:spacing w:line="360" w:lineRule="auto"/>
        <w:ind w:left="360"/>
      </w:pPr>
      <w:r>
        <w:t xml:space="preserve">one can re-write the above formula in terms of </w:t>
      </w:r>
      <m:oMath>
        <m:r>
          <w:rPr>
            <w:rFonts w:ascii="Cambria Math" w:hAnsi="Cambria Math"/>
          </w:rPr>
          <m:t>ϰ</m:t>
        </m:r>
      </m:oMath>
      <w:r>
        <w:t xml:space="preserve"> as</w:t>
      </w:r>
    </w:p>
    <w:p w:rsidR="00F33858" w:rsidRDefault="00F33858" w:rsidP="00F33858">
      <w:pPr>
        <w:pStyle w:val="ListParagraph"/>
        <w:spacing w:line="360" w:lineRule="auto"/>
        <w:ind w:left="360"/>
      </w:pPr>
    </w:p>
    <w:p w:rsidR="00F33858" w:rsidRPr="00161B9D" w:rsidRDefault="00FD028E" w:rsidP="00F33858">
      <w:pPr>
        <w:pStyle w:val="ListParagraph"/>
        <w:spacing w:line="360" w:lineRule="auto"/>
        <w:ind w:left="360"/>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ϰ, </m:t>
              </m:r>
              <m:d>
                <m:dPr>
                  <m:begChr m:val="["/>
                  <m:endChr m:val="]"/>
                  <m:ctrlPr>
                    <w:rPr>
                      <w:rFonts w:ascii="Cambria Math" w:eastAsiaTheme="minorHAnsi" w:hAnsi="Cambria Math"/>
                      <w:i/>
                    </w:rPr>
                  </m:ctrlPr>
                </m:dPr>
                <m:e>
                  <m:r>
                    <w:rPr>
                      <w:rFonts w:ascii="Cambria Math" w:hAnsi="Cambria Math"/>
                    </w:rPr>
                    <m:t>1+τ</m:t>
                  </m:r>
                </m:e>
              </m:d>
              <m:r>
                <m:rPr>
                  <m:sty m:val="p"/>
                </m:rPr>
                <w:rPr>
                  <w:rFonts w:ascii="Cambria Math" w:hAnsi="Cambria Math"/>
                </w:rPr>
                <m:t>Ψ</m:t>
              </m:r>
            </m:e>
          </m:d>
        </m:oMath>
      </m:oMathPara>
    </w:p>
    <w:p w:rsidR="00F33858" w:rsidRDefault="00F33858" w:rsidP="00F33858">
      <w:pPr>
        <w:spacing w:line="360" w:lineRule="auto"/>
      </w:pPr>
    </w:p>
    <w:p w:rsidR="00F33858" w:rsidRPr="009012C3" w:rsidRDefault="00F33858" w:rsidP="00123389">
      <w:pPr>
        <w:pStyle w:val="ListParagraph"/>
        <w:numPr>
          <w:ilvl w:val="0"/>
          <w:numId w:val="479"/>
        </w:numPr>
        <w:spacing w:after="160" w:line="360" w:lineRule="auto"/>
        <w:rPr>
          <w:rFonts w:eastAsiaTheme="minorHAnsi"/>
        </w:rPr>
      </w:pPr>
      <w:r w:rsidRPr="00092169">
        <w:rPr>
          <w:u w:val="single"/>
        </w:rPr>
        <w:lastRenderedPageBreak/>
        <w:t>No Views Unconstrained Portfolio Weights</w:t>
      </w:r>
      <w:r>
        <w:t xml:space="preserve">: It is often written that an investor with no views and using an unconstrained mean-variance portfolio selection model will invest </w:t>
      </w:r>
      <m:oMath>
        <m:r>
          <w:rPr>
            <w:rFonts w:ascii="Cambria Math" w:hAnsi="Cambria Math"/>
          </w:rPr>
          <m:t>100%</m:t>
        </m:r>
      </m:oMath>
      <w:r>
        <w:rPr>
          <w:rFonts w:eastAsiaTheme="minorEastAsia"/>
        </w:rPr>
        <w:t xml:space="preserve"> in the neutral portfolio, but this is only true if they apply a budget constraint. Because of the uncertainty in the estimates they will invest </w:t>
      </w:r>
      <m:oMath>
        <m:f>
          <m:fPr>
            <m:ctrlPr>
              <w:rPr>
                <w:rFonts w:ascii="Cambria Math" w:eastAsiaTheme="minorHAnsi" w:hAnsi="Cambria Math"/>
                <w:i/>
              </w:rPr>
            </m:ctrlPr>
          </m:fPr>
          <m:num>
            <m:r>
              <w:rPr>
                <w:rFonts w:ascii="Cambria Math" w:hAnsi="Cambria Math"/>
              </w:rPr>
              <m:t>1</m:t>
            </m:r>
          </m:num>
          <m:den>
            <m:r>
              <w:rPr>
                <w:rFonts w:ascii="Cambria Math" w:hAnsi="Cambria Math"/>
              </w:rPr>
              <m:t>1+τ</m:t>
            </m:r>
          </m:den>
        </m:f>
      </m:oMath>
      <w:r>
        <w:rPr>
          <w:rFonts w:eastAsiaTheme="minorEastAsia"/>
        </w:rPr>
        <w:t xml:space="preserve"> in the neutral portfolio an </w:t>
      </w:r>
      <m:oMath>
        <m:f>
          <m:fPr>
            <m:ctrlPr>
              <w:rPr>
                <w:rFonts w:ascii="Cambria Math" w:eastAsiaTheme="minorHAnsi" w:hAnsi="Cambria Math"/>
                <w:i/>
              </w:rPr>
            </m:ctrlPr>
          </m:fPr>
          <m:num>
            <m:r>
              <w:rPr>
                <w:rFonts w:ascii="Cambria Math" w:hAnsi="Cambria Math"/>
              </w:rPr>
              <m:t>τ</m:t>
            </m:r>
          </m:num>
          <m:den>
            <m:r>
              <w:rPr>
                <w:rFonts w:ascii="Cambria Math" w:hAnsi="Cambria Math"/>
              </w:rPr>
              <m:t>1+τ</m:t>
            </m:r>
          </m:den>
        </m:f>
      </m:oMath>
      <w:r>
        <w:rPr>
          <w:rFonts w:eastAsiaTheme="minorEastAsia"/>
        </w:rPr>
        <w:t xml:space="preserve"> in the risk-free asset. This can be seen from the following:</w:t>
      </w:r>
    </w:p>
    <w:p w:rsidR="00F33858" w:rsidRDefault="00F33858" w:rsidP="00F33858">
      <w:pPr>
        <w:pStyle w:val="ListParagraph"/>
        <w:spacing w:line="360" w:lineRule="auto"/>
        <w:ind w:left="360"/>
        <w:rPr>
          <w:u w:val="single"/>
        </w:rPr>
      </w:pPr>
    </w:p>
    <w:p w:rsidR="00F33858" w:rsidRDefault="00F33858" w:rsidP="00F33858">
      <w:pPr>
        <w:pStyle w:val="ListParagraph"/>
        <w:spacing w:line="360" w:lineRule="auto"/>
        <w:ind w:left="360"/>
        <w:rPr>
          <w:rFonts w:eastAsiaTheme="minorEastAsia"/>
        </w:rPr>
      </w:pPr>
      <m:oMathPara>
        <m:oMath>
          <m:r>
            <w:rPr>
              <w:rFonts w:ascii="Cambria Math" w:hAnsi="Cambria Math"/>
            </w:rPr>
            <m:t>Π=δ</m:t>
          </m:r>
          <m:r>
            <m:rPr>
              <m:sty m:val="p"/>
            </m:rPr>
            <w:rPr>
              <w:rFonts w:ascii="Cambria Math" w:hAnsi="Cambria Math"/>
            </w:rPr>
            <m:t>Ψ</m:t>
          </m:r>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m:oMathPara>
        <m:oMath>
          <m:r>
            <w:rPr>
              <w:rFonts w:ascii="Cambria Math" w:eastAsiaTheme="minorEastAsia" w:hAnsi="Cambria Math"/>
            </w:rPr>
            <m:t>w</m:t>
          </m:r>
          <m:r>
            <w:rPr>
              <w:rFonts w:ascii="Cambria Math" w:hAnsi="Cambria Math"/>
            </w:rPr>
            <m:t>=</m:t>
          </m:r>
          <m:sSup>
            <m:sSupPr>
              <m:ctrlPr>
                <w:rPr>
                  <w:rFonts w:ascii="Cambria Math" w:eastAsiaTheme="minorHAnsi" w:hAnsi="Cambria Math"/>
                  <w:i/>
                </w:rPr>
              </m:ctrlPr>
            </m:sSupPr>
            <m:e>
              <m:d>
                <m:dPr>
                  <m:ctrlPr>
                    <w:rPr>
                      <w:rFonts w:ascii="Cambria Math" w:eastAsiaTheme="minorHAnsi" w:hAnsi="Cambria Math"/>
                      <w:i/>
                    </w:rPr>
                  </m:ctrlPr>
                </m:dPr>
                <m:e>
                  <m:r>
                    <w:rPr>
                      <w:rFonts w:ascii="Cambria Math" w:hAnsi="Cambria Math"/>
                    </w:rPr>
                    <m:t>δ</m:t>
                  </m:r>
                  <m:r>
                    <m:rPr>
                      <m:sty m:val="p"/>
                    </m:rPr>
                    <w:rPr>
                      <w:rFonts w:ascii="Cambria Math" w:hAnsi="Cambria Math"/>
                    </w:rPr>
                    <m:t>Ψ</m:t>
                  </m:r>
                </m:e>
              </m:d>
            </m:e>
            <m:sup>
              <m:r>
                <w:rPr>
                  <w:rFonts w:ascii="Cambria Math" w:hAnsi="Cambria Math"/>
                </w:rPr>
                <m:t>-1</m:t>
              </m:r>
            </m:sup>
          </m:sSup>
          <m:r>
            <w:rPr>
              <w:rFonts w:ascii="Cambria Math" w:hAnsi="Cambria Math"/>
            </w:rPr>
            <m:t>Π</m:t>
          </m:r>
        </m:oMath>
      </m:oMathPara>
    </w:p>
    <w:p w:rsidR="00F33858" w:rsidRDefault="00F33858" w:rsidP="00F33858">
      <w:pPr>
        <w:pStyle w:val="ListParagraph"/>
        <w:spacing w:line="360" w:lineRule="auto"/>
        <w:ind w:left="360"/>
        <w:rPr>
          <w:rFonts w:eastAsiaTheme="minorEastAsia"/>
        </w:rPr>
      </w:pPr>
    </w:p>
    <w:p w:rsidR="00F33858" w:rsidRDefault="00FD028E" w:rsidP="00F33858">
      <w:pPr>
        <w:pStyle w:val="ListParagraph"/>
        <w:spacing w:line="360" w:lineRule="auto"/>
        <w:ind w:left="360"/>
        <w:rPr>
          <w:rFonts w:eastAsiaTheme="minorEastAsia"/>
        </w:rPr>
      </w:pPr>
      <m:oMathPara>
        <m:oMath>
          <m:acc>
            <m:accPr>
              <m:ctrlPr>
                <w:rPr>
                  <w:rFonts w:ascii="Cambria Math" w:eastAsiaTheme="minorHAnsi" w:hAnsi="Cambria Math"/>
                  <w:i/>
                </w:rPr>
              </m:ctrlPr>
            </m:accPr>
            <m:e>
              <m:r>
                <w:rPr>
                  <w:rFonts w:ascii="Cambria Math" w:hAnsi="Cambria Math"/>
                </w:rPr>
                <m:t>w</m:t>
              </m:r>
            </m:e>
          </m:acc>
          <m:r>
            <w:rPr>
              <w:rFonts w:ascii="Cambria Math" w:hAnsi="Cambria Math"/>
            </w:rPr>
            <m:t>=</m:t>
          </m:r>
          <m:sSup>
            <m:sSupPr>
              <m:ctrlPr>
                <w:rPr>
                  <w:rFonts w:ascii="Cambria Math" w:eastAsiaTheme="minorHAnsi" w:hAnsi="Cambria Math"/>
                  <w:i/>
                </w:rPr>
              </m:ctrlPr>
            </m:sSupPr>
            <m:e>
              <m:d>
                <m:dPr>
                  <m:ctrlPr>
                    <w:rPr>
                      <w:rFonts w:ascii="Cambria Math" w:eastAsiaTheme="minorHAnsi" w:hAnsi="Cambria Math"/>
                      <w:i/>
                    </w:rPr>
                  </m:ctrlPr>
                </m:dPr>
                <m:e>
                  <m:d>
                    <m:dPr>
                      <m:begChr m:val="["/>
                      <m:endChr m:val="]"/>
                      <m:ctrlPr>
                        <w:rPr>
                          <w:rFonts w:ascii="Cambria Math" w:eastAsiaTheme="minorHAnsi" w:hAnsi="Cambria Math"/>
                          <w:i/>
                        </w:rPr>
                      </m:ctrlPr>
                    </m:dPr>
                    <m:e>
                      <m:r>
                        <w:rPr>
                          <w:rFonts w:ascii="Cambria Math" w:hAnsi="Cambria Math"/>
                        </w:rPr>
                        <m:t>1+τ</m:t>
                      </m:r>
                    </m:e>
                  </m:d>
                  <m:r>
                    <w:rPr>
                      <w:rFonts w:ascii="Cambria Math" w:hAnsi="Cambria Math"/>
                    </w:rPr>
                    <m:t>δ</m:t>
                  </m:r>
                  <m:r>
                    <m:rPr>
                      <m:sty m:val="p"/>
                    </m:rPr>
                    <w:rPr>
                      <w:rFonts w:ascii="Cambria Math" w:hAnsi="Cambria Math"/>
                    </w:rPr>
                    <m:t>Ψ</m:t>
                  </m:r>
                </m:e>
              </m:d>
            </m:e>
            <m:sup>
              <m:r>
                <w:rPr>
                  <w:rFonts w:ascii="Cambria Math" w:hAnsi="Cambria Math"/>
                </w:rPr>
                <m:t>-1</m:t>
              </m:r>
            </m:sup>
          </m:sSup>
          <m:r>
            <w:rPr>
              <w:rFonts w:ascii="Cambria Math" w:hAnsi="Cambria Math"/>
            </w:rPr>
            <m:t>Π</m:t>
          </m:r>
        </m:oMath>
      </m:oMathPara>
    </w:p>
    <w:p w:rsidR="00F33858" w:rsidRDefault="00F33858" w:rsidP="00F33858">
      <w:pPr>
        <w:pStyle w:val="ListParagraph"/>
        <w:spacing w:line="360" w:lineRule="auto"/>
        <w:ind w:left="360"/>
        <w:rPr>
          <w:rFonts w:eastAsiaTheme="minorEastAsia"/>
        </w:rPr>
      </w:pPr>
    </w:p>
    <w:p w:rsidR="00F33858" w:rsidRDefault="00FD028E" w:rsidP="00F33858">
      <w:pPr>
        <w:pStyle w:val="ListParagraph"/>
        <w:spacing w:line="360" w:lineRule="auto"/>
        <w:ind w:left="360"/>
        <w:rPr>
          <w:rFonts w:eastAsiaTheme="minorEastAsia"/>
        </w:rPr>
      </w:pPr>
      <m:oMathPara>
        <m:oMath>
          <m:acc>
            <m:accPr>
              <m:ctrlPr>
                <w:rPr>
                  <w:rFonts w:ascii="Cambria Math" w:eastAsiaTheme="minorHAnsi" w:hAnsi="Cambria Math"/>
                  <w:i/>
                </w:rPr>
              </m:ctrlPr>
            </m:accPr>
            <m:e>
              <m:r>
                <w:rPr>
                  <w:rFonts w:ascii="Cambria Math" w:hAnsi="Cambria Math"/>
                </w:rPr>
                <m:t>w</m:t>
              </m:r>
            </m:e>
          </m:acc>
          <m:r>
            <w:rPr>
              <w:rFonts w:ascii="Cambria Math" w:hAnsi="Cambria Math"/>
            </w:rPr>
            <m:t>=</m:t>
          </m:r>
          <m:f>
            <m:fPr>
              <m:ctrlPr>
                <w:rPr>
                  <w:rFonts w:ascii="Cambria Math" w:eastAsiaTheme="minorHAnsi" w:hAnsi="Cambria Math"/>
                  <w:i/>
                </w:rPr>
              </m:ctrlPr>
            </m:fPr>
            <m:num>
              <m:r>
                <w:rPr>
                  <w:rFonts w:ascii="Cambria Math" w:hAnsi="Cambria Math"/>
                </w:rPr>
                <m:t>1</m:t>
              </m:r>
            </m:num>
            <m:den>
              <m:r>
                <w:rPr>
                  <w:rFonts w:ascii="Cambria Math" w:hAnsi="Cambria Math"/>
                </w:rPr>
                <m:t>1+τ</m:t>
              </m:r>
            </m:den>
          </m:f>
          <m:sSup>
            <m:sSupPr>
              <m:ctrlPr>
                <w:rPr>
                  <w:rFonts w:ascii="Cambria Math" w:eastAsiaTheme="minorHAnsi" w:hAnsi="Cambria Math"/>
                  <w:i/>
                </w:rPr>
              </m:ctrlPr>
            </m:sSupPr>
            <m:e>
              <m:d>
                <m:dPr>
                  <m:ctrlPr>
                    <w:rPr>
                      <w:rFonts w:ascii="Cambria Math" w:eastAsiaTheme="minorHAnsi" w:hAnsi="Cambria Math"/>
                      <w:i/>
                    </w:rPr>
                  </m:ctrlPr>
                </m:dPr>
                <m:e>
                  <m:r>
                    <w:rPr>
                      <w:rFonts w:ascii="Cambria Math" w:hAnsi="Cambria Math"/>
                    </w:rPr>
                    <m:t>δ</m:t>
                  </m:r>
                  <m:r>
                    <m:rPr>
                      <m:sty m:val="p"/>
                    </m:rPr>
                    <w:rPr>
                      <w:rFonts w:ascii="Cambria Math" w:hAnsi="Cambria Math"/>
                    </w:rPr>
                    <m:t>Ψ</m:t>
                  </m:r>
                </m:e>
              </m:d>
            </m:e>
            <m:sup>
              <m:r>
                <w:rPr>
                  <w:rFonts w:ascii="Cambria Math" w:hAnsi="Cambria Math"/>
                </w:rPr>
                <m:t>-1</m:t>
              </m:r>
            </m:sup>
          </m:sSup>
          <m:r>
            <w:rPr>
              <w:rFonts w:ascii="Cambria Math" w:hAnsi="Cambria Math"/>
            </w:rPr>
            <m:t>Π</m:t>
          </m:r>
        </m:oMath>
      </m:oMathPara>
    </w:p>
    <w:p w:rsidR="00F33858" w:rsidRDefault="00F33858" w:rsidP="00F33858">
      <w:pPr>
        <w:pStyle w:val="ListParagraph"/>
        <w:spacing w:line="360" w:lineRule="auto"/>
        <w:ind w:left="360"/>
        <w:rPr>
          <w:rFonts w:eastAsiaTheme="minorEastAsia"/>
        </w:rPr>
      </w:pPr>
    </w:p>
    <w:p w:rsidR="00F33858" w:rsidRDefault="00FD028E" w:rsidP="00F33858">
      <w:pPr>
        <w:pStyle w:val="ListParagraph"/>
        <w:spacing w:line="360" w:lineRule="auto"/>
        <w:ind w:left="360"/>
        <w:rPr>
          <w:rFonts w:eastAsiaTheme="minorEastAsia"/>
        </w:rPr>
      </w:pPr>
      <m:oMathPara>
        <m:oMath>
          <m:acc>
            <m:accPr>
              <m:ctrlPr>
                <w:rPr>
                  <w:rFonts w:ascii="Cambria Math" w:eastAsiaTheme="minorHAnsi" w:hAnsi="Cambria Math"/>
                  <w:i/>
                </w:rPr>
              </m:ctrlPr>
            </m:accPr>
            <m:e>
              <m:r>
                <w:rPr>
                  <w:rFonts w:ascii="Cambria Math" w:hAnsi="Cambria Math"/>
                </w:rPr>
                <m:t>w</m:t>
              </m:r>
            </m:e>
          </m:acc>
          <m:r>
            <w:rPr>
              <w:rFonts w:ascii="Cambria Math" w:hAnsi="Cambria Math"/>
            </w:rPr>
            <m:t>=</m:t>
          </m:r>
          <m:f>
            <m:fPr>
              <m:ctrlPr>
                <w:rPr>
                  <w:rFonts w:ascii="Cambria Math" w:eastAsiaTheme="minorHAnsi" w:hAnsi="Cambria Math"/>
                  <w:i/>
                </w:rPr>
              </m:ctrlPr>
            </m:fPr>
            <m:num>
              <m:r>
                <w:rPr>
                  <w:rFonts w:ascii="Cambria Math" w:hAnsi="Cambria Math"/>
                </w:rPr>
                <m:t>1</m:t>
              </m:r>
            </m:num>
            <m:den>
              <m:r>
                <w:rPr>
                  <w:rFonts w:ascii="Cambria Math" w:hAnsi="Cambria Math"/>
                </w:rPr>
                <m:t>1+τ</m:t>
              </m:r>
            </m:den>
          </m:f>
          <m:r>
            <w:rPr>
              <w:rFonts w:ascii="Cambria Math" w:hAnsi="Cambria Math"/>
            </w:rPr>
            <m:t>w</m:t>
          </m:r>
        </m:oMath>
      </m:oMathPara>
    </w:p>
    <w:p w:rsidR="00F33858" w:rsidRDefault="00F33858" w:rsidP="00F33858">
      <w:pPr>
        <w:pStyle w:val="ListParagraph"/>
        <w:spacing w:line="360" w:lineRule="auto"/>
        <w:ind w:left="360"/>
        <w:rPr>
          <w:rFonts w:eastAsiaTheme="minorEastAsia"/>
        </w:rPr>
      </w:pPr>
    </w:p>
    <w:p w:rsidR="00F33858" w:rsidRDefault="00F33858" w:rsidP="00F33858">
      <w:pPr>
        <w:pStyle w:val="ListParagraph"/>
        <w:spacing w:line="360" w:lineRule="auto"/>
        <w:ind w:left="360"/>
        <w:rPr>
          <w:rFonts w:eastAsiaTheme="minorEastAsia"/>
        </w:rPr>
      </w:pPr>
      <w:r>
        <w:rPr>
          <w:rFonts w:eastAsiaTheme="minorEastAsia"/>
        </w:rPr>
        <w:t>Walters (2014) illustrates the concept graphically.</w:t>
      </w:r>
    </w:p>
    <w:p w:rsidR="00F33858" w:rsidRPr="00092169" w:rsidRDefault="00F33858" w:rsidP="00123389">
      <w:pPr>
        <w:pStyle w:val="ListParagraph"/>
        <w:numPr>
          <w:ilvl w:val="0"/>
          <w:numId w:val="479"/>
        </w:numPr>
        <w:spacing w:after="160" w:line="360" w:lineRule="auto"/>
      </w:pPr>
      <w:r w:rsidRPr="009012C3">
        <w:rPr>
          <w:rFonts w:eastAsiaTheme="minorEastAsia"/>
          <w:u w:val="single"/>
        </w:rPr>
        <w:t>Confidence Shift on the Efficient Frontier</w:t>
      </w:r>
      <w:r>
        <w:rPr>
          <w:rFonts w:eastAsiaTheme="minorEastAsia"/>
        </w:rPr>
        <w:t>: One can alternatively view the Bayesian Efficient Frontier as a shift to the right if they plot the generated Efficient Frontier with an increased covariance matrix and a budget constraint. In this case the uncertainty just pushes each point further to the right in the risk/return space.</w:t>
      </w:r>
    </w:p>
    <w:p w:rsidR="004B4B80" w:rsidRDefault="004B4B80" w:rsidP="004B4B80">
      <w:pPr>
        <w:spacing w:line="360" w:lineRule="auto"/>
      </w:pPr>
    </w:p>
    <w:p w:rsidR="004B4B80" w:rsidRDefault="004B4B80" w:rsidP="004B4B80">
      <w:pPr>
        <w:spacing w:line="360" w:lineRule="auto"/>
      </w:pPr>
    </w:p>
    <w:p w:rsidR="004B4B80" w:rsidRPr="0005010F" w:rsidRDefault="004B4B80" w:rsidP="004B4B80">
      <w:pPr>
        <w:spacing w:line="360" w:lineRule="auto"/>
        <w:rPr>
          <w:b/>
          <w:sz w:val="28"/>
          <w:szCs w:val="28"/>
        </w:rPr>
      </w:pPr>
      <w:r w:rsidRPr="0005010F">
        <w:rPr>
          <w:b/>
          <w:sz w:val="28"/>
          <w:szCs w:val="28"/>
        </w:rPr>
        <w:t>Specifying the Views</w:t>
      </w:r>
    </w:p>
    <w:p w:rsidR="004B4B80" w:rsidRDefault="004B4B80" w:rsidP="004B4B80">
      <w:pPr>
        <w:spacing w:line="360" w:lineRule="auto"/>
      </w:pPr>
    </w:p>
    <w:p w:rsidR="004B4B80" w:rsidRDefault="004B4B80" w:rsidP="004B4B80">
      <w:pPr>
        <w:pStyle w:val="ListParagraph"/>
        <w:numPr>
          <w:ilvl w:val="0"/>
          <w:numId w:val="480"/>
        </w:numPr>
        <w:spacing w:after="160" w:line="360" w:lineRule="auto"/>
      </w:pPr>
      <w:r w:rsidRPr="0005010F">
        <w:rPr>
          <w:u w:val="single"/>
        </w:rPr>
        <w:t>Investors Views as Conditional Distribution</w:t>
      </w:r>
      <w:r w:rsidRPr="0005010F">
        <w:t>: This section describes the process of specifying the investors’ views on the estimated mean excess returns. The combination of the investors</w:t>
      </w:r>
      <w:r>
        <w:t>’</w:t>
      </w:r>
      <w:r w:rsidRPr="0005010F">
        <w:t xml:space="preserve"> views is defined as the conditional distribution.</w:t>
      </w:r>
    </w:p>
    <w:p w:rsidR="004B4B80" w:rsidRDefault="004B4B80" w:rsidP="004B4B80">
      <w:pPr>
        <w:pStyle w:val="ListParagraph"/>
        <w:numPr>
          <w:ilvl w:val="0"/>
          <w:numId w:val="480"/>
        </w:numPr>
        <w:spacing w:after="160" w:line="360" w:lineRule="auto"/>
      </w:pPr>
      <w:r>
        <w:rPr>
          <w:u w:val="single"/>
        </w:rPr>
        <w:lastRenderedPageBreak/>
        <w:t>Zero Correlation among the Views</w:t>
      </w:r>
      <w:r w:rsidRPr="0005010F">
        <w:t>:</w:t>
      </w:r>
      <w:r>
        <w:t xml:space="preserve"> First, by construction, each view will be unique and uncorrelated with the other views. This gives the conditional distribution the property that the covariance matrix will be diagonal, with off-diagonal entries equaling zero. This constraint on the problem simplifies it and improves the stability of the result. Estimating co-variances between views is more error prone and complicated than estimating the view variances.</w:t>
      </w:r>
    </w:p>
    <w:p w:rsidR="004B4B80" w:rsidRDefault="004B4B80" w:rsidP="004B4B80">
      <w:pPr>
        <w:pStyle w:val="ListParagraph"/>
        <w:numPr>
          <w:ilvl w:val="0"/>
          <w:numId w:val="480"/>
        </w:numPr>
        <w:spacing w:after="160" w:line="360" w:lineRule="auto"/>
      </w:pPr>
      <w:r>
        <w:rPr>
          <w:u w:val="single"/>
        </w:rPr>
        <w:t>Fully Invested Absolute/Relative Views</w:t>
      </w:r>
      <w:r w:rsidRPr="0005010F">
        <w:t>:</w:t>
      </w:r>
      <w:r>
        <w:t xml:space="preserve"> The views are also further constrained to be fully invested, i.e., the sum of the weights in the view is either zero (a relative view) or one (an absolute view). Views are not required on any or all assets. In addition, the views can conflict – the mixing process will merge the views based on the confidence on them, and confidence on the prior.</w:t>
      </w:r>
    </w:p>
    <w:p w:rsidR="004B4B80" w:rsidRPr="00E212F5" w:rsidRDefault="004B4B80" w:rsidP="004B4B80">
      <w:pPr>
        <w:pStyle w:val="ListParagraph"/>
        <w:numPr>
          <w:ilvl w:val="0"/>
          <w:numId w:val="480"/>
        </w:numPr>
        <w:spacing w:after="160" w:line="360" w:lineRule="auto"/>
      </w:pPr>
      <w:r>
        <w:rPr>
          <w:u w:val="single"/>
        </w:rPr>
        <w:t>View Representation Matrix - Asset Weights</w:t>
      </w:r>
      <w:r w:rsidRPr="00E212F5">
        <w:t>:</w:t>
      </w:r>
      <w:r>
        <w:t xml:space="preserve"> The investors’ </w:t>
      </w:r>
      <m:oMath>
        <m:r>
          <w:rPr>
            <w:rFonts w:ascii="Cambria Math" w:hAnsi="Cambria Math"/>
          </w:rPr>
          <m:t>k</m:t>
        </m:r>
      </m:oMath>
      <w:r>
        <w:t xml:space="preserve"> views on </w:t>
      </w:r>
      <m:oMath>
        <m:r>
          <w:rPr>
            <w:rFonts w:ascii="Cambria Math" w:hAnsi="Cambria Math"/>
          </w:rPr>
          <m:t>n</m:t>
        </m:r>
      </m:oMath>
      <w:r>
        <w:t xml:space="preserve"> assets is represented as follows. First,</w:t>
      </w:r>
      <m:oMath>
        <m:r>
          <w:rPr>
            <w:rFonts w:ascii="Cambria Math" w:hAnsi="Cambria Math"/>
          </w:rPr>
          <m:t xml:space="preserve"> </m:t>
        </m:r>
        <m:r>
          <m:rPr>
            <m:scr m:val="double-struck"/>
          </m:rPr>
          <w:rPr>
            <w:rFonts w:ascii="Cambria Math" w:hAnsi="Cambria Math"/>
          </w:rPr>
          <m:t>P</m:t>
        </m:r>
      </m:oMath>
      <w:r>
        <w:t xml:space="preserve"> refers to the </w:t>
      </w:r>
      <m:oMath>
        <m:r>
          <w:rPr>
            <w:rFonts w:ascii="Cambria Math" w:hAnsi="Cambria Math"/>
          </w:rPr>
          <m:t>k×n</m:t>
        </m:r>
      </m:oMath>
      <w:r>
        <w:rPr>
          <w:rFonts w:eastAsiaTheme="minorEastAsia"/>
        </w:rPr>
        <w:t xml:space="preserve"> matrix of the asset weights within each view. For a relative view the sum of the weights will be zero, and for an absolute view the sum will be </w:t>
      </w:r>
      <m:oMath>
        <m:r>
          <w:rPr>
            <w:rFonts w:ascii="Cambria Math" w:hAnsi="Cambria Math"/>
          </w:rPr>
          <m:t>1</m:t>
        </m:r>
      </m:oMath>
      <w:r>
        <w:rPr>
          <w:rFonts w:eastAsiaTheme="minorEastAsia"/>
        </w:rPr>
        <w:t>. Different authors compute the weights within the views differently – He and Litterman (1999) and Idzorek (2005) use a market capitalization weighted scheme, whereas Satchell and Scowcroft (2000) use an equi-weighted scheme in their examples. In practice, the weights will be a mixture depending upon the process used to estimate the view returns.</w:t>
      </w:r>
    </w:p>
    <w:p w:rsidR="004B4B80" w:rsidRPr="00E212F5" w:rsidRDefault="004B4B80" w:rsidP="004B4B80">
      <w:pPr>
        <w:pStyle w:val="ListParagraph"/>
        <w:numPr>
          <w:ilvl w:val="0"/>
          <w:numId w:val="480"/>
        </w:numPr>
        <w:spacing w:after="160" w:line="360" w:lineRule="auto"/>
      </w:pPr>
      <w:r>
        <w:rPr>
          <w:u w:val="single"/>
        </w:rPr>
        <w:t>View Representation Matrix - Excess Returns</w:t>
      </w:r>
      <w:r>
        <w:t xml:space="preserve">: Second, </w:t>
      </w:r>
      <m:oMath>
        <m:r>
          <m:rPr>
            <m:scr m:val="double-struck"/>
          </m:rPr>
          <w:rPr>
            <w:rFonts w:ascii="Cambria Math" w:hAnsi="Cambria Math"/>
          </w:rPr>
          <m:t>Q</m:t>
        </m:r>
      </m:oMath>
      <w:r>
        <w:rPr>
          <w:rFonts w:eastAsiaTheme="minorEastAsia"/>
        </w:rPr>
        <w:t xml:space="preserve"> is a </w:t>
      </w:r>
      <m:oMath>
        <m:r>
          <w:rPr>
            <w:rFonts w:ascii="Cambria Math" w:hAnsi="Cambria Math"/>
          </w:rPr>
          <m:t>k×1</m:t>
        </m:r>
      </m:oMath>
      <w:r>
        <w:rPr>
          <w:rFonts w:eastAsiaTheme="minorEastAsia"/>
        </w:rPr>
        <w:t xml:space="preserve"> vector of weights for each view.</w:t>
      </w:r>
    </w:p>
    <w:p w:rsidR="004B4B80" w:rsidRPr="00F46C3A" w:rsidRDefault="004B4B80" w:rsidP="004B4B80">
      <w:pPr>
        <w:pStyle w:val="ListParagraph"/>
        <w:numPr>
          <w:ilvl w:val="0"/>
          <w:numId w:val="480"/>
        </w:numPr>
        <w:spacing w:after="160" w:line="360" w:lineRule="auto"/>
        <w:rPr>
          <w:rFonts w:eastAsiaTheme="minorHAnsi"/>
        </w:rPr>
      </w:pPr>
      <w:r>
        <w:rPr>
          <w:u w:val="single"/>
        </w:rPr>
        <w:t>View Representation Matrix - Returns Variance</w:t>
      </w:r>
      <w:r>
        <w:t xml:space="preserve">: Finally </w:t>
      </w:r>
      <m:oMath>
        <m:r>
          <m:rPr>
            <m:sty m:val="p"/>
          </m:rPr>
          <w:rPr>
            <w:rFonts w:ascii="Cambria Math" w:hAnsi="Cambria Math"/>
          </w:rPr>
          <m:t>Ω</m:t>
        </m:r>
      </m:oMath>
      <w:r>
        <w:rPr>
          <w:rFonts w:eastAsiaTheme="minorEastAsia"/>
        </w:rPr>
        <w:t xml:space="preserve"> is a </w:t>
      </w:r>
      <m:oMath>
        <m:r>
          <w:rPr>
            <w:rFonts w:ascii="Cambria Math" w:hAnsi="Cambria Math"/>
          </w:rPr>
          <m:t>k×k</m:t>
        </m:r>
      </m:oMath>
      <w:r>
        <w:rPr>
          <w:rFonts w:eastAsiaTheme="minorEastAsia"/>
        </w:rPr>
        <w:t xml:space="preserve"> matrix of the covariance of the views. </w:t>
      </w:r>
      <m:oMath>
        <m:r>
          <m:rPr>
            <m:sty m:val="p"/>
          </m:rPr>
          <w:rPr>
            <w:rFonts w:ascii="Cambria Math" w:hAnsi="Cambria Math"/>
          </w:rPr>
          <m:t>Ω</m:t>
        </m:r>
      </m:oMath>
      <w:r>
        <w:rPr>
          <w:rFonts w:eastAsiaTheme="minorEastAsia"/>
        </w:rPr>
        <w:t xml:space="preserve"> is diagonal, as the views are required to be independent and uncorrelated. </w:t>
      </w:r>
      <m:oMath>
        <m:sSup>
          <m:sSupPr>
            <m:ctrlPr>
              <w:rPr>
                <w:rFonts w:ascii="Cambria Math" w:hAnsi="Cambria Math"/>
              </w:rPr>
            </m:ctrlPr>
          </m:sSupPr>
          <m:e>
            <m:r>
              <m:rPr>
                <m:sty m:val="p"/>
              </m:rPr>
              <w:rPr>
                <w:rFonts w:ascii="Cambria Math" w:hAnsi="Cambria Math"/>
              </w:rPr>
              <m:t>Ω</m:t>
            </m:r>
          </m:e>
          <m:sup>
            <m:r>
              <w:rPr>
                <w:rFonts w:ascii="Cambria Math" w:hAnsi="Cambria Math"/>
              </w:rPr>
              <m:t>-1</m:t>
            </m:r>
          </m:sup>
        </m:sSup>
      </m:oMath>
      <w:r>
        <w:rPr>
          <w:rFonts w:eastAsiaTheme="minorEastAsia"/>
        </w:rPr>
        <w:t xml:space="preserve"> is known as the confidence in the investors’ views. The </w:t>
      </w:r>
      <m:oMath>
        <m:sSup>
          <m:sSupPr>
            <m:ctrlPr>
              <w:rPr>
                <w:rFonts w:ascii="Cambria Math" w:eastAsiaTheme="minorHAnsi" w:hAnsi="Cambria Math"/>
                <w:i/>
              </w:rPr>
            </m:ctrlPr>
          </m:sSupPr>
          <m:e>
            <m:r>
              <w:rPr>
                <w:rFonts w:ascii="Cambria Math" w:hAnsi="Cambria Math"/>
              </w:rPr>
              <m:t>i</m:t>
            </m:r>
          </m:e>
          <m:sup>
            <m:r>
              <w:rPr>
                <w:rFonts w:ascii="Cambria Math" w:hAnsi="Cambria Math"/>
              </w:rPr>
              <m:t>th</m:t>
            </m:r>
          </m:sup>
        </m:sSup>
      </m:oMath>
      <w:r>
        <w:rPr>
          <w:rFonts w:eastAsiaTheme="minorEastAsia"/>
        </w:rPr>
        <w:t xml:space="preserve"> diagonal element of </w:t>
      </w:r>
      <m:oMath>
        <m:r>
          <m:rPr>
            <m:sty m:val="p"/>
          </m:rPr>
          <w:rPr>
            <w:rFonts w:ascii="Cambria Math" w:hAnsi="Cambria Math"/>
          </w:rPr>
          <m:t>Ω</m:t>
        </m:r>
      </m:oMath>
      <w:r>
        <w:rPr>
          <w:rFonts w:eastAsiaTheme="minorEastAsia"/>
        </w:rPr>
        <w:t xml:space="preserve"> is represented </w:t>
      </w:r>
      <m:oMath>
        <m:sSub>
          <m:sSubPr>
            <m:ctrlPr>
              <w:rPr>
                <w:rFonts w:ascii="Cambria Math" w:eastAsiaTheme="minorHAnsi" w:hAnsi="Cambria Math"/>
                <w:i/>
              </w:rPr>
            </m:ctrlPr>
          </m:sSubPr>
          <m:e>
            <m:r>
              <w:rPr>
                <w:rFonts w:ascii="Cambria Math" w:hAnsi="Cambria Math"/>
              </w:rPr>
              <m:t>w</m:t>
            </m:r>
          </m:e>
          <m:sub>
            <m:r>
              <w:rPr>
                <w:rFonts w:ascii="Cambria Math" w:hAnsi="Cambria Math"/>
              </w:rPr>
              <m:t>i</m:t>
            </m:r>
          </m:sub>
        </m:sSub>
      </m:oMath>
      <w:r>
        <w:rPr>
          <w:rFonts w:eastAsiaTheme="minorEastAsia"/>
        </w:rPr>
        <w:t>.</w:t>
      </w:r>
    </w:p>
    <w:p w:rsidR="004B4B80" w:rsidRPr="005B3BFF" w:rsidRDefault="004B4B80" w:rsidP="004B4B80">
      <w:pPr>
        <w:pStyle w:val="ListParagraph"/>
        <w:numPr>
          <w:ilvl w:val="0"/>
          <w:numId w:val="480"/>
        </w:numPr>
        <w:spacing w:after="160" w:line="360" w:lineRule="auto"/>
        <w:rPr>
          <w:rFonts w:eastAsiaTheme="minorHAnsi"/>
        </w:rPr>
      </w:pPr>
      <w:r>
        <w:rPr>
          <w:u w:val="single"/>
        </w:rPr>
        <w:t xml:space="preserve">Invertibility of the </w:t>
      </w:r>
      <m:oMath>
        <m:r>
          <m:rPr>
            <m:scr m:val="double-struck"/>
          </m:rPr>
          <w:rPr>
            <w:rFonts w:ascii="Cambria Math" w:hAnsi="Cambria Math"/>
            <w:u w:val="single"/>
          </w:rPr>
          <m:t>P</m:t>
        </m:r>
      </m:oMath>
      <w:r>
        <w:rPr>
          <w:u w:val="single"/>
        </w:rPr>
        <w:t xml:space="preserve"> Matrix</w:t>
      </w:r>
      <w:r>
        <w:t xml:space="preserve">: </w:t>
      </w:r>
      <m:oMath>
        <m:r>
          <m:rPr>
            <m:scr m:val="double-struck"/>
          </m:rPr>
          <w:rPr>
            <w:rFonts w:ascii="Cambria Math" w:hAnsi="Cambria Math"/>
          </w:rPr>
          <m:t>P</m:t>
        </m:r>
      </m:oMath>
      <w:r>
        <w:rPr>
          <w:rFonts w:eastAsiaTheme="minorEastAsia"/>
        </w:rPr>
        <w:t xml:space="preserve"> is not required to be invertible. Meucci (2006) describes a method of augmenting the matrices to make the </w:t>
      </w:r>
      <m:oMath>
        <m:r>
          <m:rPr>
            <m:scr m:val="double-struck"/>
          </m:rPr>
          <w:rPr>
            <w:rFonts w:ascii="Cambria Math" w:hAnsi="Cambria Math"/>
          </w:rPr>
          <m:t>P</m:t>
        </m:r>
      </m:oMath>
      <w:r>
        <w:rPr>
          <w:rFonts w:eastAsiaTheme="minorEastAsia"/>
        </w:rPr>
        <w:t xml:space="preserve"> matrix invertible, while not changing the net results.</w:t>
      </w:r>
    </w:p>
    <w:p w:rsidR="004B4B80" w:rsidRPr="006738F9" w:rsidRDefault="004B4B80" w:rsidP="004B4B80">
      <w:pPr>
        <w:pStyle w:val="ListParagraph"/>
        <w:numPr>
          <w:ilvl w:val="0"/>
          <w:numId w:val="480"/>
        </w:numPr>
        <w:spacing w:after="160" w:line="360" w:lineRule="auto"/>
        <w:rPr>
          <w:rFonts w:eastAsiaTheme="minorHAnsi"/>
        </w:rPr>
      </w:pPr>
      <w:r>
        <w:rPr>
          <w:u w:val="single"/>
        </w:rPr>
        <w:t xml:space="preserve">Invertibility of the </w:t>
      </w:r>
      <m:oMath>
        <m:r>
          <m:rPr>
            <m:sty m:val="p"/>
          </m:rPr>
          <w:rPr>
            <w:rFonts w:ascii="Cambria Math" w:hAnsi="Cambria Math"/>
            <w:u w:val="single"/>
          </w:rPr>
          <m:t>Ω</m:t>
        </m:r>
      </m:oMath>
      <w:r>
        <w:rPr>
          <w:u w:val="single"/>
        </w:rPr>
        <w:t xml:space="preserve"> Matrix</w:t>
      </w:r>
      <w:r>
        <w:t xml:space="preserve">: </w:t>
      </w:r>
      <m:oMath>
        <m:r>
          <m:rPr>
            <m:sty m:val="p"/>
          </m:rPr>
          <w:rPr>
            <w:rFonts w:ascii="Cambria Math" w:hAnsi="Cambria Math"/>
          </w:rPr>
          <m:t>Ω</m:t>
        </m:r>
      </m:oMath>
      <w:r>
        <w:rPr>
          <w:rFonts w:eastAsiaTheme="minorEastAsia"/>
        </w:rPr>
        <w:t xml:space="preserve"> is symmetric and zero on all non-diagonal elements, but may also be zero on a diagonal if the investor is certain of the given view. This means that </w:t>
      </w:r>
      <m:oMath>
        <m:r>
          <m:rPr>
            <m:sty m:val="p"/>
          </m:rPr>
          <w:rPr>
            <w:rFonts w:ascii="Cambria Math" w:hAnsi="Cambria Math"/>
          </w:rPr>
          <m:t>Ω</m:t>
        </m:r>
      </m:oMath>
      <w:r>
        <w:rPr>
          <w:rFonts w:eastAsiaTheme="minorEastAsia"/>
        </w:rPr>
        <w:t xml:space="preserve"> may or may not be invertible. At a practical level one may require</w:t>
      </w:r>
    </w:p>
    <w:p w:rsidR="004B4B80" w:rsidRDefault="004B4B80" w:rsidP="004B4B80">
      <w:pPr>
        <w:pStyle w:val="ListParagraph"/>
        <w:spacing w:line="360" w:lineRule="auto"/>
        <w:ind w:left="360"/>
        <w:rPr>
          <w:u w:val="single"/>
        </w:rPr>
      </w:pPr>
    </w:p>
    <w:p w:rsidR="004B4B80" w:rsidRDefault="004B4B80" w:rsidP="004B4B80">
      <w:pPr>
        <w:pStyle w:val="ListParagraph"/>
        <w:spacing w:line="360" w:lineRule="auto"/>
        <w:ind w:left="360"/>
        <w:rPr>
          <w:rFonts w:eastAsiaTheme="minorEastAsia"/>
        </w:rPr>
      </w:pPr>
      <m:oMathPara>
        <m:oMath>
          <m:sSub>
            <m:sSubPr>
              <m:ctrlPr>
                <w:rPr>
                  <w:rFonts w:ascii="Cambria Math" w:eastAsiaTheme="minorHAnsi" w:hAnsi="Cambria Math"/>
                  <w:i/>
                </w:rPr>
              </m:ctrlPr>
            </m:sSubPr>
            <m:e>
              <m:r>
                <w:rPr>
                  <w:rFonts w:ascii="Cambria Math" w:hAnsi="Cambria Math"/>
                </w:rPr>
                <m:t>w</m:t>
              </m:r>
            </m:e>
            <m:sub>
              <m:r>
                <w:rPr>
                  <w:rFonts w:ascii="Cambria Math" w:hAnsi="Cambria Math"/>
                </w:rPr>
                <m:t>i</m:t>
              </m:r>
            </m:sub>
          </m:sSub>
          <m:r>
            <w:rPr>
              <w:rFonts w:ascii="Cambria Math" w:hAnsi="Cambria Math"/>
            </w:rPr>
            <m:t>&gt;0</m:t>
          </m:r>
        </m:oMath>
      </m:oMathPara>
    </w:p>
    <w:p w:rsidR="004B4B80" w:rsidRDefault="004B4B80" w:rsidP="004B4B80">
      <w:pPr>
        <w:pStyle w:val="ListParagraph"/>
        <w:spacing w:line="360" w:lineRule="auto"/>
        <w:ind w:left="360"/>
        <w:rPr>
          <w:rFonts w:eastAsiaTheme="minorEastAsia"/>
        </w:rPr>
      </w:pPr>
    </w:p>
    <w:p w:rsidR="004B4B80" w:rsidRPr="005B3BFF" w:rsidRDefault="004B4B80" w:rsidP="004B4B80">
      <w:pPr>
        <w:pStyle w:val="ListParagraph"/>
        <w:spacing w:line="360" w:lineRule="auto"/>
        <w:ind w:left="360"/>
        <w:rPr>
          <w:rFonts w:eastAsiaTheme="minorHAnsi"/>
        </w:rPr>
      </w:pPr>
      <w:r>
        <w:rPr>
          <w:rFonts w:eastAsiaTheme="minorEastAsia"/>
        </w:rPr>
        <w:t xml:space="preserve">so that </w:t>
      </w:r>
      <m:oMath>
        <m:r>
          <m:rPr>
            <m:sty m:val="p"/>
          </m:rPr>
          <w:rPr>
            <w:rFonts w:ascii="Cambria Math" w:hAnsi="Cambria Math"/>
          </w:rPr>
          <m:t>Ω</m:t>
        </m:r>
      </m:oMath>
      <w:r>
        <w:rPr>
          <w:rFonts w:eastAsiaTheme="minorEastAsia"/>
        </w:rPr>
        <w:t xml:space="preserve"> is made invertible, but from a formulation point of view </w:t>
      </w:r>
      <m:oMath>
        <m:r>
          <m:rPr>
            <m:sty m:val="p"/>
          </m:rPr>
          <w:rPr>
            <w:rFonts w:ascii="Cambria Math" w:hAnsi="Cambria Math"/>
          </w:rPr>
          <m:t>Ω</m:t>
        </m:r>
      </m:oMath>
      <w:r>
        <w:rPr>
          <w:rFonts w:eastAsiaTheme="minorEastAsia"/>
        </w:rPr>
        <w:t xml:space="preserve"> is not required to be invertible.</w:t>
      </w:r>
    </w:p>
    <w:p w:rsidR="004B4B80" w:rsidRPr="006738F9" w:rsidRDefault="004B4B80" w:rsidP="004B4B80">
      <w:pPr>
        <w:pStyle w:val="ListParagraph"/>
        <w:numPr>
          <w:ilvl w:val="0"/>
          <w:numId w:val="480"/>
        </w:numPr>
        <w:spacing w:after="160" w:line="360" w:lineRule="auto"/>
        <w:rPr>
          <w:rFonts w:eastAsiaTheme="minorHAnsi"/>
        </w:rPr>
      </w:pPr>
      <w:r>
        <w:rPr>
          <w:u w:val="single"/>
        </w:rPr>
        <w:t>Relative and Absolute Views Specification</w:t>
      </w:r>
      <w:r>
        <w:t xml:space="preserve">: As an example of how these matrices would be populated, Walters (2014) examines some investors’ views, using four assets and two views. The first is a relative view in which the investor believes that asset #1 will outperform asset #2 by </w:t>
      </w:r>
      <m:oMath>
        <m:r>
          <w:rPr>
            <w:rFonts w:ascii="Cambria Math" w:hAnsi="Cambria Math"/>
          </w:rPr>
          <m:t>2%</m:t>
        </m:r>
      </m:oMath>
      <w:r>
        <w:rPr>
          <w:rFonts w:eastAsiaTheme="minorEastAsia"/>
        </w:rPr>
        <w:t xml:space="preserve"> with a confidence of </w:t>
      </w:r>
      <m:oMath>
        <m:sSub>
          <m:sSubPr>
            <m:ctrlPr>
              <w:rPr>
                <w:rFonts w:ascii="Cambria Math" w:eastAsiaTheme="minorHAnsi" w:hAnsi="Cambria Math"/>
                <w:i/>
              </w:rPr>
            </m:ctrlPr>
          </m:sSubPr>
          <m:e>
            <m:r>
              <w:rPr>
                <w:rFonts w:ascii="Cambria Math" w:hAnsi="Cambria Math"/>
              </w:rPr>
              <m:t>w</m:t>
            </m:r>
          </m:e>
          <m:sub>
            <m:r>
              <w:rPr>
                <w:rFonts w:ascii="Cambria Math" w:hAnsi="Cambria Math"/>
              </w:rPr>
              <m:t>1</m:t>
            </m:r>
          </m:sub>
        </m:sSub>
      </m:oMath>
      <w:r>
        <w:rPr>
          <w:rFonts w:eastAsiaTheme="minorEastAsia"/>
        </w:rPr>
        <w:t xml:space="preserve">. The second is an absolute view in which the investor believes that asset #2 will return </w:t>
      </w:r>
      <m:oMath>
        <m:r>
          <w:rPr>
            <w:rFonts w:ascii="Cambria Math" w:hAnsi="Cambria Math"/>
          </w:rPr>
          <m:t>3%</m:t>
        </m:r>
      </m:oMath>
      <w:r>
        <w:rPr>
          <w:rFonts w:eastAsiaTheme="minorEastAsia"/>
        </w:rPr>
        <w:t xml:space="preserve"> with a confidence </w:t>
      </w:r>
      <m:oMath>
        <m:sSub>
          <m:sSubPr>
            <m:ctrlPr>
              <w:rPr>
                <w:rFonts w:ascii="Cambria Math" w:eastAsiaTheme="minorHAnsi" w:hAnsi="Cambria Math"/>
                <w:i/>
              </w:rPr>
            </m:ctrlPr>
          </m:sSubPr>
          <m:e>
            <m:r>
              <w:rPr>
                <w:rFonts w:ascii="Cambria Math" w:hAnsi="Cambria Math"/>
              </w:rPr>
              <m:t>w</m:t>
            </m:r>
          </m:e>
          <m:sub>
            <m:r>
              <w:rPr>
                <w:rFonts w:ascii="Cambria Math" w:hAnsi="Cambria Math"/>
              </w:rPr>
              <m:t>2</m:t>
            </m:r>
          </m:sub>
        </m:sSub>
      </m:oMath>
      <w:r>
        <w:rPr>
          <w:rFonts w:eastAsiaTheme="minorEastAsia"/>
        </w:rPr>
        <w:t>.</w:t>
      </w:r>
    </w:p>
    <w:p w:rsidR="004B4B80" w:rsidRDefault="004B4B80" w:rsidP="004B4B80">
      <w:pPr>
        <w:pStyle w:val="ListParagraph"/>
        <w:numPr>
          <w:ilvl w:val="0"/>
          <w:numId w:val="480"/>
        </w:numPr>
        <w:spacing w:after="160" w:line="360" w:lineRule="auto"/>
      </w:pPr>
      <w:r>
        <w:rPr>
          <w:u w:val="single"/>
        </w:rPr>
        <w:t>Sample Absolute/Relative View Matrices</w:t>
      </w:r>
      <w:r>
        <w:t>: Note that the sample above does not express a view on asset #4, and thus its returns should not be directly adjusted. The views are specified as follows:</w:t>
      </w:r>
    </w:p>
    <w:p w:rsidR="004B4B80" w:rsidRDefault="004B4B80" w:rsidP="004B4B80">
      <w:pPr>
        <w:pStyle w:val="ListParagraph"/>
        <w:spacing w:line="360" w:lineRule="auto"/>
        <w:ind w:left="360"/>
        <w:rPr>
          <w:u w:val="single"/>
        </w:rPr>
      </w:pPr>
    </w:p>
    <w:p w:rsidR="004B4B80" w:rsidRDefault="004B4B80" w:rsidP="004B4B80">
      <w:pPr>
        <w:pStyle w:val="ListParagraph"/>
        <w:spacing w:line="360" w:lineRule="auto"/>
        <w:ind w:left="360"/>
        <w:rPr>
          <w:rFonts w:eastAsiaTheme="minorEastAsia"/>
        </w:rPr>
      </w:pPr>
      <m:oMathPara>
        <m:oMath>
          <m:r>
            <m:rPr>
              <m:scr m:val="double-struck"/>
            </m:rPr>
            <w:rPr>
              <w:rFonts w:ascii="Cambria Math" w:hAnsi="Cambria Math"/>
            </w:rPr>
            <m:t>P=</m:t>
          </m:r>
          <m:d>
            <m:dPr>
              <m:begChr m:val="["/>
              <m:endChr m:val="]"/>
              <m:ctrlPr>
                <w:rPr>
                  <w:rFonts w:ascii="Cambria Math" w:eastAsiaTheme="minorHAnsi" w:hAnsi="Cambria Math"/>
                  <w:i/>
                </w:rPr>
              </m:ctrlPr>
            </m:dPr>
            <m:e>
              <m:m>
                <m:mPr>
                  <m:mcs>
                    <m:mc>
                      <m:mcPr>
                        <m:count m:val="1"/>
                        <m:mcJc m:val="center"/>
                      </m:mcPr>
                    </m:mc>
                  </m:mcs>
                  <m:ctrlPr>
                    <w:rPr>
                      <w:rFonts w:ascii="Cambria Math" w:eastAsiaTheme="minorHAnsi" w:hAnsi="Cambria Math"/>
                      <w:i/>
                    </w:rPr>
                  </m:ctrlPr>
                </m:mPr>
                <m:mr>
                  <m:e>
                    <m:m>
                      <m:mPr>
                        <m:mcs>
                          <m:mc>
                            <m:mcPr>
                              <m:count m:val="3"/>
                              <m:mcJc m:val="center"/>
                            </m:mcPr>
                          </m:mc>
                        </m:mcs>
                        <m:ctrlPr>
                          <w:rPr>
                            <w:rFonts w:ascii="Cambria Math" w:eastAsiaTheme="minorHAnsi" w:hAnsi="Cambria Math"/>
                            <w:i/>
                          </w:rPr>
                        </m:ctrlPr>
                      </m:mPr>
                      <m:mr>
                        <m:e>
                          <m:r>
                            <w:rPr>
                              <w:rFonts w:ascii="Cambria Math" w:hAnsi="Cambria Math"/>
                            </w:rPr>
                            <m:t>1</m:t>
                          </m:r>
                        </m:e>
                        <m:e>
                          <m:r>
                            <w:rPr>
                              <w:rFonts w:ascii="Cambria Math" w:hAnsi="Cambria Math"/>
                            </w:rPr>
                            <m:t>0</m:t>
                          </m:r>
                        </m:e>
                        <m:e>
                          <m:m>
                            <m:mPr>
                              <m:mcs>
                                <m:mc>
                                  <m:mcPr>
                                    <m:count m:val="2"/>
                                    <m:mcJc m:val="center"/>
                                  </m:mcPr>
                                </m:mc>
                              </m:mcs>
                              <m:ctrlPr>
                                <w:rPr>
                                  <w:rFonts w:ascii="Cambria Math" w:eastAsiaTheme="minorHAnsi" w:hAnsi="Cambria Math"/>
                                  <w:i/>
                                </w:rPr>
                              </m:ctrlPr>
                            </m:mPr>
                            <m:mr>
                              <m:e>
                                <m:r>
                                  <w:rPr>
                                    <w:rFonts w:ascii="Cambria Math" w:hAnsi="Cambria Math"/>
                                  </w:rPr>
                                  <m:t>-1</m:t>
                                </m:r>
                              </m:e>
                              <m:e>
                                <m:r>
                                  <w:rPr>
                                    <w:rFonts w:ascii="Cambria Math" w:hAnsi="Cambria Math"/>
                                  </w:rPr>
                                  <m:t>0</m:t>
                                </m:r>
                              </m:e>
                            </m:mr>
                          </m:m>
                        </m:e>
                      </m:mr>
                    </m:m>
                  </m:e>
                </m:mr>
                <m:mr>
                  <m:e>
                    <m:m>
                      <m:mPr>
                        <m:mcs>
                          <m:mc>
                            <m:mcPr>
                              <m:count m:val="3"/>
                              <m:mcJc m:val="center"/>
                            </m:mcPr>
                          </m:mc>
                        </m:mcs>
                        <m:ctrlPr>
                          <w:rPr>
                            <w:rFonts w:ascii="Cambria Math" w:eastAsiaTheme="minorHAnsi" w:hAnsi="Cambria Math"/>
                            <w:i/>
                          </w:rPr>
                        </m:ctrlPr>
                      </m:mPr>
                      <m:mr>
                        <m:e>
                          <m:r>
                            <w:rPr>
                              <w:rFonts w:ascii="Cambria Math" w:hAnsi="Cambria Math"/>
                            </w:rPr>
                            <m:t>0</m:t>
                          </m:r>
                        </m:e>
                        <m:e>
                          <m:r>
                            <w:rPr>
                              <w:rFonts w:ascii="Cambria Math" w:hAnsi="Cambria Math"/>
                            </w:rPr>
                            <m:t>1</m:t>
                          </m:r>
                        </m:e>
                        <m:e>
                          <m:m>
                            <m:mPr>
                              <m:mcs>
                                <m:mc>
                                  <m:mcPr>
                                    <m:count m:val="2"/>
                                    <m:mcJc m:val="center"/>
                                  </m:mcPr>
                                </m:mc>
                              </m:mcs>
                              <m:ctrlPr>
                                <w:rPr>
                                  <w:rFonts w:ascii="Cambria Math" w:eastAsiaTheme="minorHAnsi" w:hAnsi="Cambria Math"/>
                                  <w:i/>
                                </w:rPr>
                              </m:ctrlPr>
                            </m:mPr>
                            <m:mr>
                              <m:e>
                                <m:r>
                                  <w:rPr>
                                    <w:rFonts w:ascii="Cambria Math" w:hAnsi="Cambria Math"/>
                                  </w:rPr>
                                  <m:t>0</m:t>
                                </m:r>
                              </m:e>
                              <m:e>
                                <m:r>
                                  <w:rPr>
                                    <w:rFonts w:ascii="Cambria Math" w:hAnsi="Cambria Math"/>
                                  </w:rPr>
                                  <m:t>0</m:t>
                                </m:r>
                              </m:e>
                            </m:mr>
                          </m:m>
                        </m:e>
                      </m:mr>
                    </m:m>
                  </m:e>
                </m:mr>
              </m:m>
            </m:e>
          </m:d>
        </m:oMath>
      </m:oMathPara>
    </w:p>
    <w:p w:rsidR="004B4B80" w:rsidRDefault="004B4B80" w:rsidP="004B4B80">
      <w:pPr>
        <w:pStyle w:val="ListParagraph"/>
        <w:spacing w:line="360" w:lineRule="auto"/>
        <w:ind w:left="360"/>
        <w:rPr>
          <w:rFonts w:eastAsiaTheme="minorEastAsia"/>
        </w:rPr>
      </w:pPr>
    </w:p>
    <w:p w:rsidR="004B4B80" w:rsidRPr="006738F9" w:rsidRDefault="004B4B80" w:rsidP="004B4B80">
      <w:pPr>
        <w:pStyle w:val="ListParagraph"/>
        <w:spacing w:line="360" w:lineRule="auto"/>
        <w:ind w:left="360"/>
        <w:rPr>
          <w:rFonts w:eastAsiaTheme="minorEastAsia"/>
        </w:rPr>
      </w:pPr>
      <m:oMathPara>
        <m:oMath>
          <m:r>
            <m:rPr>
              <m:scr m:val="double-struck"/>
            </m:rPr>
            <w:rPr>
              <w:rFonts w:ascii="Cambria Math" w:hAnsi="Cambria Math"/>
            </w:rPr>
            <m:t>Q=</m:t>
          </m:r>
          <m:d>
            <m:dPr>
              <m:begChr m:val="["/>
              <m:endChr m:val="]"/>
              <m:ctrlPr>
                <w:rPr>
                  <w:rFonts w:ascii="Cambria Math" w:eastAsiaTheme="minorHAnsi" w:hAnsi="Cambria Math"/>
                  <w:i/>
                </w:rPr>
              </m:ctrlPr>
            </m:dPr>
            <m:e>
              <m:m>
                <m:mPr>
                  <m:mcs>
                    <m:mc>
                      <m:mcPr>
                        <m:count m:val="1"/>
                        <m:mcJc m:val="center"/>
                      </m:mcPr>
                    </m:mc>
                  </m:mcs>
                  <m:ctrlPr>
                    <w:rPr>
                      <w:rFonts w:ascii="Cambria Math" w:eastAsiaTheme="minorHAnsi" w:hAnsi="Cambria Math"/>
                      <w:i/>
                    </w:rPr>
                  </m:ctrlPr>
                </m:mPr>
                <m:mr>
                  <m:e>
                    <m:r>
                      <w:rPr>
                        <w:rFonts w:ascii="Cambria Math" w:hAnsi="Cambria Math"/>
                      </w:rPr>
                      <m:t>2</m:t>
                    </m:r>
                  </m:e>
                </m:mr>
                <m:mr>
                  <m:e>
                    <m:r>
                      <w:rPr>
                        <w:rFonts w:ascii="Cambria Math" w:hAnsi="Cambria Math"/>
                      </w:rPr>
                      <m:t>3</m:t>
                    </m:r>
                  </m:e>
                </m:mr>
              </m:m>
            </m:e>
          </m:d>
        </m:oMath>
      </m:oMathPara>
    </w:p>
    <w:p w:rsidR="004B4B80" w:rsidRDefault="004B4B80" w:rsidP="004B4B80">
      <w:pPr>
        <w:pStyle w:val="ListParagraph"/>
        <w:spacing w:line="360" w:lineRule="auto"/>
        <w:ind w:left="360"/>
        <w:rPr>
          <w:rFonts w:eastAsiaTheme="minorEastAsia"/>
        </w:rPr>
      </w:pPr>
    </w:p>
    <w:p w:rsidR="004B4B80" w:rsidRPr="006738F9" w:rsidRDefault="004B4B80" w:rsidP="004B4B80">
      <w:pPr>
        <w:pStyle w:val="ListParagraph"/>
        <w:spacing w:line="360" w:lineRule="auto"/>
        <w:ind w:left="360"/>
        <w:rPr>
          <w:rFonts w:eastAsiaTheme="minorEastAsia"/>
        </w:rPr>
      </w:pPr>
      <m:oMathPara>
        <m:oMath>
          <m:r>
            <m:rPr>
              <m:sty m:val="p"/>
            </m:rPr>
            <w:rPr>
              <w:rFonts w:ascii="Cambria Math" w:hAnsi="Cambria Math"/>
            </w:rPr>
            <m:t>Ω</m:t>
          </m:r>
          <m:r>
            <m:rPr>
              <m:sty m:val="p"/>
            </m:rPr>
            <w:rPr>
              <w:rFonts w:ascii="Cambria Math" w:hAnsi="Cambria Math"/>
            </w:rPr>
            <m:t>=</m:t>
          </m:r>
          <m:d>
            <m:dPr>
              <m:begChr m:val="["/>
              <m:endChr m:val="]"/>
              <m:ctrlPr>
                <w:rPr>
                  <w:rFonts w:ascii="Cambria Math" w:eastAsiaTheme="minorHAnsi" w:hAnsi="Cambria Math"/>
                </w:rPr>
              </m:ctrlPr>
            </m:dPr>
            <m:e>
              <m:m>
                <m:mPr>
                  <m:mcs>
                    <m:mc>
                      <m:mcPr>
                        <m:count m:val="2"/>
                        <m:mcJc m:val="center"/>
                      </m:mcPr>
                    </m:mc>
                  </m:mcs>
                  <m:ctrlPr>
                    <w:rPr>
                      <w:rFonts w:ascii="Cambria Math" w:eastAsiaTheme="minorHAnsi" w:hAnsi="Cambria Math"/>
                      <w:i/>
                    </w:rPr>
                  </m:ctrlPr>
                </m:mPr>
                <m:mr>
                  <m:e>
                    <m:sSub>
                      <m:sSubPr>
                        <m:ctrlPr>
                          <w:rPr>
                            <w:rFonts w:ascii="Cambria Math" w:eastAsiaTheme="minorHAnsi" w:hAnsi="Cambria Math"/>
                            <w:i/>
                          </w:rPr>
                        </m:ctrlPr>
                      </m:sSubPr>
                      <m:e>
                        <m:r>
                          <w:rPr>
                            <w:rFonts w:ascii="Cambria Math" w:hAnsi="Cambria Math"/>
                          </w:rPr>
                          <m:t>w</m:t>
                        </m: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eastAsiaTheme="minorHAnsi" w:hAnsi="Cambria Math"/>
                            <w:i/>
                          </w:rPr>
                        </m:ctrlPr>
                      </m:sSubPr>
                      <m:e>
                        <m:r>
                          <w:rPr>
                            <w:rFonts w:ascii="Cambria Math" w:hAnsi="Cambria Math"/>
                          </w:rPr>
                          <m:t>w</m:t>
                        </m:r>
                      </m:e>
                      <m:sub>
                        <m:r>
                          <w:rPr>
                            <w:rFonts w:ascii="Cambria Math" w:hAnsi="Cambria Math"/>
                          </w:rPr>
                          <m:t>2</m:t>
                        </m:r>
                      </m:sub>
                    </m:sSub>
                  </m:e>
                </m:mr>
              </m:m>
            </m:e>
          </m:d>
        </m:oMath>
      </m:oMathPara>
    </w:p>
    <w:p w:rsidR="004B4B80" w:rsidRPr="006738F9" w:rsidRDefault="004B4B80" w:rsidP="004B4B80">
      <w:pPr>
        <w:pStyle w:val="ListParagraph"/>
        <w:spacing w:line="360" w:lineRule="auto"/>
        <w:ind w:left="360"/>
        <w:rPr>
          <w:rFonts w:eastAsiaTheme="minorHAnsi"/>
        </w:rPr>
      </w:pPr>
    </w:p>
    <w:p w:rsidR="004B4B80" w:rsidRDefault="004B4B80" w:rsidP="004B4B80">
      <w:pPr>
        <w:pStyle w:val="ListParagraph"/>
        <w:numPr>
          <w:ilvl w:val="0"/>
          <w:numId w:val="480"/>
        </w:numPr>
        <w:spacing w:after="160" w:line="360" w:lineRule="auto"/>
      </w:pPr>
      <w:r>
        <w:rPr>
          <w:u w:val="single"/>
        </w:rPr>
        <w:t>Conditional Distribution in the View Space</w:t>
      </w:r>
      <w:r>
        <w:t>: Given the above specification of the views, the conditional distribution mean and variance can be formulated as</w:t>
      </w:r>
    </w:p>
    <w:p w:rsidR="004B4B80" w:rsidRDefault="004B4B80" w:rsidP="004B4B80">
      <w:pPr>
        <w:pStyle w:val="ListParagraph"/>
        <w:spacing w:line="360" w:lineRule="auto"/>
        <w:ind w:left="360"/>
        <w:rPr>
          <w:u w:val="single"/>
        </w:rPr>
      </w:pPr>
    </w:p>
    <w:p w:rsidR="004B4B80" w:rsidRDefault="004B4B80" w:rsidP="004B4B80">
      <w:pPr>
        <w:pStyle w:val="ListParagraph"/>
        <w:spacing w:line="360" w:lineRule="auto"/>
        <w:ind w:left="360"/>
        <w:rPr>
          <w:rFonts w:eastAsiaTheme="minorEastAsia"/>
        </w:rPr>
      </w:pPr>
      <m:oMathPara>
        <m:oMath>
          <m:r>
            <m:rPr>
              <m:scr m:val="script"/>
            </m:rPr>
            <w:rPr>
              <w:rFonts w:ascii="Cambria Math" w:hAnsi="Cambria Math"/>
            </w:rPr>
            <m:t>P</m:t>
          </m:r>
          <m:d>
            <m:dPr>
              <m:ctrlPr>
                <w:rPr>
                  <w:rFonts w:ascii="Cambria Math" w:eastAsiaTheme="minorHAnsi" w:hAnsi="Cambria Math"/>
                  <w:i/>
                </w:rPr>
              </m:ctrlPr>
            </m:dPr>
            <m:e>
              <m:r>
                <m:rPr>
                  <m:scr m:val="double-struck"/>
                </m:rPr>
                <w:rPr>
                  <w:rFonts w:ascii="Cambria Math" w:hAnsi="Cambria Math"/>
                </w:rPr>
                <m:t>B|A</m:t>
              </m:r>
            </m:e>
          </m:d>
          <m:r>
            <m:rPr>
              <m:scr m:val="script"/>
            </m:rPr>
            <w:rPr>
              <w:rFonts w:ascii="Cambria Math" w:hAnsi="Cambria Math"/>
            </w:rPr>
            <m:t>~N</m:t>
          </m:r>
          <m:d>
            <m:dPr>
              <m:ctrlPr>
                <w:rPr>
                  <w:rFonts w:ascii="Cambria Math" w:eastAsiaTheme="minorHAnsi" w:hAnsi="Cambria Math"/>
                  <w:i/>
                </w:rPr>
              </m:ctrlPr>
            </m:dPr>
            <m:e>
              <m:r>
                <m:rPr>
                  <m:scr m:val="double-struck"/>
                </m:rPr>
                <w:rPr>
                  <w:rFonts w:ascii="Cambria Math" w:hAnsi="Cambria Math"/>
                </w:rPr>
                <m:t xml:space="preserve">Q, </m:t>
              </m:r>
              <m:r>
                <m:rPr>
                  <m:sty m:val="p"/>
                </m:rPr>
                <w:rPr>
                  <w:rFonts w:ascii="Cambria Math" w:hAnsi="Cambria Math"/>
                </w:rPr>
                <m:t>Ω</m:t>
              </m:r>
            </m:e>
          </m:d>
        </m:oMath>
      </m:oMathPara>
    </w:p>
    <w:p w:rsidR="004B4B80" w:rsidRDefault="004B4B80" w:rsidP="004B4B80">
      <w:pPr>
        <w:pStyle w:val="ListParagraph"/>
        <w:spacing w:line="360" w:lineRule="auto"/>
        <w:ind w:left="360"/>
      </w:pPr>
    </w:p>
    <w:p w:rsidR="004B4B80" w:rsidRDefault="004B4B80" w:rsidP="004B4B80">
      <w:pPr>
        <w:pStyle w:val="ListParagraph"/>
        <w:spacing w:line="360" w:lineRule="auto"/>
        <w:ind w:left="360"/>
      </w:pPr>
      <w:r>
        <w:t xml:space="preserve">In general this cannot be converted into a useful expression in the asset space because of the mixture of relative and absolute views, and because the </w:t>
      </w:r>
      <m:oMath>
        <m:r>
          <m:rPr>
            <m:scr m:val="double-struck"/>
          </m:rPr>
          <w:rPr>
            <w:rFonts w:ascii="Cambria Math" w:hAnsi="Cambria Math"/>
          </w:rPr>
          <m:t>P</m:t>
        </m:r>
      </m:oMath>
      <w:r>
        <w:t xml:space="preserve"> matrix is not required to be of full rank.</w:t>
      </w:r>
    </w:p>
    <w:p w:rsidR="004B4B80" w:rsidRDefault="004B4B80" w:rsidP="004B4B80">
      <w:pPr>
        <w:pStyle w:val="ListParagraph"/>
        <w:numPr>
          <w:ilvl w:val="0"/>
          <w:numId w:val="480"/>
        </w:numPr>
        <w:spacing w:after="160" w:line="360" w:lineRule="auto"/>
      </w:pPr>
      <w:r>
        <w:rPr>
          <w:u w:val="single"/>
        </w:rPr>
        <w:t>View Representation in Asset Space</w:t>
      </w:r>
      <w:r w:rsidRPr="00DA4967">
        <w:t>:</w:t>
      </w:r>
      <w:r>
        <w:t xml:space="preserve"> In the asset space the conditional distribution can be represented as</w:t>
      </w:r>
    </w:p>
    <w:p w:rsidR="004B4B80" w:rsidRDefault="004B4B80" w:rsidP="004B4B80">
      <w:pPr>
        <w:pStyle w:val="ListParagraph"/>
        <w:spacing w:line="360" w:lineRule="auto"/>
        <w:ind w:left="360"/>
        <w:rPr>
          <w:u w:val="single"/>
        </w:rPr>
      </w:pPr>
    </w:p>
    <w:p w:rsidR="004B4B80" w:rsidRDefault="004B4B80" w:rsidP="004B4B80">
      <w:pPr>
        <w:pStyle w:val="ListParagraph"/>
        <w:spacing w:line="360" w:lineRule="auto"/>
        <w:ind w:left="360"/>
        <w:rPr>
          <w:rFonts w:eastAsiaTheme="minorEastAsia"/>
        </w:rPr>
      </w:pPr>
      <m:oMathPara>
        <m:oMath>
          <m:r>
            <m:rPr>
              <m:scr m:val="script"/>
            </m:rPr>
            <w:rPr>
              <w:rFonts w:ascii="Cambria Math" w:hAnsi="Cambria Math"/>
            </w:rPr>
            <w:lastRenderedPageBreak/>
            <m:t>P</m:t>
          </m:r>
          <m:d>
            <m:dPr>
              <m:ctrlPr>
                <w:rPr>
                  <w:rFonts w:ascii="Cambria Math" w:eastAsiaTheme="minorHAnsi" w:hAnsi="Cambria Math"/>
                  <w:i/>
                </w:rPr>
              </m:ctrlPr>
            </m:dPr>
            <m:e>
              <m:r>
                <m:rPr>
                  <m:scr m:val="double-struck"/>
                </m:rPr>
                <w:rPr>
                  <w:rFonts w:ascii="Cambria Math" w:hAnsi="Cambria Math"/>
                </w:rPr>
                <m:t>B|A</m:t>
              </m:r>
            </m:e>
          </m:d>
          <m:r>
            <m:rPr>
              <m:scr m:val="script"/>
            </m:rPr>
            <w:rPr>
              <w:rFonts w:ascii="Cambria Math" w:hAnsi="Cambria Math"/>
            </w:rPr>
            <m:t>~N</m:t>
          </m:r>
          <m:d>
            <m:dPr>
              <m:ctrlPr>
                <w:rPr>
                  <w:rFonts w:ascii="Cambria Math" w:eastAsiaTheme="minorHAnsi" w:hAnsi="Cambria Math"/>
                  <w:i/>
                </w:rPr>
              </m:ctrlPr>
            </m:dPr>
            <m:e>
              <m:sSup>
                <m:sSupPr>
                  <m:ctrlPr>
                    <w:rPr>
                      <w:rFonts w:ascii="Cambria Math" w:eastAsiaTheme="minorHAnsi" w:hAnsi="Cambria Math"/>
                      <w:i/>
                    </w:rPr>
                  </m:ctrlPr>
                </m:sSupPr>
                <m:e>
                  <m:r>
                    <m:rPr>
                      <m:scr m:val="double-struck"/>
                    </m:rPr>
                    <w:rPr>
                      <w:rFonts w:ascii="Cambria Math" w:hAnsi="Cambria Math"/>
                    </w:rPr>
                    <m:t>P</m:t>
                  </m:r>
                </m:e>
                <m:sup>
                  <m:r>
                    <w:rPr>
                      <w:rFonts w:ascii="Cambria Math" w:hAnsi="Cambria Math"/>
                    </w:rPr>
                    <m:t>-1</m:t>
                  </m:r>
                </m:sup>
              </m:sSup>
              <m:r>
                <m:rPr>
                  <m:scr m:val="double-struck"/>
                </m:rPr>
                <w:rPr>
                  <w:rFonts w:ascii="Cambria Math" w:hAnsi="Cambria Math"/>
                </w:rPr>
                <m:t xml:space="preserve">Q, </m:t>
              </m:r>
              <m:d>
                <m:dPr>
                  <m:begChr m:val="["/>
                  <m:endChr m:val="]"/>
                  <m:ctrlPr>
                    <w:rPr>
                      <w:rFonts w:ascii="Cambria Math" w:eastAsiaTheme="minorHAnsi" w:hAnsi="Cambria Math"/>
                      <w:i/>
                    </w:rPr>
                  </m:ctrlPr>
                </m:dPr>
                <m:e>
                  <m:sSup>
                    <m:sSupPr>
                      <m:ctrlPr>
                        <w:rPr>
                          <w:rFonts w:ascii="Cambria Math" w:eastAsiaTheme="minorHAnsi" w:hAnsi="Cambria Math"/>
                          <w:i/>
                        </w:rPr>
                      </m:ctrlPr>
                    </m:sSupPr>
                    <m:e>
                      <m:r>
                        <m:rPr>
                          <m:scr m:val="double-struck"/>
                        </m:rPr>
                        <w:rPr>
                          <w:rFonts w:ascii="Cambria Math" w:hAnsi="Cambria Math"/>
                        </w:rPr>
                        <m:t>P</m:t>
                      </m:r>
                    </m:e>
                    <m:sup>
                      <m:r>
                        <w:rPr>
                          <w:rFonts w:ascii="Cambria Math" w:hAnsi="Cambria Math"/>
                        </w:rPr>
                        <m:t>T</m:t>
                      </m:r>
                    </m:sup>
                  </m:sSup>
                  <m:sSup>
                    <m:sSupPr>
                      <m:ctrlPr>
                        <w:rPr>
                          <w:rFonts w:ascii="Cambria Math" w:eastAsiaTheme="minorHAnsi" w:hAnsi="Cambria Math"/>
                        </w:rPr>
                      </m:ctrlPr>
                    </m:sSupPr>
                    <m:e>
                      <m:r>
                        <m:rPr>
                          <m:sty m:val="p"/>
                        </m:rPr>
                        <w:rPr>
                          <w:rFonts w:ascii="Cambria Math" w:hAnsi="Cambria Math"/>
                        </w:rPr>
                        <m:t>Ω</m:t>
                      </m:r>
                    </m:e>
                    <m:sup>
                      <m:r>
                        <w:rPr>
                          <w:rFonts w:ascii="Cambria Math" w:hAnsi="Cambria Math"/>
                        </w:rPr>
                        <m:t>-1</m:t>
                      </m:r>
                    </m:sup>
                  </m:sSup>
                  <m:r>
                    <m:rPr>
                      <m:scr m:val="double-struck"/>
                    </m:rPr>
                    <w:rPr>
                      <w:rFonts w:ascii="Cambria Math" w:hAnsi="Cambria Math"/>
                    </w:rPr>
                    <m:t>P</m:t>
                  </m:r>
                </m:e>
              </m:d>
            </m:e>
          </m:d>
        </m:oMath>
      </m:oMathPara>
    </w:p>
    <w:p w:rsidR="004B4B80" w:rsidRDefault="004B4B80" w:rsidP="004B4B80">
      <w:pPr>
        <w:pStyle w:val="ListParagraph"/>
        <w:spacing w:line="360" w:lineRule="auto"/>
        <w:ind w:left="360"/>
        <w:rPr>
          <w:rFonts w:eastAsiaTheme="minorEastAsia"/>
        </w:rPr>
      </w:pPr>
    </w:p>
    <w:p w:rsidR="004B4B80" w:rsidRPr="00DA4967" w:rsidRDefault="004B4B80" w:rsidP="004B4B80">
      <w:pPr>
        <w:pStyle w:val="ListParagraph"/>
        <w:spacing w:line="360" w:lineRule="auto"/>
        <w:ind w:left="360"/>
        <w:rPr>
          <w:rFonts w:eastAsiaTheme="minorHAnsi"/>
        </w:rPr>
      </w:pPr>
      <w:r>
        <w:rPr>
          <w:rFonts w:eastAsiaTheme="minorEastAsia"/>
        </w:rPr>
        <w:t xml:space="preserve">This representation, however, is not of much practical use. Incomplete views and relative views make the variance non-invertible, and relative views also impact the mean term. Also </w:t>
      </w:r>
      <m:oMath>
        <m:r>
          <m:rPr>
            <m:scr m:val="double-struck"/>
          </m:rPr>
          <w:rPr>
            <w:rFonts w:ascii="Cambria Math" w:hAnsi="Cambria Math"/>
          </w:rPr>
          <m:t>P</m:t>
        </m:r>
      </m:oMath>
      <w:r>
        <w:rPr>
          <w:rFonts w:eastAsiaTheme="minorEastAsia"/>
        </w:rPr>
        <w:t xml:space="preserve"> may not be invertible, and even if it is </w:t>
      </w:r>
      <m:oMath>
        <m:d>
          <m:dPr>
            <m:begChr m:val="["/>
            <m:endChr m:val="]"/>
            <m:ctrlPr>
              <w:rPr>
                <w:rFonts w:ascii="Cambria Math" w:eastAsiaTheme="minorHAnsi" w:hAnsi="Cambria Math"/>
                <w:i/>
              </w:rPr>
            </m:ctrlPr>
          </m:dPr>
          <m:e>
            <m:sSup>
              <m:sSupPr>
                <m:ctrlPr>
                  <w:rPr>
                    <w:rFonts w:ascii="Cambria Math" w:eastAsiaTheme="minorHAnsi" w:hAnsi="Cambria Math"/>
                    <w:i/>
                  </w:rPr>
                </m:ctrlPr>
              </m:sSupPr>
              <m:e>
                <m:r>
                  <m:rPr>
                    <m:scr m:val="double-struck"/>
                  </m:rPr>
                  <w:rPr>
                    <w:rFonts w:ascii="Cambria Math" w:hAnsi="Cambria Math"/>
                  </w:rPr>
                  <m:t>P</m:t>
                </m:r>
              </m:e>
              <m:sup>
                <m:r>
                  <w:rPr>
                    <w:rFonts w:ascii="Cambria Math" w:hAnsi="Cambria Math"/>
                  </w:rPr>
                  <m:t>T</m:t>
                </m:r>
              </m:sup>
            </m:sSup>
            <m:sSup>
              <m:sSupPr>
                <m:ctrlPr>
                  <w:rPr>
                    <w:rFonts w:ascii="Cambria Math" w:eastAsiaTheme="minorHAnsi" w:hAnsi="Cambria Math"/>
                  </w:rPr>
                </m:ctrlPr>
              </m:sSupPr>
              <m:e>
                <m:r>
                  <m:rPr>
                    <m:sty m:val="p"/>
                  </m:rPr>
                  <w:rPr>
                    <w:rFonts w:ascii="Cambria Math" w:hAnsi="Cambria Math"/>
                  </w:rPr>
                  <m:t>Ω</m:t>
                </m:r>
              </m:e>
              <m:sup>
                <m:r>
                  <w:rPr>
                    <w:rFonts w:ascii="Cambria Math" w:hAnsi="Cambria Math"/>
                  </w:rPr>
                  <m:t>-1</m:t>
                </m:r>
              </m:sup>
            </m:sSup>
            <m:r>
              <m:rPr>
                <m:scr m:val="double-struck"/>
              </m:rPr>
              <w:rPr>
                <w:rFonts w:ascii="Cambria Math" w:hAnsi="Cambria Math"/>
              </w:rPr>
              <m:t>P</m:t>
            </m:r>
          </m:e>
        </m:d>
      </m:oMath>
      <w:r>
        <w:rPr>
          <w:rFonts w:eastAsiaTheme="minorEastAsia"/>
        </w:rPr>
        <w:t xml:space="preserve"> may not be, making the above expression impossible to evaluate in practice. Luckily to work with the Black-Litterman Model, one does not need to explicitly evaluate </w:t>
      </w:r>
      <m:oMath>
        <m:r>
          <m:rPr>
            <m:scr m:val="script"/>
          </m:rPr>
          <w:rPr>
            <w:rFonts w:ascii="Cambria Math" w:hAnsi="Cambria Math"/>
          </w:rPr>
          <m:t>P</m:t>
        </m:r>
        <m:d>
          <m:dPr>
            <m:ctrlPr>
              <w:rPr>
                <w:rFonts w:ascii="Cambria Math" w:eastAsiaTheme="minorHAnsi" w:hAnsi="Cambria Math"/>
                <w:i/>
              </w:rPr>
            </m:ctrlPr>
          </m:dPr>
          <m:e>
            <m:r>
              <m:rPr>
                <m:scr m:val="double-struck"/>
              </m:rPr>
              <w:rPr>
                <w:rFonts w:ascii="Cambria Math" w:hAnsi="Cambria Math"/>
              </w:rPr>
              <m:t>B|A</m:t>
            </m:r>
          </m:e>
        </m:d>
      </m:oMath>
      <w:r>
        <w:rPr>
          <w:rFonts w:eastAsiaTheme="minorEastAsia"/>
        </w:rPr>
        <w:t xml:space="preserve"> above. It is, however, of interest to see how the views are projected onto the asset space.</w:t>
      </w:r>
    </w:p>
    <w:p w:rsidR="004B4B80" w:rsidRDefault="004B4B80" w:rsidP="004B4B80">
      <w:pPr>
        <w:spacing w:line="360" w:lineRule="auto"/>
      </w:pPr>
    </w:p>
    <w:p w:rsidR="004B4B80" w:rsidRDefault="004B4B80" w:rsidP="004B4B80">
      <w:pPr>
        <w:spacing w:line="360" w:lineRule="auto"/>
      </w:pPr>
    </w:p>
    <w:p w:rsidR="004B4B80" w:rsidRPr="00DA4967" w:rsidRDefault="004B4B80" w:rsidP="004B4B80">
      <w:pPr>
        <w:spacing w:line="360" w:lineRule="auto"/>
        <w:rPr>
          <w:b/>
          <w:sz w:val="28"/>
          <w:szCs w:val="28"/>
        </w:rPr>
      </w:pPr>
      <w:r w:rsidRPr="00DA4967">
        <w:rPr>
          <w:b/>
          <w:sz w:val="28"/>
          <w:szCs w:val="28"/>
        </w:rPr>
        <w:t>View Distribution in the Asset Space – Derivation</w:t>
      </w:r>
    </w:p>
    <w:p w:rsidR="004B4B80" w:rsidRDefault="004B4B80" w:rsidP="004B4B80">
      <w:pPr>
        <w:spacing w:line="360" w:lineRule="auto"/>
      </w:pPr>
    </w:p>
    <w:p w:rsidR="004B4B80" w:rsidRDefault="004B4B80" w:rsidP="004B4B80">
      <w:pPr>
        <w:pStyle w:val="ListParagraph"/>
        <w:numPr>
          <w:ilvl w:val="0"/>
          <w:numId w:val="481"/>
        </w:numPr>
        <w:spacing w:after="160" w:line="360" w:lineRule="auto"/>
      </w:pPr>
      <w:r w:rsidRPr="00696064">
        <w:rPr>
          <w:u w:val="single"/>
        </w:rPr>
        <w:t>Expected View Return Conditional Distribution</w:t>
      </w:r>
      <w:r w:rsidRPr="00696064">
        <w:t>: The starting point is the definition of the views</w:t>
      </w:r>
    </w:p>
    <w:p w:rsidR="004B4B80" w:rsidRDefault="004B4B80" w:rsidP="004B4B80">
      <w:pPr>
        <w:pStyle w:val="ListParagraph"/>
        <w:spacing w:line="360" w:lineRule="auto"/>
        <w:ind w:left="360"/>
        <w:rPr>
          <w:u w:val="single"/>
        </w:rPr>
      </w:pPr>
    </w:p>
    <w:p w:rsidR="004B4B80" w:rsidRDefault="004B4B80" w:rsidP="004B4B80">
      <w:pPr>
        <w:pStyle w:val="ListParagraph"/>
        <w:spacing w:line="360" w:lineRule="auto"/>
        <w:ind w:left="360"/>
        <w:rPr>
          <w:rFonts w:eastAsiaTheme="minorEastAsia"/>
        </w:rPr>
      </w:pPr>
      <m:oMathPara>
        <m:oMath>
          <m:acc>
            <m:accPr>
              <m:ctrlPr>
                <w:rPr>
                  <w:rFonts w:ascii="Cambria Math" w:eastAsiaTheme="minorHAnsi" w:hAnsi="Cambria Math"/>
                  <w:i/>
                </w:rPr>
              </m:ctrlPr>
            </m:accPr>
            <m:e>
              <m:r>
                <m:rPr>
                  <m:scr m:val="script"/>
                </m:rPr>
                <w:rPr>
                  <w:rFonts w:ascii="Cambria Math" w:hAnsi="Cambria Math"/>
                </w:rPr>
                <m:t>Q</m:t>
              </m:r>
            </m:e>
          </m:acc>
          <m:r>
            <m:rPr>
              <m:scr m:val="script"/>
            </m:rPr>
            <w:rPr>
              <w:rFonts w:ascii="Cambria Math" w:hAnsi="Cambria Math"/>
            </w:rPr>
            <m:t>=Q+</m:t>
          </m:r>
          <m:r>
            <w:rPr>
              <w:rFonts w:ascii="Cambria Math" w:hAnsi="Cambria Math"/>
            </w:rPr>
            <m:t>ϵ</m:t>
          </m:r>
        </m:oMath>
      </m:oMathPara>
    </w:p>
    <w:p w:rsidR="004B4B80" w:rsidRDefault="004B4B80" w:rsidP="004B4B80">
      <w:pPr>
        <w:pStyle w:val="ListParagraph"/>
        <w:spacing w:line="360" w:lineRule="auto"/>
        <w:ind w:left="360"/>
        <w:rPr>
          <w:rFonts w:eastAsiaTheme="minorEastAsia"/>
        </w:rPr>
      </w:pPr>
    </w:p>
    <w:p w:rsidR="004B4B80" w:rsidRDefault="004B4B80" w:rsidP="004B4B80">
      <w:pPr>
        <w:pStyle w:val="ListParagraph"/>
        <w:spacing w:line="360" w:lineRule="auto"/>
        <w:ind w:left="360"/>
        <w:rPr>
          <w:rFonts w:eastAsiaTheme="minorEastAsia"/>
        </w:rPr>
      </w:pPr>
      <w:r w:rsidRPr="00696064">
        <w:rPr>
          <w:rFonts w:eastAsiaTheme="minorEastAsia"/>
        </w:rPr>
        <w:t xml:space="preserve">where </w:t>
      </w:r>
      <m:oMath>
        <m:acc>
          <m:accPr>
            <m:ctrlPr>
              <w:rPr>
                <w:rFonts w:ascii="Cambria Math" w:eastAsiaTheme="minorHAnsi" w:hAnsi="Cambria Math"/>
                <w:i/>
              </w:rPr>
            </m:ctrlPr>
          </m:accPr>
          <m:e>
            <m:r>
              <m:rPr>
                <m:scr m:val="script"/>
              </m:rPr>
              <w:rPr>
                <w:rFonts w:ascii="Cambria Math" w:hAnsi="Cambria Math"/>
              </w:rPr>
              <m:t>Q</m:t>
            </m:r>
          </m:e>
        </m:acc>
      </m:oMath>
      <w:r w:rsidRPr="00696064">
        <w:rPr>
          <w:rFonts w:eastAsiaTheme="minorEastAsia"/>
        </w:rPr>
        <w:t xml:space="preserve"> is the </w:t>
      </w:r>
      <m:oMath>
        <m:r>
          <w:rPr>
            <w:rFonts w:ascii="Cambria Math" w:hAnsi="Cambria Math"/>
          </w:rPr>
          <m:t>k×1</m:t>
        </m:r>
      </m:oMath>
      <w:r w:rsidRPr="00696064">
        <w:rPr>
          <w:rFonts w:eastAsiaTheme="minorEastAsia"/>
        </w:rPr>
        <w:t xml:space="preserve"> vector of the unknown mean returns to the views, </w:t>
      </w:r>
      <m:oMath>
        <m:r>
          <m:rPr>
            <m:scr m:val="script"/>
          </m:rPr>
          <w:rPr>
            <w:rFonts w:ascii="Cambria Math" w:hAnsi="Cambria Math"/>
          </w:rPr>
          <m:t>Q</m:t>
        </m:r>
      </m:oMath>
      <w:r w:rsidRPr="00696064">
        <w:rPr>
          <w:rFonts w:eastAsiaTheme="minorEastAsia"/>
        </w:rPr>
        <w:t xml:space="preserve"> is the </w:t>
      </w:r>
      <m:oMath>
        <m:r>
          <w:rPr>
            <w:rFonts w:ascii="Cambria Math" w:hAnsi="Cambria Math"/>
          </w:rPr>
          <m:t>k×1</m:t>
        </m:r>
      </m:oMath>
      <w:r w:rsidRPr="00696064">
        <w:rPr>
          <w:rFonts w:eastAsiaTheme="minorEastAsia"/>
        </w:rPr>
        <w:t xml:space="preserve"> vector of the estimated mean returns to the views, and </w:t>
      </w:r>
      <m:oMath>
        <m:r>
          <w:rPr>
            <w:rFonts w:ascii="Cambria Math" w:hAnsi="Cambria Math"/>
          </w:rPr>
          <m:t>ϵ</m:t>
        </m:r>
      </m:oMath>
      <w:r w:rsidRPr="00696064">
        <w:rPr>
          <w:rFonts w:eastAsiaTheme="minorEastAsia"/>
        </w:rPr>
        <w:t xml:space="preserve"> is a </w:t>
      </w:r>
      <m:oMath>
        <m:r>
          <w:rPr>
            <w:rFonts w:ascii="Cambria Math" w:hAnsi="Cambria Math"/>
          </w:rPr>
          <m:t>n×1</m:t>
        </m:r>
      </m:oMath>
      <w:r w:rsidRPr="00696064">
        <w:rPr>
          <w:rFonts w:eastAsiaTheme="minorEastAsia"/>
        </w:rPr>
        <w:t xml:space="preserve"> matrix of the residuals from the regression where</w:t>
      </w:r>
    </w:p>
    <w:p w:rsidR="004B4B80" w:rsidRDefault="004B4B80" w:rsidP="004B4B80">
      <w:pPr>
        <w:pStyle w:val="ListParagraph"/>
        <w:spacing w:line="360" w:lineRule="auto"/>
        <w:ind w:left="360"/>
        <w:rPr>
          <w:rFonts w:eastAsiaTheme="minorEastAsia"/>
        </w:rPr>
      </w:pPr>
    </w:p>
    <w:p w:rsidR="004B4B80" w:rsidRDefault="004B4B80" w:rsidP="004B4B80">
      <w:pPr>
        <w:pStyle w:val="ListParagraph"/>
        <w:spacing w:line="360" w:lineRule="auto"/>
        <w:ind w:left="360"/>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ϵ</m:t>
              </m:r>
            </m:e>
          </m:d>
          <m:r>
            <w:rPr>
              <w:rFonts w:ascii="Cambria Math" w:eastAsiaTheme="minorEastAsia" w:hAnsi="Cambria Math"/>
            </w:rPr>
            <m:t>=0</m:t>
          </m:r>
        </m:oMath>
      </m:oMathPara>
    </w:p>
    <w:p w:rsidR="004B4B80" w:rsidRDefault="004B4B80" w:rsidP="004B4B80">
      <w:pPr>
        <w:pStyle w:val="ListParagraph"/>
        <w:spacing w:line="360" w:lineRule="auto"/>
        <w:ind w:left="360"/>
        <w:rPr>
          <w:rFonts w:eastAsiaTheme="minorEastAsia"/>
        </w:rPr>
      </w:pPr>
    </w:p>
    <w:p w:rsidR="004B4B80" w:rsidRDefault="004B4B80" w:rsidP="004B4B80">
      <w:pPr>
        <w:pStyle w:val="ListParagraph"/>
        <w:spacing w:line="360" w:lineRule="auto"/>
        <w:ind w:left="360"/>
        <w:rPr>
          <w:rFonts w:eastAsiaTheme="minorEastAsia"/>
        </w:rPr>
      </w:pPr>
      <m:oMathPara>
        <m:oMath>
          <m:r>
            <m:rPr>
              <m:scr m:val="double-struck"/>
            </m:rP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ϵ</m:t>
              </m:r>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ϵ</m:t>
              </m:r>
              <m:sSup>
                <m:sSupPr>
                  <m:ctrlPr>
                    <w:rPr>
                      <w:rFonts w:ascii="Cambria Math" w:eastAsiaTheme="minorEastAsia" w:hAnsi="Cambria Math"/>
                      <w:i/>
                    </w:rPr>
                  </m:ctrlPr>
                </m:sSupPr>
                <m:e>
                  <m:r>
                    <w:rPr>
                      <w:rFonts w:ascii="Cambria Math" w:eastAsiaTheme="minorEastAsia" w:hAnsi="Cambria Math"/>
                    </w:rPr>
                    <m:t>ϵ</m:t>
                  </m:r>
                </m:e>
                <m:sup>
                  <m:r>
                    <w:rPr>
                      <w:rFonts w:ascii="Cambria Math" w:eastAsiaTheme="minorEastAsia" w:hAnsi="Cambria Math"/>
                    </w:rPr>
                    <m:t>T</m:t>
                  </m:r>
                </m:sup>
              </m:sSup>
            </m:e>
          </m:d>
          <m:r>
            <w:rPr>
              <w:rFonts w:ascii="Cambria Math" w:eastAsiaTheme="minorEastAsia" w:hAnsi="Cambria Math"/>
            </w:rPr>
            <m:t>=</m:t>
          </m:r>
          <m:r>
            <m:rPr>
              <m:sty m:val="p"/>
            </m:rPr>
            <w:rPr>
              <w:rFonts w:ascii="Cambria Math" w:eastAsiaTheme="minorEastAsia" w:hAnsi="Cambria Math"/>
            </w:rPr>
            <m:t>Ω</m:t>
          </m:r>
        </m:oMath>
      </m:oMathPara>
    </w:p>
    <w:p w:rsidR="004B4B80" w:rsidRDefault="004B4B80" w:rsidP="004B4B80">
      <w:pPr>
        <w:pStyle w:val="ListParagraph"/>
        <w:spacing w:line="360" w:lineRule="auto"/>
        <w:ind w:left="360"/>
        <w:rPr>
          <w:rFonts w:eastAsiaTheme="minorEastAsia"/>
        </w:rPr>
      </w:pPr>
    </w:p>
    <w:p w:rsidR="004B4B80" w:rsidRDefault="004B4B80" w:rsidP="004B4B80">
      <w:pPr>
        <w:pStyle w:val="ListParagraph"/>
        <w:spacing w:line="360" w:lineRule="auto"/>
        <w:ind w:left="360"/>
        <w:rPr>
          <w:rFonts w:eastAsiaTheme="minorEastAsia"/>
        </w:rPr>
      </w:pPr>
      <w:r w:rsidRPr="00696064">
        <w:rPr>
          <w:rFonts w:eastAsiaTheme="minorEastAsia"/>
        </w:rPr>
        <w:t xml:space="preserve">and </w:t>
      </w:r>
      <m:oMath>
        <m:r>
          <m:rPr>
            <m:sty m:val="p"/>
          </m:rPr>
          <w:rPr>
            <w:rFonts w:ascii="Cambria Math" w:eastAsiaTheme="minorEastAsia" w:hAnsi="Cambria Math"/>
          </w:rPr>
          <m:t>Ω</m:t>
        </m:r>
      </m:oMath>
      <w:r w:rsidRPr="00696064">
        <w:rPr>
          <w:rFonts w:eastAsiaTheme="minorEastAsia"/>
        </w:rPr>
        <w:t xml:space="preserve"> is non-singular. The expression for </w:t>
      </w:r>
      <m:oMath>
        <m:acc>
          <m:accPr>
            <m:ctrlPr>
              <w:rPr>
                <w:rFonts w:ascii="Cambria Math" w:eastAsiaTheme="minorHAnsi" w:hAnsi="Cambria Math"/>
                <w:i/>
              </w:rPr>
            </m:ctrlPr>
          </m:accPr>
          <m:e>
            <m:r>
              <m:rPr>
                <m:scr m:val="script"/>
              </m:rPr>
              <w:rPr>
                <w:rFonts w:ascii="Cambria Math" w:hAnsi="Cambria Math"/>
              </w:rPr>
              <m:t>Q</m:t>
            </m:r>
          </m:e>
        </m:acc>
      </m:oMath>
      <w:r w:rsidRPr="00696064">
        <w:rPr>
          <w:rFonts w:eastAsiaTheme="minorEastAsia"/>
        </w:rPr>
        <w:t xml:space="preserve"> above can be re-written as an explicit distribution of </w:t>
      </w:r>
      <m:oMath>
        <m:acc>
          <m:accPr>
            <m:ctrlPr>
              <w:rPr>
                <w:rFonts w:ascii="Cambria Math" w:eastAsiaTheme="minorHAnsi" w:hAnsi="Cambria Math"/>
                <w:i/>
              </w:rPr>
            </m:ctrlPr>
          </m:accPr>
          <m:e>
            <m:r>
              <m:rPr>
                <m:scr m:val="script"/>
              </m:rPr>
              <w:rPr>
                <w:rFonts w:ascii="Cambria Math" w:hAnsi="Cambria Math"/>
              </w:rPr>
              <m:t>Q</m:t>
            </m:r>
          </m:e>
        </m:acc>
      </m:oMath>
      <w:r w:rsidRPr="00696064">
        <w:rPr>
          <w:rFonts w:eastAsiaTheme="minorEastAsia"/>
        </w:rPr>
        <w:t xml:space="preserve"> as</w:t>
      </w:r>
    </w:p>
    <w:p w:rsidR="004B4B80" w:rsidRDefault="004B4B80" w:rsidP="004B4B80">
      <w:pPr>
        <w:pStyle w:val="ListParagraph"/>
        <w:spacing w:line="360" w:lineRule="auto"/>
        <w:ind w:left="360"/>
        <w:rPr>
          <w:rFonts w:eastAsiaTheme="minorEastAsia"/>
        </w:rPr>
      </w:pPr>
    </w:p>
    <w:p w:rsidR="004B4B80" w:rsidRPr="00696064" w:rsidRDefault="004B4B80" w:rsidP="004B4B80">
      <w:pPr>
        <w:pStyle w:val="ListParagraph"/>
        <w:spacing w:line="360" w:lineRule="auto"/>
        <w:ind w:left="360"/>
        <w:rPr>
          <w:rFonts w:eastAsiaTheme="minorEastAsia"/>
        </w:rPr>
      </w:pPr>
      <m:oMathPara>
        <m:oMath>
          <m:acc>
            <m:accPr>
              <m:ctrlPr>
                <w:rPr>
                  <w:rFonts w:ascii="Cambria Math" w:eastAsiaTheme="minorHAnsi" w:hAnsi="Cambria Math"/>
                  <w:i/>
                </w:rPr>
              </m:ctrlPr>
            </m:accPr>
            <m:e>
              <m:r>
                <m:rPr>
                  <m:scr m:val="script"/>
                </m:rPr>
                <w:rPr>
                  <w:rFonts w:ascii="Cambria Math" w:hAnsi="Cambria Math"/>
                </w:rPr>
                <m:t>Q</m:t>
              </m:r>
            </m:e>
          </m:acc>
          <m:r>
            <m:rPr>
              <m:scr m:val="script"/>
            </m:rPr>
            <w:rPr>
              <w:rFonts w:ascii="Cambria Math" w:hAnsi="Cambria Math"/>
            </w:rPr>
            <m:t>~N</m:t>
          </m:r>
          <m:d>
            <m:dPr>
              <m:ctrlPr>
                <w:rPr>
                  <w:rFonts w:ascii="Cambria Math" w:eastAsiaTheme="minorHAnsi" w:hAnsi="Cambria Math"/>
                  <w:i/>
                </w:rPr>
              </m:ctrlPr>
            </m:dPr>
            <m:e>
              <m:r>
                <m:rPr>
                  <m:scr m:val="script"/>
                </m:rPr>
                <w:rPr>
                  <w:rFonts w:ascii="Cambria Math" w:hAnsi="Cambria Math"/>
                </w:rPr>
                <m:t>Q,</m:t>
              </m:r>
              <m:r>
                <m:rPr>
                  <m:sty m:val="p"/>
                </m:rPr>
                <w:rPr>
                  <w:rFonts w:ascii="Cambria Math" w:eastAsiaTheme="minorEastAsia" w:hAnsi="Cambria Math"/>
                </w:rPr>
                <m:t>Ω</m:t>
              </m:r>
            </m:e>
          </m:d>
        </m:oMath>
      </m:oMathPara>
    </w:p>
    <w:p w:rsidR="004B4B80" w:rsidRPr="00696064" w:rsidRDefault="004B4B80" w:rsidP="004B4B80">
      <w:pPr>
        <w:pStyle w:val="ListParagraph"/>
        <w:spacing w:line="360" w:lineRule="auto"/>
        <w:ind w:left="360"/>
        <w:rPr>
          <w:rFonts w:eastAsiaTheme="minorHAnsi"/>
        </w:rPr>
      </w:pPr>
    </w:p>
    <w:p w:rsidR="004B4B80" w:rsidRPr="007E6E3E" w:rsidRDefault="004B4B80" w:rsidP="004B4B80">
      <w:pPr>
        <w:pStyle w:val="ListParagraph"/>
        <w:numPr>
          <w:ilvl w:val="0"/>
          <w:numId w:val="481"/>
        </w:numPr>
        <w:spacing w:after="160" w:line="360" w:lineRule="auto"/>
        <w:rPr>
          <w:rFonts w:eastAsiaTheme="minorHAnsi"/>
        </w:rPr>
      </w:pPr>
      <w:r>
        <w:rPr>
          <w:u w:val="single"/>
        </w:rPr>
        <w:lastRenderedPageBreak/>
        <w:t>Projections onto the Asset Space</w:t>
      </w:r>
      <w:r>
        <w:t xml:space="preserve">: Using the definition above the unknown mean returns of the views based on the unknown mean returns of the assets and the portfolio pick matrix </w:t>
      </w:r>
      <m:oMath>
        <m:r>
          <w:rPr>
            <w:rFonts w:ascii="Cambria Math" w:hAnsi="Cambria Math"/>
          </w:rPr>
          <m:t>P</m:t>
        </m:r>
      </m:oMath>
      <w:r>
        <w:rPr>
          <w:rFonts w:eastAsiaTheme="minorEastAsia"/>
        </w:rPr>
        <w:t xml:space="preserve"> may be re-written as</w:t>
      </w:r>
    </w:p>
    <w:p w:rsidR="004B4B80" w:rsidRDefault="004B4B80" w:rsidP="004B4B80">
      <w:pPr>
        <w:pStyle w:val="ListParagraph"/>
        <w:spacing w:line="360" w:lineRule="auto"/>
        <w:ind w:left="360"/>
        <w:rPr>
          <w:u w:val="single"/>
        </w:rPr>
      </w:pPr>
    </w:p>
    <w:p w:rsidR="004B4B80" w:rsidRDefault="004B4B80" w:rsidP="004B4B80">
      <w:pPr>
        <w:pStyle w:val="ListParagraph"/>
        <w:spacing w:line="360" w:lineRule="auto"/>
        <w:ind w:left="360"/>
        <w:rPr>
          <w:rFonts w:eastAsiaTheme="minorEastAsia"/>
        </w:rPr>
      </w:pPr>
      <m:oMathPara>
        <m:oMath>
          <m:r>
            <w:rPr>
              <w:rFonts w:ascii="Cambria Math" w:hAnsi="Cambria Math"/>
            </w:rPr>
            <m:t>P</m:t>
          </m:r>
          <m:acc>
            <m:accPr>
              <m:ctrlPr>
                <w:rPr>
                  <w:rFonts w:ascii="Cambria Math" w:eastAsiaTheme="minorHAnsi" w:hAnsi="Cambria Math"/>
                  <w:i/>
                </w:rPr>
              </m:ctrlPr>
            </m:accPr>
            <m:e>
              <m:r>
                <w:rPr>
                  <w:rFonts w:ascii="Cambria Math" w:hAnsi="Cambria Math"/>
                </w:rPr>
                <m:t>Π</m:t>
              </m:r>
            </m:e>
          </m:acc>
          <m:r>
            <w:rPr>
              <w:rFonts w:ascii="Cambria Math" w:hAnsi="Cambria Math"/>
            </w:rPr>
            <m:t>=</m:t>
          </m:r>
          <m:acc>
            <m:accPr>
              <m:ctrlPr>
                <w:rPr>
                  <w:rFonts w:ascii="Cambria Math" w:eastAsiaTheme="minorHAnsi" w:hAnsi="Cambria Math"/>
                  <w:i/>
                </w:rPr>
              </m:ctrlPr>
            </m:accPr>
            <m:e>
              <m:r>
                <m:rPr>
                  <m:scr m:val="script"/>
                </m:rPr>
                <w:rPr>
                  <w:rFonts w:ascii="Cambria Math" w:hAnsi="Cambria Math"/>
                </w:rPr>
                <m:t>Q</m:t>
              </m:r>
            </m:e>
          </m:acc>
        </m:oMath>
      </m:oMathPara>
    </w:p>
    <w:p w:rsidR="004B4B80" w:rsidRDefault="004B4B80" w:rsidP="004B4B80">
      <w:pPr>
        <w:pStyle w:val="ListParagraph"/>
        <w:spacing w:line="360" w:lineRule="auto"/>
        <w:ind w:left="360"/>
        <w:rPr>
          <w:rFonts w:eastAsiaTheme="minorEastAsia"/>
        </w:rPr>
      </w:pPr>
    </w:p>
    <w:p w:rsidR="004B4B80" w:rsidRDefault="004B4B80" w:rsidP="004B4B80">
      <w:pPr>
        <w:pStyle w:val="ListParagraph"/>
        <w:spacing w:line="360" w:lineRule="auto"/>
        <w:ind w:left="360"/>
        <w:rPr>
          <w:rFonts w:eastAsiaTheme="minorEastAsia"/>
        </w:rPr>
      </w:pPr>
      <w:r>
        <w:rPr>
          <w:rFonts w:eastAsiaTheme="minorEastAsia"/>
        </w:rPr>
        <w:t xml:space="preserve">where </w:t>
      </w:r>
      <m:oMath>
        <m:r>
          <w:rPr>
            <w:rFonts w:ascii="Cambria Math" w:hAnsi="Cambria Math"/>
          </w:rPr>
          <m:t>P</m:t>
        </m:r>
      </m:oMath>
      <w:r>
        <w:rPr>
          <w:rFonts w:eastAsiaTheme="minorEastAsia"/>
        </w:rPr>
        <w:t xml:space="preserve"> is the </w:t>
      </w:r>
      <m:oMath>
        <m:r>
          <w:rPr>
            <w:rFonts w:ascii="Cambria Math" w:hAnsi="Cambria Math"/>
          </w:rPr>
          <m:t>k×n</m:t>
        </m:r>
      </m:oMath>
      <w:r>
        <w:rPr>
          <w:rFonts w:eastAsiaTheme="minorEastAsia"/>
        </w:rPr>
        <w:t xml:space="preserve"> matrix of weights for the view portfolios and </w:t>
      </w:r>
      <m:oMath>
        <m:acc>
          <m:accPr>
            <m:ctrlPr>
              <w:rPr>
                <w:rFonts w:ascii="Cambria Math" w:eastAsiaTheme="minorHAnsi" w:hAnsi="Cambria Math"/>
                <w:i/>
              </w:rPr>
            </m:ctrlPr>
          </m:accPr>
          <m:e>
            <m:r>
              <w:rPr>
                <w:rFonts w:ascii="Cambria Math" w:hAnsi="Cambria Math"/>
              </w:rPr>
              <m:t>Π</m:t>
            </m:r>
          </m:e>
        </m:acc>
      </m:oMath>
      <w:r>
        <w:rPr>
          <w:rFonts w:eastAsiaTheme="minorEastAsia"/>
        </w:rPr>
        <w:t xml:space="preserve"> is the </w:t>
      </w:r>
      <m:oMath>
        <m:r>
          <w:rPr>
            <w:rFonts w:ascii="Cambria Math" w:hAnsi="Cambria Math"/>
          </w:rPr>
          <m:t>n×1</m:t>
        </m:r>
      </m:oMath>
      <w:r>
        <w:rPr>
          <w:rFonts w:eastAsiaTheme="minorEastAsia"/>
        </w:rPr>
        <w:t xml:space="preserve"> vector of the unknown returns of the assets. Substitution of</w:t>
      </w:r>
    </w:p>
    <w:p w:rsidR="004B4B80" w:rsidRDefault="004B4B80" w:rsidP="004B4B80">
      <w:pPr>
        <w:pStyle w:val="ListParagraph"/>
        <w:spacing w:line="360" w:lineRule="auto"/>
        <w:ind w:left="360"/>
        <w:rPr>
          <w:rFonts w:eastAsiaTheme="minorEastAsia"/>
        </w:rPr>
      </w:pPr>
    </w:p>
    <w:p w:rsidR="004B4B80" w:rsidRDefault="004B4B80" w:rsidP="004B4B80">
      <w:pPr>
        <w:pStyle w:val="ListParagraph"/>
        <w:spacing w:line="360" w:lineRule="auto"/>
        <w:ind w:left="360"/>
        <w:rPr>
          <w:rFonts w:eastAsiaTheme="minorEastAsia"/>
        </w:rPr>
      </w:pPr>
      <m:oMathPara>
        <m:oMath>
          <m:acc>
            <m:accPr>
              <m:ctrlPr>
                <w:rPr>
                  <w:rFonts w:ascii="Cambria Math" w:eastAsiaTheme="minorHAnsi" w:hAnsi="Cambria Math"/>
                  <w:i/>
                </w:rPr>
              </m:ctrlPr>
            </m:accPr>
            <m:e>
              <m:r>
                <m:rPr>
                  <m:scr m:val="script"/>
                </m:rPr>
                <w:rPr>
                  <w:rFonts w:ascii="Cambria Math" w:hAnsi="Cambria Math"/>
                </w:rPr>
                <m:t>Q</m:t>
              </m:r>
            </m:e>
          </m:acc>
          <m:r>
            <w:rPr>
              <w:rFonts w:ascii="Cambria Math" w:hAnsi="Cambria Math"/>
            </w:rPr>
            <m:t>=</m:t>
          </m:r>
          <m:r>
            <m:rPr>
              <m:scr m:val="script"/>
            </m:rPr>
            <w:rPr>
              <w:rFonts w:ascii="Cambria Math" w:hAnsi="Cambria Math"/>
            </w:rPr>
            <m:t>Q+</m:t>
          </m:r>
          <m:r>
            <w:rPr>
              <w:rFonts w:ascii="Cambria Math" w:hAnsi="Cambria Math"/>
            </w:rPr>
            <m:t>ϵ</m:t>
          </m:r>
        </m:oMath>
      </m:oMathPara>
    </w:p>
    <w:p w:rsidR="004B4B80" w:rsidRDefault="004B4B80" w:rsidP="004B4B80">
      <w:pPr>
        <w:pStyle w:val="ListParagraph"/>
        <w:spacing w:line="360" w:lineRule="auto"/>
        <w:ind w:left="360"/>
        <w:rPr>
          <w:rFonts w:eastAsiaTheme="minorEastAsia"/>
        </w:rPr>
      </w:pPr>
    </w:p>
    <w:p w:rsidR="004B4B80" w:rsidRDefault="004B4B80" w:rsidP="004B4B80">
      <w:pPr>
        <w:pStyle w:val="ListParagraph"/>
        <w:spacing w:line="360" w:lineRule="auto"/>
        <w:ind w:left="360"/>
        <w:rPr>
          <w:rFonts w:eastAsiaTheme="minorEastAsia"/>
        </w:rPr>
      </w:pPr>
      <w:r>
        <w:rPr>
          <w:rFonts w:eastAsiaTheme="minorEastAsia"/>
        </w:rPr>
        <w:t xml:space="preserve">onto </w:t>
      </w:r>
      <m:oMath>
        <m:acc>
          <m:accPr>
            <m:ctrlPr>
              <w:rPr>
                <w:rFonts w:ascii="Cambria Math" w:eastAsiaTheme="minorHAnsi" w:hAnsi="Cambria Math"/>
                <w:i/>
              </w:rPr>
            </m:ctrlPr>
          </m:accPr>
          <m:e>
            <m:r>
              <m:rPr>
                <m:scr m:val="script"/>
              </m:rPr>
              <w:rPr>
                <w:rFonts w:ascii="Cambria Math" w:hAnsi="Cambria Math"/>
              </w:rPr>
              <m:t>Q</m:t>
            </m:r>
          </m:e>
        </m:acc>
      </m:oMath>
      <w:r>
        <w:rPr>
          <w:rFonts w:eastAsiaTheme="minorEastAsia"/>
        </w:rPr>
        <w:t xml:space="preserve"> above yields</w:t>
      </w:r>
    </w:p>
    <w:p w:rsidR="004B4B80" w:rsidRDefault="004B4B80" w:rsidP="004B4B80">
      <w:pPr>
        <w:pStyle w:val="ListParagraph"/>
        <w:spacing w:line="360" w:lineRule="auto"/>
        <w:ind w:left="360"/>
        <w:rPr>
          <w:rFonts w:eastAsiaTheme="minorEastAsia"/>
        </w:rPr>
      </w:pPr>
    </w:p>
    <w:p w:rsidR="004B4B80" w:rsidRPr="007E6E3E" w:rsidRDefault="004B4B80" w:rsidP="004B4B80">
      <w:pPr>
        <w:pStyle w:val="ListParagraph"/>
        <w:spacing w:line="360" w:lineRule="auto"/>
        <w:ind w:left="360"/>
        <w:rPr>
          <w:rFonts w:eastAsiaTheme="minorEastAsia"/>
        </w:rPr>
      </w:pPr>
      <m:oMathPara>
        <m:oMath>
          <m:r>
            <w:rPr>
              <w:rFonts w:ascii="Cambria Math" w:hAnsi="Cambria Math"/>
            </w:rPr>
            <m:t>P</m:t>
          </m:r>
          <m:acc>
            <m:accPr>
              <m:ctrlPr>
                <w:rPr>
                  <w:rFonts w:ascii="Cambria Math" w:eastAsiaTheme="minorHAnsi" w:hAnsi="Cambria Math"/>
                  <w:i/>
                </w:rPr>
              </m:ctrlPr>
            </m:accPr>
            <m:e>
              <m:r>
                <w:rPr>
                  <w:rFonts w:ascii="Cambria Math" w:hAnsi="Cambria Math"/>
                </w:rPr>
                <m:t>Π</m:t>
              </m:r>
            </m:e>
          </m:acc>
          <m:r>
            <w:rPr>
              <w:rFonts w:ascii="Cambria Math" w:hAnsi="Cambria Math"/>
            </w:rPr>
            <m:t>=</m:t>
          </m:r>
          <m:r>
            <m:rPr>
              <m:scr m:val="script"/>
            </m:rPr>
            <w:rPr>
              <w:rFonts w:ascii="Cambria Math" w:hAnsi="Cambria Math"/>
            </w:rPr>
            <m:t>Q+</m:t>
          </m:r>
          <m:r>
            <w:rPr>
              <w:rFonts w:ascii="Cambria Math" w:hAnsi="Cambria Math"/>
            </w:rPr>
            <m:t>ϵ</m:t>
          </m:r>
        </m:oMath>
      </m:oMathPara>
    </w:p>
    <w:p w:rsidR="004B4B80" w:rsidRPr="00593E8F" w:rsidRDefault="004B4B80" w:rsidP="004B4B80">
      <w:pPr>
        <w:pStyle w:val="ListParagraph"/>
        <w:spacing w:line="360" w:lineRule="auto"/>
        <w:ind w:left="360"/>
        <w:rPr>
          <w:rFonts w:eastAsiaTheme="minorHAnsi"/>
        </w:rPr>
      </w:pPr>
    </w:p>
    <w:p w:rsidR="004B4B80" w:rsidRPr="00FC032A" w:rsidRDefault="004B4B80" w:rsidP="004B4B80">
      <w:pPr>
        <w:pStyle w:val="ListParagraph"/>
        <w:numPr>
          <w:ilvl w:val="0"/>
          <w:numId w:val="481"/>
        </w:numPr>
        <w:spacing w:after="160" w:line="360" w:lineRule="auto"/>
        <w:rPr>
          <w:rFonts w:eastAsiaTheme="minorHAnsi"/>
        </w:rPr>
      </w:pPr>
      <w:r>
        <w:rPr>
          <w:u w:val="single"/>
        </w:rPr>
        <w:t>View Estimated Mean in Asset Space</w:t>
      </w:r>
      <w:r>
        <w:t xml:space="preserve">: Assuming </w:t>
      </w:r>
      <m:oMath>
        <m:r>
          <w:rPr>
            <w:rFonts w:ascii="Cambria Math" w:hAnsi="Cambria Math"/>
          </w:rPr>
          <m:t>P</m:t>
        </m:r>
      </m:oMath>
      <w:r>
        <w:t xml:space="preserve"> is invertible, which requires it to be of full rank, both sides above may be multiplied by </w:t>
      </w:r>
      <m:oMath>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oMath>
      <w:r>
        <w:t xml:space="preserve">. This is the projection of the view-estimated means onto the asset space representing the Black-Litterman conditional distribution. If </w:t>
      </w:r>
      <m:oMath>
        <m:r>
          <w:rPr>
            <w:rFonts w:ascii="Cambria Math" w:hAnsi="Cambria Math"/>
          </w:rPr>
          <m:t>P</m:t>
        </m:r>
      </m:oMath>
      <w:r>
        <w:rPr>
          <w:rFonts w:eastAsiaTheme="minorEastAsia"/>
        </w:rPr>
        <w:t xml:space="preserve"> is not invertible a slightly different formulation is needed, adding another term on the right hand side</w:t>
      </w:r>
    </w:p>
    <w:p w:rsidR="004B4B80" w:rsidRDefault="004B4B80" w:rsidP="004B4B80">
      <w:pPr>
        <w:pStyle w:val="ListParagraph"/>
        <w:spacing w:line="360" w:lineRule="auto"/>
        <w:ind w:left="360"/>
        <w:rPr>
          <w:u w:val="single"/>
        </w:rPr>
      </w:pPr>
    </w:p>
    <w:p w:rsidR="004B4B80" w:rsidRPr="00FC032A" w:rsidRDefault="004B4B80" w:rsidP="004B4B80">
      <w:pPr>
        <w:pStyle w:val="ListParagraph"/>
        <w:spacing w:line="360" w:lineRule="auto"/>
        <w:ind w:left="360"/>
        <w:rPr>
          <w:rFonts w:eastAsiaTheme="minorEastAsia"/>
        </w:rPr>
      </w:pPr>
      <m:oMathPara>
        <m:oMath>
          <m:acc>
            <m:accPr>
              <m:ctrlPr>
                <w:rPr>
                  <w:rFonts w:ascii="Cambria Math" w:eastAsiaTheme="minorHAnsi" w:hAnsi="Cambria Math"/>
                  <w:i/>
                </w:rPr>
              </m:ctrlPr>
            </m:accPr>
            <m:e>
              <m:r>
                <w:rPr>
                  <w:rFonts w:ascii="Cambria Math" w:hAnsi="Cambria Math"/>
                </w:rPr>
                <m:t>Π</m:t>
              </m:r>
            </m:e>
          </m:acc>
          <m:r>
            <w:rPr>
              <w:rFonts w:ascii="Cambria Math" w:hAnsi="Cambria Math"/>
            </w:rPr>
            <m:t>=</m:t>
          </m:r>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r>
            <m:rPr>
              <m:scr m:val="script"/>
            </m:rPr>
            <w:rPr>
              <w:rFonts w:ascii="Cambria Math" w:hAnsi="Cambria Math"/>
            </w:rPr>
            <m:t>Q+</m:t>
          </m:r>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r>
            <w:rPr>
              <w:rFonts w:ascii="Cambria Math" w:hAnsi="Cambria Math"/>
            </w:rPr>
            <m:t>ϵ</m:t>
          </m:r>
        </m:oMath>
      </m:oMathPara>
    </w:p>
    <w:p w:rsidR="004B4B80" w:rsidRPr="00593E8F" w:rsidRDefault="004B4B80" w:rsidP="004B4B80">
      <w:pPr>
        <w:pStyle w:val="ListParagraph"/>
        <w:spacing w:line="360" w:lineRule="auto"/>
        <w:ind w:left="360"/>
        <w:rPr>
          <w:rFonts w:eastAsiaTheme="minorHAnsi"/>
        </w:rPr>
      </w:pPr>
    </w:p>
    <w:p w:rsidR="004B4B80" w:rsidRDefault="004B4B80" w:rsidP="004B4B80">
      <w:pPr>
        <w:pStyle w:val="ListParagraph"/>
        <w:numPr>
          <w:ilvl w:val="0"/>
          <w:numId w:val="481"/>
        </w:numPr>
        <w:spacing w:after="160" w:line="360" w:lineRule="auto"/>
      </w:pPr>
      <w:r>
        <w:rPr>
          <w:u w:val="single"/>
        </w:rPr>
        <w:t>View Covariance in Asset Space</w:t>
      </w:r>
      <w:r>
        <w:t>: The next task is to represent the above formula as a distribution. For this purpose the covariance of the random term needs to be computed. The variance of the unknown asset means about the estimated view means projected onto the asset space is calculated as follows:</w:t>
      </w:r>
    </w:p>
    <w:p w:rsidR="004B4B80" w:rsidRDefault="004B4B80" w:rsidP="004B4B80">
      <w:pPr>
        <w:pStyle w:val="ListParagraph"/>
        <w:spacing w:line="360" w:lineRule="auto"/>
        <w:ind w:left="360"/>
        <w:rPr>
          <w:u w:val="single"/>
        </w:rPr>
      </w:pPr>
    </w:p>
    <w:p w:rsidR="004B4B80" w:rsidRDefault="004B4B80" w:rsidP="004B4B80">
      <w:pPr>
        <w:pStyle w:val="ListParagraph"/>
        <w:spacing w:line="360" w:lineRule="auto"/>
        <w:ind w:left="360"/>
        <w:rPr>
          <w:rFonts w:eastAsiaTheme="minorEastAsia"/>
        </w:rPr>
      </w:pPr>
      <m:oMathPara>
        <m:oMath>
          <m:r>
            <w:rPr>
              <w:rFonts w:ascii="Cambria Math" w:hAnsi="Cambria Math"/>
            </w:rPr>
            <m:t>Variance=</m:t>
          </m:r>
          <m:r>
            <m:rPr>
              <m:scr m:val="double-struck"/>
            </m:rPr>
            <w:rPr>
              <w:rFonts w:ascii="Cambria Math" w:hAnsi="Cambria Math"/>
            </w:rPr>
            <m:t>E</m:t>
          </m:r>
          <m:d>
            <m:dPr>
              <m:begChr m:val="["/>
              <m:endChr m:val="]"/>
              <m:ctrlPr>
                <w:rPr>
                  <w:rFonts w:ascii="Cambria Math" w:eastAsiaTheme="minorHAnsi" w:hAnsi="Cambria Math"/>
                  <w:i/>
                </w:rPr>
              </m:ctrlPr>
            </m:dPr>
            <m:e>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r>
                <w:rPr>
                  <w:rFonts w:ascii="Cambria Math" w:hAnsi="Cambria Math"/>
                </w:rPr>
                <m:t>ϵ</m:t>
              </m:r>
              <m:sSup>
                <m:sSupPr>
                  <m:ctrlPr>
                    <w:rPr>
                      <w:rFonts w:ascii="Cambria Math" w:eastAsiaTheme="minorHAnsi" w:hAnsi="Cambria Math"/>
                      <w:i/>
                    </w:rPr>
                  </m:ctrlPr>
                </m:sSupPr>
                <m:e>
                  <m:r>
                    <w:rPr>
                      <w:rFonts w:ascii="Cambria Math" w:hAnsi="Cambria Math"/>
                    </w:rPr>
                    <m:t>ϵ</m:t>
                  </m:r>
                </m:e>
                <m:sup>
                  <m:r>
                    <w:rPr>
                      <w:rFonts w:ascii="Cambria Math" w:hAnsi="Cambria Math"/>
                    </w:rPr>
                    <m:t>T</m:t>
                  </m:r>
                </m:sup>
              </m:sSup>
              <m:sSup>
                <m:sSupPr>
                  <m:ctrlPr>
                    <w:rPr>
                      <w:rFonts w:ascii="Cambria Math" w:eastAsiaTheme="minorHAnsi" w:hAnsi="Cambria Math"/>
                      <w:i/>
                    </w:rPr>
                  </m:ctrlPr>
                </m:sSupPr>
                <m:e>
                  <m:d>
                    <m:dPr>
                      <m:ctrlPr>
                        <w:rPr>
                          <w:rFonts w:ascii="Cambria Math" w:eastAsiaTheme="minorHAnsi" w:hAnsi="Cambria Math"/>
                          <w:i/>
                        </w:rPr>
                      </m:ctrlPr>
                    </m:dPr>
                    <m:e>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e>
                  </m:d>
                </m:e>
                <m:sup>
                  <m:r>
                    <w:rPr>
                      <w:rFonts w:ascii="Cambria Math" w:hAnsi="Cambria Math"/>
                    </w:rPr>
                    <m:t>T</m:t>
                  </m:r>
                </m:sup>
              </m:sSup>
            </m:e>
          </m:d>
          <m:r>
            <w:rPr>
              <w:rFonts w:ascii="Cambria Math" w:hAnsi="Cambria Math"/>
            </w:rPr>
            <m:t>=</m:t>
          </m:r>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r>
            <m:rPr>
              <m:scr m:val="double-struck"/>
            </m:rPr>
            <w:rPr>
              <w:rFonts w:ascii="Cambria Math" w:hAnsi="Cambria Math"/>
            </w:rPr>
            <m:t>E</m:t>
          </m:r>
          <m:d>
            <m:dPr>
              <m:begChr m:val="["/>
              <m:endChr m:val="]"/>
              <m:ctrlPr>
                <w:rPr>
                  <w:rFonts w:ascii="Cambria Math" w:eastAsiaTheme="minorHAnsi" w:hAnsi="Cambria Math"/>
                  <w:i/>
                </w:rPr>
              </m:ctrlPr>
            </m:dPr>
            <m:e>
              <m:r>
                <w:rPr>
                  <w:rFonts w:ascii="Cambria Math" w:hAnsi="Cambria Math"/>
                </w:rPr>
                <m:t>ϵ</m:t>
              </m:r>
              <m:sSup>
                <m:sSupPr>
                  <m:ctrlPr>
                    <w:rPr>
                      <w:rFonts w:ascii="Cambria Math" w:eastAsiaTheme="minorHAnsi" w:hAnsi="Cambria Math"/>
                      <w:i/>
                    </w:rPr>
                  </m:ctrlPr>
                </m:sSupPr>
                <m:e>
                  <m:r>
                    <w:rPr>
                      <w:rFonts w:ascii="Cambria Math" w:hAnsi="Cambria Math"/>
                    </w:rPr>
                    <m:t>ϵ</m:t>
                  </m:r>
                </m:e>
                <m:sup>
                  <m:r>
                    <w:rPr>
                      <w:rFonts w:ascii="Cambria Math" w:hAnsi="Cambria Math"/>
                    </w:rPr>
                    <m:t>T</m:t>
                  </m:r>
                </m:sup>
              </m:sSup>
            </m:e>
          </m:d>
          <m:sSup>
            <m:sSupPr>
              <m:ctrlPr>
                <w:rPr>
                  <w:rFonts w:ascii="Cambria Math" w:eastAsiaTheme="minorHAnsi" w:hAnsi="Cambria Math"/>
                  <w:i/>
                </w:rPr>
              </m:ctrlPr>
            </m:sSupPr>
            <m:e>
              <m:d>
                <m:dPr>
                  <m:ctrlPr>
                    <w:rPr>
                      <w:rFonts w:ascii="Cambria Math" w:eastAsiaTheme="minorHAnsi" w:hAnsi="Cambria Math"/>
                      <w:i/>
                    </w:rPr>
                  </m:ctrlPr>
                </m:dPr>
                <m:e>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e>
              </m:d>
            </m:e>
            <m:sup>
              <m:r>
                <w:rPr>
                  <w:rFonts w:ascii="Cambria Math" w:hAnsi="Cambria Math"/>
                </w:rPr>
                <m:t>T</m:t>
              </m:r>
            </m:sup>
          </m:sSup>
          <m:r>
            <w:rPr>
              <w:rFonts w:ascii="Cambria Math" w:hAnsi="Cambria Math"/>
            </w:rPr>
            <m:t>=</m:t>
          </m:r>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r>
            <m:rPr>
              <m:sty m:val="p"/>
            </m:rPr>
            <w:rPr>
              <w:rFonts w:ascii="Cambria Math" w:hAnsi="Cambria Math"/>
            </w:rPr>
            <m:t>Ω</m:t>
          </m:r>
          <m:sSup>
            <m:sSupPr>
              <m:ctrlPr>
                <w:rPr>
                  <w:rFonts w:ascii="Cambria Math" w:eastAsiaTheme="minorHAnsi" w:hAnsi="Cambria Math"/>
                  <w:i/>
                </w:rPr>
              </m:ctrlPr>
            </m:sSupPr>
            <m:e>
              <m:d>
                <m:dPr>
                  <m:ctrlPr>
                    <w:rPr>
                      <w:rFonts w:ascii="Cambria Math" w:eastAsiaTheme="minorHAnsi" w:hAnsi="Cambria Math"/>
                      <w:i/>
                    </w:rPr>
                  </m:ctrlPr>
                </m:dPr>
                <m:e>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e>
              </m:d>
            </m:e>
            <m:sup>
              <m:r>
                <w:rPr>
                  <w:rFonts w:ascii="Cambria Math" w:hAnsi="Cambria Math"/>
                </w:rPr>
                <m:t>T</m:t>
              </m:r>
            </m:sup>
          </m:sSup>
        </m:oMath>
      </m:oMathPara>
    </w:p>
    <w:p w:rsidR="004B4B80" w:rsidRDefault="004B4B80" w:rsidP="004B4B80">
      <w:pPr>
        <w:pStyle w:val="ListParagraph"/>
        <w:spacing w:line="360" w:lineRule="auto"/>
        <w:ind w:left="360"/>
        <w:rPr>
          <w:rFonts w:eastAsiaTheme="minorEastAsia"/>
        </w:rPr>
      </w:pPr>
    </w:p>
    <w:p w:rsidR="004B4B80" w:rsidRDefault="004B4B80" w:rsidP="004B4B80">
      <w:pPr>
        <w:pStyle w:val="ListParagraph"/>
        <w:spacing w:line="360" w:lineRule="auto"/>
        <w:ind w:left="360"/>
        <w:rPr>
          <w:rFonts w:eastAsiaTheme="minorEastAsia"/>
        </w:rPr>
      </w:pPr>
      <w:r>
        <w:rPr>
          <w:rFonts w:eastAsiaTheme="minorEastAsia"/>
        </w:rPr>
        <w:t>Using</w:t>
      </w:r>
    </w:p>
    <w:p w:rsidR="004B4B80" w:rsidRDefault="004B4B80" w:rsidP="004B4B80">
      <w:pPr>
        <w:pStyle w:val="ListParagraph"/>
        <w:spacing w:line="360" w:lineRule="auto"/>
        <w:ind w:left="360"/>
        <w:rPr>
          <w:rFonts w:eastAsiaTheme="minorEastAsia"/>
        </w:rPr>
      </w:pPr>
    </w:p>
    <w:p w:rsidR="004B4B80" w:rsidRDefault="004B4B80" w:rsidP="004B4B80">
      <w:pPr>
        <w:pStyle w:val="ListParagraph"/>
        <w:spacing w:line="360" w:lineRule="auto"/>
        <w:ind w:left="360"/>
        <w:rPr>
          <w:rFonts w:eastAsiaTheme="minorEastAsia"/>
        </w:rPr>
      </w:pPr>
      <m:oMathPara>
        <m:oMath>
          <m:sSup>
            <m:sSupPr>
              <m:ctrlPr>
                <w:rPr>
                  <w:rFonts w:ascii="Cambria Math" w:eastAsiaTheme="minorHAnsi" w:hAnsi="Cambria Math"/>
                  <w:i/>
                </w:rPr>
              </m:ctrlPr>
            </m:sSupPr>
            <m:e>
              <m:d>
                <m:dPr>
                  <m:ctrlPr>
                    <w:rPr>
                      <w:rFonts w:ascii="Cambria Math" w:eastAsiaTheme="minorHAnsi" w:hAnsi="Cambria Math"/>
                      <w:i/>
                    </w:rPr>
                  </m:ctrlPr>
                </m:dPr>
                <m:e>
                  <m:sSup>
                    <m:sSupPr>
                      <m:ctrlPr>
                        <w:rPr>
                          <w:rFonts w:ascii="Cambria Math" w:eastAsiaTheme="minorHAnsi" w:hAnsi="Cambria Math"/>
                          <w:i/>
                        </w:rPr>
                      </m:ctrlPr>
                    </m:sSupPr>
                    <m:e>
                      <m:r>
                        <w:rPr>
                          <w:rFonts w:ascii="Cambria Math" w:hAnsi="Cambria Math"/>
                        </w:rPr>
                        <m:t>P</m:t>
                      </m:r>
                    </m:e>
                    <m:sup>
                      <m:r>
                        <w:rPr>
                          <w:rFonts w:ascii="Cambria Math" w:hAnsi="Cambria Math"/>
                        </w:rPr>
                        <m:t>T</m:t>
                      </m:r>
                    </m:sup>
                  </m:sSup>
                </m:e>
              </m:d>
            </m:e>
            <m:sup>
              <m:r>
                <w:rPr>
                  <w:rFonts w:ascii="Cambria Math" w:hAnsi="Cambria Math"/>
                </w:rPr>
                <m:t>-1</m:t>
              </m:r>
            </m:sup>
          </m:sSup>
          <m:r>
            <w:rPr>
              <w:rFonts w:ascii="Cambria Math" w:hAnsi="Cambria Math"/>
            </w:rPr>
            <m:t>=</m:t>
          </m:r>
          <m:sSup>
            <m:sSupPr>
              <m:ctrlPr>
                <w:rPr>
                  <w:rFonts w:ascii="Cambria Math" w:eastAsiaTheme="minorHAnsi" w:hAnsi="Cambria Math"/>
                  <w:i/>
                </w:rPr>
              </m:ctrlPr>
            </m:sSupPr>
            <m:e>
              <m:d>
                <m:dPr>
                  <m:ctrlPr>
                    <w:rPr>
                      <w:rFonts w:ascii="Cambria Math" w:eastAsiaTheme="minorHAnsi" w:hAnsi="Cambria Math"/>
                      <w:i/>
                    </w:rPr>
                  </m:ctrlPr>
                </m:dPr>
                <m:e>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e>
              </m:d>
            </m:e>
            <m:sup>
              <m:r>
                <w:rPr>
                  <w:rFonts w:ascii="Cambria Math" w:hAnsi="Cambria Math"/>
                </w:rPr>
                <m:t>T</m:t>
              </m:r>
            </m:sup>
          </m:sSup>
        </m:oMath>
      </m:oMathPara>
    </w:p>
    <w:p w:rsidR="004B4B80" w:rsidRDefault="004B4B80" w:rsidP="004B4B80">
      <w:pPr>
        <w:pStyle w:val="ListParagraph"/>
        <w:spacing w:line="360" w:lineRule="auto"/>
        <w:ind w:left="360"/>
        <w:rPr>
          <w:rFonts w:eastAsiaTheme="minorEastAsia"/>
        </w:rPr>
      </w:pPr>
    </w:p>
    <w:p w:rsidR="004B4B80" w:rsidRDefault="004B4B80" w:rsidP="004B4B80">
      <w:pPr>
        <w:pStyle w:val="ListParagraph"/>
        <w:spacing w:line="360" w:lineRule="auto"/>
        <w:ind w:left="360"/>
        <w:rPr>
          <w:rFonts w:eastAsiaTheme="minorEastAsia"/>
        </w:rPr>
      </w:pPr>
      <w:r>
        <w:rPr>
          <w:rFonts w:eastAsiaTheme="minorEastAsia"/>
        </w:rPr>
        <w:t>and</w:t>
      </w:r>
    </w:p>
    <w:p w:rsidR="004B4B80" w:rsidRDefault="004B4B80" w:rsidP="004B4B80">
      <w:pPr>
        <w:pStyle w:val="ListParagraph"/>
        <w:spacing w:line="360" w:lineRule="auto"/>
        <w:ind w:left="360"/>
        <w:rPr>
          <w:rFonts w:eastAsiaTheme="minorEastAsia"/>
        </w:rPr>
      </w:pPr>
    </w:p>
    <w:p w:rsidR="004B4B80" w:rsidRPr="00FC032A" w:rsidRDefault="004B4B80" w:rsidP="004B4B80">
      <w:pPr>
        <w:pStyle w:val="ListParagraph"/>
        <w:spacing w:line="360" w:lineRule="auto"/>
        <w:ind w:left="360"/>
        <w:rPr>
          <w:rFonts w:eastAsiaTheme="minorEastAsia"/>
        </w:rPr>
      </w:pPr>
      <m:oMathPara>
        <m:oMath>
          <m:sSup>
            <m:sSupPr>
              <m:ctrlPr>
                <w:rPr>
                  <w:rFonts w:ascii="Cambria Math" w:eastAsiaTheme="minorHAnsi" w:hAnsi="Cambria Math"/>
                  <w:i/>
                </w:rPr>
              </m:ctrlPr>
            </m:sSupPr>
            <m:e>
              <m:d>
                <m:dPr>
                  <m:ctrlPr>
                    <w:rPr>
                      <w:rFonts w:ascii="Cambria Math" w:eastAsiaTheme="minorHAnsi" w:hAnsi="Cambria Math"/>
                      <w:i/>
                    </w:rPr>
                  </m:ctrlPr>
                </m:dPr>
                <m:e>
                  <m:r>
                    <w:rPr>
                      <w:rFonts w:ascii="Cambria Math" w:hAnsi="Cambria Math"/>
                    </w:rPr>
                    <m:t>AB</m:t>
                  </m:r>
                </m:e>
              </m:d>
            </m:e>
            <m:sup>
              <m:r>
                <w:rPr>
                  <w:rFonts w:ascii="Cambria Math" w:hAnsi="Cambria Math"/>
                </w:rPr>
                <m:t>-1</m:t>
              </m:r>
            </m:sup>
          </m:sSup>
          <m:r>
            <w:rPr>
              <w:rFonts w:ascii="Cambria Math" w:hAnsi="Cambria Math"/>
            </w:rPr>
            <m:t>=</m:t>
          </m:r>
          <m:sSup>
            <m:sSupPr>
              <m:ctrlPr>
                <w:rPr>
                  <w:rFonts w:ascii="Cambria Math" w:eastAsiaTheme="minorHAnsi" w:hAnsi="Cambria Math"/>
                  <w:i/>
                </w:rPr>
              </m:ctrlPr>
            </m:sSupPr>
            <m:e>
              <m:r>
                <w:rPr>
                  <w:rFonts w:ascii="Cambria Math" w:hAnsi="Cambria Math"/>
                </w:rPr>
                <m:t>B</m:t>
              </m:r>
            </m:e>
            <m:sup>
              <m:r>
                <w:rPr>
                  <w:rFonts w:ascii="Cambria Math" w:hAnsi="Cambria Math"/>
                </w:rPr>
                <m:t>-1</m:t>
              </m:r>
            </m:sup>
          </m:sSup>
          <m:sSup>
            <m:sSupPr>
              <m:ctrlPr>
                <w:rPr>
                  <w:rFonts w:ascii="Cambria Math" w:eastAsiaTheme="minorHAnsi" w:hAnsi="Cambria Math"/>
                  <w:i/>
                </w:rPr>
              </m:ctrlPr>
            </m:sSupPr>
            <m:e>
              <m:r>
                <w:rPr>
                  <w:rFonts w:ascii="Cambria Math" w:hAnsi="Cambria Math"/>
                </w:rPr>
                <m:t>A</m:t>
              </m:r>
            </m:e>
            <m:sup>
              <m:r>
                <w:rPr>
                  <w:rFonts w:ascii="Cambria Math" w:hAnsi="Cambria Math"/>
                </w:rPr>
                <m:t>-1</m:t>
              </m:r>
            </m:sup>
          </m:sSup>
        </m:oMath>
      </m:oMathPara>
    </w:p>
    <w:p w:rsidR="004B4B80" w:rsidRDefault="004B4B80" w:rsidP="004B4B80">
      <w:pPr>
        <w:pStyle w:val="ListParagraph"/>
        <w:spacing w:line="360" w:lineRule="auto"/>
        <w:ind w:left="360"/>
        <w:rPr>
          <w:rFonts w:eastAsiaTheme="minorEastAsia"/>
        </w:rPr>
      </w:pPr>
    </w:p>
    <w:p w:rsidR="004B4B80" w:rsidRPr="00FC032A" w:rsidRDefault="004B4B80" w:rsidP="004B4B80">
      <w:pPr>
        <w:pStyle w:val="ListParagraph"/>
        <w:spacing w:line="360" w:lineRule="auto"/>
        <w:ind w:left="360"/>
        <w:rPr>
          <w:rFonts w:eastAsiaTheme="minorEastAsia"/>
        </w:rPr>
      </w:pPr>
      <m:oMathPara>
        <m:oMath>
          <m:r>
            <w:rPr>
              <w:rFonts w:ascii="Cambria Math" w:hAnsi="Cambria Math"/>
            </w:rPr>
            <m:t>Variance=</m:t>
          </m:r>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r>
            <m:rPr>
              <m:sty m:val="p"/>
            </m:rPr>
            <w:rPr>
              <w:rFonts w:ascii="Cambria Math" w:hAnsi="Cambria Math"/>
            </w:rPr>
            <m:t>Ω</m:t>
          </m:r>
          <m:sSup>
            <m:sSupPr>
              <m:ctrlPr>
                <w:rPr>
                  <w:rFonts w:ascii="Cambria Math" w:eastAsiaTheme="minorHAnsi" w:hAnsi="Cambria Math"/>
                  <w:i/>
                </w:rPr>
              </m:ctrlPr>
            </m:sSupPr>
            <m:e>
              <m:d>
                <m:dPr>
                  <m:ctrlPr>
                    <w:rPr>
                      <w:rFonts w:ascii="Cambria Math" w:eastAsiaTheme="minorHAnsi" w:hAnsi="Cambria Math"/>
                      <w:i/>
                    </w:rPr>
                  </m:ctrlPr>
                </m:dPr>
                <m:e>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e>
              </m:d>
            </m:e>
            <m:sup>
              <m:r>
                <w:rPr>
                  <w:rFonts w:ascii="Cambria Math" w:hAnsi="Cambria Math"/>
                </w:rPr>
                <m:t>T</m:t>
              </m:r>
            </m:sup>
          </m:sSup>
          <m:r>
            <w:rPr>
              <w:rFonts w:ascii="Cambria Math" w:hAnsi="Cambria Math"/>
            </w:rPr>
            <m:t>=</m:t>
          </m:r>
          <m:sSup>
            <m:sSupPr>
              <m:ctrlPr>
                <w:rPr>
                  <w:rFonts w:ascii="Cambria Math" w:eastAsiaTheme="minorHAnsi" w:hAnsi="Cambria Math"/>
                  <w:i/>
                </w:rPr>
              </m:ctrlPr>
            </m:sSupPr>
            <m:e>
              <m:r>
                <w:rPr>
                  <w:rFonts w:ascii="Cambria Math" w:hAnsi="Cambria Math"/>
                </w:rPr>
                <m:t>P</m:t>
              </m:r>
            </m:e>
            <m:sup>
              <m:r>
                <w:rPr>
                  <w:rFonts w:ascii="Cambria Math" w:hAnsi="Cambria Math"/>
                </w:rPr>
                <m:t>-1</m:t>
              </m:r>
            </m:sup>
          </m:sSup>
          <m:r>
            <m:rPr>
              <m:sty m:val="p"/>
            </m:rPr>
            <w:rPr>
              <w:rFonts w:ascii="Cambria Math" w:hAnsi="Cambria Math"/>
            </w:rPr>
            <m:t>Ω</m:t>
          </m:r>
          <m:sSup>
            <m:sSupPr>
              <m:ctrlPr>
                <w:rPr>
                  <w:rFonts w:ascii="Cambria Math" w:eastAsiaTheme="minorHAnsi" w:hAnsi="Cambria Math"/>
                  <w:i/>
                </w:rPr>
              </m:ctrlPr>
            </m:sSupPr>
            <m:e>
              <m:d>
                <m:dPr>
                  <m:ctrlPr>
                    <w:rPr>
                      <w:rFonts w:ascii="Cambria Math" w:eastAsiaTheme="minorHAnsi" w:hAnsi="Cambria Math"/>
                      <w:i/>
                    </w:rPr>
                  </m:ctrlPr>
                </m:dPr>
                <m:e>
                  <m:sSup>
                    <m:sSupPr>
                      <m:ctrlPr>
                        <w:rPr>
                          <w:rFonts w:ascii="Cambria Math" w:eastAsiaTheme="minorHAnsi" w:hAnsi="Cambria Math"/>
                          <w:i/>
                        </w:rPr>
                      </m:ctrlPr>
                    </m:sSupPr>
                    <m:e>
                      <m:r>
                        <w:rPr>
                          <w:rFonts w:ascii="Cambria Math" w:hAnsi="Cambria Math"/>
                        </w:rPr>
                        <m:t>P</m:t>
                      </m:r>
                    </m:e>
                    <m:sup>
                      <m:r>
                        <w:rPr>
                          <w:rFonts w:ascii="Cambria Math" w:hAnsi="Cambria Math"/>
                        </w:rPr>
                        <m:t>T</m:t>
                      </m:r>
                    </m:sup>
                  </m:sSup>
                </m:e>
              </m:d>
            </m:e>
            <m:sup>
              <m:r>
                <w:rPr>
                  <w:rFonts w:ascii="Cambria Math" w:hAnsi="Cambria Math"/>
                </w:rPr>
                <m:t>-1</m:t>
              </m:r>
            </m:sup>
          </m:sSup>
          <m:r>
            <w:rPr>
              <w:rFonts w:ascii="Cambria Math" w:hAnsi="Cambria Math"/>
            </w:rPr>
            <m:t>=</m:t>
          </m:r>
          <m:sSup>
            <m:sSupPr>
              <m:ctrlPr>
                <w:rPr>
                  <w:rFonts w:ascii="Cambria Math" w:eastAsiaTheme="minorHAnsi" w:hAnsi="Cambria Math"/>
                  <w:i/>
                </w:rPr>
              </m:ctrlPr>
            </m:sSupPr>
            <m:e>
              <m:d>
                <m:dPr>
                  <m:ctrlPr>
                    <w:rPr>
                      <w:rFonts w:ascii="Cambria Math" w:eastAsiaTheme="minorHAnsi" w:hAnsi="Cambria Math"/>
                      <w:i/>
                    </w:rPr>
                  </m:ctrlPr>
                </m:dPr>
                <m:e>
                  <m:sSup>
                    <m:sSupPr>
                      <m:ctrlPr>
                        <w:rPr>
                          <w:rFonts w:ascii="Cambria Math" w:eastAsiaTheme="minorHAnsi" w:hAnsi="Cambria Math"/>
                          <w:i/>
                        </w:rPr>
                      </m:ctrlPr>
                    </m:sSupPr>
                    <m:e>
                      <m:r>
                        <w:rPr>
                          <w:rFonts w:ascii="Cambria Math" w:hAnsi="Cambria Math"/>
                        </w:rPr>
                        <m:t>P</m:t>
                      </m:r>
                    </m:e>
                    <m:sup>
                      <m:r>
                        <w:rPr>
                          <w:rFonts w:ascii="Cambria Math" w:hAnsi="Cambria Math"/>
                        </w:rPr>
                        <m:t>T</m:t>
                      </m:r>
                    </m:sup>
                  </m:sSup>
                  <m:sSup>
                    <m:sSupPr>
                      <m:ctrlPr>
                        <w:rPr>
                          <w:rFonts w:ascii="Cambria Math" w:eastAsiaTheme="minorHAnsi"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P</m:t>
                  </m:r>
                </m:e>
              </m:d>
            </m:e>
            <m:sup>
              <m:r>
                <w:rPr>
                  <w:rFonts w:ascii="Cambria Math" w:hAnsi="Cambria Math"/>
                </w:rPr>
                <m:t>-1</m:t>
              </m:r>
            </m:sup>
          </m:sSup>
        </m:oMath>
      </m:oMathPara>
    </w:p>
    <w:p w:rsidR="004B4B80" w:rsidRPr="007E6E3E" w:rsidRDefault="004B4B80" w:rsidP="004B4B80">
      <w:pPr>
        <w:pStyle w:val="ListParagraph"/>
        <w:spacing w:line="360" w:lineRule="auto"/>
        <w:ind w:left="360"/>
        <w:rPr>
          <w:rFonts w:eastAsiaTheme="minorHAnsi"/>
        </w:rPr>
      </w:pPr>
    </w:p>
    <w:p w:rsidR="004B4B80" w:rsidRDefault="004B4B80" w:rsidP="004B4B80">
      <w:pPr>
        <w:pStyle w:val="ListParagraph"/>
        <w:numPr>
          <w:ilvl w:val="0"/>
          <w:numId w:val="481"/>
        </w:numPr>
        <w:spacing w:after="160" w:line="360" w:lineRule="auto"/>
      </w:pPr>
      <w:r>
        <w:rPr>
          <w:u w:val="single"/>
        </w:rPr>
        <w:t>Consolidated Asset Space View Projection</w:t>
      </w:r>
      <w:r>
        <w:t>: Thus one arrives at the projection of the views onto the asset space as</w:t>
      </w:r>
    </w:p>
    <w:p w:rsidR="004B4B80" w:rsidRDefault="004B4B80" w:rsidP="004B4B80">
      <w:pPr>
        <w:pStyle w:val="ListParagraph"/>
        <w:spacing w:line="360" w:lineRule="auto"/>
        <w:ind w:left="360"/>
        <w:rPr>
          <w:u w:val="single"/>
        </w:rPr>
      </w:pPr>
    </w:p>
    <w:p w:rsidR="004B4B80" w:rsidRDefault="004B4B80" w:rsidP="004B4B80">
      <w:pPr>
        <w:pStyle w:val="ListParagraph"/>
        <w:spacing w:line="360" w:lineRule="auto"/>
        <w:ind w:left="360"/>
        <w:rPr>
          <w:rFonts w:eastAsiaTheme="minorEastAsia"/>
        </w:rPr>
      </w:pPr>
      <m:oMathPara>
        <m:oMath>
          <m:acc>
            <m:accPr>
              <m:ctrlPr>
                <w:rPr>
                  <w:rFonts w:ascii="Cambria Math" w:eastAsiaTheme="minorHAnsi" w:hAnsi="Cambria Math"/>
                  <w:i/>
                </w:rPr>
              </m:ctrlPr>
            </m:accPr>
            <m:e>
              <m:r>
                <w:rPr>
                  <w:rFonts w:ascii="Cambria Math" w:hAnsi="Cambria Math"/>
                </w:rPr>
                <m:t>Π</m:t>
              </m:r>
            </m:e>
          </m:acc>
          <m:r>
            <m:rPr>
              <m:scr m:val="script"/>
            </m:rPr>
            <w:rPr>
              <w:rFonts w:ascii="Cambria Math" w:hAnsi="Cambria Math"/>
            </w:rPr>
            <m:t>~N</m:t>
          </m:r>
          <m:d>
            <m:dPr>
              <m:ctrlPr>
                <w:rPr>
                  <w:rFonts w:ascii="Cambria Math" w:eastAsiaTheme="minorHAnsi" w:hAnsi="Cambria Math"/>
                  <w:i/>
                </w:rPr>
              </m:ctrlPr>
            </m:dPr>
            <m:e>
              <m:sSup>
                <m:sSupPr>
                  <m:ctrlPr>
                    <w:rPr>
                      <w:rFonts w:ascii="Cambria Math" w:eastAsiaTheme="minorHAnsi" w:hAnsi="Cambria Math"/>
                      <w:i/>
                    </w:rPr>
                  </m:ctrlPr>
                </m:sSupPr>
                <m:e>
                  <m:r>
                    <m:rPr>
                      <m:scr m:val="double-struck"/>
                    </m:rPr>
                    <w:rPr>
                      <w:rFonts w:ascii="Cambria Math" w:hAnsi="Cambria Math"/>
                    </w:rPr>
                    <m:t>P</m:t>
                  </m:r>
                </m:e>
                <m:sup>
                  <m:r>
                    <w:rPr>
                      <w:rFonts w:ascii="Cambria Math" w:hAnsi="Cambria Math"/>
                    </w:rPr>
                    <m:t>-1</m:t>
                  </m:r>
                </m:sup>
              </m:sSup>
              <m:r>
                <m:rPr>
                  <m:scr m:val="double-struck"/>
                </m:rPr>
                <w:rPr>
                  <w:rFonts w:ascii="Cambria Math" w:hAnsi="Cambria Math"/>
                </w:rPr>
                <m:t xml:space="preserve">Q, </m:t>
              </m:r>
              <m:d>
                <m:dPr>
                  <m:begChr m:val="["/>
                  <m:endChr m:val="]"/>
                  <m:ctrlPr>
                    <w:rPr>
                      <w:rFonts w:ascii="Cambria Math" w:eastAsiaTheme="minorHAnsi" w:hAnsi="Cambria Math"/>
                      <w:i/>
                    </w:rPr>
                  </m:ctrlPr>
                </m:dPr>
                <m:e>
                  <m:sSup>
                    <m:sSupPr>
                      <m:ctrlPr>
                        <w:rPr>
                          <w:rFonts w:ascii="Cambria Math" w:eastAsiaTheme="minorHAnsi" w:hAnsi="Cambria Math"/>
                          <w:i/>
                        </w:rPr>
                      </m:ctrlPr>
                    </m:sSupPr>
                    <m:e>
                      <m:r>
                        <m:rPr>
                          <m:scr m:val="double-struck"/>
                        </m:rPr>
                        <w:rPr>
                          <w:rFonts w:ascii="Cambria Math" w:hAnsi="Cambria Math"/>
                        </w:rPr>
                        <m:t>P</m:t>
                      </m:r>
                    </m:e>
                    <m:sup>
                      <m:r>
                        <w:rPr>
                          <w:rFonts w:ascii="Cambria Math" w:hAnsi="Cambria Math"/>
                        </w:rPr>
                        <m:t>T</m:t>
                      </m:r>
                    </m:sup>
                  </m:sSup>
                  <m:sSup>
                    <m:sSupPr>
                      <m:ctrlPr>
                        <w:rPr>
                          <w:rFonts w:ascii="Cambria Math" w:eastAsiaTheme="minorHAnsi" w:hAnsi="Cambria Math"/>
                        </w:rPr>
                      </m:ctrlPr>
                    </m:sSupPr>
                    <m:e>
                      <m:r>
                        <m:rPr>
                          <m:sty m:val="p"/>
                        </m:rPr>
                        <w:rPr>
                          <w:rFonts w:ascii="Cambria Math" w:hAnsi="Cambria Math"/>
                        </w:rPr>
                        <m:t>Ω</m:t>
                      </m:r>
                    </m:e>
                    <m:sup>
                      <m:r>
                        <w:rPr>
                          <w:rFonts w:ascii="Cambria Math" w:hAnsi="Cambria Math"/>
                        </w:rPr>
                        <m:t>-1</m:t>
                      </m:r>
                    </m:sup>
                  </m:sSup>
                  <m:r>
                    <m:rPr>
                      <m:scr m:val="double-struck"/>
                    </m:rPr>
                    <w:rPr>
                      <w:rFonts w:ascii="Cambria Math" w:hAnsi="Cambria Math"/>
                    </w:rPr>
                    <m:t>P</m:t>
                  </m:r>
                </m:e>
              </m:d>
            </m:e>
          </m:d>
        </m:oMath>
      </m:oMathPara>
    </w:p>
    <w:p w:rsidR="004B4B80" w:rsidRDefault="004B4B80" w:rsidP="004B4B80">
      <w:pPr>
        <w:pStyle w:val="ListParagraph"/>
        <w:spacing w:line="360" w:lineRule="auto"/>
        <w:ind w:left="360"/>
        <w:rPr>
          <w:rFonts w:eastAsiaTheme="minorEastAsia"/>
        </w:rPr>
      </w:pPr>
    </w:p>
    <w:p w:rsidR="004B4B80" w:rsidRPr="00696064" w:rsidRDefault="004B4B80" w:rsidP="004B4B80">
      <w:pPr>
        <w:pStyle w:val="ListParagraph"/>
        <w:spacing w:line="360" w:lineRule="auto"/>
        <w:ind w:left="360"/>
      </w:pPr>
      <w:r>
        <w:t>The covariance term here is the covariance of the unknown mean returns about the estimated returns from the views, not the covariance of the expected returns.</w:t>
      </w:r>
    </w:p>
    <w:p w:rsidR="00F33858" w:rsidRDefault="00F33858" w:rsidP="00F33858">
      <w:pPr>
        <w:spacing w:line="360" w:lineRule="auto"/>
      </w:pPr>
      <w:bookmarkStart w:id="1" w:name="_GoBack"/>
      <w:bookmarkEnd w:id="1"/>
    </w:p>
    <w:p w:rsidR="00F33858" w:rsidRDefault="00F33858" w:rsidP="00F33858">
      <w:pPr>
        <w:spacing w:line="360" w:lineRule="auto"/>
      </w:pPr>
    </w:p>
    <w:p w:rsidR="00F33858" w:rsidRDefault="00F33858" w:rsidP="00F33858">
      <w:pPr>
        <w:spacing w:line="360" w:lineRule="auto"/>
        <w:rPr>
          <w:b/>
          <w:sz w:val="28"/>
          <w:szCs w:val="28"/>
        </w:rPr>
      </w:pPr>
      <w:r>
        <w:rPr>
          <w:b/>
          <w:sz w:val="28"/>
          <w:szCs w:val="28"/>
        </w:rPr>
        <w:t>References</w:t>
      </w:r>
    </w:p>
    <w:p w:rsidR="00F33858" w:rsidRDefault="00F33858" w:rsidP="00F33858">
      <w:pPr>
        <w:tabs>
          <w:tab w:val="left" w:pos="7800"/>
        </w:tabs>
        <w:spacing w:line="360" w:lineRule="auto"/>
      </w:pPr>
      <w:r>
        <w:tab/>
      </w:r>
    </w:p>
    <w:p w:rsidR="00F33858" w:rsidRDefault="00F33858" w:rsidP="00F33858">
      <w:pPr>
        <w:pStyle w:val="ListParagraph"/>
        <w:numPr>
          <w:ilvl w:val="0"/>
          <w:numId w:val="373"/>
        </w:numPr>
        <w:spacing w:after="160" w:line="360" w:lineRule="auto"/>
      </w:pPr>
      <w:r>
        <w:t>Beach, S., and A. Orlov (2007</w:t>
      </w:r>
      <w:r w:rsidRPr="00CC4B1D">
        <w:t>)</w:t>
      </w:r>
      <w:r>
        <w:t xml:space="preserve">: An Application of the Black-Litterman Model with EGARCH-M-Derived Views for International Portfolio Management </w:t>
      </w:r>
      <w:r>
        <w:rPr>
          <w:i/>
        </w:rPr>
        <w:t>Financial Markets and Portfolio Management</w:t>
      </w:r>
      <w:r>
        <w:t xml:space="preserve"> </w:t>
      </w:r>
      <w:r>
        <w:rPr>
          <w:b/>
        </w:rPr>
        <w:t>21 (2)</w:t>
      </w:r>
      <w:r>
        <w:t xml:space="preserve"> 147-166.</w:t>
      </w:r>
    </w:p>
    <w:p w:rsidR="00F33858" w:rsidRPr="00DB1D42" w:rsidRDefault="00F33858" w:rsidP="00F33858">
      <w:pPr>
        <w:pStyle w:val="ListParagraph"/>
        <w:numPr>
          <w:ilvl w:val="0"/>
          <w:numId w:val="373"/>
        </w:numPr>
        <w:spacing w:after="160" w:line="360" w:lineRule="auto"/>
      </w:pPr>
      <w:r>
        <w:t>Bertsimas, Gupta, and Pascha</w:t>
      </w:r>
      <w:r w:rsidRPr="00DB1D42">
        <w:t>lidis (2012)</w:t>
      </w:r>
      <w:r>
        <w:t xml:space="preserve">: Inverse Optimization: A New Perspective on the Black-Litterman Model </w:t>
      </w:r>
      <w:r>
        <w:rPr>
          <w:i/>
        </w:rPr>
        <w:t>Operations Research</w:t>
      </w:r>
      <w:r>
        <w:t xml:space="preserve"> </w:t>
      </w:r>
      <w:r>
        <w:rPr>
          <w:b/>
        </w:rPr>
        <w:t>60 (6)</w:t>
      </w:r>
      <w:r>
        <w:t xml:space="preserve"> 1389-1403.</w:t>
      </w:r>
    </w:p>
    <w:p w:rsidR="00F33858" w:rsidRDefault="00F33858" w:rsidP="00F33858">
      <w:pPr>
        <w:pStyle w:val="ListParagraph"/>
        <w:numPr>
          <w:ilvl w:val="0"/>
          <w:numId w:val="373"/>
        </w:numPr>
        <w:spacing w:after="160" w:line="360" w:lineRule="auto"/>
      </w:pPr>
      <w:r>
        <w:t xml:space="preserve">Bevan, A., and K. Winkelmann (1998): Using the Black-Litterman Global Asset Allocation Model: Three Years of Practical Experience </w:t>
      </w:r>
      <w:r>
        <w:rPr>
          <w:b/>
        </w:rPr>
        <w:t>Goldman Sachs Fixed Income Research Note</w:t>
      </w:r>
      <w:r>
        <w:t>.</w:t>
      </w:r>
    </w:p>
    <w:p w:rsidR="00F33858" w:rsidRDefault="00F33858" w:rsidP="00F33858">
      <w:pPr>
        <w:pStyle w:val="ListParagraph"/>
        <w:numPr>
          <w:ilvl w:val="0"/>
          <w:numId w:val="373"/>
        </w:numPr>
        <w:spacing w:after="160" w:line="360" w:lineRule="auto"/>
      </w:pPr>
      <w:r>
        <w:t xml:space="preserve">Black, F., and R. Litterman (1990): Global Asset Allocation in Equities, Bonds, and Currencies </w:t>
      </w:r>
      <w:r>
        <w:rPr>
          <w:b/>
        </w:rPr>
        <w:t>Goldman Sachs Fixed Income Research Note</w:t>
      </w:r>
      <w:r>
        <w:t>.</w:t>
      </w:r>
    </w:p>
    <w:p w:rsidR="00F33858" w:rsidRDefault="00F33858" w:rsidP="00F33858">
      <w:pPr>
        <w:pStyle w:val="ListParagraph"/>
        <w:numPr>
          <w:ilvl w:val="0"/>
          <w:numId w:val="373"/>
        </w:numPr>
        <w:spacing w:after="160" w:line="360" w:lineRule="auto"/>
      </w:pPr>
      <w:r>
        <w:t xml:space="preserve">Black, F., and R. Litterman (1991a): Global Portfolio Optimization </w:t>
      </w:r>
      <w:r>
        <w:rPr>
          <w:i/>
        </w:rPr>
        <w:t>Journal of Fixed Income</w:t>
      </w:r>
      <w:r>
        <w:t xml:space="preserve"> </w:t>
      </w:r>
      <w:r>
        <w:rPr>
          <w:b/>
        </w:rPr>
        <w:t>1 (2)</w:t>
      </w:r>
      <w:r>
        <w:t xml:space="preserve"> 7-18.</w:t>
      </w:r>
    </w:p>
    <w:p w:rsidR="00F33858" w:rsidRDefault="00F33858" w:rsidP="00F33858">
      <w:pPr>
        <w:pStyle w:val="ListParagraph"/>
        <w:numPr>
          <w:ilvl w:val="0"/>
          <w:numId w:val="373"/>
        </w:numPr>
        <w:spacing w:after="160" w:line="360" w:lineRule="auto"/>
      </w:pPr>
      <w:r>
        <w:lastRenderedPageBreak/>
        <w:t xml:space="preserve">Black, F., and R. Litterman (1991a): Global Portfolio Optimization </w:t>
      </w:r>
      <w:r>
        <w:rPr>
          <w:i/>
        </w:rPr>
        <w:t>Financial Analysis Journal</w:t>
      </w:r>
      <w:r>
        <w:t xml:space="preserve"> 28-43.</w:t>
      </w:r>
    </w:p>
    <w:p w:rsidR="00F33858" w:rsidRDefault="00F33858" w:rsidP="00F33858">
      <w:pPr>
        <w:pStyle w:val="ListParagraph"/>
        <w:numPr>
          <w:ilvl w:val="0"/>
          <w:numId w:val="373"/>
        </w:numPr>
        <w:spacing w:after="160" w:line="360" w:lineRule="auto"/>
      </w:pPr>
      <w:r w:rsidRPr="00E35669">
        <w:t>Braga, M. D., and F. P. Natale (2007)</w:t>
      </w:r>
      <w:r>
        <w:t xml:space="preserve">: </w:t>
      </w:r>
      <w:hyperlink r:id="rId191" w:history="1">
        <w:r w:rsidRPr="00E35669">
          <w:rPr>
            <w:rStyle w:val="Hyperlink"/>
          </w:rPr>
          <w:t>TEV Sensitivity to Views in the Black-Litterman Model</w:t>
        </w:r>
      </w:hyperlink>
      <w:r>
        <w:t xml:space="preserve"> </w:t>
      </w:r>
      <w:r w:rsidRPr="00E35669">
        <w:rPr>
          <w:b/>
        </w:rPr>
        <w:t>eSSRN</w:t>
      </w:r>
      <w:r>
        <w:t>.</w:t>
      </w:r>
    </w:p>
    <w:p w:rsidR="00F33858" w:rsidRPr="00E35669" w:rsidRDefault="00F33858" w:rsidP="00F33858">
      <w:pPr>
        <w:pStyle w:val="ListParagraph"/>
        <w:numPr>
          <w:ilvl w:val="0"/>
          <w:numId w:val="373"/>
        </w:numPr>
        <w:spacing w:after="160" w:line="360" w:lineRule="auto"/>
      </w:pPr>
      <w:r w:rsidRPr="00E35669">
        <w:t>Cheung (2009)</w:t>
      </w:r>
      <w:r>
        <w:t xml:space="preserve">: </w:t>
      </w:r>
      <w:hyperlink r:id="rId192" w:history="1">
        <w:r w:rsidRPr="00E35669">
          <w:rPr>
            <w:rStyle w:val="Hyperlink"/>
          </w:rPr>
          <w:t>Transparent Augmented Black-Litterman Allocation: Simple and Unified Framework for Strategy Combination, Factor Mimicking, Hedging, and Stock-Specific Alphas</w:t>
        </w:r>
      </w:hyperlink>
      <w:r>
        <w:t xml:space="preserve"> </w:t>
      </w:r>
      <w:r w:rsidRPr="00E35669">
        <w:rPr>
          <w:b/>
        </w:rPr>
        <w:t>eSSRN</w:t>
      </w:r>
      <w:r>
        <w:t>.</w:t>
      </w:r>
    </w:p>
    <w:p w:rsidR="00F33858" w:rsidRDefault="00F33858" w:rsidP="00F33858">
      <w:pPr>
        <w:pStyle w:val="ListParagraph"/>
        <w:numPr>
          <w:ilvl w:val="0"/>
          <w:numId w:val="373"/>
        </w:numPr>
        <w:spacing w:after="160" w:line="360" w:lineRule="auto"/>
      </w:pPr>
      <w:r w:rsidRPr="00E35669">
        <w:t>Christodoulakis (2002)</w:t>
      </w:r>
      <w:r w:rsidRPr="00E35669">
        <w:rPr>
          <w:b/>
        </w:rPr>
        <w:t>:</w:t>
      </w:r>
      <w:r>
        <w:t xml:space="preserve"> </w:t>
      </w:r>
      <w:hyperlink r:id="rId193" w:history="1">
        <w:r w:rsidRPr="00E35669">
          <w:rPr>
            <w:rStyle w:val="Hyperlink"/>
          </w:rPr>
          <w:t>Bayesian Optimal Portfolio Selection: The Black-Litterman Approach</w:t>
        </w:r>
      </w:hyperlink>
      <w:r>
        <w:t>.</w:t>
      </w:r>
    </w:p>
    <w:p w:rsidR="00F33858" w:rsidRPr="00E35669" w:rsidRDefault="00F33858" w:rsidP="00F33858">
      <w:pPr>
        <w:pStyle w:val="ListParagraph"/>
        <w:numPr>
          <w:ilvl w:val="0"/>
          <w:numId w:val="373"/>
        </w:numPr>
        <w:spacing w:after="160" w:line="360" w:lineRule="auto"/>
      </w:pPr>
      <w:r w:rsidRPr="00E35669">
        <w:t>Drobetz</w:t>
      </w:r>
      <w:r>
        <w:t>, W.</w:t>
      </w:r>
      <w:r w:rsidRPr="00E35669">
        <w:t xml:space="preserve"> (2001)</w:t>
      </w:r>
      <w:r>
        <w:t xml:space="preserve">: How to avoid the Pitfalls in Portfolio Optimization? Putting the Black-Litterman Approach at Work </w:t>
      </w:r>
      <w:r>
        <w:rPr>
          <w:i/>
        </w:rPr>
        <w:t>Financial Markets and Portfolio Management</w:t>
      </w:r>
      <w:r>
        <w:t xml:space="preserve"> </w:t>
      </w:r>
      <w:r>
        <w:rPr>
          <w:b/>
        </w:rPr>
        <w:t>15 (1)</w:t>
      </w:r>
      <w:r>
        <w:t xml:space="preserve"> 59-75.</w:t>
      </w:r>
    </w:p>
    <w:p w:rsidR="00F33858" w:rsidRPr="00643C7D" w:rsidRDefault="00F33858" w:rsidP="00F33858">
      <w:pPr>
        <w:pStyle w:val="ListParagraph"/>
        <w:numPr>
          <w:ilvl w:val="0"/>
          <w:numId w:val="373"/>
        </w:numPr>
        <w:spacing w:after="160" w:line="360" w:lineRule="auto"/>
      </w:pPr>
      <w:r w:rsidRPr="00643C7D">
        <w:t>Firoozye</w:t>
      </w:r>
      <w:r>
        <w:t xml:space="preserve">, N., </w:t>
      </w:r>
      <w:r w:rsidRPr="00643C7D">
        <w:t xml:space="preserve">and </w:t>
      </w:r>
      <w:r>
        <w:t>D. Blamont</w:t>
      </w:r>
      <w:r w:rsidRPr="00643C7D">
        <w:t xml:space="preserve"> (2003)</w:t>
      </w:r>
      <w:r>
        <w:t xml:space="preserve">: Bayesian Allocation Strategy: Black-Litterman </w:t>
      </w:r>
      <w:r>
        <w:rPr>
          <w:b/>
        </w:rPr>
        <w:t>Quantitative Strategy, Deutsche Bank Fixed Income Weekly</w:t>
      </w:r>
      <w:r>
        <w:t>.</w:t>
      </w:r>
    </w:p>
    <w:p w:rsidR="00F33858" w:rsidRDefault="00F33858" w:rsidP="00F33858">
      <w:pPr>
        <w:pStyle w:val="ListParagraph"/>
        <w:numPr>
          <w:ilvl w:val="0"/>
          <w:numId w:val="373"/>
        </w:numPr>
        <w:spacing w:after="160" w:line="360" w:lineRule="auto"/>
      </w:pPr>
      <w:r>
        <w:t xml:space="preserve">Frost, P., and J. Savarino (1986): Am Empirical Bayes Approach to Efficient Frontier Selection </w:t>
      </w:r>
      <w:r>
        <w:rPr>
          <w:i/>
        </w:rPr>
        <w:t>Journal of Financial and Quantitative Analysis</w:t>
      </w:r>
      <w:r>
        <w:t xml:space="preserve"> </w:t>
      </w:r>
      <w:r>
        <w:rPr>
          <w:b/>
        </w:rPr>
        <w:t>21 (3)</w:t>
      </w:r>
      <w:r>
        <w:t>.</w:t>
      </w:r>
    </w:p>
    <w:p w:rsidR="00F33858" w:rsidRDefault="00F33858" w:rsidP="00F33858">
      <w:pPr>
        <w:pStyle w:val="ListParagraph"/>
        <w:numPr>
          <w:ilvl w:val="0"/>
          <w:numId w:val="373"/>
        </w:numPr>
        <w:spacing w:after="160" w:line="360" w:lineRule="auto"/>
      </w:pPr>
      <w:r>
        <w:t xml:space="preserve">Giacometti, R., M. Bertocci, S. T. Rachev, and F. J. Fabozzi (2007): Stable Distributions in the Black-Litterman Approach to Asset Allocation </w:t>
      </w:r>
      <w:r>
        <w:rPr>
          <w:i/>
        </w:rPr>
        <w:t>Quantitative Finance</w:t>
      </w:r>
      <w:r>
        <w:t xml:space="preserve"> </w:t>
      </w:r>
      <w:r>
        <w:rPr>
          <w:b/>
        </w:rPr>
        <w:t>7 (4)</w:t>
      </w:r>
      <w:r>
        <w:t xml:space="preserve"> 423-433.</w:t>
      </w:r>
    </w:p>
    <w:p w:rsidR="00F33858" w:rsidRDefault="00F33858" w:rsidP="00F33858">
      <w:pPr>
        <w:pStyle w:val="ListParagraph"/>
        <w:numPr>
          <w:ilvl w:val="0"/>
          <w:numId w:val="373"/>
        </w:numPr>
        <w:spacing w:after="160" w:line="360" w:lineRule="auto"/>
      </w:pPr>
      <w:r>
        <w:t xml:space="preserve">He, G., and R. Litterman (1999): The Intuition behind the Black-Litterman Model Portfolios </w:t>
      </w:r>
      <w:r>
        <w:rPr>
          <w:b/>
        </w:rPr>
        <w:t>Goldman Sachs Asset Management</w:t>
      </w:r>
      <w:r>
        <w:t>.</w:t>
      </w:r>
    </w:p>
    <w:p w:rsidR="00F33858" w:rsidRDefault="00F33858" w:rsidP="00F33858">
      <w:pPr>
        <w:pStyle w:val="ListParagraph"/>
        <w:numPr>
          <w:ilvl w:val="0"/>
          <w:numId w:val="373"/>
        </w:numPr>
        <w:spacing w:after="160" w:line="360" w:lineRule="auto"/>
      </w:pPr>
      <w:r>
        <w:t xml:space="preserve">Herold, U. (2003): Portfolio Construction with Qualitative Forecasts </w:t>
      </w:r>
      <w:r>
        <w:rPr>
          <w:i/>
        </w:rPr>
        <w:t>Journal of Portfolio Management</w:t>
      </w:r>
      <w:r>
        <w:t xml:space="preserve"> 61-72.</w:t>
      </w:r>
    </w:p>
    <w:p w:rsidR="00F33858" w:rsidRDefault="00F33858" w:rsidP="00F33858">
      <w:pPr>
        <w:pStyle w:val="ListParagraph"/>
        <w:numPr>
          <w:ilvl w:val="0"/>
          <w:numId w:val="373"/>
        </w:numPr>
        <w:spacing w:after="160" w:line="360" w:lineRule="auto"/>
      </w:pPr>
      <w:r w:rsidRPr="00932E3D">
        <w:rPr>
          <w:b/>
          <w:i/>
        </w:rPr>
        <w:t>Idzorek (2005)</w:t>
      </w:r>
      <w:r>
        <w:t xml:space="preserve">: </w:t>
      </w:r>
      <w:hyperlink r:id="rId194" w:history="1">
        <w:r w:rsidRPr="00643C7D">
          <w:rPr>
            <w:rStyle w:val="Hyperlink"/>
          </w:rPr>
          <w:t>A Step-by-step Guide to the Black-Litterman Model, incorporating User-Specified Confidence Levels</w:t>
        </w:r>
      </w:hyperlink>
      <w:r>
        <w:t>.</w:t>
      </w:r>
    </w:p>
    <w:p w:rsidR="00F33858" w:rsidRDefault="00F33858" w:rsidP="00F33858">
      <w:pPr>
        <w:pStyle w:val="ListParagraph"/>
        <w:numPr>
          <w:ilvl w:val="0"/>
          <w:numId w:val="373"/>
        </w:numPr>
        <w:spacing w:after="160" w:line="360" w:lineRule="auto"/>
      </w:pPr>
      <w:r>
        <w:t xml:space="preserve">Jorion, P. (1986): Bayes-Stein Estimation for Portfolio Analysis </w:t>
      </w:r>
      <w:r>
        <w:rPr>
          <w:i/>
        </w:rPr>
        <w:t>Journal of Financial and Quantitative Analysis</w:t>
      </w:r>
      <w:r>
        <w:t xml:space="preserve"> </w:t>
      </w:r>
      <w:r>
        <w:rPr>
          <w:b/>
        </w:rPr>
        <w:t>21</w:t>
      </w:r>
      <w:r>
        <w:t xml:space="preserve"> 279-292.</w:t>
      </w:r>
    </w:p>
    <w:p w:rsidR="00F33858" w:rsidRDefault="00F33858" w:rsidP="00F33858">
      <w:pPr>
        <w:pStyle w:val="ListParagraph"/>
        <w:numPr>
          <w:ilvl w:val="0"/>
          <w:numId w:val="373"/>
        </w:numPr>
        <w:spacing w:after="160" w:line="360" w:lineRule="auto"/>
      </w:pPr>
      <w:r w:rsidRPr="00643C7D">
        <w:t>Koch (200</w:t>
      </w:r>
      <w:r>
        <w:t>8</w:t>
      </w:r>
      <w:r w:rsidRPr="00643C7D">
        <w:t>)</w:t>
      </w:r>
      <w:r>
        <w:t xml:space="preserve">: </w:t>
      </w:r>
      <w:hyperlink r:id="rId195" w:history="1">
        <w:r w:rsidRPr="00643C7D">
          <w:rPr>
            <w:rStyle w:val="Hyperlink"/>
          </w:rPr>
          <w:t>Consistent Asset Returns Estimates – The Black-Litterman Approach</w:t>
        </w:r>
      </w:hyperlink>
      <w:r>
        <w:t>.</w:t>
      </w:r>
    </w:p>
    <w:p w:rsidR="00F33858" w:rsidRPr="00311EC2" w:rsidRDefault="00F33858" w:rsidP="00F33858">
      <w:pPr>
        <w:pStyle w:val="ListParagraph"/>
        <w:numPr>
          <w:ilvl w:val="0"/>
          <w:numId w:val="373"/>
        </w:numPr>
        <w:spacing w:after="160" w:line="360" w:lineRule="auto"/>
      </w:pPr>
      <w:r w:rsidRPr="00311EC2">
        <w:t xml:space="preserve">Krishnan, H., and </w:t>
      </w:r>
      <w:r>
        <w:t xml:space="preserve">N. Mains (2005): The Two-Factor Black-Litterman Model </w:t>
      </w:r>
      <w:r>
        <w:rPr>
          <w:i/>
        </w:rPr>
        <w:t>Risk Magazine</w:t>
      </w:r>
      <w:r>
        <w:t>.</w:t>
      </w:r>
    </w:p>
    <w:p w:rsidR="00F33858" w:rsidRDefault="00F33858" w:rsidP="00F33858">
      <w:pPr>
        <w:pStyle w:val="ListParagraph"/>
        <w:numPr>
          <w:ilvl w:val="0"/>
          <w:numId w:val="373"/>
        </w:numPr>
        <w:spacing w:after="160" w:line="360" w:lineRule="auto"/>
      </w:pPr>
      <w:r>
        <w:t xml:space="preserve">Litterman, R. </w:t>
      </w:r>
      <w:r w:rsidRPr="00643C7D">
        <w:t>(2003)</w:t>
      </w:r>
      <w:r>
        <w:t xml:space="preserve">: </w:t>
      </w:r>
      <w:r w:rsidRPr="00E61B7B">
        <w:rPr>
          <w:i/>
        </w:rPr>
        <w:t>Modern Investment Management: An Equilibrium Approach</w:t>
      </w:r>
      <w:r>
        <w:t xml:space="preserve"> </w:t>
      </w:r>
      <w:r w:rsidRPr="00E61B7B">
        <w:rPr>
          <w:b/>
        </w:rPr>
        <w:t>Wile</w:t>
      </w:r>
      <w:r>
        <w:rPr>
          <w:b/>
        </w:rPr>
        <w:t>y Finance</w:t>
      </w:r>
      <w:r>
        <w:t>.</w:t>
      </w:r>
    </w:p>
    <w:p w:rsidR="00F33858" w:rsidRDefault="00F33858" w:rsidP="00F33858">
      <w:pPr>
        <w:pStyle w:val="ListParagraph"/>
        <w:numPr>
          <w:ilvl w:val="0"/>
          <w:numId w:val="373"/>
        </w:numPr>
        <w:spacing w:after="160" w:line="360" w:lineRule="auto"/>
      </w:pPr>
      <w:r w:rsidRPr="00E61B7B">
        <w:lastRenderedPageBreak/>
        <w:t>Mankert, C. (2006)</w:t>
      </w:r>
      <w:r>
        <w:t xml:space="preserve">: </w:t>
      </w:r>
      <w:r w:rsidRPr="00E61B7B">
        <w:rPr>
          <w:i/>
        </w:rPr>
        <w:t>The Black-Litterman Model – Mathematical and Behavioral Finance Approaches towards its Use in Practice</w:t>
      </w:r>
      <w:r>
        <w:t xml:space="preserve"> </w:t>
      </w:r>
      <w:r>
        <w:rPr>
          <w:b/>
        </w:rPr>
        <w:t>Licentiate Thesis, Royal Institute of Technology</w:t>
      </w:r>
      <w:r>
        <w:t>.</w:t>
      </w:r>
    </w:p>
    <w:p w:rsidR="00F33858" w:rsidRDefault="00F33858" w:rsidP="00F33858">
      <w:pPr>
        <w:pStyle w:val="ListParagraph"/>
        <w:numPr>
          <w:ilvl w:val="0"/>
          <w:numId w:val="373"/>
        </w:numPr>
        <w:spacing w:after="160" w:line="360" w:lineRule="auto"/>
      </w:pPr>
      <w:r>
        <w:t xml:space="preserve">Martellini, L., and V. Ziemann (2007): Extending the Black-Litterman Model Beyond the Mean-Variance Framework </w:t>
      </w:r>
      <w:r>
        <w:rPr>
          <w:i/>
        </w:rPr>
        <w:t>Journal of Portfolio Management</w:t>
      </w:r>
      <w:r>
        <w:t xml:space="preserve"> </w:t>
      </w:r>
      <w:r>
        <w:rPr>
          <w:b/>
        </w:rPr>
        <w:t>33 (4)</w:t>
      </w:r>
      <w:r>
        <w:t xml:space="preserve"> 33-44.</w:t>
      </w:r>
    </w:p>
    <w:p w:rsidR="00F33858" w:rsidRDefault="00F33858" w:rsidP="00F33858">
      <w:pPr>
        <w:pStyle w:val="ListParagraph"/>
        <w:numPr>
          <w:ilvl w:val="0"/>
          <w:numId w:val="373"/>
        </w:numPr>
        <w:spacing w:after="160" w:line="360" w:lineRule="auto"/>
      </w:pPr>
      <w:r w:rsidRPr="00AC47BD">
        <w:t>Meucci, A</w:t>
      </w:r>
      <w:r>
        <w:t xml:space="preserve">. (2005): </w:t>
      </w:r>
      <w:r>
        <w:rPr>
          <w:i/>
        </w:rPr>
        <w:t>Risk and Asset Allocation</w:t>
      </w:r>
      <w:r>
        <w:t xml:space="preserve"> </w:t>
      </w:r>
      <w:r>
        <w:rPr>
          <w:b/>
        </w:rPr>
        <w:t>Springer Finance</w:t>
      </w:r>
      <w:r>
        <w:t>.</w:t>
      </w:r>
    </w:p>
    <w:p w:rsidR="00F33858" w:rsidRDefault="00F33858" w:rsidP="00F33858">
      <w:pPr>
        <w:pStyle w:val="ListParagraph"/>
        <w:numPr>
          <w:ilvl w:val="0"/>
          <w:numId w:val="373"/>
        </w:numPr>
        <w:spacing w:after="160" w:line="360" w:lineRule="auto"/>
      </w:pPr>
      <w:r w:rsidRPr="004C7DC7">
        <w:t>Meucci, A. (2006)</w:t>
      </w:r>
      <w:r>
        <w:t xml:space="preserve">: </w:t>
      </w:r>
      <w:hyperlink r:id="rId196" w:history="1">
        <w:r w:rsidRPr="004C7DC7">
          <w:rPr>
            <w:rStyle w:val="Hyperlink"/>
          </w:rPr>
          <w:t>Beyond Black Litterman in Practice: A Five-Step Recipe to Input Views on Non-normal Markets</w:t>
        </w:r>
      </w:hyperlink>
      <w:r>
        <w:t xml:space="preserve"> </w:t>
      </w:r>
      <w:r>
        <w:rPr>
          <w:b/>
        </w:rPr>
        <w:t>eSSRN</w:t>
      </w:r>
      <w:r>
        <w:t>.</w:t>
      </w:r>
    </w:p>
    <w:p w:rsidR="00F33858" w:rsidRDefault="00F33858" w:rsidP="00F33858">
      <w:pPr>
        <w:pStyle w:val="ListParagraph"/>
        <w:numPr>
          <w:ilvl w:val="0"/>
          <w:numId w:val="373"/>
        </w:numPr>
        <w:spacing w:after="160" w:line="360" w:lineRule="auto"/>
      </w:pPr>
      <w:r w:rsidRPr="004C7DC7">
        <w:t>Meucci, A. (2008)</w:t>
      </w:r>
      <w:r>
        <w:t xml:space="preserve">: </w:t>
      </w:r>
      <w:hyperlink r:id="rId197" w:history="1">
        <w:r w:rsidRPr="004C7DC7">
          <w:rPr>
            <w:rStyle w:val="Hyperlink"/>
          </w:rPr>
          <w:t>Fully Flexible Views: Theory and Practice</w:t>
        </w:r>
      </w:hyperlink>
      <w:r>
        <w:t xml:space="preserve"> </w:t>
      </w:r>
      <w:r w:rsidRPr="0050539D">
        <w:rPr>
          <w:b/>
        </w:rPr>
        <w:t>eSSRN</w:t>
      </w:r>
      <w:r>
        <w:rPr>
          <w:b/>
        </w:rPr>
        <w:t>.</w:t>
      </w:r>
    </w:p>
    <w:p w:rsidR="00F33858" w:rsidRPr="004C7DC7" w:rsidRDefault="00F33858" w:rsidP="00F33858">
      <w:pPr>
        <w:pStyle w:val="ListParagraph"/>
        <w:numPr>
          <w:ilvl w:val="0"/>
          <w:numId w:val="373"/>
        </w:numPr>
        <w:spacing w:after="160" w:line="360" w:lineRule="auto"/>
      </w:pPr>
      <w:r w:rsidRPr="004C7DC7">
        <w:t>Michaud</w:t>
      </w:r>
      <w:r>
        <w:t>, R. O.</w:t>
      </w:r>
      <w:r w:rsidRPr="004C7DC7">
        <w:t xml:space="preserve">, </w:t>
      </w:r>
      <w:r>
        <w:t xml:space="preserve">D. N. </w:t>
      </w:r>
      <w:r w:rsidRPr="004C7DC7">
        <w:t xml:space="preserve">Esch, and </w:t>
      </w:r>
      <w:r>
        <w:t xml:space="preserve">R. </w:t>
      </w:r>
      <w:r w:rsidRPr="004C7DC7">
        <w:t>Michaud (2012)</w:t>
      </w:r>
      <w:r>
        <w:t xml:space="preserve">: </w:t>
      </w:r>
      <w:hyperlink r:id="rId198" w:history="1">
        <w:r w:rsidRPr="004C7DC7">
          <w:rPr>
            <w:rStyle w:val="Hyperlink"/>
          </w:rPr>
          <w:t>Deconstructing Black-Litterman: How to get the Portfolio you already knew you wanted</w:t>
        </w:r>
      </w:hyperlink>
      <w:r>
        <w:t xml:space="preserve"> </w:t>
      </w:r>
      <w:r>
        <w:rPr>
          <w:b/>
        </w:rPr>
        <w:t>eSSRN</w:t>
      </w:r>
      <w:r>
        <w:t>.</w:t>
      </w:r>
    </w:p>
    <w:p w:rsidR="00F33858" w:rsidRDefault="00F33858" w:rsidP="00F33858">
      <w:pPr>
        <w:pStyle w:val="ListParagraph"/>
        <w:numPr>
          <w:ilvl w:val="0"/>
          <w:numId w:val="373"/>
        </w:numPr>
        <w:spacing w:after="160" w:line="360" w:lineRule="auto"/>
      </w:pPr>
      <w:r>
        <w:t xml:space="preserve">Satchell, S., and A. Scowcroft (2000): A De-mystification of the Black-Litterman Model: Managing Quantitative and Traditional Portfolio Construction </w:t>
      </w:r>
      <w:r>
        <w:rPr>
          <w:i/>
        </w:rPr>
        <w:t xml:space="preserve">Journal of Asset Management </w:t>
      </w:r>
      <w:r>
        <w:rPr>
          <w:b/>
        </w:rPr>
        <w:t>1 (2)</w:t>
      </w:r>
      <w:r>
        <w:t xml:space="preserve"> 138-150.</w:t>
      </w:r>
    </w:p>
    <w:p w:rsidR="00F33858" w:rsidRDefault="00F33858" w:rsidP="00F33858">
      <w:pPr>
        <w:pStyle w:val="ListParagraph"/>
        <w:numPr>
          <w:ilvl w:val="0"/>
          <w:numId w:val="373"/>
        </w:numPr>
        <w:spacing w:after="160" w:line="360" w:lineRule="auto"/>
      </w:pPr>
      <w:r>
        <w:t xml:space="preserve">Walters, J. (2014): </w:t>
      </w:r>
      <w:hyperlink r:id="rId199" w:history="1">
        <w:r w:rsidRPr="00B51B5E">
          <w:rPr>
            <w:rStyle w:val="Hyperlink"/>
          </w:rPr>
          <w:t>The Black-Litterman Model in Detail</w:t>
        </w:r>
      </w:hyperlink>
      <w:r>
        <w:t xml:space="preserve"> </w:t>
      </w:r>
      <w:r w:rsidRPr="00B51B5E">
        <w:rPr>
          <w:b/>
        </w:rPr>
        <w:t>eSSRN</w:t>
      </w:r>
      <w:r>
        <w:rPr>
          <w:b/>
        </w:rPr>
        <w:t>.</w:t>
      </w:r>
    </w:p>
    <w:p w:rsidR="00F46C5D" w:rsidRDefault="00F46C5D" w:rsidP="006010D4">
      <w:pPr>
        <w:spacing w:after="160" w:line="360" w:lineRule="auto"/>
      </w:pPr>
      <w:r>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FD028E"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45982" w:rsidRDefault="0044598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45982" w:rsidRDefault="0044598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45982" w:rsidRDefault="0044598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45982" w:rsidRDefault="0044598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45982" w:rsidRDefault="0044598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45982" w:rsidRDefault="0044598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45982" w:rsidRDefault="0044598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45982" w:rsidRDefault="0044598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200"/>
      <w:footerReference w:type="default" r:id="rId201"/>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28E" w:rsidRDefault="00FD028E" w:rsidP="00ED5136">
      <w:r>
        <w:separator/>
      </w:r>
    </w:p>
  </w:endnote>
  <w:endnote w:type="continuationSeparator" w:id="0">
    <w:p w:rsidR="00FD028E" w:rsidRDefault="00FD028E"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EndPr/>
    <w:sdtContent>
      <w:p w:rsidR="00445982" w:rsidRDefault="00445982">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4B4B80" w:rsidRPr="004B4B80">
                                  <w:rPr>
                                    <w:i/>
                                    <w:iCs/>
                                    <w:noProof/>
                                    <w:sz w:val="18"/>
                                    <w:szCs w:val="18"/>
                                  </w:rPr>
                                  <w:t>722</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4B4B80" w:rsidRPr="004B4B80">
                            <w:rPr>
                              <w:i/>
                              <w:iCs/>
                              <w:noProof/>
                              <w:sz w:val="18"/>
                              <w:szCs w:val="18"/>
                            </w:rPr>
                            <w:t>722</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445982" w:rsidRPr="00767792" w:rsidRDefault="00445982"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28E" w:rsidRDefault="00FD028E" w:rsidP="00ED5136">
      <w:r>
        <w:separator/>
      </w:r>
    </w:p>
  </w:footnote>
  <w:footnote w:type="continuationSeparator" w:id="0">
    <w:p w:rsidR="00FD028E" w:rsidRDefault="00FD028E"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982" w:rsidRDefault="00445982">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5"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BCB70A2"/>
    <w:multiLevelType w:val="hybridMultilevel"/>
    <w:tmpl w:val="B4BC1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0A2217E"/>
    <w:multiLevelType w:val="hybridMultilevel"/>
    <w:tmpl w:val="1D06D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15:restartNumberingAfterBreak="0">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3"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4"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5"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7"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2"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2CF024AD"/>
    <w:multiLevelType w:val="hybridMultilevel"/>
    <w:tmpl w:val="E8CC86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D012FDD"/>
    <w:multiLevelType w:val="hybridMultilevel"/>
    <w:tmpl w:val="B84E38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1"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2E4411BA"/>
    <w:multiLevelType w:val="hybridMultilevel"/>
    <w:tmpl w:val="6D70CE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76"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8" w15:restartNumberingAfterBreak="0">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0"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2"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2"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7"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41FC1425"/>
    <w:multiLevelType w:val="hybridMultilevel"/>
    <w:tmpl w:val="20DC2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7"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8"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9"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6"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5004938"/>
    <w:multiLevelType w:val="hybridMultilevel"/>
    <w:tmpl w:val="6C4E8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4"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47567B2A"/>
    <w:multiLevelType w:val="hybridMultilevel"/>
    <w:tmpl w:val="A5F885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4"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5"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76"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7"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8"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0"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3"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7" w15:restartNumberingAfterBreak="0">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5"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7"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0"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1"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2"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3" w15:restartNumberingAfterBreak="0">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5"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6"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37"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9"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2" w15:restartNumberingAfterBreak="0">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5"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8" w15:restartNumberingAfterBreak="0">
    <w:nsid w:val="5805081C"/>
    <w:multiLevelType w:val="hybridMultilevel"/>
    <w:tmpl w:val="98626B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0"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1"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2"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3"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6"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7"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8"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4"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8"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9" w15:restartNumberingAfterBreak="0">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4"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6"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0"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2"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4"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8"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9"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0"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1"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2" w15:restartNumberingAfterBreak="0">
    <w:nsid w:val="65E66681"/>
    <w:multiLevelType w:val="hybridMultilevel"/>
    <w:tmpl w:val="3A3C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5"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0"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4"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5"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7"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8"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0"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3"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4"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5"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6"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9"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0"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2" w15:restartNumberingAfterBreak="0">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5"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6"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7"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8"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9"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0"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1"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4"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6"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7"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0"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4"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5"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6"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7"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8"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9"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0"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2"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3"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4" w15:restartNumberingAfterBreak="0">
    <w:nsid w:val="7A073EC4"/>
    <w:multiLevelType w:val="hybridMultilevel"/>
    <w:tmpl w:val="06DA44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7"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9"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0"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1"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2"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3"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4"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5"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6" w15:restartNumberingAfterBreak="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7"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8" w15:restartNumberingAfterBreak="0">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9"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0"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1" w15:restartNumberingAfterBreak="0">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2"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73"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4"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5"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6"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77"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8"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9" w15:restartNumberingAfterBreak="0">
    <w:nsid w:val="7FBC2385"/>
    <w:multiLevelType w:val="hybridMultilevel"/>
    <w:tmpl w:val="E708C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9"/>
  </w:num>
  <w:num w:numId="2">
    <w:abstractNumId w:val="85"/>
  </w:num>
  <w:num w:numId="3">
    <w:abstractNumId w:val="261"/>
  </w:num>
  <w:num w:numId="4">
    <w:abstractNumId w:val="244"/>
  </w:num>
  <w:num w:numId="5">
    <w:abstractNumId w:val="254"/>
  </w:num>
  <w:num w:numId="6">
    <w:abstractNumId w:val="147"/>
  </w:num>
  <w:num w:numId="7">
    <w:abstractNumId w:val="306"/>
  </w:num>
  <w:num w:numId="8">
    <w:abstractNumId w:val="10"/>
  </w:num>
  <w:num w:numId="9">
    <w:abstractNumId w:val="214"/>
  </w:num>
  <w:num w:numId="10">
    <w:abstractNumId w:val="76"/>
  </w:num>
  <w:num w:numId="11">
    <w:abstractNumId w:val="410"/>
  </w:num>
  <w:num w:numId="12">
    <w:abstractNumId w:val="220"/>
  </w:num>
  <w:num w:numId="13">
    <w:abstractNumId w:val="385"/>
  </w:num>
  <w:num w:numId="14">
    <w:abstractNumId w:val="460"/>
  </w:num>
  <w:num w:numId="15">
    <w:abstractNumId w:val="2"/>
  </w:num>
  <w:num w:numId="16">
    <w:abstractNumId w:val="199"/>
  </w:num>
  <w:num w:numId="17">
    <w:abstractNumId w:val="273"/>
  </w:num>
  <w:num w:numId="18">
    <w:abstractNumId w:val="176"/>
  </w:num>
  <w:num w:numId="19">
    <w:abstractNumId w:val="224"/>
  </w:num>
  <w:num w:numId="20">
    <w:abstractNumId w:val="367"/>
  </w:num>
  <w:num w:numId="21">
    <w:abstractNumId w:val="247"/>
  </w:num>
  <w:num w:numId="22">
    <w:abstractNumId w:val="356"/>
  </w:num>
  <w:num w:numId="23">
    <w:abstractNumId w:val="166"/>
  </w:num>
  <w:num w:numId="24">
    <w:abstractNumId w:val="257"/>
  </w:num>
  <w:num w:numId="25">
    <w:abstractNumId w:val="256"/>
  </w:num>
  <w:num w:numId="26">
    <w:abstractNumId w:val="193"/>
  </w:num>
  <w:num w:numId="27">
    <w:abstractNumId w:val="344"/>
  </w:num>
  <w:num w:numId="28">
    <w:abstractNumId w:val="15"/>
  </w:num>
  <w:num w:numId="29">
    <w:abstractNumId w:val="181"/>
  </w:num>
  <w:num w:numId="30">
    <w:abstractNumId w:val="200"/>
  </w:num>
  <w:num w:numId="31">
    <w:abstractNumId w:val="122"/>
  </w:num>
  <w:num w:numId="32">
    <w:abstractNumId w:val="301"/>
  </w:num>
  <w:num w:numId="33">
    <w:abstractNumId w:val="290"/>
  </w:num>
  <w:num w:numId="34">
    <w:abstractNumId w:val="332"/>
  </w:num>
  <w:num w:numId="35">
    <w:abstractNumId w:val="449"/>
  </w:num>
  <w:num w:numId="36">
    <w:abstractNumId w:val="40"/>
  </w:num>
  <w:num w:numId="37">
    <w:abstractNumId w:val="22"/>
  </w:num>
  <w:num w:numId="38">
    <w:abstractNumId w:val="294"/>
  </w:num>
  <w:num w:numId="39">
    <w:abstractNumId w:val="83"/>
  </w:num>
  <w:num w:numId="40">
    <w:abstractNumId w:val="239"/>
  </w:num>
  <w:num w:numId="41">
    <w:abstractNumId w:val="89"/>
  </w:num>
  <w:num w:numId="42">
    <w:abstractNumId w:val="41"/>
  </w:num>
  <w:num w:numId="43">
    <w:abstractNumId w:val="116"/>
  </w:num>
  <w:num w:numId="44">
    <w:abstractNumId w:val="9"/>
  </w:num>
  <w:num w:numId="45">
    <w:abstractNumId w:val="285"/>
  </w:num>
  <w:num w:numId="46">
    <w:abstractNumId w:val="134"/>
  </w:num>
  <w:num w:numId="47">
    <w:abstractNumId w:val="1"/>
  </w:num>
  <w:num w:numId="48">
    <w:abstractNumId w:val="102"/>
  </w:num>
  <w:num w:numId="49">
    <w:abstractNumId w:val="379"/>
  </w:num>
  <w:num w:numId="50">
    <w:abstractNumId w:val="327"/>
  </w:num>
  <w:num w:numId="51">
    <w:abstractNumId w:val="373"/>
  </w:num>
  <w:num w:numId="52">
    <w:abstractNumId w:val="21"/>
  </w:num>
  <w:num w:numId="53">
    <w:abstractNumId w:val="124"/>
  </w:num>
  <w:num w:numId="54">
    <w:abstractNumId w:val="141"/>
  </w:num>
  <w:num w:numId="55">
    <w:abstractNumId w:val="108"/>
  </w:num>
  <w:num w:numId="56">
    <w:abstractNumId w:val="277"/>
  </w:num>
  <w:num w:numId="57">
    <w:abstractNumId w:val="418"/>
  </w:num>
  <w:num w:numId="58">
    <w:abstractNumId w:val="388"/>
  </w:num>
  <w:num w:numId="59">
    <w:abstractNumId w:val="334"/>
  </w:num>
  <w:num w:numId="60">
    <w:abstractNumId w:val="142"/>
  </w:num>
  <w:num w:numId="61">
    <w:abstractNumId w:val="328"/>
  </w:num>
  <w:num w:numId="62">
    <w:abstractNumId w:val="67"/>
  </w:num>
  <w:num w:numId="63">
    <w:abstractNumId w:val="355"/>
  </w:num>
  <w:num w:numId="64">
    <w:abstractNumId w:val="330"/>
  </w:num>
  <w:num w:numId="65">
    <w:abstractNumId w:val="128"/>
  </w:num>
  <w:num w:numId="66">
    <w:abstractNumId w:val="164"/>
  </w:num>
  <w:num w:numId="67">
    <w:abstractNumId w:val="49"/>
  </w:num>
  <w:num w:numId="68">
    <w:abstractNumId w:val="304"/>
  </w:num>
  <w:num w:numId="69">
    <w:abstractNumId w:val="336"/>
  </w:num>
  <w:num w:numId="70">
    <w:abstractNumId w:val="292"/>
  </w:num>
  <w:num w:numId="71">
    <w:abstractNumId w:val="213"/>
  </w:num>
  <w:num w:numId="72">
    <w:abstractNumId w:val="448"/>
  </w:num>
  <w:num w:numId="73">
    <w:abstractNumId w:val="303"/>
  </w:num>
  <w:num w:numId="74">
    <w:abstractNumId w:val="312"/>
  </w:num>
  <w:num w:numId="75">
    <w:abstractNumId w:val="74"/>
  </w:num>
  <w:num w:numId="76">
    <w:abstractNumId w:val="23"/>
  </w:num>
  <w:num w:numId="77">
    <w:abstractNumId w:val="352"/>
  </w:num>
  <w:num w:numId="78">
    <w:abstractNumId w:val="249"/>
  </w:num>
  <w:num w:numId="79">
    <w:abstractNumId w:val="18"/>
  </w:num>
  <w:num w:numId="80">
    <w:abstractNumId w:val="347"/>
  </w:num>
  <w:num w:numId="81">
    <w:abstractNumId w:val="319"/>
  </w:num>
  <w:num w:numId="82">
    <w:abstractNumId w:val="198"/>
  </w:num>
  <w:num w:numId="83">
    <w:abstractNumId w:val="409"/>
  </w:num>
  <w:num w:numId="84">
    <w:abstractNumId w:val="276"/>
  </w:num>
  <w:num w:numId="85">
    <w:abstractNumId w:val="63"/>
  </w:num>
  <w:num w:numId="86">
    <w:abstractNumId w:val="426"/>
  </w:num>
  <w:num w:numId="87">
    <w:abstractNumId w:val="8"/>
  </w:num>
  <w:num w:numId="88">
    <w:abstractNumId w:val="215"/>
  </w:num>
  <w:num w:numId="89">
    <w:abstractNumId w:val="349"/>
  </w:num>
  <w:num w:numId="90">
    <w:abstractNumId w:val="64"/>
  </w:num>
  <w:num w:numId="91">
    <w:abstractNumId w:val="357"/>
  </w:num>
  <w:num w:numId="92">
    <w:abstractNumId w:val="470"/>
  </w:num>
  <w:num w:numId="93">
    <w:abstractNumId w:val="279"/>
  </w:num>
  <w:num w:numId="94">
    <w:abstractNumId w:val="284"/>
  </w:num>
  <w:num w:numId="95">
    <w:abstractNumId w:val="371"/>
  </w:num>
  <w:num w:numId="96">
    <w:abstractNumId w:val="203"/>
  </w:num>
  <w:num w:numId="97">
    <w:abstractNumId w:val="246"/>
  </w:num>
  <w:num w:numId="98">
    <w:abstractNumId w:val="187"/>
  </w:num>
  <w:num w:numId="99">
    <w:abstractNumId w:val="434"/>
  </w:num>
  <w:num w:numId="100">
    <w:abstractNumId w:val="446"/>
  </w:num>
  <w:num w:numId="101">
    <w:abstractNumId w:val="472"/>
  </w:num>
  <w:num w:numId="102">
    <w:abstractNumId w:val="451"/>
  </w:num>
  <w:num w:numId="103">
    <w:abstractNumId w:val="338"/>
  </w:num>
  <w:num w:numId="104">
    <w:abstractNumId w:val="42"/>
  </w:num>
  <w:num w:numId="105">
    <w:abstractNumId w:val="263"/>
  </w:num>
  <w:num w:numId="106">
    <w:abstractNumId w:val="268"/>
  </w:num>
  <w:num w:numId="107">
    <w:abstractNumId w:val="320"/>
  </w:num>
  <w:num w:numId="108">
    <w:abstractNumId w:val="126"/>
  </w:num>
  <w:num w:numId="109">
    <w:abstractNumId w:val="179"/>
  </w:num>
  <w:num w:numId="110">
    <w:abstractNumId w:val="94"/>
  </w:num>
  <w:num w:numId="111">
    <w:abstractNumId w:val="275"/>
  </w:num>
  <w:num w:numId="112">
    <w:abstractNumId w:val="424"/>
  </w:num>
  <w:num w:numId="113">
    <w:abstractNumId w:val="143"/>
  </w:num>
  <w:num w:numId="114">
    <w:abstractNumId w:val="398"/>
  </w:num>
  <w:num w:numId="115">
    <w:abstractNumId w:val="111"/>
  </w:num>
  <w:num w:numId="116">
    <w:abstractNumId w:val="311"/>
  </w:num>
  <w:num w:numId="117">
    <w:abstractNumId w:val="476"/>
  </w:num>
  <w:num w:numId="118">
    <w:abstractNumId w:val="106"/>
  </w:num>
  <w:num w:numId="119">
    <w:abstractNumId w:val="296"/>
  </w:num>
  <w:num w:numId="120">
    <w:abstractNumId w:val="458"/>
  </w:num>
  <w:num w:numId="121">
    <w:abstractNumId w:val="368"/>
  </w:num>
  <w:num w:numId="122">
    <w:abstractNumId w:val="13"/>
  </w:num>
  <w:num w:numId="123">
    <w:abstractNumId w:val="144"/>
  </w:num>
  <w:num w:numId="124">
    <w:abstractNumId w:val="307"/>
  </w:num>
  <w:num w:numId="125">
    <w:abstractNumId w:val="280"/>
  </w:num>
  <w:num w:numId="126">
    <w:abstractNumId w:val="173"/>
  </w:num>
  <w:num w:numId="127">
    <w:abstractNumId w:val="282"/>
  </w:num>
  <w:num w:numId="128">
    <w:abstractNumId w:val="88"/>
  </w:num>
  <w:num w:numId="129">
    <w:abstractNumId w:val="447"/>
  </w:num>
  <w:num w:numId="130">
    <w:abstractNumId w:val="183"/>
  </w:num>
  <w:num w:numId="131">
    <w:abstractNumId w:val="158"/>
  </w:num>
  <w:num w:numId="132">
    <w:abstractNumId w:val="138"/>
  </w:num>
  <w:num w:numId="133">
    <w:abstractNumId w:val="372"/>
  </w:num>
  <w:num w:numId="134">
    <w:abstractNumId w:val="210"/>
  </w:num>
  <w:num w:numId="135">
    <w:abstractNumId w:val="274"/>
  </w:num>
  <w:num w:numId="136">
    <w:abstractNumId w:val="396"/>
  </w:num>
  <w:num w:numId="137">
    <w:abstractNumId w:val="185"/>
  </w:num>
  <w:num w:numId="138">
    <w:abstractNumId w:val="313"/>
  </w:num>
  <w:num w:numId="139">
    <w:abstractNumId w:val="423"/>
  </w:num>
  <w:num w:numId="140">
    <w:abstractNumId w:val="191"/>
  </w:num>
  <w:num w:numId="141">
    <w:abstractNumId w:val="361"/>
  </w:num>
  <w:num w:numId="142">
    <w:abstractNumId w:val="365"/>
  </w:num>
  <w:num w:numId="143">
    <w:abstractNumId w:val="393"/>
  </w:num>
  <w:num w:numId="144">
    <w:abstractNumId w:val="93"/>
  </w:num>
  <w:num w:numId="145">
    <w:abstractNumId w:val="237"/>
  </w:num>
  <w:num w:numId="146">
    <w:abstractNumId w:val="219"/>
  </w:num>
  <w:num w:numId="147">
    <w:abstractNumId w:val="145"/>
  </w:num>
  <w:num w:numId="148">
    <w:abstractNumId w:val="62"/>
  </w:num>
  <w:num w:numId="149">
    <w:abstractNumId w:val="90"/>
  </w:num>
  <w:num w:numId="150">
    <w:abstractNumId w:val="217"/>
  </w:num>
  <w:num w:numId="151">
    <w:abstractNumId w:val="180"/>
  </w:num>
  <w:num w:numId="152">
    <w:abstractNumId w:val="333"/>
  </w:num>
  <w:num w:numId="153">
    <w:abstractNumId w:val="300"/>
  </w:num>
  <w:num w:numId="154">
    <w:abstractNumId w:val="231"/>
  </w:num>
  <w:num w:numId="155">
    <w:abstractNumId w:val="461"/>
  </w:num>
  <w:num w:numId="156">
    <w:abstractNumId w:val="45"/>
  </w:num>
  <w:num w:numId="157">
    <w:abstractNumId w:val="0"/>
  </w:num>
  <w:num w:numId="158">
    <w:abstractNumId w:val="86"/>
  </w:num>
  <w:num w:numId="159">
    <w:abstractNumId w:val="455"/>
  </w:num>
  <w:num w:numId="160">
    <w:abstractNumId w:val="318"/>
  </w:num>
  <w:num w:numId="161">
    <w:abstractNumId w:val="132"/>
  </w:num>
  <w:num w:numId="162">
    <w:abstractNumId w:val="465"/>
  </w:num>
  <w:num w:numId="163">
    <w:abstractNumId w:val="66"/>
  </w:num>
  <w:num w:numId="164">
    <w:abstractNumId w:val="343"/>
  </w:num>
  <w:num w:numId="165">
    <w:abstractNumId w:val="339"/>
  </w:num>
  <w:num w:numId="166">
    <w:abstractNumId w:val="73"/>
  </w:num>
  <w:num w:numId="167">
    <w:abstractNumId w:val="317"/>
  </w:num>
  <w:num w:numId="168">
    <w:abstractNumId w:val="242"/>
  </w:num>
  <w:num w:numId="169">
    <w:abstractNumId w:val="190"/>
  </w:num>
  <w:num w:numId="170">
    <w:abstractNumId w:val="477"/>
  </w:num>
  <w:num w:numId="171">
    <w:abstractNumId w:val="443"/>
  </w:num>
  <w:num w:numId="172">
    <w:abstractNumId w:val="165"/>
  </w:num>
  <w:num w:numId="173">
    <w:abstractNumId w:val="440"/>
  </w:num>
  <w:num w:numId="174">
    <w:abstractNumId w:val="236"/>
  </w:num>
  <w:num w:numId="175">
    <w:abstractNumId w:val="127"/>
  </w:num>
  <w:num w:numId="176">
    <w:abstractNumId w:val="33"/>
  </w:num>
  <w:num w:numId="177">
    <w:abstractNumId w:val="400"/>
  </w:num>
  <w:num w:numId="178">
    <w:abstractNumId w:val="80"/>
  </w:num>
  <w:num w:numId="179">
    <w:abstractNumId w:val="51"/>
  </w:num>
  <w:num w:numId="180">
    <w:abstractNumId w:val="321"/>
  </w:num>
  <w:num w:numId="181">
    <w:abstractNumId w:val="430"/>
  </w:num>
  <w:num w:numId="182">
    <w:abstractNumId w:val="419"/>
  </w:num>
  <w:num w:numId="183">
    <w:abstractNumId w:val="291"/>
  </w:num>
  <w:num w:numId="184">
    <w:abstractNumId w:val="351"/>
  </w:num>
  <w:num w:numId="185">
    <w:abstractNumId w:val="414"/>
  </w:num>
  <w:num w:numId="186">
    <w:abstractNumId w:val="310"/>
  </w:num>
  <w:num w:numId="187">
    <w:abstractNumId w:val="87"/>
  </w:num>
  <w:num w:numId="188">
    <w:abstractNumId w:val="453"/>
  </w:num>
  <w:num w:numId="189">
    <w:abstractNumId w:val="248"/>
  </w:num>
  <w:num w:numId="190">
    <w:abstractNumId w:val="170"/>
  </w:num>
  <w:num w:numId="191">
    <w:abstractNumId w:val="149"/>
  </w:num>
  <w:num w:numId="192">
    <w:abstractNumId w:val="407"/>
  </w:num>
  <w:num w:numId="193">
    <w:abstractNumId w:val="197"/>
  </w:num>
  <w:num w:numId="194">
    <w:abstractNumId w:val="384"/>
  </w:num>
  <w:num w:numId="195">
    <w:abstractNumId w:val="463"/>
  </w:num>
  <w:num w:numId="196">
    <w:abstractNumId w:val="160"/>
  </w:num>
  <w:num w:numId="197">
    <w:abstractNumId w:val="202"/>
  </w:num>
  <w:num w:numId="198">
    <w:abstractNumId w:val="272"/>
  </w:num>
  <w:num w:numId="199">
    <w:abstractNumId w:val="316"/>
  </w:num>
  <w:num w:numId="200">
    <w:abstractNumId w:val="383"/>
  </w:num>
  <w:num w:numId="201">
    <w:abstractNumId w:val="286"/>
  </w:num>
  <w:num w:numId="202">
    <w:abstractNumId w:val="212"/>
  </w:num>
  <w:num w:numId="203">
    <w:abstractNumId w:val="78"/>
  </w:num>
  <w:num w:numId="204">
    <w:abstractNumId w:val="156"/>
  </w:num>
  <w:num w:numId="205">
    <w:abstractNumId w:val="473"/>
  </w:num>
  <w:num w:numId="206">
    <w:abstractNumId w:val="206"/>
  </w:num>
  <w:num w:numId="207">
    <w:abstractNumId w:val="234"/>
  </w:num>
  <w:num w:numId="208">
    <w:abstractNumId w:val="425"/>
  </w:num>
  <w:num w:numId="209">
    <w:abstractNumId w:val="137"/>
  </w:num>
  <w:num w:numId="210">
    <w:abstractNumId w:val="404"/>
  </w:num>
  <w:num w:numId="211">
    <w:abstractNumId w:val="346"/>
  </w:num>
  <w:num w:numId="212">
    <w:abstractNumId w:val="429"/>
  </w:num>
  <w:num w:numId="213">
    <w:abstractNumId w:val="60"/>
  </w:num>
  <w:num w:numId="214">
    <w:abstractNumId w:val="121"/>
  </w:num>
  <w:num w:numId="215">
    <w:abstractNumId w:val="100"/>
  </w:num>
  <w:num w:numId="216">
    <w:abstractNumId w:val="278"/>
  </w:num>
  <w:num w:numId="217">
    <w:abstractNumId w:val="38"/>
  </w:num>
  <w:num w:numId="218">
    <w:abstractNumId w:val="374"/>
  </w:num>
  <w:num w:numId="219">
    <w:abstractNumId w:val="370"/>
  </w:num>
  <w:num w:numId="220">
    <w:abstractNumId w:val="362"/>
  </w:num>
  <w:num w:numId="221">
    <w:abstractNumId w:val="283"/>
  </w:num>
  <w:num w:numId="222">
    <w:abstractNumId w:val="266"/>
  </w:num>
  <w:num w:numId="223">
    <w:abstractNumId w:val="464"/>
  </w:num>
  <w:num w:numId="224">
    <w:abstractNumId w:val="169"/>
  </w:num>
  <w:num w:numId="225">
    <w:abstractNumId w:val="428"/>
  </w:num>
  <w:num w:numId="226">
    <w:abstractNumId w:val="413"/>
  </w:num>
  <w:num w:numId="227">
    <w:abstractNumId w:val="322"/>
  </w:num>
  <w:num w:numId="228">
    <w:abstractNumId w:val="70"/>
  </w:num>
  <w:num w:numId="229">
    <w:abstractNumId w:val="82"/>
  </w:num>
  <w:num w:numId="230">
    <w:abstractNumId w:val="436"/>
  </w:num>
  <w:num w:numId="231">
    <w:abstractNumId w:val="415"/>
  </w:num>
  <w:num w:numId="232">
    <w:abstractNumId w:val="79"/>
  </w:num>
  <w:num w:numId="233">
    <w:abstractNumId w:val="238"/>
  </w:num>
  <w:num w:numId="234">
    <w:abstractNumId w:val="341"/>
  </w:num>
  <w:num w:numId="235">
    <w:abstractNumId w:val="240"/>
  </w:num>
  <w:num w:numId="236">
    <w:abstractNumId w:val="255"/>
  </w:num>
  <w:num w:numId="237">
    <w:abstractNumId w:val="155"/>
  </w:num>
  <w:num w:numId="238">
    <w:abstractNumId w:val="196"/>
  </w:num>
  <w:num w:numId="239">
    <w:abstractNumId w:val="130"/>
  </w:num>
  <w:num w:numId="240">
    <w:abstractNumId w:val="469"/>
  </w:num>
  <w:num w:numId="241">
    <w:abstractNumId w:val="474"/>
  </w:num>
  <w:num w:numId="242">
    <w:abstractNumId w:val="345"/>
  </w:num>
  <w:num w:numId="243">
    <w:abstractNumId w:val="177"/>
  </w:num>
  <w:num w:numId="244">
    <w:abstractNumId w:val="157"/>
  </w:num>
  <w:num w:numId="245">
    <w:abstractNumId w:val="375"/>
  </w:num>
  <w:num w:numId="246">
    <w:abstractNumId w:val="325"/>
  </w:num>
  <w:num w:numId="247">
    <w:abstractNumId w:val="44"/>
  </w:num>
  <w:num w:numId="248">
    <w:abstractNumId w:val="390"/>
  </w:num>
  <w:num w:numId="249">
    <w:abstractNumId w:val="350"/>
  </w:num>
  <w:num w:numId="250">
    <w:abstractNumId w:val="96"/>
  </w:num>
  <w:num w:numId="251">
    <w:abstractNumId w:val="57"/>
  </w:num>
  <w:num w:numId="252">
    <w:abstractNumId w:val="363"/>
  </w:num>
  <w:num w:numId="253">
    <w:abstractNumId w:val="53"/>
  </w:num>
  <w:num w:numId="254">
    <w:abstractNumId w:val="151"/>
  </w:num>
  <w:num w:numId="255">
    <w:abstractNumId w:val="201"/>
  </w:num>
  <w:num w:numId="256">
    <w:abstractNumId w:val="34"/>
  </w:num>
  <w:num w:numId="257">
    <w:abstractNumId w:val="19"/>
  </w:num>
  <w:num w:numId="258">
    <w:abstractNumId w:val="252"/>
  </w:num>
  <w:num w:numId="259">
    <w:abstractNumId w:val="175"/>
  </w:num>
  <w:num w:numId="260">
    <w:abstractNumId w:val="421"/>
  </w:num>
  <w:num w:numId="261">
    <w:abstractNumId w:val="387"/>
  </w:num>
  <w:num w:numId="262">
    <w:abstractNumId w:val="406"/>
  </w:num>
  <w:num w:numId="263">
    <w:abstractNumId w:val="12"/>
  </w:num>
  <w:num w:numId="264">
    <w:abstractNumId w:val="403"/>
  </w:num>
  <w:num w:numId="265">
    <w:abstractNumId w:val="391"/>
  </w:num>
  <w:num w:numId="266">
    <w:abstractNumId w:val="462"/>
  </w:num>
  <w:num w:numId="267">
    <w:abstractNumId w:val="30"/>
  </w:num>
  <w:num w:numId="268">
    <w:abstractNumId w:val="146"/>
  </w:num>
  <w:num w:numId="269">
    <w:abstractNumId w:val="401"/>
  </w:num>
  <w:num w:numId="270">
    <w:abstractNumId w:val="161"/>
  </w:num>
  <w:num w:numId="271">
    <w:abstractNumId w:val="245"/>
  </w:num>
  <w:num w:numId="272">
    <w:abstractNumId w:val="105"/>
  </w:num>
  <w:num w:numId="273">
    <w:abstractNumId w:val="475"/>
  </w:num>
  <w:num w:numId="274">
    <w:abstractNumId w:val="31"/>
  </w:num>
  <w:num w:numId="275">
    <w:abstractNumId w:val="131"/>
  </w:num>
  <w:num w:numId="276">
    <w:abstractNumId w:val="235"/>
  </w:num>
  <w:num w:numId="277">
    <w:abstractNumId w:val="381"/>
  </w:num>
  <w:num w:numId="278">
    <w:abstractNumId w:val="450"/>
  </w:num>
  <w:num w:numId="279">
    <w:abstractNumId w:val="140"/>
  </w:num>
  <w:num w:numId="280">
    <w:abstractNumId w:val="459"/>
  </w:num>
  <w:num w:numId="281">
    <w:abstractNumId w:val="230"/>
  </w:num>
  <w:num w:numId="282">
    <w:abstractNumId w:val="265"/>
  </w:num>
  <w:num w:numId="283">
    <w:abstractNumId w:val="441"/>
  </w:num>
  <w:num w:numId="284">
    <w:abstractNumId w:val="427"/>
  </w:num>
  <w:num w:numId="285">
    <w:abstractNumId w:val="251"/>
  </w:num>
  <w:num w:numId="286">
    <w:abstractNumId w:val="218"/>
  </w:num>
  <w:num w:numId="287">
    <w:abstractNumId w:val="478"/>
  </w:num>
  <w:num w:numId="288">
    <w:abstractNumId w:val="182"/>
  </w:num>
  <w:num w:numId="289">
    <w:abstractNumId w:val="389"/>
  </w:num>
  <w:num w:numId="290">
    <w:abstractNumId w:val="148"/>
  </w:num>
  <w:num w:numId="291">
    <w:abstractNumId w:val="359"/>
  </w:num>
  <w:num w:numId="292">
    <w:abstractNumId w:val="287"/>
  </w:num>
  <w:num w:numId="293">
    <w:abstractNumId w:val="205"/>
  </w:num>
  <w:num w:numId="294">
    <w:abstractNumId w:val="110"/>
  </w:num>
  <w:num w:numId="295">
    <w:abstractNumId w:val="353"/>
  </w:num>
  <w:num w:numId="296">
    <w:abstractNumId w:val="305"/>
  </w:num>
  <w:num w:numId="297">
    <w:abstractNumId w:val="77"/>
  </w:num>
  <w:num w:numId="298">
    <w:abstractNumId w:val="262"/>
  </w:num>
  <w:num w:numId="299">
    <w:abstractNumId w:val="437"/>
  </w:num>
  <w:num w:numId="300">
    <w:abstractNumId w:val="211"/>
  </w:num>
  <w:num w:numId="301">
    <w:abstractNumId w:val="194"/>
  </w:num>
  <w:num w:numId="302">
    <w:abstractNumId w:val="95"/>
  </w:num>
  <w:num w:numId="303">
    <w:abstractNumId w:val="188"/>
  </w:num>
  <w:num w:numId="304">
    <w:abstractNumId w:val="50"/>
  </w:num>
  <w:num w:numId="305">
    <w:abstractNumId w:val="69"/>
  </w:num>
  <w:num w:numId="306">
    <w:abstractNumId w:val="68"/>
  </w:num>
  <w:num w:numId="307">
    <w:abstractNumId w:val="394"/>
  </w:num>
  <w:num w:numId="308">
    <w:abstractNumId w:val="229"/>
  </w:num>
  <w:num w:numId="309">
    <w:abstractNumId w:val="91"/>
  </w:num>
  <w:num w:numId="310">
    <w:abstractNumId w:val="195"/>
  </w:num>
  <w:num w:numId="311">
    <w:abstractNumId w:val="295"/>
  </w:num>
  <w:num w:numId="312">
    <w:abstractNumId w:val="119"/>
  </w:num>
  <w:num w:numId="313">
    <w:abstractNumId w:val="159"/>
  </w:num>
  <w:num w:numId="314">
    <w:abstractNumId w:val="11"/>
  </w:num>
  <w:num w:numId="315">
    <w:abstractNumId w:val="26"/>
  </w:num>
  <w:num w:numId="316">
    <w:abstractNumId w:val="380"/>
  </w:num>
  <w:num w:numId="317">
    <w:abstractNumId w:val="192"/>
  </w:num>
  <w:num w:numId="318">
    <w:abstractNumId w:val="395"/>
  </w:num>
  <w:num w:numId="319">
    <w:abstractNumId w:val="52"/>
  </w:num>
  <w:num w:numId="320">
    <w:abstractNumId w:val="442"/>
  </w:num>
  <w:num w:numId="321">
    <w:abstractNumId w:val="405"/>
  </w:num>
  <w:num w:numId="322">
    <w:abstractNumId w:val="104"/>
  </w:num>
  <w:num w:numId="323">
    <w:abstractNumId w:val="29"/>
  </w:num>
  <w:num w:numId="324">
    <w:abstractNumId w:val="289"/>
  </w:num>
  <w:num w:numId="325">
    <w:abstractNumId w:val="445"/>
  </w:num>
  <w:num w:numId="326">
    <w:abstractNumId w:val="46"/>
  </w:num>
  <w:num w:numId="327">
    <w:abstractNumId w:val="360"/>
  </w:num>
  <w:num w:numId="328">
    <w:abstractNumId w:val="329"/>
  </w:num>
  <w:num w:numId="329">
    <w:abstractNumId w:val="271"/>
  </w:num>
  <w:num w:numId="330">
    <w:abstractNumId w:val="72"/>
  </w:num>
  <w:num w:numId="331">
    <w:abstractNumId w:val="267"/>
  </w:num>
  <w:num w:numId="332">
    <w:abstractNumId w:val="39"/>
  </w:num>
  <w:num w:numId="333">
    <w:abstractNumId w:val="431"/>
  </w:num>
  <w:num w:numId="334">
    <w:abstractNumId w:val="101"/>
  </w:num>
  <w:num w:numId="335">
    <w:abstractNumId w:val="444"/>
  </w:num>
  <w:num w:numId="336">
    <w:abstractNumId w:val="32"/>
  </w:num>
  <w:num w:numId="337">
    <w:abstractNumId w:val="17"/>
  </w:num>
  <w:num w:numId="338">
    <w:abstractNumId w:val="260"/>
  </w:num>
  <w:num w:numId="339">
    <w:abstractNumId w:val="324"/>
  </w:num>
  <w:num w:numId="340">
    <w:abstractNumId w:val="107"/>
  </w:num>
  <w:num w:numId="341">
    <w:abstractNumId w:val="439"/>
  </w:num>
  <w:num w:numId="342">
    <w:abstractNumId w:val="56"/>
  </w:num>
  <w:num w:numId="343">
    <w:abstractNumId w:val="54"/>
  </w:num>
  <w:num w:numId="344">
    <w:abstractNumId w:val="59"/>
  </w:num>
  <w:num w:numId="345">
    <w:abstractNumId w:val="288"/>
  </w:num>
  <w:num w:numId="346">
    <w:abstractNumId w:val="309"/>
  </w:num>
  <w:num w:numId="347">
    <w:abstractNumId w:val="114"/>
  </w:num>
  <w:num w:numId="348">
    <w:abstractNumId w:val="120"/>
  </w:num>
  <w:num w:numId="349">
    <w:abstractNumId w:val="314"/>
  </w:num>
  <w:num w:numId="350">
    <w:abstractNumId w:val="397"/>
  </w:num>
  <w:num w:numId="351">
    <w:abstractNumId w:val="118"/>
  </w:num>
  <w:num w:numId="352">
    <w:abstractNumId w:val="376"/>
  </w:num>
  <w:num w:numId="353">
    <w:abstractNumId w:val="232"/>
  </w:num>
  <w:num w:numId="354">
    <w:abstractNumId w:val="467"/>
  </w:num>
  <w:num w:numId="355">
    <w:abstractNumId w:val="378"/>
  </w:num>
  <w:num w:numId="356">
    <w:abstractNumId w:val="228"/>
  </w:num>
  <w:num w:numId="357">
    <w:abstractNumId w:val="216"/>
  </w:num>
  <w:num w:numId="358">
    <w:abstractNumId w:val="399"/>
  </w:num>
  <w:num w:numId="359">
    <w:abstractNumId w:val="61"/>
  </w:num>
  <w:num w:numId="360">
    <w:abstractNumId w:val="298"/>
  </w:num>
  <w:num w:numId="361">
    <w:abstractNumId w:val="204"/>
  </w:num>
  <w:num w:numId="362">
    <w:abstractNumId w:val="189"/>
  </w:num>
  <w:num w:numId="363">
    <w:abstractNumId w:val="208"/>
  </w:num>
  <w:num w:numId="364">
    <w:abstractNumId w:val="264"/>
  </w:num>
  <w:num w:numId="365">
    <w:abstractNumId w:val="43"/>
  </w:num>
  <w:num w:numId="366">
    <w:abstractNumId w:val="326"/>
  </w:num>
  <w:num w:numId="367">
    <w:abstractNumId w:val="253"/>
  </w:num>
  <w:num w:numId="368">
    <w:abstractNumId w:val="432"/>
  </w:num>
  <w:num w:numId="369">
    <w:abstractNumId w:val="36"/>
  </w:num>
  <w:num w:numId="370">
    <w:abstractNumId w:val="135"/>
  </w:num>
  <w:num w:numId="371">
    <w:abstractNumId w:val="14"/>
  </w:num>
  <w:num w:numId="372">
    <w:abstractNumId w:val="152"/>
  </w:num>
  <w:num w:numId="373">
    <w:abstractNumId w:val="81"/>
  </w:num>
  <w:num w:numId="374">
    <w:abstractNumId w:val="58"/>
  </w:num>
  <w:num w:numId="375">
    <w:abstractNumId w:val="125"/>
  </w:num>
  <w:num w:numId="376">
    <w:abstractNumId w:val="241"/>
  </w:num>
  <w:num w:numId="377">
    <w:abstractNumId w:val="438"/>
  </w:num>
  <w:num w:numId="378">
    <w:abstractNumId w:val="113"/>
  </w:num>
  <w:num w:numId="379">
    <w:abstractNumId w:val="37"/>
  </w:num>
  <w:num w:numId="380">
    <w:abstractNumId w:val="221"/>
  </w:num>
  <w:num w:numId="381">
    <w:abstractNumId w:val="103"/>
  </w:num>
  <w:num w:numId="382">
    <w:abstractNumId w:val="293"/>
  </w:num>
  <w:num w:numId="383">
    <w:abstractNumId w:val="150"/>
  </w:num>
  <w:num w:numId="384">
    <w:abstractNumId w:val="154"/>
  </w:num>
  <w:num w:numId="385">
    <w:abstractNumId w:val="109"/>
  </w:num>
  <w:num w:numId="386">
    <w:abstractNumId w:val="84"/>
  </w:num>
  <w:num w:numId="387">
    <w:abstractNumId w:val="207"/>
  </w:num>
  <w:num w:numId="388">
    <w:abstractNumId w:val="55"/>
  </w:num>
  <w:num w:numId="389">
    <w:abstractNumId w:val="71"/>
  </w:num>
  <w:num w:numId="390">
    <w:abstractNumId w:val="331"/>
  </w:num>
  <w:num w:numId="391">
    <w:abstractNumId w:val="226"/>
  </w:num>
  <w:num w:numId="392">
    <w:abstractNumId w:val="435"/>
  </w:num>
  <w:num w:numId="393">
    <w:abstractNumId w:val="366"/>
  </w:num>
  <w:num w:numId="394">
    <w:abstractNumId w:val="153"/>
  </w:num>
  <w:num w:numId="395">
    <w:abstractNumId w:val="171"/>
  </w:num>
  <w:num w:numId="396">
    <w:abstractNumId w:val="5"/>
  </w:num>
  <w:num w:numId="397">
    <w:abstractNumId w:val="47"/>
  </w:num>
  <w:num w:numId="398">
    <w:abstractNumId w:val="270"/>
  </w:num>
  <w:num w:numId="399">
    <w:abstractNumId w:val="227"/>
  </w:num>
  <w:num w:numId="400">
    <w:abstractNumId w:val="16"/>
  </w:num>
  <w:num w:numId="401">
    <w:abstractNumId w:val="337"/>
  </w:num>
  <w:num w:numId="402">
    <w:abstractNumId w:val="4"/>
  </w:num>
  <w:num w:numId="403">
    <w:abstractNumId w:val="420"/>
  </w:num>
  <w:num w:numId="404">
    <w:abstractNumId w:val="302"/>
  </w:num>
  <w:num w:numId="405">
    <w:abstractNumId w:val="92"/>
  </w:num>
  <w:num w:numId="406">
    <w:abstractNumId w:val="358"/>
  </w:num>
  <w:num w:numId="407">
    <w:abstractNumId w:val="456"/>
  </w:num>
  <w:num w:numId="408">
    <w:abstractNumId w:val="412"/>
  </w:num>
  <w:num w:numId="409">
    <w:abstractNumId w:val="7"/>
  </w:num>
  <w:num w:numId="410">
    <w:abstractNumId w:val="382"/>
  </w:num>
  <w:num w:numId="411">
    <w:abstractNumId w:val="457"/>
  </w:num>
  <w:num w:numId="412">
    <w:abstractNumId w:val="408"/>
  </w:num>
  <w:num w:numId="413">
    <w:abstractNumId w:val="139"/>
  </w:num>
  <w:num w:numId="414">
    <w:abstractNumId w:val="115"/>
  </w:num>
  <w:num w:numId="415">
    <w:abstractNumId w:val="223"/>
  </w:num>
  <w:num w:numId="416">
    <w:abstractNumId w:val="354"/>
  </w:num>
  <w:num w:numId="417">
    <w:abstractNumId w:val="416"/>
  </w:num>
  <w:num w:numId="418">
    <w:abstractNumId w:val="411"/>
  </w:num>
  <w:num w:numId="419">
    <w:abstractNumId w:val="315"/>
  </w:num>
  <w:num w:numId="420">
    <w:abstractNumId w:val="168"/>
  </w:num>
  <w:num w:numId="421">
    <w:abstractNumId w:val="340"/>
  </w:num>
  <w:num w:numId="422">
    <w:abstractNumId w:val="48"/>
  </w:num>
  <w:num w:numId="423">
    <w:abstractNumId w:val="452"/>
  </w:num>
  <w:num w:numId="424">
    <w:abstractNumId w:val="25"/>
  </w:num>
  <w:num w:numId="425">
    <w:abstractNumId w:val="364"/>
  </w:num>
  <w:num w:numId="426">
    <w:abstractNumId w:val="335"/>
  </w:num>
  <w:num w:numId="427">
    <w:abstractNumId w:val="133"/>
  </w:num>
  <w:num w:numId="428">
    <w:abstractNumId w:val="281"/>
  </w:num>
  <w:num w:numId="429">
    <w:abstractNumId w:val="377"/>
  </w:num>
  <w:num w:numId="430">
    <w:abstractNumId w:val="386"/>
  </w:num>
  <w:num w:numId="431">
    <w:abstractNumId w:val="3"/>
  </w:num>
  <w:num w:numId="432">
    <w:abstractNumId w:val="209"/>
  </w:num>
  <w:num w:numId="433">
    <w:abstractNumId w:val="112"/>
  </w:num>
  <w:num w:numId="434">
    <w:abstractNumId w:val="75"/>
  </w:num>
  <w:num w:numId="435">
    <w:abstractNumId w:val="167"/>
  </w:num>
  <w:num w:numId="436">
    <w:abstractNumId w:val="172"/>
  </w:num>
  <w:num w:numId="437">
    <w:abstractNumId w:val="112"/>
  </w:num>
  <w:num w:numId="438">
    <w:abstractNumId w:val="2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1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42"/>
  </w:num>
  <w:num w:numId="441">
    <w:abstractNumId w:val="28"/>
  </w:num>
  <w:num w:numId="442">
    <w:abstractNumId w:val="233"/>
  </w:num>
  <w:num w:numId="443">
    <w:abstractNumId w:val="471"/>
  </w:num>
  <w:num w:numId="444">
    <w:abstractNumId w:val="422"/>
  </w:num>
  <w:num w:numId="445">
    <w:abstractNumId w:val="466"/>
  </w:num>
  <w:num w:numId="446">
    <w:abstractNumId w:val="297"/>
  </w:num>
  <w:num w:numId="447">
    <w:abstractNumId w:val="225"/>
  </w:num>
  <w:num w:numId="448">
    <w:abstractNumId w:val="178"/>
  </w:num>
  <w:num w:numId="449">
    <w:abstractNumId w:val="97"/>
  </w:num>
  <w:num w:numId="450">
    <w:abstractNumId w:val="24"/>
  </w:num>
  <w:num w:numId="451">
    <w:abstractNumId w:val="299"/>
  </w:num>
  <w:num w:numId="452">
    <w:abstractNumId w:val="433"/>
  </w:num>
  <w:num w:numId="453">
    <w:abstractNumId w:val="136"/>
  </w:num>
  <w:num w:numId="454">
    <w:abstractNumId w:val="20"/>
  </w:num>
  <w:num w:numId="455">
    <w:abstractNumId w:val="417"/>
  </w:num>
  <w:num w:numId="456">
    <w:abstractNumId w:val="468"/>
  </w:num>
  <w:num w:numId="457">
    <w:abstractNumId w:val="308"/>
  </w:num>
  <w:num w:numId="458">
    <w:abstractNumId w:val="27"/>
  </w:num>
  <w:num w:numId="459">
    <w:abstractNumId w:val="323"/>
  </w:num>
  <w:num w:numId="460">
    <w:abstractNumId w:val="6"/>
  </w:num>
  <w:num w:numId="461">
    <w:abstractNumId w:val="250"/>
  </w:num>
  <w:num w:numId="462">
    <w:abstractNumId w:val="402"/>
  </w:num>
  <w:num w:numId="463">
    <w:abstractNumId w:val="369"/>
  </w:num>
  <w:num w:numId="464">
    <w:abstractNumId w:val="123"/>
  </w:num>
  <w:num w:numId="465">
    <w:abstractNumId w:val="35"/>
  </w:num>
  <w:num w:numId="466">
    <w:abstractNumId w:val="184"/>
  </w:num>
  <w:num w:numId="467">
    <w:abstractNumId w:val="65"/>
  </w:num>
  <w:num w:numId="468">
    <w:abstractNumId w:val="258"/>
  </w:num>
  <w:num w:numId="469">
    <w:abstractNumId w:val="99"/>
  </w:num>
  <w:num w:numId="470">
    <w:abstractNumId w:val="454"/>
  </w:num>
  <w:num w:numId="471">
    <w:abstractNumId w:val="392"/>
  </w:num>
  <w:num w:numId="472">
    <w:abstractNumId w:val="479"/>
  </w:num>
  <w:num w:numId="473">
    <w:abstractNumId w:val="98"/>
  </w:num>
  <w:num w:numId="474">
    <w:abstractNumId w:val="117"/>
  </w:num>
  <w:num w:numId="475">
    <w:abstractNumId w:val="243"/>
  </w:num>
  <w:num w:numId="476">
    <w:abstractNumId w:val="348"/>
  </w:num>
  <w:num w:numId="477">
    <w:abstractNumId w:val="162"/>
  </w:num>
  <w:num w:numId="478">
    <w:abstractNumId w:val="259"/>
  </w:num>
  <w:num w:numId="479">
    <w:abstractNumId w:val="163"/>
  </w:num>
  <w:num w:numId="480">
    <w:abstractNumId w:val="269"/>
  </w:num>
  <w:num w:numId="481">
    <w:abstractNumId w:val="174"/>
  </w:num>
  <w:numIdMacAtCleanup w:val="4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3389"/>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3F2E"/>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4B80"/>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6B2"/>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3571"/>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2E4B"/>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3858"/>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8E"/>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91" Type="http://schemas.openxmlformats.org/officeDocument/2006/relationships/hyperlink" Target="http://papers.ssrn.com/sol3/papers.cfm?abstract_id=1009635"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92" Type="http://schemas.openxmlformats.org/officeDocument/2006/relationships/hyperlink" Target="http://papers.ssrn.com/sol3/papers.cfm?abstract_id=1347663"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93" Type="http://schemas.openxmlformats.org/officeDocument/2006/relationships/hyperlink" Target="http://www.globalriskguard.com/resources/assetman/bayes_0008.pdf" TargetMode="External"/><Relationship Id="rId13" Type="http://schemas.openxmlformats.org/officeDocument/2006/relationships/hyperlink" Target="http://www.finansraadet.dk"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20" Type="http://schemas.openxmlformats.org/officeDocument/2006/relationships/hyperlink" Target="http://papers.ssrn.com/sol3/papers.cfm?abstract_id=1556487" TargetMode="External"/><Relationship Id="rId141" Type="http://schemas.openxmlformats.org/officeDocument/2006/relationships/hyperlink" Target="http://www.albanese.co.uk" TargetMode="External"/><Relationship Id="rId7" Type="http://schemas.openxmlformats.org/officeDocument/2006/relationships/endnotes" Target="endnotes.xm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4" Type="http://schemas.openxmlformats.org/officeDocument/2006/relationships/hyperlink" Target="https://corporate.morningstar.com/ib/documents/MethodologyDocuments/IBBAssociates/BlackLitterman.pdf" TargetMode="External"/><Relationship Id="rId199" Type="http://schemas.openxmlformats.org/officeDocument/2006/relationships/hyperlink" Target="http://papers.ssrn.com/sol3/papers.cfm?abstract_id=1314585" TargetMode="External"/><Relationship Id="rId203" Type="http://schemas.openxmlformats.org/officeDocument/2006/relationships/theme" Target="theme/theme1.xm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hyperlink" Target="file:///C:\Lakshmi\DRIP_General\SKU\FixedIncomeAnalytics\Web4.cs.usl.ac.uk" TargetMode="Externa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5" Type="http://schemas.openxmlformats.org/officeDocument/2006/relationships/hyperlink" Target="http://www.globalriskguard.com/resources/assetman/BL_HfB_Oct08.pdf" TargetMode="External"/><Relationship Id="rId190" Type="http://schemas.openxmlformats.org/officeDocument/2006/relationships/hyperlink" Target="http://www.blacklitterman.org/methods.html" TargetMode="Externa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96" Type="http://schemas.openxmlformats.org/officeDocument/2006/relationships/hyperlink" Target="http://papers.ssrn.com/sol3/papers.cfm?abstract_id=872577" TargetMode="External"/><Relationship Id="rId200" Type="http://schemas.openxmlformats.org/officeDocument/2006/relationships/header" Target="header1.xm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97" Type="http://schemas.openxmlformats.org/officeDocument/2006/relationships/hyperlink" Target="http://papers.ssrn.com/sol3/papers.cfm?abstract_id=1213325" TargetMode="External"/><Relationship Id="rId201" Type="http://schemas.openxmlformats.org/officeDocument/2006/relationships/footer" Target="footer1.xm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yperlink" Target="https://en.wikipedia.org/wiki/Modern_portfolio_theory" TargetMode="Externa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 Id="rId198" Type="http://schemas.openxmlformats.org/officeDocument/2006/relationships/hyperlink" Target="http://papers.ssrn.com/sol3/papers.cfm?abstract_id=2641893" TargetMode="External"/><Relationship Id="rId202" Type="http://schemas.openxmlformats.org/officeDocument/2006/relationships/fontTable" Target="fontTable.xm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50" Type="http://schemas.openxmlformats.org/officeDocument/2006/relationships/hyperlink" Target="http://www.nationalbanken.dk/dnuk/rates.nsf/side/reference_rates!opendocument" TargetMode="External"/><Relationship Id="rId104" Type="http://schemas.openxmlformats.org/officeDocument/2006/relationships/hyperlink" Target="http://papers.ssrn.com/sol3/papers.cfm?abstract_id=1440633" TargetMode="External"/><Relationship Id="rId125" Type="http://schemas.openxmlformats.org/officeDocument/2006/relationships/hyperlink" Target="http://www.isda.org/c_and_a/pdf/ISDA-Margin-Survey-2009.pdf"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hyperlink" Target="https://statistik.econ.kit.edu/download/doc_secure1/RM-Interview-Rachev-Mittnik-EnglishTranslation.pdf" TargetMode="Externa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7CC2C-425E-4511-86E2-F1CAB4CC7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730</Pages>
  <Words>135165</Words>
  <Characters>770447</Characters>
  <Application>Microsoft Office Word</Application>
  <DocSecurity>0</DocSecurity>
  <Lines>6420</Lines>
  <Paragraphs>1807</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903805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2016-04-27T19:27:00Z</dcterms:created>
  <dcterms:modified xsi:type="dcterms:W3CDTF">2016-04-27T19:27:00Z</dcterms:modified>
</cp:coreProperties>
</file>