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C5780B">
        <w:rPr>
          <w:b/>
          <w:bCs/>
        </w:rPr>
        <w:t>7</w:t>
      </w:r>
      <w:r w:rsidR="00C905F7">
        <w:rPr>
          <w:b/>
          <w:bCs/>
        </w:rPr>
        <w:t>7</w:t>
      </w:r>
      <w:r>
        <w:t xml:space="preserve">, </w:t>
      </w:r>
      <w:r w:rsidR="00900EF1">
        <w:t>2</w:t>
      </w:r>
      <w:r w:rsidR="00C905F7">
        <w:t>7</w:t>
      </w:r>
      <w:r>
        <w:t xml:space="preserve"> </w:t>
      </w:r>
      <w:r w:rsidR="00766AB6">
        <w:t>January 2016</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C5780B" w:rsidRDefault="00C5780B" w:rsidP="00602A16">
      <w:pPr>
        <w:pStyle w:val="Heading3"/>
        <w:jc w:val="center"/>
        <w:rPr>
          <w:sz w:val="32"/>
        </w:rPr>
      </w:pPr>
    </w:p>
    <w:p w:rsidR="00BE4B31" w:rsidRDefault="00BE4B31" w:rsidP="00602A16">
      <w:pPr>
        <w:pStyle w:val="Heading3"/>
        <w:jc w:val="center"/>
        <w:rPr>
          <w:sz w:val="32"/>
        </w:rPr>
      </w:pPr>
      <w:r>
        <w:rPr>
          <w:sz w:val="32"/>
        </w:rPr>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357E90" w:rsidRDefault="00357E90" w:rsidP="00602A16">
      <w:pPr>
        <w:pStyle w:val="Footer"/>
        <w:tabs>
          <w:tab w:val="clear" w:pos="4320"/>
          <w:tab w:val="clear" w:pos="8640"/>
        </w:tabs>
        <w:spacing w:line="360" w:lineRule="auto"/>
        <w:jc w:val="center"/>
        <w:rPr>
          <w:b/>
          <w:sz w:val="32"/>
          <w:szCs w:val="32"/>
        </w:rPr>
      </w:pP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357E90" w:rsidRDefault="00357E90" w:rsidP="00602A16">
      <w:pPr>
        <w:pStyle w:val="Footer"/>
        <w:tabs>
          <w:tab w:val="clear" w:pos="4320"/>
          <w:tab w:val="clear" w:pos="8640"/>
        </w:tabs>
        <w:spacing w:line="360" w:lineRule="auto"/>
        <w:jc w:val="center"/>
        <w:rPr>
          <w:b/>
          <w:sz w:val="32"/>
          <w:szCs w:val="32"/>
        </w:rPr>
      </w:pP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357E90" w:rsidRDefault="00357E90" w:rsidP="006C0292">
      <w:pPr>
        <w:pStyle w:val="Footer"/>
        <w:tabs>
          <w:tab w:val="clear" w:pos="4320"/>
          <w:tab w:val="clear" w:pos="8640"/>
        </w:tabs>
        <w:spacing w:line="360" w:lineRule="auto"/>
        <w:jc w:val="center"/>
        <w:rPr>
          <w:b/>
          <w:sz w:val="32"/>
          <w:szCs w:val="32"/>
        </w:rPr>
      </w:pP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CF6E03"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CF6E03"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CF6E03"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BB5547" w:rsidRDefault="00BB5547" w:rsidP="0059129D">
      <w:pPr>
        <w:pStyle w:val="Footer"/>
        <w:tabs>
          <w:tab w:val="clear" w:pos="4320"/>
          <w:tab w:val="clear" w:pos="8640"/>
        </w:tabs>
        <w:spacing w:line="360" w:lineRule="auto"/>
        <w:jc w:val="center"/>
        <w:rPr>
          <w:b/>
          <w:sz w:val="32"/>
          <w:szCs w:val="32"/>
        </w:rPr>
      </w:pP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lastRenderedPageBreak/>
        <w:t>FRA Period Mismatch</w:t>
      </w:r>
      <w:r w:rsidRPr="00D83B2A">
        <w:t>:</w:t>
      </w:r>
      <w:r>
        <w:t xml:space="preserve"> The FRA’s end date can be slightly different from the end date of the theoretical deposit underlying the IBOR rate. This potential mismatch comes from a 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w:t>
      </w:r>
      <w:r>
        <w:lastRenderedPageBreak/>
        <w:t>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lastRenderedPageBreak/>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CF6E03"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w:t>
      </w:r>
      <w:r>
        <w:lastRenderedPageBreak/>
        <w:t>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w:t>
      </w:r>
      <w:r>
        <w:lastRenderedPageBreak/>
        <w:t>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lastRenderedPageBreak/>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lastRenderedPageBreak/>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lastRenderedPageBreak/>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CF6E03"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lastRenderedPageBreak/>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CF6E0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CF6E0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CF6E0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lastRenderedPageBreak/>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CF6E03"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CF6E03"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w:t>
      </w:r>
      <w:r w:rsidR="000503C7">
        <w:t>iration date. The quotations are</w:t>
      </w:r>
      <w:r>
        <w:t xml:space="preserve">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CF6E03"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CF6E03"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CF6E03"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CF6E03"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CF6E03"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CF6E03"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CF6E03"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CF6E0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F6E0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F6E0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CF6E03"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jc w:val="center"/>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Heading1"/>
        <w:jc w:val="center"/>
        <w:rPr>
          <w:sz w:val="32"/>
          <w:u w:val="none"/>
        </w:rPr>
      </w:pPr>
      <w:r>
        <w:rPr>
          <w:sz w:val="32"/>
          <w:u w:val="none"/>
        </w:rPr>
        <w:t xml:space="preserve">Section III: </w:t>
      </w:r>
      <w:r w:rsidR="000503C7">
        <w:rPr>
          <w:sz w:val="32"/>
          <w:u w:val="none"/>
        </w:rPr>
        <w:t>Treasury Futures and Options</w:t>
      </w:r>
    </w:p>
    <w:p w:rsidR="00127203" w:rsidRDefault="003759D1" w:rsidP="00127203">
      <w:pPr>
        <w:spacing w:line="360" w:lineRule="auto"/>
        <w:jc w:val="center"/>
      </w:pPr>
      <w:r>
        <w:br w:type="page"/>
      </w:r>
    </w:p>
    <w:p w:rsidR="00127203" w:rsidRDefault="00127203" w:rsidP="00127203">
      <w:pPr>
        <w:spacing w:line="360" w:lineRule="auto"/>
        <w:jc w:val="center"/>
        <w:rPr>
          <w:b/>
          <w:bCs/>
          <w:sz w:val="32"/>
        </w:rPr>
      </w:pPr>
    </w:p>
    <w:p w:rsidR="00127203" w:rsidRDefault="00127203" w:rsidP="00127203">
      <w:pPr>
        <w:spacing w:line="360" w:lineRule="auto"/>
        <w:jc w:val="center"/>
        <w:rPr>
          <w:b/>
          <w:sz w:val="32"/>
          <w:szCs w:val="32"/>
        </w:rPr>
      </w:pPr>
      <w:r>
        <w:rPr>
          <w:b/>
          <w:sz w:val="32"/>
          <w:szCs w:val="32"/>
        </w:rPr>
        <w:t>Treasury Futures Trading and Hedging</w:t>
      </w:r>
    </w:p>
    <w:p w:rsidR="00127203" w:rsidRDefault="00127203" w:rsidP="00127203">
      <w:pPr>
        <w:spacing w:line="360" w:lineRule="auto"/>
      </w:pPr>
    </w:p>
    <w:p w:rsidR="00127203" w:rsidRDefault="00127203" w:rsidP="00127203">
      <w:pPr>
        <w:spacing w:line="360" w:lineRule="auto"/>
      </w:pPr>
    </w:p>
    <w:p w:rsidR="00127203" w:rsidRDefault="00127203" w:rsidP="00127203">
      <w:pPr>
        <w:spacing w:line="360" w:lineRule="auto"/>
        <w:rPr>
          <w:b/>
          <w:sz w:val="28"/>
          <w:szCs w:val="28"/>
        </w:rPr>
      </w:pPr>
      <w:r>
        <w:rPr>
          <w:b/>
          <w:sz w:val="28"/>
          <w:szCs w:val="28"/>
        </w:rPr>
        <w:t>Introduction and Contract Detail Specifications</w:t>
      </w:r>
    </w:p>
    <w:p w:rsidR="00127203" w:rsidRDefault="00127203" w:rsidP="00127203">
      <w:pPr>
        <w:spacing w:after="160" w:line="360" w:lineRule="auto"/>
      </w:pPr>
    </w:p>
    <w:p w:rsidR="00127203" w:rsidRDefault="00127203" w:rsidP="00127203">
      <w:pPr>
        <w:pStyle w:val="ListParagraph"/>
        <w:numPr>
          <w:ilvl w:val="0"/>
          <w:numId w:val="7"/>
        </w:numPr>
        <w:spacing w:after="160" w:line="360" w:lineRule="auto"/>
      </w:pPr>
      <w:r w:rsidRPr="00127203">
        <w:rPr>
          <w:u w:val="single"/>
        </w:rPr>
        <w:t>Exchange Traded Treasury Futures Contract</w:t>
      </w:r>
      <w:r w:rsidRPr="0084037E">
        <w:t xml:space="preserve">: </w:t>
      </w:r>
      <w:r>
        <w:t>A widely used risk management instrument in debt capital markets is the government bond futures contract. This is an exchange traded standardized contract that fixes the price today at which a specified quantity and quality of a treasury bond will be delivered at a date during the expiry month of the futures contract.</w:t>
      </w:r>
    </w:p>
    <w:p w:rsidR="00127203" w:rsidRDefault="00127203" w:rsidP="00127203">
      <w:pPr>
        <w:pStyle w:val="ListParagraph"/>
        <w:numPr>
          <w:ilvl w:val="0"/>
          <w:numId w:val="7"/>
        </w:numPr>
        <w:spacing w:after="160" w:line="360" w:lineRule="auto"/>
      </w:pPr>
      <w:r>
        <w:rPr>
          <w:u w:val="single"/>
        </w:rPr>
        <w:t>Treasury Futures vs. STIR Futures</w:t>
      </w:r>
      <w:r w:rsidRPr="002864A8">
        <w:t>:</w:t>
      </w:r>
      <w:r>
        <w:t xml:space="preserve"> Unlike short term interest rate futures instruments which only require cash settlement, treasury futures require the actual settlement of the bond when they are settled.</w:t>
      </w:r>
    </w:p>
    <w:p w:rsidR="00127203" w:rsidRDefault="00127203" w:rsidP="00127203">
      <w:pPr>
        <w:pStyle w:val="ListParagraph"/>
        <w:numPr>
          <w:ilvl w:val="0"/>
          <w:numId w:val="7"/>
        </w:numPr>
        <w:spacing w:after="160" w:line="360" w:lineRule="auto"/>
      </w:pPr>
      <w:r>
        <w:rPr>
          <w:u w:val="single"/>
        </w:rPr>
        <w:t>Exchange Traded Futures - The Concept</w:t>
      </w:r>
      <w:r w:rsidRPr="002864A8">
        <w:t>:</w:t>
      </w:r>
      <w:r>
        <w:t xml:space="preserve"> The </w:t>
      </w:r>
      <w:r w:rsidRPr="0026377F">
        <w:rPr>
          <w:i/>
        </w:rPr>
        <w:t>futures contract</w:t>
      </w:r>
      <w:r>
        <w:t xml:space="preserve"> is an agreement between two counterparties that fixes the terms of the exchange that will take place between them at a future date. They are standardized agreements as opposed to OTC ones that are traded on an exchange, so they are also referred to as </w:t>
      </w:r>
      <w:r>
        <w:rPr>
          <w:i/>
        </w:rPr>
        <w:t>exchange traded futures</w:t>
      </w:r>
      <w:r>
        <w:t>.</w:t>
      </w:r>
    </w:p>
    <w:p w:rsidR="00127203" w:rsidRDefault="00127203" w:rsidP="00127203">
      <w:pPr>
        <w:pStyle w:val="ListParagraph"/>
        <w:numPr>
          <w:ilvl w:val="0"/>
          <w:numId w:val="7"/>
        </w:numPr>
        <w:spacing w:after="160" w:line="360" w:lineRule="auto"/>
      </w:pPr>
      <w:r>
        <w:rPr>
          <w:u w:val="single"/>
        </w:rPr>
        <w:t>Contracts Traded on the LIFFE</w:t>
      </w:r>
      <w:r w:rsidRPr="0026377F">
        <w:t>:</w:t>
      </w:r>
      <w:r>
        <w:t xml:space="preserve"> In the UK financial futures are traded on the LIFFE – the London International Financial Futures Exchange – which opened in 1982. LIFFE is the biggest financial futures exchange in Europe in terms of the volume of the contracts traded. There are four classes of contracts traded on the LIFFE: the short-term interest rate contracts, the long-term interest rate contracts (treasury futures), the currency contracts, and the stock index contracts.</w:t>
      </w:r>
    </w:p>
    <w:p w:rsidR="00127203" w:rsidRDefault="00127203" w:rsidP="00127203">
      <w:pPr>
        <w:pStyle w:val="ListParagraph"/>
        <w:numPr>
          <w:ilvl w:val="0"/>
          <w:numId w:val="7"/>
        </w:numPr>
        <w:spacing w:after="160" w:line="360" w:lineRule="auto"/>
      </w:pPr>
      <w:r>
        <w:rPr>
          <w:u w:val="single"/>
        </w:rPr>
        <w:t>Maturity and Settlement Prices</w:t>
      </w:r>
      <w:r w:rsidRPr="007204C8">
        <w:t>:</w:t>
      </w:r>
      <w:r>
        <w:t xml:space="preserve"> Most futures contracts traded on exchanges around the world trade at three month maturity intervals, with the fixed maturity dates fixed at March, June, September, and December each year. This includes contracts traded on the LIFFE. Therefore at pre-set times during a year a contract for each of these months will </w:t>
      </w:r>
      <w:r>
        <w:rPr>
          <w:i/>
        </w:rPr>
        <w:t>expire</w:t>
      </w:r>
      <w:r>
        <w:t xml:space="preserve">, and a final </w:t>
      </w:r>
      <w:r w:rsidRPr="007204C8">
        <w:rPr>
          <w:i/>
        </w:rPr>
        <w:t>settlement</w:t>
      </w:r>
      <w:r>
        <w:t xml:space="preserve"> price is determined for it.</w:t>
      </w:r>
    </w:p>
    <w:p w:rsidR="00127203" w:rsidRDefault="00127203" w:rsidP="00127203">
      <w:pPr>
        <w:pStyle w:val="ListParagraph"/>
        <w:numPr>
          <w:ilvl w:val="0"/>
          <w:numId w:val="7"/>
        </w:numPr>
        <w:spacing w:after="160" w:line="360" w:lineRule="auto"/>
      </w:pPr>
      <w:r>
        <w:rPr>
          <w:u w:val="single"/>
        </w:rPr>
        <w:t>Liquidity in the Traded Contracts</w:t>
      </w:r>
      <w:r w:rsidRPr="007204C8">
        <w:t>:</w:t>
      </w:r>
      <w:r>
        <w:t xml:space="preserve"> The father out one goes in maturity the less liquid the trading is in that contract. It is normal to observe </w:t>
      </w:r>
      <w:r w:rsidRPr="00511F70">
        <w:t>liquid trading</w:t>
      </w:r>
      <w:r>
        <w:t xml:space="preserve"> only for the </w:t>
      </w:r>
      <w:r>
        <w:rPr>
          <w:i/>
        </w:rPr>
        <w:t>front month</w:t>
      </w:r>
      <w:r>
        <w:t xml:space="preserve"> </w:t>
      </w:r>
      <w:r>
        <w:lastRenderedPageBreak/>
        <w:t>contract (the current contract, so if we are trading in April 2015 the front month is the June 2015 future) and possibly one or two of the next contracts. The liquidity of the contract diminishes the farther out one trades in the maturity range.</w:t>
      </w:r>
    </w:p>
    <w:p w:rsidR="00127203" w:rsidRDefault="00127203" w:rsidP="00127203">
      <w:pPr>
        <w:pStyle w:val="ListParagraph"/>
        <w:numPr>
          <w:ilvl w:val="0"/>
          <w:numId w:val="7"/>
        </w:numPr>
        <w:spacing w:after="160" w:line="360" w:lineRule="auto"/>
      </w:pPr>
      <w:r>
        <w:rPr>
          <w:u w:val="single"/>
        </w:rPr>
        <w:t>Futures Position Close-out Types</w:t>
      </w:r>
      <w:r w:rsidRPr="00511F70">
        <w:t>:</w:t>
      </w:r>
      <w:r>
        <w:t xml:space="preserve"> When a party establishes a position in a futures contract, it can either run the position out to maturity, or close out the position between the trade date and the maturity date. If the position is closed out the party will have either a loss or a profit to book.</w:t>
      </w:r>
    </w:p>
    <w:p w:rsidR="00127203" w:rsidRDefault="00127203" w:rsidP="00127203">
      <w:pPr>
        <w:pStyle w:val="ListParagraph"/>
        <w:numPr>
          <w:ilvl w:val="0"/>
          <w:numId w:val="7"/>
        </w:numPr>
        <w:spacing w:after="160" w:line="360" w:lineRule="auto"/>
      </w:pPr>
      <w:r>
        <w:rPr>
          <w:u w:val="single"/>
        </w:rPr>
        <w:t>Treasury Futures Physical/Cash Settlement</w:t>
      </w:r>
      <w:r w:rsidRPr="00776F2B">
        <w:t>:</w:t>
      </w:r>
      <w:r>
        <w:t xml:space="preserve"> If a position is held to maturity, the party that is long the futures will take delivery of the underlying asset (bond) at the settlement price; the party that is short the futures will deliver the underlying asset. This is referred to as </w:t>
      </w:r>
      <w:r>
        <w:rPr>
          <w:i/>
        </w:rPr>
        <w:t>physical settlement</w:t>
      </w:r>
      <w:r>
        <w:t xml:space="preserve">, or sometime confusingly, as </w:t>
      </w:r>
      <w:r>
        <w:rPr>
          <w:i/>
        </w:rPr>
        <w:t>cash settlement</w:t>
      </w:r>
      <w:r>
        <w:t xml:space="preserve"> (Chaudhary (20</w:t>
      </w:r>
      <w:r w:rsidR="00F7511E">
        <w:t>11</w:t>
      </w:r>
      <w:r>
        <w:t>)).</w:t>
      </w:r>
    </w:p>
    <w:p w:rsidR="00127203" w:rsidRDefault="00127203" w:rsidP="00127203">
      <w:pPr>
        <w:pStyle w:val="ListParagraph"/>
        <w:numPr>
          <w:ilvl w:val="0"/>
          <w:numId w:val="7"/>
        </w:numPr>
        <w:spacing w:after="160" w:line="360" w:lineRule="auto"/>
      </w:pPr>
      <w:r>
        <w:rPr>
          <w:u w:val="single"/>
        </w:rPr>
        <w:t>LCH - The London Clearing House</w:t>
      </w:r>
      <w:r w:rsidRPr="00CC6538">
        <w:t>:</w:t>
      </w:r>
      <w:r>
        <w:t xml:space="preserve"> There is no counterparty risk associated with exchange traded futures because of the role of a </w:t>
      </w:r>
      <w:r>
        <w:rPr>
          <w:i/>
        </w:rPr>
        <w:t>clearing house</w:t>
      </w:r>
      <w:r>
        <w:t xml:space="preserve"> such as the London Clearing House. This is the body through which the contracts are settled. The clearing house acts as the buyer to all contracts sold on the exchange, and as seller to all contracts that are bought. So in the London market the LCH acts as the counterparty to all transactions, so that settlement is effectively guaranteed.</w:t>
      </w:r>
    </w:p>
    <w:p w:rsidR="00127203" w:rsidRDefault="00127203" w:rsidP="00127203">
      <w:pPr>
        <w:pStyle w:val="ListParagraph"/>
        <w:numPr>
          <w:ilvl w:val="0"/>
          <w:numId w:val="7"/>
        </w:numPr>
        <w:spacing w:after="160" w:line="360" w:lineRule="auto"/>
      </w:pPr>
      <w:r>
        <w:rPr>
          <w:u w:val="single"/>
        </w:rPr>
        <w:t>Margin Deposited by the Participants</w:t>
      </w:r>
      <w:r w:rsidRPr="005C0071">
        <w:t>:</w:t>
      </w:r>
      <w:r>
        <w:t xml:space="preserve"> The LCH requires all participants to deposit a </w:t>
      </w:r>
      <w:r w:rsidRPr="005C0071">
        <w:rPr>
          <w:i/>
        </w:rPr>
        <w:t>margin</w:t>
      </w:r>
      <w:r>
        <w:t xml:space="preserve"> with it – a cash sum that is the cost of conducting business (plus brokers’ commissions). The size of the margin depends on the size of a party’s net </w:t>
      </w:r>
      <w:r>
        <w:rPr>
          <w:i/>
        </w:rPr>
        <w:t>open</w:t>
      </w:r>
      <w:r>
        <w:t xml:space="preserve"> position in the contracts (an open position is a position in a contract that is held overnight and not closed out).</w:t>
      </w:r>
    </w:p>
    <w:p w:rsidR="00127203" w:rsidRDefault="00127203" w:rsidP="00127203">
      <w:pPr>
        <w:pStyle w:val="ListParagraph"/>
        <w:numPr>
          <w:ilvl w:val="0"/>
          <w:numId w:val="7"/>
        </w:numPr>
        <w:spacing w:after="160" w:line="360" w:lineRule="auto"/>
      </w:pPr>
      <w:r>
        <w:rPr>
          <w:u w:val="single"/>
        </w:rPr>
        <w:t>Margin Types - Maintenance vs. Variation</w:t>
      </w:r>
      <w:r w:rsidRPr="005C0071">
        <w:t>:</w:t>
      </w:r>
      <w:r>
        <w:t xml:space="preserve"> There are two types of margins – </w:t>
      </w:r>
      <w:r>
        <w:rPr>
          <w:i/>
        </w:rPr>
        <w:t>maintenance margin</w:t>
      </w:r>
      <w:r>
        <w:t xml:space="preserve"> and </w:t>
      </w:r>
      <w:r>
        <w:rPr>
          <w:i/>
        </w:rPr>
        <w:t>variation margin</w:t>
      </w:r>
      <w:r>
        <w:t>. Maintenance margin is the minimum level required to be held at the clearing house; the level is set by the exchange. Variation margin is the additional amount that must be deposited to cover any trading losses, as well as when the size of the net open positions increases.</w:t>
      </w:r>
    </w:p>
    <w:p w:rsidR="00127203" w:rsidRDefault="00127203" w:rsidP="00127203">
      <w:pPr>
        <w:pStyle w:val="ListParagraph"/>
        <w:numPr>
          <w:ilvl w:val="0"/>
          <w:numId w:val="7"/>
        </w:numPr>
        <w:spacing w:after="160" w:line="360" w:lineRule="auto"/>
      </w:pPr>
      <w:r>
        <w:rPr>
          <w:u w:val="single"/>
        </w:rPr>
        <w:t>Repo Margins vs. Exchange Margins</w:t>
      </w:r>
      <w:r w:rsidRPr="00894D6B">
        <w:t>:</w:t>
      </w:r>
      <w:r>
        <w:t xml:space="preserve"> Margin in the repo is a safeguard against the drop in the value of the collateral supplied against a loan of cash. The margin deposited at a futures exchange clearing house acts as essentially “good faith” funds required to provide comfort to the exchange that the futures trader is able to satisfy the obligations of the futures contract.</w:t>
      </w:r>
    </w:p>
    <w:p w:rsidR="00127203" w:rsidRDefault="00127203" w:rsidP="00127203">
      <w:pPr>
        <w:pStyle w:val="ListParagraph"/>
        <w:numPr>
          <w:ilvl w:val="0"/>
          <w:numId w:val="7"/>
        </w:numPr>
        <w:spacing w:after="160" w:line="360" w:lineRule="auto"/>
      </w:pPr>
      <w:r>
        <w:rPr>
          <w:u w:val="single"/>
        </w:rPr>
        <w:t>Sample CBOT UST Futures Contract</w:t>
      </w:r>
      <w:r w:rsidRPr="00CE7E98">
        <w:t>:</w:t>
      </w:r>
      <w:r>
        <w:t xml:space="preserve"> Source: CBOT</w:t>
      </w:r>
    </w:p>
    <w:tbl>
      <w:tblPr>
        <w:tblStyle w:val="TableGrid"/>
        <w:tblW w:w="0" w:type="auto"/>
        <w:tblLook w:val="04A0" w:firstRow="1" w:lastRow="0" w:firstColumn="1" w:lastColumn="0" w:noHBand="0" w:noVBand="1"/>
      </w:tblPr>
      <w:tblGrid>
        <w:gridCol w:w="2515"/>
        <w:gridCol w:w="6835"/>
      </w:tblGrid>
      <w:tr w:rsidR="00127203" w:rsidTr="00715605">
        <w:tc>
          <w:tcPr>
            <w:tcW w:w="2515" w:type="dxa"/>
          </w:tcPr>
          <w:p w:rsidR="00127203" w:rsidRDefault="00127203" w:rsidP="00715605">
            <w:pPr>
              <w:spacing w:line="360" w:lineRule="auto"/>
              <w:jc w:val="center"/>
            </w:pPr>
            <w:r>
              <w:lastRenderedPageBreak/>
              <w:t>Unit of Trading</w:t>
            </w:r>
          </w:p>
        </w:tc>
        <w:tc>
          <w:tcPr>
            <w:tcW w:w="6835" w:type="dxa"/>
            <w:vAlign w:val="center"/>
          </w:tcPr>
          <w:p w:rsidR="00127203" w:rsidRDefault="00127203" w:rsidP="00715605">
            <w:pPr>
              <w:spacing w:line="360" w:lineRule="auto"/>
            </w:pPr>
            <w:r>
              <w:t>UST Bond with a Notional Value of $100K and a Coupon of 8%</w:t>
            </w:r>
          </w:p>
        </w:tc>
      </w:tr>
      <w:tr w:rsidR="00127203" w:rsidTr="00715605">
        <w:tc>
          <w:tcPr>
            <w:tcW w:w="2515" w:type="dxa"/>
          </w:tcPr>
          <w:p w:rsidR="00127203" w:rsidRDefault="00127203" w:rsidP="00715605">
            <w:pPr>
              <w:spacing w:line="360" w:lineRule="auto"/>
              <w:jc w:val="center"/>
            </w:pPr>
            <w:r>
              <w:t>Deliverable Grades</w:t>
            </w:r>
          </w:p>
        </w:tc>
        <w:tc>
          <w:tcPr>
            <w:tcW w:w="6835" w:type="dxa"/>
            <w:vAlign w:val="center"/>
          </w:tcPr>
          <w:p w:rsidR="00127203" w:rsidRDefault="00127203" w:rsidP="00715605">
            <w:pPr>
              <w:spacing w:line="360" w:lineRule="auto"/>
            </w:pPr>
            <w:r>
              <w:t>UST with a Minimum Maturity of 15Y from the first day of the Delivery Month</w:t>
            </w:r>
          </w:p>
        </w:tc>
      </w:tr>
      <w:tr w:rsidR="00127203" w:rsidTr="00715605">
        <w:tc>
          <w:tcPr>
            <w:tcW w:w="2515" w:type="dxa"/>
          </w:tcPr>
          <w:p w:rsidR="00127203" w:rsidRDefault="00127203" w:rsidP="00715605">
            <w:pPr>
              <w:spacing w:line="360" w:lineRule="auto"/>
              <w:jc w:val="center"/>
            </w:pPr>
            <w:r>
              <w:t>Delivery Months</w:t>
            </w:r>
          </w:p>
        </w:tc>
        <w:tc>
          <w:tcPr>
            <w:tcW w:w="6835" w:type="dxa"/>
            <w:vAlign w:val="center"/>
          </w:tcPr>
          <w:p w:rsidR="00127203" w:rsidRDefault="00127203" w:rsidP="00715605">
            <w:pPr>
              <w:spacing w:line="360" w:lineRule="auto"/>
            </w:pPr>
            <w:r>
              <w:t>March, June, September, and December</w:t>
            </w:r>
          </w:p>
        </w:tc>
      </w:tr>
      <w:tr w:rsidR="00127203" w:rsidTr="00715605">
        <w:tc>
          <w:tcPr>
            <w:tcW w:w="2515" w:type="dxa"/>
          </w:tcPr>
          <w:p w:rsidR="00127203" w:rsidRDefault="00127203" w:rsidP="00715605">
            <w:pPr>
              <w:spacing w:line="360" w:lineRule="auto"/>
              <w:jc w:val="center"/>
            </w:pPr>
            <w:r>
              <w:t>Delivery Date</w:t>
            </w:r>
          </w:p>
        </w:tc>
        <w:tc>
          <w:tcPr>
            <w:tcW w:w="6835" w:type="dxa"/>
            <w:vAlign w:val="center"/>
          </w:tcPr>
          <w:p w:rsidR="00127203" w:rsidRDefault="00127203" w:rsidP="00715605">
            <w:pPr>
              <w:spacing w:line="360" w:lineRule="auto"/>
            </w:pPr>
            <w:r>
              <w:t>Any Business Day during the Delivery Month</w:t>
            </w:r>
          </w:p>
        </w:tc>
      </w:tr>
      <w:tr w:rsidR="00127203" w:rsidTr="00715605">
        <w:tc>
          <w:tcPr>
            <w:tcW w:w="2515" w:type="dxa"/>
          </w:tcPr>
          <w:p w:rsidR="00127203" w:rsidRDefault="00127203" w:rsidP="00715605">
            <w:pPr>
              <w:spacing w:line="360" w:lineRule="auto"/>
              <w:jc w:val="center"/>
            </w:pPr>
            <w:r>
              <w:t>Last Trading Day</w:t>
            </w:r>
          </w:p>
        </w:tc>
        <w:tc>
          <w:tcPr>
            <w:tcW w:w="6835" w:type="dxa"/>
            <w:vAlign w:val="center"/>
          </w:tcPr>
          <w:p w:rsidR="00127203" w:rsidRDefault="00127203" w:rsidP="00715605">
            <w:pPr>
              <w:spacing w:line="360" w:lineRule="auto"/>
            </w:pPr>
            <w:r>
              <w:t>12:00 NOON, 7</w:t>
            </w:r>
            <w:r w:rsidRPr="00CE7E98">
              <w:rPr>
                <w:vertAlign w:val="superscript"/>
              </w:rPr>
              <w:t>th</w:t>
            </w:r>
            <w:r>
              <w:t xml:space="preserve"> Business Day before the last Business Day of the Delivery Month</w:t>
            </w:r>
          </w:p>
        </w:tc>
      </w:tr>
      <w:tr w:rsidR="00127203" w:rsidTr="00715605">
        <w:tc>
          <w:tcPr>
            <w:tcW w:w="2515" w:type="dxa"/>
          </w:tcPr>
          <w:p w:rsidR="00127203" w:rsidRDefault="00127203" w:rsidP="00715605">
            <w:pPr>
              <w:spacing w:line="360" w:lineRule="auto"/>
              <w:jc w:val="center"/>
            </w:pPr>
            <w:r>
              <w:t xml:space="preserve">Quotation </w:t>
            </w:r>
          </w:p>
        </w:tc>
        <w:tc>
          <w:tcPr>
            <w:tcW w:w="6835" w:type="dxa"/>
            <w:vAlign w:val="center"/>
          </w:tcPr>
          <w:p w:rsidR="00127203" w:rsidRDefault="00127203" w:rsidP="00715605">
            <w:pPr>
              <w:spacing w:line="360" w:lineRule="auto"/>
            </w:pPr>
            <w:r>
              <w:t xml:space="preserve">Percent of Par expressed as Points and Thirty-two Seconds of a Point, e.g., 108-16 is </w:t>
            </w:r>
            <m:oMath>
              <m:r>
                <w:rPr>
                  <w:rFonts w:ascii="Cambria Math" w:hAnsi="Cambria Math"/>
                </w:rPr>
                <m:t>108</m:t>
              </m:r>
              <m:f>
                <m:fPr>
                  <m:ctrlPr>
                    <w:rPr>
                      <w:rFonts w:ascii="Cambria Math" w:eastAsiaTheme="minorHAnsi" w:hAnsi="Cambria Math"/>
                      <w:i/>
                    </w:rPr>
                  </m:ctrlPr>
                </m:fPr>
                <m:num>
                  <m:r>
                    <w:rPr>
                      <w:rFonts w:ascii="Cambria Math" w:hAnsi="Cambria Math"/>
                    </w:rPr>
                    <m:t>16</m:t>
                  </m:r>
                </m:num>
                <m:den>
                  <m:r>
                    <w:rPr>
                      <w:rFonts w:ascii="Cambria Math" w:hAnsi="Cambria Math"/>
                    </w:rPr>
                    <m:t>32</m:t>
                  </m:r>
                </m:den>
              </m:f>
            </m:oMath>
            <w:r>
              <w:rPr>
                <w:rFonts w:eastAsiaTheme="minorEastAsia"/>
              </w:rPr>
              <w:t xml:space="preserve"> or 108.50</w:t>
            </w:r>
          </w:p>
        </w:tc>
      </w:tr>
      <w:tr w:rsidR="00127203" w:rsidTr="00715605">
        <w:tc>
          <w:tcPr>
            <w:tcW w:w="2515" w:type="dxa"/>
          </w:tcPr>
          <w:p w:rsidR="00127203" w:rsidRDefault="00127203" w:rsidP="00715605">
            <w:pPr>
              <w:spacing w:line="360" w:lineRule="auto"/>
              <w:jc w:val="center"/>
            </w:pPr>
            <w:r>
              <w:t>Minimum Price Movement</w:t>
            </w:r>
          </w:p>
        </w:tc>
        <w:tc>
          <w:tcPr>
            <w:tcW w:w="6835" w:type="dxa"/>
            <w:vAlign w:val="center"/>
          </w:tcPr>
          <w:p w:rsidR="00127203" w:rsidRDefault="00CF6E03" w:rsidP="00715605">
            <w:pPr>
              <w:spacing w:line="360" w:lineRule="auto"/>
            </w:pPr>
            <m:oMathPara>
              <m:oMath>
                <m:f>
                  <m:fPr>
                    <m:ctrlPr>
                      <w:rPr>
                        <w:rFonts w:ascii="Cambria Math" w:eastAsiaTheme="minorHAnsi" w:hAnsi="Cambria Math"/>
                        <w:i/>
                      </w:rPr>
                    </m:ctrlPr>
                  </m:fPr>
                  <m:num>
                    <m:r>
                      <w:rPr>
                        <w:rFonts w:ascii="Cambria Math" w:hAnsi="Cambria Math"/>
                      </w:rPr>
                      <m:t>1</m:t>
                    </m:r>
                  </m:num>
                  <m:den>
                    <m:r>
                      <w:rPr>
                        <w:rFonts w:ascii="Cambria Math" w:hAnsi="Cambria Math"/>
                      </w:rPr>
                      <m:t>32</m:t>
                    </m:r>
                  </m:den>
                </m:f>
              </m:oMath>
            </m:oMathPara>
          </w:p>
        </w:tc>
      </w:tr>
      <w:tr w:rsidR="00127203" w:rsidTr="00715605">
        <w:tc>
          <w:tcPr>
            <w:tcW w:w="2515" w:type="dxa"/>
          </w:tcPr>
          <w:p w:rsidR="00127203" w:rsidRDefault="00127203" w:rsidP="00715605">
            <w:pPr>
              <w:spacing w:line="360" w:lineRule="auto"/>
              <w:jc w:val="center"/>
            </w:pPr>
            <w:r>
              <w:t>Tick Value</w:t>
            </w:r>
          </w:p>
        </w:tc>
        <w:tc>
          <w:tcPr>
            <w:tcW w:w="6835" w:type="dxa"/>
            <w:vAlign w:val="center"/>
          </w:tcPr>
          <w:p w:rsidR="00127203" w:rsidRDefault="00127203" w:rsidP="00715605">
            <w:pPr>
              <w:spacing w:line="360" w:lineRule="auto"/>
            </w:pPr>
            <w:r>
              <w:t>$31.25</w:t>
            </w:r>
          </w:p>
        </w:tc>
      </w:tr>
      <w:tr w:rsidR="00127203" w:rsidTr="00715605">
        <w:tc>
          <w:tcPr>
            <w:tcW w:w="2515" w:type="dxa"/>
          </w:tcPr>
          <w:p w:rsidR="00127203" w:rsidRDefault="00127203" w:rsidP="00715605">
            <w:pPr>
              <w:spacing w:line="360" w:lineRule="auto"/>
              <w:jc w:val="center"/>
            </w:pPr>
            <w:r>
              <w:t>Trading Hours</w:t>
            </w:r>
          </w:p>
        </w:tc>
        <w:tc>
          <w:tcPr>
            <w:tcW w:w="6835" w:type="dxa"/>
            <w:vAlign w:val="center"/>
          </w:tcPr>
          <w:p w:rsidR="00127203" w:rsidRDefault="00127203" w:rsidP="00715605">
            <w:pPr>
              <w:spacing w:line="360" w:lineRule="auto"/>
            </w:pPr>
            <w:r>
              <w:t>07:20 – 14:00 (Pit Trading)</w:t>
            </w:r>
          </w:p>
          <w:p w:rsidR="00127203" w:rsidRDefault="00127203" w:rsidP="00715605">
            <w:pPr>
              <w:spacing w:line="360" w:lineRule="auto"/>
            </w:pPr>
            <w:r>
              <w:t>17:20 – 20:05</w:t>
            </w:r>
          </w:p>
          <w:p w:rsidR="00127203" w:rsidRDefault="00127203" w:rsidP="00715605">
            <w:pPr>
              <w:spacing w:line="360" w:lineRule="auto"/>
            </w:pPr>
            <w:r>
              <w:t>22:30 – 06:00 (Screen Trading)</w:t>
            </w:r>
          </w:p>
        </w:tc>
      </w:tr>
    </w:tbl>
    <w:p w:rsidR="00127203" w:rsidRDefault="00127203" w:rsidP="00127203">
      <w:pPr>
        <w:spacing w:line="360" w:lineRule="auto"/>
      </w:pPr>
    </w:p>
    <w:p w:rsidR="00127203" w:rsidRDefault="00127203" w:rsidP="00127203">
      <w:pPr>
        <w:pStyle w:val="ListParagraph"/>
        <w:numPr>
          <w:ilvl w:val="0"/>
          <w:numId w:val="7"/>
        </w:numPr>
        <w:spacing w:after="160" w:line="360" w:lineRule="auto"/>
      </w:pPr>
      <w:r>
        <w:rPr>
          <w:u w:val="single"/>
        </w:rPr>
        <w:t>Notional Coupon of the Contract</w:t>
      </w:r>
      <w:r w:rsidRPr="00CE7E98">
        <w:t>:</w:t>
      </w:r>
      <w:r>
        <w:t xml:space="preserve"> The terms of the contract relate to a UST bond with a minimum maturity of 15Y and a </w:t>
      </w:r>
      <w:r>
        <w:rPr>
          <w:i/>
        </w:rPr>
        <w:t>notional coupon</w:t>
      </w:r>
      <w:r>
        <w:t xml:space="preserve"> of 8%. The futures contract specifies a notional coupon to prevent delivery and liquidity problems that would arise if there was a shortage of bonds with exactly the coupon required, or f one market participant purchased a large proportion of all the bonds in issue with the required coupon.</w:t>
      </w:r>
    </w:p>
    <w:p w:rsidR="00127203" w:rsidRDefault="00127203" w:rsidP="00127203">
      <w:pPr>
        <w:pStyle w:val="ListParagraph"/>
        <w:numPr>
          <w:ilvl w:val="0"/>
          <w:numId w:val="7"/>
        </w:numPr>
        <w:spacing w:after="160" w:line="360" w:lineRule="auto"/>
      </w:pPr>
      <w:r>
        <w:rPr>
          <w:u w:val="single"/>
        </w:rPr>
        <w:t>Choice in the Deliverable Bond</w:t>
      </w:r>
      <w:r>
        <w:t>: For exchange-traded futures the short future can deliver any bond that fits the maturity criterion specified in the contract terms. Of course a long futures would like to deliver a high-coupon bond with significant accrued interest whereas the short-futures would want to deliver a low coupon bond with low accrued interest.</w:t>
      </w:r>
    </w:p>
    <w:p w:rsidR="00127203" w:rsidRDefault="00127203" w:rsidP="00127203">
      <w:pPr>
        <w:pStyle w:val="ListParagraph"/>
        <w:numPr>
          <w:ilvl w:val="0"/>
          <w:numId w:val="7"/>
        </w:numPr>
        <w:spacing w:after="160" w:line="360" w:lineRule="auto"/>
      </w:pPr>
      <w:r>
        <w:rPr>
          <w:u w:val="single"/>
        </w:rPr>
        <w:t>Treasury Futures Invoice Amount Calculation</w:t>
      </w:r>
      <w:r w:rsidRPr="00552332">
        <w:t>:</w:t>
      </w:r>
      <w:r>
        <w:t xml:space="preserve"> The challenge above is accounted for by the way the </w:t>
      </w:r>
      <w:r>
        <w:rPr>
          <w:i/>
        </w:rPr>
        <w:t>invoice amount</w:t>
      </w:r>
      <w:r>
        <w:t xml:space="preserve"> (the amount paid by the long futures to purchase the bond) is calculated. The invoice amount on the expiry date is given as</w:t>
      </w:r>
    </w:p>
    <w:p w:rsidR="00127203" w:rsidRDefault="00127203" w:rsidP="00127203">
      <w:pPr>
        <w:pStyle w:val="ListParagraph"/>
        <w:spacing w:line="360" w:lineRule="auto"/>
        <w:ind w:left="360"/>
      </w:pPr>
    </w:p>
    <w:p w:rsidR="00127203" w:rsidRPr="00552332" w:rsidRDefault="00CF6E03" w:rsidP="00127203">
      <w:pPr>
        <w:spacing w:line="360" w:lineRule="auto"/>
        <w:rPr>
          <w:rFonts w:eastAsiaTheme="minorEastAsia"/>
        </w:rPr>
      </w:pPr>
      <m:oMathPara>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r>
            <w:rPr>
              <w:rFonts w:ascii="Cambria Math" w:hAnsi="Cambria Math"/>
            </w:rPr>
            <m:t>=</m:t>
          </m:r>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r>
            <w:rPr>
              <w:rFonts w:ascii="Cambria Math" w:hAnsi="Cambria Math"/>
            </w:rPr>
            <m:t>×CF+AI</m:t>
          </m:r>
        </m:oMath>
      </m:oMathPara>
    </w:p>
    <w:p w:rsidR="00127203" w:rsidRDefault="00127203" w:rsidP="00127203">
      <w:pPr>
        <w:spacing w:line="360" w:lineRule="auto"/>
        <w:rPr>
          <w:rFonts w:eastAsiaTheme="minorEastAsia"/>
        </w:rPr>
      </w:pPr>
    </w:p>
    <w:p w:rsidR="00127203" w:rsidRPr="00552332" w:rsidRDefault="00127203" w:rsidP="00127203">
      <w:pPr>
        <w:spacing w:line="360" w:lineRule="auto"/>
      </w:pPr>
      <w:r>
        <w:rPr>
          <w:rFonts w:eastAsiaTheme="minorEastAsia"/>
        </w:rPr>
        <w:t xml:space="preserve">where </w:t>
      </w:r>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oMath>
      <w:r>
        <w:rPr>
          <w:rFonts w:eastAsiaTheme="minorEastAsia"/>
        </w:rPr>
        <w:t xml:space="preserve"> is the invoice amount, </w:t>
      </w:r>
      <m:oMath>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oMath>
      <w:r>
        <w:rPr>
          <w:rFonts w:eastAsiaTheme="minorEastAsia"/>
        </w:rPr>
        <w:t xml:space="preserve"> is the price of the futures contract, </w:t>
      </w:r>
      <m:oMath>
        <m:r>
          <w:rPr>
            <w:rFonts w:ascii="Cambria Math" w:hAnsi="Cambria Math"/>
          </w:rPr>
          <m:t>CF</m:t>
        </m:r>
      </m:oMath>
      <w:r>
        <w:rPr>
          <w:rFonts w:eastAsiaTheme="minorEastAsia"/>
        </w:rPr>
        <w:t xml:space="preserve"> is the conversion factor, and </w:t>
      </w:r>
      <m:oMath>
        <m:r>
          <w:rPr>
            <w:rFonts w:ascii="Cambria Math" w:hAnsi="Cambria Math"/>
          </w:rPr>
          <m:t>AI</m:t>
        </m:r>
      </m:oMath>
      <w:r>
        <w:rPr>
          <w:rFonts w:eastAsiaTheme="minorEastAsia"/>
        </w:rPr>
        <w:t xml:space="preserve"> is the bond accrued interest.</w:t>
      </w:r>
    </w:p>
    <w:p w:rsidR="00127203" w:rsidRDefault="00127203" w:rsidP="00127203">
      <w:pPr>
        <w:pStyle w:val="ListParagraph"/>
        <w:numPr>
          <w:ilvl w:val="0"/>
          <w:numId w:val="7"/>
        </w:numPr>
        <w:spacing w:after="160" w:line="360" w:lineRule="auto"/>
      </w:pPr>
      <w:r>
        <w:rPr>
          <w:u w:val="single"/>
        </w:rPr>
        <w:t>Bonds in the Delivery Basket</w:t>
      </w:r>
      <w:r w:rsidRPr="00552332">
        <w:t xml:space="preserve">: </w:t>
      </w:r>
      <w:r>
        <w:t xml:space="preserve">Any bond the meets the maturity specification of the futures contract is said to be in the </w:t>
      </w:r>
      <w:r>
        <w:rPr>
          <w:i/>
        </w:rPr>
        <w:t>delivery basket</w:t>
      </w:r>
      <w:r>
        <w:t xml:space="preserve"> – the group of bonds that are eligible to be delivered into the futures contract. Every bond in the delivery basket will have its own </w:t>
      </w:r>
      <w:r w:rsidRPr="00552332">
        <w:rPr>
          <w:i/>
        </w:rPr>
        <w:t>conversion factor</w:t>
      </w:r>
      <w:r>
        <w:t xml:space="preserve"> that is used to equalize the coupon and the accrued interest differences of all the delivery bonds.</w:t>
      </w:r>
    </w:p>
    <w:p w:rsidR="00127203" w:rsidRDefault="00127203" w:rsidP="00127203">
      <w:pPr>
        <w:pStyle w:val="ListParagraph"/>
        <w:numPr>
          <w:ilvl w:val="0"/>
          <w:numId w:val="7"/>
        </w:numPr>
        <w:spacing w:after="160" w:line="360" w:lineRule="auto"/>
      </w:pPr>
      <w:r>
        <w:rPr>
          <w:u w:val="single"/>
        </w:rPr>
        <w:t>Announcement of the Conversion Factor</w:t>
      </w:r>
      <w:r w:rsidRPr="00E11BD8">
        <w:t>:</w:t>
      </w:r>
      <w:r>
        <w:t xml:space="preserve"> The exchange will announce the conversion factor for each bond before trading in a contract begins; the conversion factor for a bond will change over time, but remains fixed for one individual contract. That is if a bond has a conversion factor of 1.091252 this will remain fixed for the life of the contract.</w:t>
      </w:r>
    </w:p>
    <w:p w:rsidR="00127203" w:rsidRDefault="00127203" w:rsidP="00127203">
      <w:pPr>
        <w:pStyle w:val="ListParagraph"/>
        <w:numPr>
          <w:ilvl w:val="0"/>
          <w:numId w:val="7"/>
        </w:numPr>
        <w:spacing w:after="160" w:line="360" w:lineRule="auto"/>
      </w:pPr>
      <w:r>
        <w:rPr>
          <w:u w:val="single"/>
        </w:rPr>
        <w:t>Notional Coupon Impact of the CF</w:t>
      </w:r>
      <w:r w:rsidRPr="00CA7F26">
        <w:t>:</w:t>
      </w:r>
      <w:r>
        <w:t xml:space="preserve"> If a contract specifies a bond with a notional coupon of 4% (e.g., a long GILT future on LIFFE) the conversion factor will be less than 1.0 for bonds with a coupon lower than 4% and higher than 1.0 for bonds with a coupon higher than 4%.</w:t>
      </w:r>
    </w:p>
    <w:p w:rsidR="00127203" w:rsidRDefault="00127203" w:rsidP="00127203">
      <w:pPr>
        <w:pStyle w:val="ListParagraph"/>
        <w:numPr>
          <w:ilvl w:val="0"/>
          <w:numId w:val="7"/>
        </w:numPr>
        <w:spacing w:after="160" w:line="360" w:lineRule="auto"/>
      </w:pPr>
      <w:r>
        <w:rPr>
          <w:u w:val="single"/>
        </w:rPr>
        <w:t>Formal Definition of Conversion Factor</w:t>
      </w:r>
      <w:r w:rsidRPr="00CA7F26">
        <w:t>:</w:t>
      </w:r>
      <w:r>
        <w:t xml:space="preserve"> The conversion factor (or the price factor) gives the price of an individual cash bond such that its yield to maturity on the delivery date of the futures contract equals the notional coupon of the contract. The product of the conversion factor and the futures price is the forward price available in the futures market for that cash bond (plus the cost of funding referred to as the gross basis).</w:t>
      </w:r>
    </w:p>
    <w:p w:rsidR="00127203" w:rsidRDefault="00127203" w:rsidP="00127203">
      <w:pPr>
        <w:pStyle w:val="ListParagraph"/>
        <w:numPr>
          <w:ilvl w:val="0"/>
          <w:numId w:val="7"/>
        </w:numPr>
        <w:spacing w:after="160" w:line="360" w:lineRule="auto"/>
      </w:pPr>
      <w:r>
        <w:rPr>
          <w:u w:val="single"/>
        </w:rPr>
        <w:t>Yield Impact on Bond’s Cheapness</w:t>
      </w:r>
      <w:r w:rsidRPr="00F54255">
        <w:t>:</w:t>
      </w:r>
      <w:r>
        <w:t xml:space="preserve"> Although conversion factors equalize the yield on bonds, the bonds on the delivery basket trade at different yields, and for this reason they are not </w:t>
      </w:r>
      <w:r w:rsidRPr="00F54255">
        <w:rPr>
          <w:i/>
        </w:rPr>
        <w:t>equal</w:t>
      </w:r>
      <w:r>
        <w:t xml:space="preserve"> at the time of delivery. Certain bonds will be cheaper than the others, and one bond will be the </w:t>
      </w:r>
      <w:r>
        <w:rPr>
          <w:i/>
        </w:rPr>
        <w:t>cheapest-to-deliver</w:t>
      </w:r>
      <w:r>
        <w:t xml:space="preserve"> bond.</w:t>
      </w:r>
    </w:p>
    <w:p w:rsidR="00127203" w:rsidRDefault="00127203" w:rsidP="00127203">
      <w:pPr>
        <w:pStyle w:val="ListParagraph"/>
        <w:numPr>
          <w:ilvl w:val="0"/>
          <w:numId w:val="7"/>
        </w:numPr>
        <w:spacing w:after="160" w:line="360" w:lineRule="auto"/>
      </w:pPr>
      <w:r>
        <w:rPr>
          <w:u w:val="single"/>
        </w:rPr>
        <w:t>Determination of the Cheapest-to-Deliver</w:t>
      </w:r>
      <w:r w:rsidRPr="00F54255">
        <w:t>:</w:t>
      </w:r>
      <w:r>
        <w:t xml:space="preserve"> The cheapest-to-deliver bond is the one that gives the greatest return from a strategy of buying the bond and simultaneously selling the futures contract, and the closing out the positions on the expiry of the contract. This so-called </w:t>
      </w:r>
      <w:r>
        <w:rPr>
          <w:i/>
        </w:rPr>
        <w:t>cash-and-carry trading</w:t>
      </w:r>
      <w:r>
        <w:t xml:space="preserve"> is actively pursued by proprietary trading desks.</w:t>
      </w:r>
    </w:p>
    <w:p w:rsidR="00127203" w:rsidRDefault="00127203" w:rsidP="00127203">
      <w:pPr>
        <w:pStyle w:val="ListParagraph"/>
        <w:numPr>
          <w:ilvl w:val="0"/>
          <w:numId w:val="7"/>
        </w:numPr>
        <w:spacing w:after="160" w:line="360" w:lineRule="auto"/>
      </w:pPr>
      <w:r>
        <w:rPr>
          <w:u w:val="single"/>
        </w:rPr>
        <w:t>CTD vs. Futures Basis Trading</w:t>
      </w:r>
      <w:r w:rsidRPr="00E14FEA">
        <w:t>:</w:t>
      </w:r>
      <w:r>
        <w:t xml:space="preserve"> If a contract is purchased and then held to maturity the buyer will receive – via the exchange’s clearing house – the cheapest-to-deliver bond. Traders </w:t>
      </w:r>
      <w:r>
        <w:lastRenderedPageBreak/>
        <w:t xml:space="preserve">exploit these price differentials between the futures and the CTD bond – known as </w:t>
      </w:r>
      <w:r>
        <w:rPr>
          <w:i/>
        </w:rPr>
        <w:t>basis trading</w:t>
      </w:r>
      <w:r>
        <w:t>.</w:t>
      </w:r>
    </w:p>
    <w:p w:rsidR="00127203" w:rsidRDefault="00127203" w:rsidP="00127203">
      <w:pPr>
        <w:pStyle w:val="ListParagraph"/>
        <w:numPr>
          <w:ilvl w:val="0"/>
          <w:numId w:val="7"/>
        </w:numPr>
        <w:spacing w:after="160" w:line="360" w:lineRule="auto"/>
      </w:pPr>
      <w:r>
        <w:rPr>
          <w:u w:val="single"/>
        </w:rPr>
        <w:t>LIFFE Long GILT Futures Contract</w:t>
      </w:r>
      <w:r w:rsidRPr="00CA6B51">
        <w:t>:</w:t>
      </w:r>
      <w:r>
        <w:t xml:space="preserve"> A sample contract specification of the long GILT futures traded on the LIFFE is shown in the table below. There is also a medium GILT contract on the LIFFE that was introduced in 1998, having been discontinued in the 1990’s. This trades a notional 5Y GILT with eligible GILT’s being in the 4Y to the 7Y maturity.</w:t>
      </w:r>
    </w:p>
    <w:p w:rsidR="00127203" w:rsidRDefault="00127203" w:rsidP="00127203">
      <w:pPr>
        <w:pStyle w:val="ListParagraph"/>
        <w:numPr>
          <w:ilvl w:val="0"/>
          <w:numId w:val="7"/>
        </w:numPr>
        <w:spacing w:after="160" w:line="360" w:lineRule="auto"/>
      </w:pPr>
      <w:r>
        <w:rPr>
          <w:u w:val="single"/>
        </w:rPr>
        <w:t>LIFFE Long-GILT Futures Specification</w:t>
      </w:r>
      <w:r w:rsidRPr="00C70F38">
        <w:t>:</w:t>
      </w:r>
      <w:r>
        <w:t xml:space="preserve"> Source =&gt; LIFFE</w:t>
      </w:r>
    </w:p>
    <w:tbl>
      <w:tblPr>
        <w:tblStyle w:val="TableGrid"/>
        <w:tblW w:w="0" w:type="auto"/>
        <w:tblLook w:val="04A0" w:firstRow="1" w:lastRow="0" w:firstColumn="1" w:lastColumn="0" w:noHBand="0" w:noVBand="1"/>
      </w:tblPr>
      <w:tblGrid>
        <w:gridCol w:w="2965"/>
        <w:gridCol w:w="6385"/>
      </w:tblGrid>
      <w:tr w:rsidR="00127203" w:rsidTr="00715605">
        <w:tc>
          <w:tcPr>
            <w:tcW w:w="2965" w:type="dxa"/>
            <w:vAlign w:val="center"/>
          </w:tcPr>
          <w:p w:rsidR="00127203" w:rsidRDefault="00127203" w:rsidP="00715605">
            <w:pPr>
              <w:spacing w:line="360" w:lineRule="auto"/>
              <w:jc w:val="center"/>
            </w:pPr>
            <w:r>
              <w:t>Unit of Trading</w:t>
            </w:r>
          </w:p>
        </w:tc>
        <w:tc>
          <w:tcPr>
            <w:tcW w:w="6385" w:type="dxa"/>
            <w:vAlign w:val="center"/>
          </w:tcPr>
          <w:p w:rsidR="00127203" w:rsidRDefault="00127203" w:rsidP="00715605">
            <w:pPr>
              <w:spacing w:line="360" w:lineRule="auto"/>
              <w:jc w:val="center"/>
            </w:pPr>
            <w:r>
              <w:t>UK GILT’s have a face value of 100,000 GBP, a notional coupon of 7%, and a notional maturity of 10Y – changed from the contract value of 50,000 GBP from the September 1998 contract</w:t>
            </w:r>
          </w:p>
        </w:tc>
      </w:tr>
      <w:tr w:rsidR="00127203" w:rsidTr="00715605">
        <w:tc>
          <w:tcPr>
            <w:tcW w:w="2965" w:type="dxa"/>
            <w:vAlign w:val="center"/>
          </w:tcPr>
          <w:p w:rsidR="00127203" w:rsidRDefault="00127203" w:rsidP="00715605">
            <w:pPr>
              <w:spacing w:line="360" w:lineRule="auto"/>
              <w:jc w:val="center"/>
            </w:pPr>
            <w:r>
              <w:t>Deliverable Grades</w:t>
            </w:r>
          </w:p>
        </w:tc>
        <w:tc>
          <w:tcPr>
            <w:tcW w:w="6385" w:type="dxa"/>
            <w:vAlign w:val="center"/>
          </w:tcPr>
          <w:p w:rsidR="00127203" w:rsidRDefault="00127203" w:rsidP="00715605">
            <w:pPr>
              <w:spacing w:line="360" w:lineRule="auto"/>
              <w:jc w:val="center"/>
            </w:pPr>
            <w:r>
              <w:t xml:space="preserve">UK GILT’s with maturities ranging from </w:t>
            </w:r>
            <m:oMath>
              <m:r>
                <w:rPr>
                  <w:rFonts w:ascii="Cambria Math" w:hAnsi="Cambria Math"/>
                </w:rPr>
                <m:t>8</m:t>
              </m:r>
              <m:f>
                <m:fPr>
                  <m:ctrlPr>
                    <w:rPr>
                      <w:rFonts w:ascii="Cambria Math" w:eastAsiaTheme="minorHAnsi" w:hAnsi="Cambria Math"/>
                      <w:i/>
                    </w:rPr>
                  </m:ctrlPr>
                </m:fPr>
                <m:num>
                  <m:r>
                    <w:rPr>
                      <w:rFonts w:ascii="Cambria Math" w:hAnsi="Cambria Math"/>
                    </w:rPr>
                    <m:t>3</m:t>
                  </m:r>
                </m:num>
                <m:den>
                  <m:r>
                    <w:rPr>
                      <w:rFonts w:ascii="Cambria Math" w:hAnsi="Cambria Math"/>
                    </w:rPr>
                    <m:t>4</m:t>
                  </m:r>
                </m:den>
              </m:f>
            </m:oMath>
            <w:r>
              <w:rPr>
                <w:rFonts w:eastAsiaTheme="minorEastAsia"/>
              </w:rPr>
              <w:t>Y to 13Y from the first day of the delivery month (changed from 10-15Y from the December 1998 contract)</w:t>
            </w:r>
          </w:p>
        </w:tc>
      </w:tr>
      <w:tr w:rsidR="00127203" w:rsidTr="00715605">
        <w:tc>
          <w:tcPr>
            <w:tcW w:w="2965" w:type="dxa"/>
            <w:vAlign w:val="center"/>
          </w:tcPr>
          <w:p w:rsidR="00127203" w:rsidRDefault="00127203" w:rsidP="00715605">
            <w:pPr>
              <w:spacing w:line="360" w:lineRule="auto"/>
              <w:jc w:val="center"/>
            </w:pPr>
            <w:r>
              <w:t>Delivery Months</w:t>
            </w:r>
          </w:p>
        </w:tc>
        <w:tc>
          <w:tcPr>
            <w:tcW w:w="6385" w:type="dxa"/>
            <w:vAlign w:val="center"/>
          </w:tcPr>
          <w:p w:rsidR="00127203" w:rsidRDefault="00127203" w:rsidP="00715605">
            <w:pPr>
              <w:spacing w:line="360" w:lineRule="auto"/>
              <w:jc w:val="center"/>
            </w:pPr>
            <w:r>
              <w:t>March, June, September, and December</w:t>
            </w:r>
          </w:p>
        </w:tc>
      </w:tr>
      <w:tr w:rsidR="00127203" w:rsidTr="00715605">
        <w:tc>
          <w:tcPr>
            <w:tcW w:w="2965" w:type="dxa"/>
            <w:vAlign w:val="center"/>
          </w:tcPr>
          <w:p w:rsidR="00127203" w:rsidRDefault="00127203" w:rsidP="00715605">
            <w:pPr>
              <w:spacing w:line="360" w:lineRule="auto"/>
              <w:jc w:val="center"/>
            </w:pPr>
            <w:r>
              <w:t>Delivery Date</w:t>
            </w:r>
          </w:p>
        </w:tc>
        <w:tc>
          <w:tcPr>
            <w:tcW w:w="6385" w:type="dxa"/>
            <w:vAlign w:val="center"/>
          </w:tcPr>
          <w:p w:rsidR="00127203" w:rsidRDefault="00127203" w:rsidP="00715605">
            <w:pPr>
              <w:spacing w:line="360" w:lineRule="auto"/>
              <w:jc w:val="center"/>
            </w:pPr>
            <w:r>
              <w:t>Any Business Day during the Delivery Month</w:t>
            </w:r>
          </w:p>
        </w:tc>
      </w:tr>
      <w:tr w:rsidR="00127203" w:rsidTr="00715605">
        <w:tc>
          <w:tcPr>
            <w:tcW w:w="2965" w:type="dxa"/>
            <w:vAlign w:val="center"/>
          </w:tcPr>
          <w:p w:rsidR="00127203" w:rsidRDefault="00127203" w:rsidP="00715605">
            <w:pPr>
              <w:spacing w:line="360" w:lineRule="auto"/>
              <w:jc w:val="center"/>
            </w:pPr>
            <w:r>
              <w:t>Last Trading Day</w:t>
            </w:r>
          </w:p>
        </w:tc>
        <w:tc>
          <w:tcPr>
            <w:tcW w:w="6385" w:type="dxa"/>
            <w:vAlign w:val="center"/>
          </w:tcPr>
          <w:p w:rsidR="00127203" w:rsidRDefault="00127203" w:rsidP="00715605">
            <w:pPr>
              <w:spacing w:line="360" w:lineRule="auto"/>
              <w:jc w:val="center"/>
            </w:pPr>
            <w:r>
              <w:t>11:00, 2BD before 1BD before the delivery month</w:t>
            </w:r>
          </w:p>
        </w:tc>
      </w:tr>
      <w:tr w:rsidR="00127203" w:rsidTr="00715605">
        <w:tc>
          <w:tcPr>
            <w:tcW w:w="2965" w:type="dxa"/>
            <w:vAlign w:val="center"/>
          </w:tcPr>
          <w:p w:rsidR="00127203" w:rsidRDefault="00127203" w:rsidP="00715605">
            <w:pPr>
              <w:spacing w:line="360" w:lineRule="auto"/>
              <w:jc w:val="center"/>
            </w:pPr>
            <w:r>
              <w:t>Quotation</w:t>
            </w:r>
          </w:p>
        </w:tc>
        <w:tc>
          <w:tcPr>
            <w:tcW w:w="6385" w:type="dxa"/>
            <w:vAlign w:val="center"/>
          </w:tcPr>
          <w:p w:rsidR="00127203" w:rsidRDefault="00127203" w:rsidP="00715605">
            <w:pPr>
              <w:spacing w:line="360" w:lineRule="auto"/>
              <w:jc w:val="center"/>
            </w:pPr>
            <w:r>
              <w:t>Percent of Par expressed as points and one-hundredth’s of a point, for example 114.56</w:t>
            </w:r>
          </w:p>
        </w:tc>
      </w:tr>
      <w:tr w:rsidR="00127203" w:rsidTr="00715605">
        <w:tc>
          <w:tcPr>
            <w:tcW w:w="2965" w:type="dxa"/>
            <w:vAlign w:val="center"/>
          </w:tcPr>
          <w:p w:rsidR="00127203" w:rsidRDefault="00127203" w:rsidP="00715605">
            <w:pPr>
              <w:spacing w:line="360" w:lineRule="auto"/>
              <w:jc w:val="center"/>
            </w:pPr>
            <w:r>
              <w:t>Minimum Price Movement</w:t>
            </w:r>
          </w:p>
        </w:tc>
        <w:tc>
          <w:tcPr>
            <w:tcW w:w="6385" w:type="dxa"/>
            <w:vAlign w:val="center"/>
          </w:tcPr>
          <w:p w:rsidR="00127203" w:rsidRDefault="00127203" w:rsidP="00715605">
            <w:pPr>
              <w:spacing w:line="360" w:lineRule="auto"/>
              <w:jc w:val="center"/>
            </w:pPr>
            <w:r>
              <w:t>0.01 of One Point (One Tick)</w:t>
            </w:r>
          </w:p>
        </w:tc>
      </w:tr>
      <w:tr w:rsidR="00127203" w:rsidTr="00715605">
        <w:tc>
          <w:tcPr>
            <w:tcW w:w="2965" w:type="dxa"/>
            <w:vAlign w:val="center"/>
          </w:tcPr>
          <w:p w:rsidR="00127203" w:rsidRDefault="00127203" w:rsidP="00715605">
            <w:pPr>
              <w:spacing w:line="360" w:lineRule="auto"/>
              <w:jc w:val="center"/>
            </w:pPr>
            <w:r>
              <w:t>Tick Value</w:t>
            </w:r>
          </w:p>
        </w:tc>
        <w:tc>
          <w:tcPr>
            <w:tcW w:w="6385" w:type="dxa"/>
            <w:vAlign w:val="center"/>
          </w:tcPr>
          <w:p w:rsidR="00127203" w:rsidRDefault="00127203" w:rsidP="00715605">
            <w:pPr>
              <w:spacing w:line="360" w:lineRule="auto"/>
              <w:jc w:val="center"/>
            </w:pPr>
            <w:r>
              <w:t>10 GBP</w:t>
            </w:r>
          </w:p>
        </w:tc>
      </w:tr>
      <w:tr w:rsidR="00127203" w:rsidTr="00715605">
        <w:tc>
          <w:tcPr>
            <w:tcW w:w="2965" w:type="dxa"/>
            <w:vAlign w:val="center"/>
          </w:tcPr>
          <w:p w:rsidR="00127203" w:rsidRDefault="00127203" w:rsidP="00715605">
            <w:pPr>
              <w:spacing w:line="360" w:lineRule="auto"/>
              <w:jc w:val="center"/>
            </w:pPr>
            <w:r>
              <w:t>Trading Hours</w:t>
            </w:r>
          </w:p>
        </w:tc>
        <w:tc>
          <w:tcPr>
            <w:tcW w:w="6385" w:type="dxa"/>
            <w:vAlign w:val="center"/>
          </w:tcPr>
          <w:p w:rsidR="00127203" w:rsidRDefault="00127203" w:rsidP="00715605">
            <w:pPr>
              <w:spacing w:line="360" w:lineRule="auto"/>
              <w:jc w:val="center"/>
            </w:pPr>
            <w:r>
              <w:t xml:space="preserve">8:00 – 18:00 hours. All Trading conducted Electronically on LIFFE </w:t>
            </w:r>
            <m:oMath>
              <m:sSup>
                <m:sSupPr>
                  <m:ctrlPr>
                    <w:rPr>
                      <w:rFonts w:ascii="Cambria Math" w:eastAsiaTheme="minorHAnsi" w:hAnsi="Cambria Math"/>
                      <w:i/>
                    </w:rPr>
                  </m:ctrlPr>
                </m:sSupPr>
                <m:e>
                  <m:r>
                    <w:rPr>
                      <w:rFonts w:ascii="Cambria Math" w:hAnsi="Cambria Math"/>
                    </w:rPr>
                    <m:t>CONNECT</m:t>
                  </m:r>
                </m:e>
                <m:sup>
                  <m:r>
                    <w:rPr>
                      <w:rFonts w:ascii="Cambria Math" w:hAnsi="Cambria Math"/>
                    </w:rPr>
                    <m:t>TM</m:t>
                  </m:r>
                </m:sup>
              </m:sSup>
            </m:oMath>
            <w:r>
              <w:t xml:space="preserve"> Platform</w:t>
            </w:r>
          </w:p>
        </w:tc>
      </w:tr>
    </w:tbl>
    <w:p w:rsidR="00127203" w:rsidRDefault="00127203" w:rsidP="00127203">
      <w:pPr>
        <w:spacing w:line="360" w:lineRule="auto"/>
      </w:pPr>
    </w:p>
    <w:p w:rsidR="00127203" w:rsidRPr="0000299C" w:rsidRDefault="00127203" w:rsidP="00127203">
      <w:pPr>
        <w:pStyle w:val="ListParagraph"/>
        <w:numPr>
          <w:ilvl w:val="0"/>
          <w:numId w:val="7"/>
        </w:numPr>
        <w:spacing w:after="160" w:line="360" w:lineRule="auto"/>
        <w:rPr>
          <w:rFonts w:eastAsiaTheme="minorHAnsi"/>
        </w:rPr>
      </w:pPr>
      <w:r>
        <w:rPr>
          <w:u w:val="single"/>
        </w:rPr>
        <w:t>Repo Trade Cost-of-Carry</w:t>
      </w:r>
      <w:r w:rsidRPr="00C70F38">
        <w:t>:</w:t>
      </w:r>
      <w:r>
        <w:t xml:space="preserve"> It is the level of the Repo rate in the market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oMath>
      <w:r>
        <w:t>) compared to the running yield of the underlying bond (</w:t>
      </w:r>
      <m:oMath>
        <m:r>
          <w:rPr>
            <w:rFonts w:ascii="Cambria Math" w:hAnsi="Cambria Math"/>
          </w:rPr>
          <m:t>y</m:t>
        </m:r>
      </m:oMath>
      <w:r>
        <w:t xml:space="preserve">) that sets the price of the futures contract.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is the net financing cost in the arbitrage trade and is known as the </w:t>
      </w:r>
      <w:r>
        <w:rPr>
          <w:rFonts w:eastAsiaTheme="minorEastAsia"/>
          <w:i/>
        </w:rPr>
        <w:t>cost of carry</w:t>
      </w:r>
      <w:r>
        <w:rPr>
          <w:rFonts w:eastAsiaTheme="minorEastAsia"/>
        </w:rPr>
        <w:t>.</w:t>
      </w:r>
    </w:p>
    <w:p w:rsidR="00127203" w:rsidRDefault="00127203" w:rsidP="00127203">
      <w:pPr>
        <w:pStyle w:val="ListParagraph"/>
        <w:numPr>
          <w:ilvl w:val="0"/>
          <w:numId w:val="7"/>
        </w:numPr>
        <w:spacing w:after="160" w:line="360" w:lineRule="auto"/>
      </w:pPr>
      <w:r>
        <w:rPr>
          <w:u w:val="single"/>
        </w:rPr>
        <w:t>Positive vs. Negative Carry Trade</w:t>
      </w:r>
      <w:r>
        <w:t xml:space="preserve">: If the running yield on the bond is higher than the funding cost (the repo rate) this corresponds to positive funding or </w:t>
      </w:r>
      <w:r>
        <w:rPr>
          <w:i/>
        </w:rPr>
        <w:t>positive carry</w:t>
      </w:r>
      <w:r>
        <w:t>. Negative funding (</w:t>
      </w:r>
      <w:r>
        <w:rPr>
          <w:i/>
        </w:rPr>
        <w:t>negative carry</w:t>
      </w:r>
      <w:r>
        <w:t>) is when the repo rate is higher than the running yield.</w:t>
      </w:r>
    </w:p>
    <w:p w:rsidR="00127203" w:rsidRPr="007848D3" w:rsidRDefault="00127203" w:rsidP="00127203">
      <w:pPr>
        <w:pStyle w:val="ListParagraph"/>
        <w:numPr>
          <w:ilvl w:val="0"/>
          <w:numId w:val="7"/>
        </w:numPr>
        <w:spacing w:after="160" w:line="360" w:lineRule="auto"/>
        <w:rPr>
          <w:rFonts w:eastAsiaTheme="minorHAnsi"/>
        </w:rPr>
      </w:pPr>
      <w:r w:rsidRPr="007848D3">
        <w:rPr>
          <w:u w:val="single"/>
        </w:rPr>
        <w:lastRenderedPageBreak/>
        <w:t>Futures vs. Cash Forward Price</w:t>
      </w:r>
      <w:r>
        <w:t xml:space="preserve">: The level of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determines whether the futures price above the cash forward market or below it. If the carry is positive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then the futures trades below the forward price, known as trading at a </w:t>
      </w:r>
      <w:r>
        <w:rPr>
          <w:rFonts w:eastAsiaTheme="minorEastAsia"/>
          <w:i/>
        </w:rPr>
        <w:t>discount</w:t>
      </w:r>
      <w:r>
        <w:rPr>
          <w:rFonts w:eastAsiaTheme="minorEastAsia"/>
        </w:rPr>
        <w:t xml:space="preserve">. Where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w:t>
      </w:r>
      <w:r>
        <w:rPr>
          <w:rFonts w:eastAsiaTheme="minorEastAsia"/>
          <w:i/>
        </w:rPr>
        <w:t>negative carry</w:t>
      </w:r>
      <w:r>
        <w:rPr>
          <w:rFonts w:eastAsiaTheme="minorEastAsia"/>
        </w:rPr>
        <w:t>) the futures price will be at a premium to the forwards price. If the net funding cost was zero, such that we had neither positive nor negative carry, the futures price would equal the underlying bond price.</w:t>
      </w:r>
    </w:p>
    <w:p w:rsidR="00127203" w:rsidRDefault="00127203" w:rsidP="00127203">
      <w:pPr>
        <w:pStyle w:val="ListParagraph"/>
        <w:numPr>
          <w:ilvl w:val="0"/>
          <w:numId w:val="7"/>
        </w:numPr>
        <w:spacing w:after="160" w:line="360" w:lineRule="auto"/>
      </w:pPr>
      <w:r>
        <w:rPr>
          <w:u w:val="single"/>
        </w:rPr>
        <w:t>Impact of the Yield Curve Slope</w:t>
      </w:r>
      <w:r>
        <w:t>: The cost of carry related to a bond futures contract is a function of the yield curve.</w:t>
      </w:r>
    </w:p>
    <w:p w:rsidR="00127203" w:rsidRDefault="00127203" w:rsidP="00127203">
      <w:pPr>
        <w:pStyle w:val="ListParagraph"/>
        <w:numPr>
          <w:ilvl w:val="0"/>
          <w:numId w:val="7"/>
        </w:numPr>
        <w:spacing w:after="160" w:line="360" w:lineRule="auto"/>
      </w:pPr>
      <w:r>
        <w:rPr>
          <w:u w:val="single"/>
        </w:rPr>
        <w:t>Impact of Positive Yield Curve Slope</w:t>
      </w:r>
      <w:r w:rsidRPr="007848D3">
        <w:t>:</w:t>
      </w:r>
      <w:r>
        <w:t xml:space="preserve"> In a positive yield curve environment the repo rate is likely to be lower than the running yield of the bond, so the cost of carry is likely to be positive. As there is generally only a liquid market in the long bond futures out to contracts that mature up to one year from the trade date, with a positive yield curve it would be unusual to have a short term repo rate higher than the running yield on the long bond.</w:t>
      </w:r>
    </w:p>
    <w:p w:rsidR="00127203" w:rsidRDefault="00127203" w:rsidP="00127203">
      <w:pPr>
        <w:pStyle w:val="ListParagraph"/>
        <w:numPr>
          <w:ilvl w:val="0"/>
          <w:numId w:val="7"/>
        </w:numPr>
        <w:spacing w:after="160" w:line="360" w:lineRule="auto"/>
      </w:pPr>
      <w:r>
        <w:rPr>
          <w:u w:val="single"/>
        </w:rPr>
        <w:t>Negative Yield Curve Slope Impact</w:t>
      </w:r>
      <w:r w:rsidRPr="007848D3">
        <w:t>:</w:t>
      </w:r>
      <w:r>
        <w:t xml:space="preserve"> So in such an environment (as above) the futures trades at a discount to the forward. If there is a negative sloping yield curve then the futures trades at a premium to the forward. It is in the circumstances of changes in the shape of the yield curve that opportunities for relative value and arbitrage trading arise, especially as the CTD bond for a given futures changes with changes in the curve.</w:t>
      </w:r>
    </w:p>
    <w:p w:rsidR="00127203" w:rsidRPr="001D3A12" w:rsidRDefault="00127203" w:rsidP="00127203">
      <w:pPr>
        <w:pStyle w:val="ListParagraph"/>
        <w:numPr>
          <w:ilvl w:val="0"/>
          <w:numId w:val="7"/>
        </w:numPr>
        <w:spacing w:after="160" w:line="360" w:lineRule="auto"/>
      </w:pPr>
      <w:r>
        <w:rPr>
          <w:u w:val="single"/>
        </w:rPr>
        <w:t>Integrates Clearing Houses and Exchanges</w:t>
      </w:r>
      <w:r>
        <w:t>: The clearing house may be owned by the exchange itself, such as the one associated with CME (the CME Clearing House), or maybe a separate entity such as the London Clearing House, which settles transactions on LIFFE. The LCH is also involved in running clearing systems for swaps and repo products in certain currencies.</w:t>
      </w:r>
    </w:p>
    <w:p w:rsidR="00127203" w:rsidRDefault="00127203" w:rsidP="00127203">
      <w:pPr>
        <w:spacing w:line="360" w:lineRule="auto"/>
      </w:pPr>
    </w:p>
    <w:p w:rsidR="00127203" w:rsidRDefault="00127203" w:rsidP="00127203">
      <w:pPr>
        <w:spacing w:line="360" w:lineRule="auto"/>
      </w:pPr>
    </w:p>
    <w:p w:rsidR="00127203" w:rsidRDefault="00127203" w:rsidP="00127203">
      <w:pPr>
        <w:spacing w:line="360" w:lineRule="auto"/>
        <w:rPr>
          <w:b/>
          <w:sz w:val="28"/>
          <w:szCs w:val="28"/>
        </w:rPr>
      </w:pPr>
      <w:r>
        <w:rPr>
          <w:b/>
          <w:sz w:val="28"/>
          <w:szCs w:val="28"/>
        </w:rPr>
        <w:t>References</w:t>
      </w:r>
    </w:p>
    <w:p w:rsidR="00127203" w:rsidRDefault="00127203" w:rsidP="00127203">
      <w:pPr>
        <w:tabs>
          <w:tab w:val="left" w:pos="7800"/>
        </w:tabs>
        <w:spacing w:line="360" w:lineRule="auto"/>
      </w:pPr>
      <w:r>
        <w:tab/>
      </w:r>
    </w:p>
    <w:p w:rsidR="00127203" w:rsidRDefault="00127203" w:rsidP="00127203">
      <w:pPr>
        <w:pStyle w:val="Footer"/>
        <w:numPr>
          <w:ilvl w:val="0"/>
          <w:numId w:val="395"/>
        </w:numPr>
        <w:tabs>
          <w:tab w:val="clear" w:pos="4320"/>
          <w:tab w:val="clear" w:pos="8640"/>
        </w:tabs>
        <w:spacing w:line="360" w:lineRule="auto"/>
      </w:pPr>
      <w:r>
        <w:t>Chaudhary</w:t>
      </w:r>
      <w:r w:rsidRPr="0084037E">
        <w:t xml:space="preserve">, </w:t>
      </w:r>
      <w:r>
        <w:t>M.</w:t>
      </w:r>
      <w:r w:rsidRPr="0084037E">
        <w:t xml:space="preserve"> (20</w:t>
      </w:r>
      <w:r w:rsidR="00F7511E">
        <w:t xml:space="preserve">11): Bank Asset and Liability Management: Strategy, Trading, and Analysis </w:t>
      </w:r>
      <w:r w:rsidR="00F7511E">
        <w:rPr>
          <w:b/>
        </w:rPr>
        <w:t>Wiley</w:t>
      </w:r>
      <w:r w:rsidR="00F7511E">
        <w:t>.</w:t>
      </w:r>
    </w:p>
    <w:p w:rsidR="002D4B29" w:rsidRDefault="002D4B29">
      <w:pPr>
        <w:spacing w:after="160" w:line="259" w:lineRule="auto"/>
      </w:pPr>
      <w:r>
        <w:br w:type="page"/>
      </w:r>
    </w:p>
    <w:p w:rsidR="002D4B29" w:rsidRDefault="002D4B29" w:rsidP="002D4B29">
      <w:pPr>
        <w:spacing w:line="360" w:lineRule="auto"/>
        <w:jc w:val="center"/>
        <w:rPr>
          <w:b/>
          <w:bCs/>
          <w:sz w:val="32"/>
        </w:rPr>
      </w:pPr>
    </w:p>
    <w:p w:rsidR="002D4B29" w:rsidRDefault="002D4B29" w:rsidP="002D4B29">
      <w:pPr>
        <w:spacing w:line="360" w:lineRule="auto"/>
        <w:jc w:val="center"/>
        <w:rPr>
          <w:b/>
          <w:sz w:val="32"/>
          <w:szCs w:val="32"/>
        </w:rPr>
      </w:pPr>
      <w:r>
        <w:rPr>
          <w:b/>
          <w:sz w:val="32"/>
          <w:szCs w:val="32"/>
        </w:rPr>
        <w:t>Identification of</w:t>
      </w:r>
      <w:r w:rsidR="00CA2950">
        <w:rPr>
          <w:b/>
          <w:sz w:val="32"/>
          <w:szCs w:val="32"/>
        </w:rPr>
        <w:t xml:space="preserve"> the</w:t>
      </w:r>
      <w:r>
        <w:rPr>
          <w:b/>
          <w:sz w:val="32"/>
          <w:szCs w:val="32"/>
        </w:rPr>
        <w:t xml:space="preserve"> CTD in Basket</w:t>
      </w:r>
    </w:p>
    <w:p w:rsidR="002D4B29" w:rsidRDefault="002D4B29" w:rsidP="002D4B29">
      <w:pPr>
        <w:spacing w:line="360" w:lineRule="auto"/>
      </w:pPr>
    </w:p>
    <w:p w:rsidR="002D4B29" w:rsidRDefault="002D4B29" w:rsidP="002D4B29">
      <w:pPr>
        <w:spacing w:line="360" w:lineRule="auto"/>
      </w:pPr>
    </w:p>
    <w:p w:rsidR="002D4B29" w:rsidRDefault="00AA1553" w:rsidP="002D4B29">
      <w:pPr>
        <w:spacing w:line="360" w:lineRule="auto"/>
        <w:rPr>
          <w:b/>
          <w:sz w:val="28"/>
          <w:szCs w:val="28"/>
        </w:rPr>
      </w:pPr>
      <w:r>
        <w:rPr>
          <w:b/>
          <w:sz w:val="28"/>
          <w:szCs w:val="28"/>
        </w:rPr>
        <w:t>Motivation for the Conversion Factor</w:t>
      </w:r>
    </w:p>
    <w:p w:rsidR="002D4B29" w:rsidRDefault="002D4B29" w:rsidP="002D4B29">
      <w:pPr>
        <w:spacing w:after="160" w:line="360" w:lineRule="auto"/>
      </w:pPr>
    </w:p>
    <w:p w:rsidR="002D4B29" w:rsidRDefault="00AA1553" w:rsidP="002D4B29">
      <w:pPr>
        <w:pStyle w:val="ListParagraph"/>
        <w:numPr>
          <w:ilvl w:val="0"/>
          <w:numId w:val="396"/>
        </w:numPr>
        <w:spacing w:after="160" w:line="360" w:lineRule="auto"/>
      </w:pPr>
      <w:r>
        <w:rPr>
          <w:u w:val="single"/>
        </w:rPr>
        <w:t>Bond Coupon Price/Size Differential</w:t>
      </w:r>
      <w:r w:rsidR="002D4B29" w:rsidRPr="0084037E">
        <w:t xml:space="preserve">: </w:t>
      </w:r>
      <w:r>
        <w:t>The purpose of the conversion system is to put all of the deliverable bonds on more or less equal footing</w:t>
      </w:r>
      <w:r w:rsidR="002D4B29">
        <w:t>.</w:t>
      </w:r>
      <w:r>
        <w:t xml:space="preserve"> All else equal, bonds with big coupons have higher prices than those with smaller coupons.</w:t>
      </w:r>
    </w:p>
    <w:p w:rsidR="00AA1553" w:rsidRDefault="00AA1553" w:rsidP="002D4B29">
      <w:pPr>
        <w:pStyle w:val="ListParagraph"/>
        <w:numPr>
          <w:ilvl w:val="0"/>
          <w:numId w:val="396"/>
        </w:numPr>
        <w:spacing w:after="160" w:line="360" w:lineRule="auto"/>
      </w:pPr>
      <w:r>
        <w:rPr>
          <w:u w:val="single"/>
        </w:rPr>
        <w:t>Normalization of the Deliverable Bond Price</w:t>
      </w:r>
      <w:r w:rsidRPr="00AA1553">
        <w:t>:</w:t>
      </w:r>
      <w:r>
        <w:t xml:space="preserve"> The conversion factor systems equalizes the price of the deliverable bonds by pricing them to the reference yield. A deliverable bond’s conversion factor tells you what the price of that bond would be per $1 of par value, at the yield corresponding to the reference yield.</w:t>
      </w:r>
    </w:p>
    <w:p w:rsidR="00AA1553" w:rsidRDefault="00AA1553" w:rsidP="002D4B29">
      <w:pPr>
        <w:pStyle w:val="ListParagraph"/>
        <w:numPr>
          <w:ilvl w:val="0"/>
          <w:numId w:val="396"/>
        </w:numPr>
        <w:spacing w:after="160" w:line="360" w:lineRule="auto"/>
      </w:pPr>
      <w:r>
        <w:rPr>
          <w:u w:val="single"/>
        </w:rPr>
        <w:t>Relative Market-To-Reference Yield</w:t>
      </w:r>
      <w:r w:rsidRPr="00AA1553">
        <w:t>:</w:t>
      </w:r>
      <w:r>
        <w:t xml:space="preserve"> Bonds with coupons greater than the reference yield have a conversion factor greater than 1, while those with coupons smaller than the reference yield have conversion factors less than 1.</w:t>
      </w:r>
    </w:p>
    <w:p w:rsidR="00AA1553" w:rsidRDefault="00AA1553" w:rsidP="002D4B29">
      <w:pPr>
        <w:pStyle w:val="ListParagraph"/>
        <w:numPr>
          <w:ilvl w:val="0"/>
          <w:numId w:val="396"/>
        </w:numPr>
        <w:spacing w:after="160" w:line="360" w:lineRule="auto"/>
      </w:pPr>
      <w:r>
        <w:rPr>
          <w:u w:val="single"/>
        </w:rPr>
        <w:t>Lowest Normalized Invoice Price Calculation</w:t>
      </w:r>
      <w:r w:rsidRPr="00AA1553">
        <w:t>:</w:t>
      </w:r>
      <w:r>
        <w:t xml:space="preserve"> Thus the cheapest-to-deliver bond is not necessarily the one with the lowest market price, because futures seller have to buy the bond they are going to deliver against the contract. The cheapest-to-deliver bond is the bond with the lowest price relative to the invoice price.</w:t>
      </w:r>
    </w:p>
    <w:p w:rsidR="00617362" w:rsidRDefault="00617362" w:rsidP="002D4B29">
      <w:pPr>
        <w:pStyle w:val="ListParagraph"/>
        <w:numPr>
          <w:ilvl w:val="0"/>
          <w:numId w:val="396"/>
        </w:numPr>
        <w:spacing w:after="160" w:line="360" w:lineRule="auto"/>
      </w:pPr>
      <w:r>
        <w:rPr>
          <w:u w:val="single"/>
        </w:rPr>
        <w:t>CTD Relationship to the Invoice Price</w:t>
      </w:r>
      <w:r w:rsidRPr="00617362">
        <w:t>:</w:t>
      </w:r>
      <w:r>
        <w:t xml:space="preserve"> If the CTD bond costs more than the invoice price, it is closer to the invoice price than any other deliverable bond. If it costs less than the invoice price, it is farthest from the invoice price than any other bond.</w:t>
      </w:r>
    </w:p>
    <w:p w:rsidR="00617362" w:rsidRDefault="00617362" w:rsidP="00617362">
      <w:pPr>
        <w:pStyle w:val="ListParagraph"/>
        <w:numPr>
          <w:ilvl w:val="0"/>
          <w:numId w:val="396"/>
        </w:numPr>
        <w:spacing w:after="160" w:line="360" w:lineRule="auto"/>
      </w:pPr>
      <w:r>
        <w:rPr>
          <w:u w:val="single"/>
        </w:rPr>
        <w:t>Futures Settlement PnL for CTD</w:t>
      </w:r>
      <w:r w:rsidRPr="00617362">
        <w:t>:</w:t>
      </w:r>
      <w:r>
        <w:t xml:space="preserve"> In other words the cheapest-to-deliver bond is the bond that results in the smallest loss to the greatest profit to the futures seller.</w:t>
      </w:r>
    </w:p>
    <w:p w:rsidR="00617362" w:rsidRDefault="00617362" w:rsidP="00617362">
      <w:pPr>
        <w:spacing w:line="360" w:lineRule="auto"/>
      </w:pPr>
    </w:p>
    <w:p w:rsidR="00617362" w:rsidRDefault="00617362" w:rsidP="00617362">
      <w:pPr>
        <w:spacing w:line="360" w:lineRule="auto"/>
      </w:pPr>
    </w:p>
    <w:p w:rsidR="00617362" w:rsidRDefault="00617362" w:rsidP="00617362">
      <w:pPr>
        <w:spacing w:line="360" w:lineRule="auto"/>
        <w:rPr>
          <w:b/>
          <w:sz w:val="28"/>
          <w:szCs w:val="28"/>
        </w:rPr>
      </w:pPr>
      <w:r>
        <w:rPr>
          <w:b/>
          <w:sz w:val="28"/>
          <w:szCs w:val="28"/>
        </w:rPr>
        <w:t>Illustration – Old vs. Active Treasury</w:t>
      </w:r>
    </w:p>
    <w:p w:rsidR="00617362" w:rsidRDefault="00617362" w:rsidP="00617362">
      <w:pPr>
        <w:spacing w:after="160" w:line="360" w:lineRule="auto"/>
      </w:pPr>
    </w:p>
    <w:p w:rsidR="00617362" w:rsidRDefault="00617362" w:rsidP="00617362">
      <w:pPr>
        <w:pStyle w:val="ListParagraph"/>
        <w:numPr>
          <w:ilvl w:val="0"/>
          <w:numId w:val="397"/>
        </w:numPr>
        <w:spacing w:after="160" w:line="360" w:lineRule="auto"/>
      </w:pPr>
      <w:r w:rsidRPr="00617362">
        <w:rPr>
          <w:u w:val="single"/>
        </w:rPr>
        <w:lastRenderedPageBreak/>
        <w:t>30Y Treasury CTD Futures Contract</w:t>
      </w:r>
      <w:r w:rsidRPr="0084037E">
        <w:t xml:space="preserve">: </w:t>
      </w:r>
      <w:r>
        <w:t>The table below (Stanton (1999) provides all the relevant data on both the bond that is the cheapest-to-deliver as of 30 July 1999 against the futures contract (the 15 February 2015 contract), and the most recently issued 30Y Treasury Bond. The full price is what the futures seller would have to pay to acquire the bond, and the futures invoice price is what we would receive for it.</w:t>
      </w:r>
    </w:p>
    <w:p w:rsidR="00C63E82" w:rsidRDefault="00C63E82" w:rsidP="00617362">
      <w:pPr>
        <w:pStyle w:val="ListParagraph"/>
        <w:numPr>
          <w:ilvl w:val="0"/>
          <w:numId w:val="397"/>
        </w:numPr>
        <w:spacing w:after="160" w:line="360" w:lineRule="auto"/>
      </w:pPr>
      <w:r>
        <w:rPr>
          <w:u w:val="single"/>
        </w:rPr>
        <w:t>Profit Associated with the CTD</w:t>
      </w:r>
      <w:r w:rsidRPr="00C63E82">
        <w:t>:</w:t>
      </w:r>
      <w:r>
        <w:t xml:space="preserve"> As can be seen from the last column, delivering the 15 February 2015 bond would cost the seller 1.32, or $1,320 per contract, while delivering the active contract would cost 9.50, or $9,500 per contract.</w:t>
      </w:r>
    </w:p>
    <w:p w:rsidR="00C63E82" w:rsidRDefault="00C63E82" w:rsidP="00617362">
      <w:pPr>
        <w:pStyle w:val="ListParagraph"/>
        <w:numPr>
          <w:ilvl w:val="0"/>
          <w:numId w:val="397"/>
        </w:numPr>
        <w:spacing w:after="160" w:line="360" w:lineRule="auto"/>
      </w:pPr>
      <w:r>
        <w:rPr>
          <w:u w:val="single"/>
        </w:rPr>
        <w:t>How Cheapskates figure CTD</w:t>
      </w:r>
      <w:r w:rsidRPr="00C63E82">
        <w:t>:</w:t>
      </w:r>
      <w:r>
        <w:t xml:space="preserve"> Data as of 29 July, 1999. Source =&gt; CBOT.</w:t>
      </w:r>
    </w:p>
    <w:p w:rsidR="00C63E82" w:rsidRDefault="000B5FD0" w:rsidP="00C63E82">
      <w:pPr>
        <w:pStyle w:val="ListParagraph"/>
        <w:numPr>
          <w:ilvl w:val="1"/>
          <w:numId w:val="397"/>
        </w:numPr>
        <w:spacing w:after="160" w:line="360" w:lineRule="auto"/>
      </w:pPr>
      <w:r>
        <w:t>Full Price =&gt; Quote Price Plus Accrued Interest</w:t>
      </w:r>
    </w:p>
    <w:p w:rsidR="000B5FD0" w:rsidRDefault="000B5FD0" w:rsidP="00C63E82">
      <w:pPr>
        <w:pStyle w:val="ListParagraph"/>
        <w:numPr>
          <w:ilvl w:val="1"/>
          <w:numId w:val="397"/>
        </w:numPr>
        <w:spacing w:after="160" w:line="360" w:lineRule="auto"/>
      </w:pPr>
      <w:r>
        <w:t>Futures invoice Price =&gt; Futures Price times Factor, Plus Accrued Interest</w:t>
      </w:r>
    </w:p>
    <w:p w:rsidR="000B5FD0" w:rsidRDefault="000B5FD0" w:rsidP="00C63E82">
      <w:pPr>
        <w:pStyle w:val="ListParagraph"/>
        <w:numPr>
          <w:ilvl w:val="1"/>
          <w:numId w:val="397"/>
        </w:numPr>
        <w:spacing w:after="160" w:line="360" w:lineRule="auto"/>
      </w:pPr>
      <w:r>
        <w:t>Deliverer’s Profit or Loss =&gt; Full Price Minus Futures invoice Price</w:t>
      </w:r>
    </w:p>
    <w:tbl>
      <w:tblPr>
        <w:tblStyle w:val="TableGrid"/>
        <w:tblW w:w="0" w:type="auto"/>
        <w:tblInd w:w="-365" w:type="dxa"/>
        <w:tblLook w:val="04A0" w:firstRow="1" w:lastRow="0" w:firstColumn="1" w:lastColumn="0" w:noHBand="0" w:noVBand="1"/>
      </w:tblPr>
      <w:tblGrid>
        <w:gridCol w:w="1640"/>
        <w:gridCol w:w="1166"/>
        <w:gridCol w:w="1105"/>
        <w:gridCol w:w="1227"/>
        <w:gridCol w:w="876"/>
        <w:gridCol w:w="1013"/>
        <w:gridCol w:w="1150"/>
        <w:gridCol w:w="1538"/>
      </w:tblGrid>
      <w:tr w:rsidR="00C63E82" w:rsidTr="00C63E82">
        <w:tc>
          <w:tcPr>
            <w:tcW w:w="1670" w:type="dxa"/>
            <w:vAlign w:val="center"/>
          </w:tcPr>
          <w:p w:rsidR="00C63E82" w:rsidRPr="00C63E82" w:rsidRDefault="00C63E82" w:rsidP="00C63E82">
            <w:pPr>
              <w:spacing w:after="160" w:line="360" w:lineRule="auto"/>
              <w:jc w:val="center"/>
              <w:rPr>
                <w:b/>
                <w:sz w:val="28"/>
                <w:szCs w:val="28"/>
              </w:rPr>
            </w:pPr>
            <w:r>
              <w:rPr>
                <w:b/>
                <w:sz w:val="28"/>
                <w:szCs w:val="28"/>
              </w:rPr>
              <w:t>Maturity</w:t>
            </w:r>
          </w:p>
        </w:tc>
        <w:tc>
          <w:tcPr>
            <w:tcW w:w="1166" w:type="dxa"/>
            <w:vAlign w:val="center"/>
          </w:tcPr>
          <w:p w:rsidR="00C63E82" w:rsidRPr="00C63E82" w:rsidRDefault="00C63E82" w:rsidP="00C63E82">
            <w:pPr>
              <w:spacing w:after="160" w:line="360" w:lineRule="auto"/>
              <w:jc w:val="center"/>
              <w:rPr>
                <w:b/>
                <w:sz w:val="28"/>
                <w:szCs w:val="28"/>
              </w:rPr>
            </w:pPr>
            <w:r>
              <w:rPr>
                <w:b/>
                <w:sz w:val="28"/>
                <w:szCs w:val="28"/>
              </w:rPr>
              <w:t>Coupon</w:t>
            </w:r>
          </w:p>
        </w:tc>
        <w:tc>
          <w:tcPr>
            <w:tcW w:w="1105" w:type="dxa"/>
            <w:vAlign w:val="center"/>
          </w:tcPr>
          <w:p w:rsidR="00C63E82" w:rsidRPr="00C63E82" w:rsidRDefault="00C63E82" w:rsidP="00C63E82">
            <w:pPr>
              <w:spacing w:after="160" w:line="360" w:lineRule="auto"/>
              <w:jc w:val="center"/>
              <w:rPr>
                <w:b/>
                <w:sz w:val="28"/>
                <w:szCs w:val="28"/>
              </w:rPr>
            </w:pPr>
            <w:r>
              <w:rPr>
                <w:b/>
                <w:sz w:val="28"/>
                <w:szCs w:val="28"/>
              </w:rPr>
              <w:t>Quoted Price</w:t>
            </w:r>
          </w:p>
        </w:tc>
        <w:tc>
          <w:tcPr>
            <w:tcW w:w="1227" w:type="dxa"/>
            <w:vAlign w:val="center"/>
          </w:tcPr>
          <w:p w:rsidR="00C63E82" w:rsidRPr="00C63E82" w:rsidRDefault="00C63E82" w:rsidP="00C63E82">
            <w:pPr>
              <w:spacing w:after="160" w:line="360" w:lineRule="auto"/>
              <w:jc w:val="center"/>
              <w:rPr>
                <w:b/>
                <w:sz w:val="28"/>
                <w:szCs w:val="28"/>
              </w:rPr>
            </w:pPr>
            <w:r>
              <w:rPr>
                <w:b/>
                <w:sz w:val="28"/>
                <w:szCs w:val="28"/>
              </w:rPr>
              <w:t>Accrued Interest</w:t>
            </w:r>
          </w:p>
        </w:tc>
        <w:tc>
          <w:tcPr>
            <w:tcW w:w="846" w:type="dxa"/>
            <w:vAlign w:val="center"/>
          </w:tcPr>
          <w:p w:rsidR="00C63E82" w:rsidRPr="00C63E82" w:rsidRDefault="00C63E82" w:rsidP="00C63E82">
            <w:pPr>
              <w:spacing w:after="160" w:line="360" w:lineRule="auto"/>
              <w:jc w:val="center"/>
              <w:rPr>
                <w:b/>
                <w:sz w:val="28"/>
                <w:szCs w:val="28"/>
              </w:rPr>
            </w:pPr>
            <w:r>
              <w:rPr>
                <w:b/>
                <w:sz w:val="28"/>
                <w:szCs w:val="28"/>
              </w:rPr>
              <w:t>Full Price</w:t>
            </w:r>
          </w:p>
        </w:tc>
        <w:tc>
          <w:tcPr>
            <w:tcW w:w="1013" w:type="dxa"/>
            <w:vAlign w:val="center"/>
          </w:tcPr>
          <w:p w:rsidR="00C63E82" w:rsidRPr="00C63E82" w:rsidRDefault="00C63E82" w:rsidP="00C63E82">
            <w:pPr>
              <w:spacing w:after="160" w:line="360" w:lineRule="auto"/>
              <w:jc w:val="center"/>
              <w:rPr>
                <w:b/>
                <w:sz w:val="28"/>
                <w:szCs w:val="28"/>
              </w:rPr>
            </w:pPr>
            <w:r>
              <w:rPr>
                <w:b/>
                <w:sz w:val="28"/>
                <w:szCs w:val="28"/>
              </w:rPr>
              <w:t>Factor</w:t>
            </w:r>
          </w:p>
        </w:tc>
        <w:tc>
          <w:tcPr>
            <w:tcW w:w="1150" w:type="dxa"/>
            <w:vAlign w:val="center"/>
          </w:tcPr>
          <w:p w:rsidR="00C63E82" w:rsidRPr="00C63E82" w:rsidRDefault="00C63E82" w:rsidP="00C63E82">
            <w:pPr>
              <w:spacing w:after="160" w:line="360" w:lineRule="auto"/>
              <w:jc w:val="center"/>
              <w:rPr>
                <w:b/>
                <w:sz w:val="28"/>
                <w:szCs w:val="28"/>
              </w:rPr>
            </w:pPr>
            <w:r>
              <w:rPr>
                <w:b/>
                <w:sz w:val="28"/>
                <w:szCs w:val="28"/>
              </w:rPr>
              <w:t>Futures Invoice</w:t>
            </w:r>
          </w:p>
        </w:tc>
        <w:tc>
          <w:tcPr>
            <w:tcW w:w="1538" w:type="dxa"/>
            <w:vAlign w:val="center"/>
          </w:tcPr>
          <w:p w:rsidR="00C63E82" w:rsidRPr="00C63E82" w:rsidRDefault="00C63E82" w:rsidP="00C63E82">
            <w:pPr>
              <w:spacing w:after="160" w:line="360" w:lineRule="auto"/>
              <w:jc w:val="center"/>
              <w:rPr>
                <w:b/>
                <w:sz w:val="28"/>
                <w:szCs w:val="28"/>
              </w:rPr>
            </w:pPr>
            <w:r>
              <w:rPr>
                <w:b/>
                <w:sz w:val="28"/>
                <w:szCs w:val="28"/>
              </w:rPr>
              <w:t>Deliverer’s Profit or Loss</w:t>
            </w:r>
          </w:p>
        </w:tc>
      </w:tr>
      <w:tr w:rsidR="00C63E82" w:rsidTr="00C63E82">
        <w:tc>
          <w:tcPr>
            <w:tcW w:w="1670" w:type="dxa"/>
            <w:vAlign w:val="center"/>
          </w:tcPr>
          <w:p w:rsidR="00C63E82" w:rsidRDefault="00C63E82" w:rsidP="00C63E82">
            <w:pPr>
              <w:spacing w:after="160" w:line="360" w:lineRule="auto"/>
              <w:jc w:val="center"/>
            </w:pPr>
            <w:r>
              <w:t>15 Feb 2015</w:t>
            </w:r>
          </w:p>
        </w:tc>
        <w:tc>
          <w:tcPr>
            <w:tcW w:w="1166" w:type="dxa"/>
            <w:vAlign w:val="center"/>
          </w:tcPr>
          <w:p w:rsidR="00C63E82" w:rsidRDefault="00C63E82" w:rsidP="00C63E82">
            <w:pPr>
              <w:spacing w:after="160" w:line="360" w:lineRule="auto"/>
              <w:jc w:val="center"/>
            </w:pPr>
            <w:r>
              <w:t>11.25%</w:t>
            </w:r>
          </w:p>
        </w:tc>
        <w:tc>
          <w:tcPr>
            <w:tcW w:w="1105" w:type="dxa"/>
            <w:vAlign w:val="center"/>
          </w:tcPr>
          <w:p w:rsidR="00C63E82" w:rsidRDefault="00C63E82" w:rsidP="00C63E82">
            <w:pPr>
              <w:spacing w:after="160" w:line="360" w:lineRule="auto"/>
              <w:jc w:val="center"/>
            </w:pPr>
            <w:r>
              <w:t>148.56</w:t>
            </w:r>
          </w:p>
        </w:tc>
        <w:tc>
          <w:tcPr>
            <w:tcW w:w="1227" w:type="dxa"/>
            <w:vAlign w:val="center"/>
          </w:tcPr>
          <w:p w:rsidR="00C63E82" w:rsidRDefault="00C63E82" w:rsidP="00C63E82">
            <w:pPr>
              <w:spacing w:after="160" w:line="360" w:lineRule="auto"/>
              <w:jc w:val="center"/>
            </w:pPr>
            <w:r>
              <w:t>1.41</w:t>
            </w:r>
          </w:p>
        </w:tc>
        <w:tc>
          <w:tcPr>
            <w:tcW w:w="846" w:type="dxa"/>
            <w:vAlign w:val="center"/>
          </w:tcPr>
          <w:p w:rsidR="00C63E82" w:rsidRDefault="00C63E82" w:rsidP="00C63E82">
            <w:pPr>
              <w:spacing w:after="160" w:line="360" w:lineRule="auto"/>
              <w:jc w:val="center"/>
            </w:pPr>
            <w:r>
              <w:t>149.97</w:t>
            </w:r>
          </w:p>
        </w:tc>
        <w:tc>
          <w:tcPr>
            <w:tcW w:w="1013" w:type="dxa"/>
            <w:vAlign w:val="center"/>
          </w:tcPr>
          <w:p w:rsidR="00C63E82" w:rsidRDefault="00C63E82" w:rsidP="00C63E82">
            <w:pPr>
              <w:spacing w:after="160" w:line="360" w:lineRule="auto"/>
              <w:jc w:val="center"/>
            </w:pPr>
            <w:r>
              <w:t>1.28</w:t>
            </w:r>
          </w:p>
        </w:tc>
        <w:tc>
          <w:tcPr>
            <w:tcW w:w="1150" w:type="dxa"/>
            <w:vAlign w:val="center"/>
          </w:tcPr>
          <w:p w:rsidR="00C63E82" w:rsidRDefault="00C63E82" w:rsidP="00C63E82">
            <w:pPr>
              <w:spacing w:after="160" w:line="360" w:lineRule="auto"/>
              <w:jc w:val="center"/>
            </w:pPr>
            <w:r>
              <w:t>148.65</w:t>
            </w:r>
          </w:p>
        </w:tc>
        <w:tc>
          <w:tcPr>
            <w:tcW w:w="1538" w:type="dxa"/>
            <w:vAlign w:val="center"/>
          </w:tcPr>
          <w:p w:rsidR="00C63E82" w:rsidRDefault="00C63E82" w:rsidP="00C63E82">
            <w:pPr>
              <w:spacing w:after="160" w:line="360" w:lineRule="auto"/>
              <w:jc w:val="center"/>
            </w:pPr>
            <w:r>
              <w:t>-1.32</w:t>
            </w:r>
          </w:p>
        </w:tc>
      </w:tr>
      <w:tr w:rsidR="00C63E82" w:rsidTr="00C63E82">
        <w:tc>
          <w:tcPr>
            <w:tcW w:w="1670" w:type="dxa"/>
            <w:vAlign w:val="center"/>
          </w:tcPr>
          <w:p w:rsidR="00C63E82" w:rsidRDefault="00C63E82" w:rsidP="00C63E82">
            <w:pPr>
              <w:spacing w:after="160" w:line="360" w:lineRule="auto"/>
              <w:jc w:val="center"/>
            </w:pPr>
            <w:r>
              <w:t>15 Feb 2029</w:t>
            </w:r>
          </w:p>
        </w:tc>
        <w:tc>
          <w:tcPr>
            <w:tcW w:w="1166" w:type="dxa"/>
            <w:vAlign w:val="center"/>
          </w:tcPr>
          <w:p w:rsidR="00C63E82" w:rsidRDefault="00C63E82" w:rsidP="00C63E82">
            <w:pPr>
              <w:spacing w:after="160" w:line="360" w:lineRule="auto"/>
              <w:jc w:val="center"/>
            </w:pPr>
            <w:r>
              <w:t>5.25%</w:t>
            </w:r>
          </w:p>
        </w:tc>
        <w:tc>
          <w:tcPr>
            <w:tcW w:w="1105" w:type="dxa"/>
            <w:vAlign w:val="center"/>
          </w:tcPr>
          <w:p w:rsidR="00C63E82" w:rsidRDefault="00C63E82" w:rsidP="00C63E82">
            <w:pPr>
              <w:spacing w:after="160" w:line="360" w:lineRule="auto"/>
              <w:jc w:val="center"/>
            </w:pPr>
            <w:r>
              <w:t>88.87</w:t>
            </w:r>
          </w:p>
        </w:tc>
        <w:tc>
          <w:tcPr>
            <w:tcW w:w="1227" w:type="dxa"/>
            <w:vAlign w:val="center"/>
          </w:tcPr>
          <w:p w:rsidR="00C63E82" w:rsidRDefault="00C63E82" w:rsidP="00C63E82">
            <w:pPr>
              <w:spacing w:after="160" w:line="360" w:lineRule="auto"/>
              <w:jc w:val="center"/>
            </w:pPr>
            <w:r>
              <w:t>0.66</w:t>
            </w:r>
          </w:p>
        </w:tc>
        <w:tc>
          <w:tcPr>
            <w:tcW w:w="846" w:type="dxa"/>
            <w:vAlign w:val="center"/>
          </w:tcPr>
          <w:p w:rsidR="00C63E82" w:rsidRDefault="00C63E82" w:rsidP="00C63E82">
            <w:pPr>
              <w:spacing w:after="160" w:line="360" w:lineRule="auto"/>
              <w:jc w:val="center"/>
            </w:pPr>
            <w:r>
              <w:t>89.53</w:t>
            </w:r>
          </w:p>
        </w:tc>
        <w:tc>
          <w:tcPr>
            <w:tcW w:w="1013" w:type="dxa"/>
            <w:vAlign w:val="center"/>
          </w:tcPr>
          <w:p w:rsidR="00C63E82" w:rsidRDefault="00C63E82" w:rsidP="00C63E82">
            <w:pPr>
              <w:spacing w:after="160" w:line="360" w:lineRule="auto"/>
              <w:jc w:val="center"/>
            </w:pPr>
            <w:r>
              <w:t>0.69</w:t>
            </w:r>
          </w:p>
        </w:tc>
        <w:tc>
          <w:tcPr>
            <w:tcW w:w="1150" w:type="dxa"/>
            <w:vAlign w:val="center"/>
          </w:tcPr>
          <w:p w:rsidR="00C63E82" w:rsidRDefault="00C63E82" w:rsidP="00C63E82">
            <w:pPr>
              <w:spacing w:after="160" w:line="360" w:lineRule="auto"/>
              <w:jc w:val="center"/>
            </w:pPr>
            <w:r>
              <w:t>80.03</w:t>
            </w:r>
          </w:p>
        </w:tc>
        <w:tc>
          <w:tcPr>
            <w:tcW w:w="1538" w:type="dxa"/>
            <w:vAlign w:val="center"/>
          </w:tcPr>
          <w:p w:rsidR="00C63E82" w:rsidRDefault="00C63E82" w:rsidP="00C63E82">
            <w:pPr>
              <w:spacing w:after="160" w:line="360" w:lineRule="auto"/>
              <w:jc w:val="center"/>
            </w:pPr>
            <w:r>
              <w:t>-9.50</w:t>
            </w:r>
          </w:p>
        </w:tc>
      </w:tr>
    </w:tbl>
    <w:p w:rsidR="00C63E82" w:rsidRDefault="00C63E82" w:rsidP="00C63E82">
      <w:pPr>
        <w:spacing w:after="160" w:line="360" w:lineRule="auto"/>
      </w:pPr>
    </w:p>
    <w:p w:rsidR="000B5FD0" w:rsidRDefault="000B5FD0" w:rsidP="000B5FD0">
      <w:pPr>
        <w:spacing w:line="360" w:lineRule="auto"/>
      </w:pPr>
    </w:p>
    <w:p w:rsidR="000B5FD0" w:rsidRDefault="00715605" w:rsidP="000B5FD0">
      <w:pPr>
        <w:spacing w:line="360" w:lineRule="auto"/>
        <w:rPr>
          <w:b/>
          <w:sz w:val="28"/>
          <w:szCs w:val="28"/>
        </w:rPr>
      </w:pPr>
      <w:r>
        <w:rPr>
          <w:b/>
          <w:sz w:val="28"/>
          <w:szCs w:val="28"/>
        </w:rPr>
        <w:t>Market P</w:t>
      </w:r>
      <w:r w:rsidR="000B5FD0">
        <w:rPr>
          <w:b/>
          <w:sz w:val="28"/>
          <w:szCs w:val="28"/>
        </w:rPr>
        <w:t>arameters Influencing CTD Calculation</w:t>
      </w:r>
    </w:p>
    <w:p w:rsidR="000B5FD0" w:rsidRDefault="000B5FD0" w:rsidP="000B5FD0">
      <w:pPr>
        <w:spacing w:after="160" w:line="360" w:lineRule="auto"/>
      </w:pPr>
    </w:p>
    <w:p w:rsidR="000B5FD0" w:rsidRDefault="000B5FD0" w:rsidP="000B5FD0">
      <w:pPr>
        <w:pStyle w:val="ListParagraph"/>
        <w:numPr>
          <w:ilvl w:val="0"/>
          <w:numId w:val="398"/>
        </w:numPr>
        <w:spacing w:after="160" w:line="360" w:lineRule="auto"/>
      </w:pPr>
      <w:r w:rsidRPr="000B5FD0">
        <w:rPr>
          <w:u w:val="single"/>
        </w:rPr>
        <w:t>CTD Characteristics Determining Futures Profit</w:t>
      </w:r>
      <w:r w:rsidRPr="0084037E">
        <w:t xml:space="preserve">: </w:t>
      </w:r>
      <w:r>
        <w:t>The characteristics of a bond that causes it to result in the largest profit or the smallest loss for the futures seller at the delivery date are its duration and convexity (funding/repo/replication sensitivity in general).</w:t>
      </w:r>
    </w:p>
    <w:p w:rsidR="000B5FD0" w:rsidRDefault="000B5FD0" w:rsidP="000B5FD0">
      <w:pPr>
        <w:pStyle w:val="ListParagraph"/>
        <w:numPr>
          <w:ilvl w:val="0"/>
          <w:numId w:val="398"/>
        </w:numPr>
        <w:spacing w:after="160" w:line="360" w:lineRule="auto"/>
      </w:pPr>
      <w:r>
        <w:rPr>
          <w:u w:val="single"/>
        </w:rPr>
        <w:t>Price-Rates Relationship and Impact</w:t>
      </w:r>
      <w:r w:rsidRPr="000B5FD0">
        <w:t>:</w:t>
      </w:r>
      <w:r>
        <w:t xml:space="preserve"> When interest rates fall bond price rises, and bonds with the longest durations rise the most. Conversely when interest rates rise bond prices fall, with the longest duration instruments falling the most. So the bonds that benefit the least </w:t>
      </w:r>
      <w:r>
        <w:lastRenderedPageBreak/>
        <w:t>from the broad decline in the interest rates since 1991 are the short duration instruments – bonds with relatively short maturities and relatively large coupons.</w:t>
      </w:r>
    </w:p>
    <w:p w:rsidR="00715605" w:rsidRDefault="00715605" w:rsidP="000B5FD0">
      <w:pPr>
        <w:pStyle w:val="ListParagraph"/>
        <w:numPr>
          <w:ilvl w:val="0"/>
          <w:numId w:val="398"/>
        </w:numPr>
        <w:spacing w:after="160" w:line="360" w:lineRule="auto"/>
      </w:pPr>
      <w:r>
        <w:rPr>
          <w:u w:val="single"/>
        </w:rPr>
        <w:t>Determination of the CTD Issue</w:t>
      </w:r>
      <w:r w:rsidRPr="00715605">
        <w:t>:</w:t>
      </w:r>
      <w:r>
        <w:t xml:space="preserve"> At any time the cheapest-to-deliver issue will be the one with the lowest converted price where the converted price is the bond’s price divided by its CBOT conversion factor.</w:t>
      </w:r>
    </w:p>
    <w:p w:rsidR="00715605" w:rsidRDefault="00715605" w:rsidP="000B5FD0">
      <w:pPr>
        <w:pStyle w:val="ListParagraph"/>
        <w:numPr>
          <w:ilvl w:val="0"/>
          <w:numId w:val="398"/>
        </w:numPr>
        <w:spacing w:after="160" w:line="360" w:lineRule="auto"/>
      </w:pPr>
      <w:r>
        <w:rPr>
          <w:u w:val="single"/>
        </w:rPr>
        <w:t>Current Yield vs. Reference Yield</w:t>
      </w:r>
      <w:r w:rsidRPr="00715605">
        <w:t>:</w:t>
      </w:r>
      <w:r>
        <w:t xml:space="preserve"> Therefore when interest rates are below the reference rate the short duration issue will be the cheapest to deliver, and its price would have risen the least. Conversely if rates were to rise above the reference yield, causing prices to fall, the cheapest to deliver issue would be the one whose price fell the farthest – a long-duration issue.</w:t>
      </w:r>
    </w:p>
    <w:p w:rsidR="00715605" w:rsidRDefault="00715605" w:rsidP="00715605">
      <w:pPr>
        <w:spacing w:after="160" w:line="360" w:lineRule="auto"/>
      </w:pPr>
    </w:p>
    <w:p w:rsidR="00715605" w:rsidRDefault="00715605" w:rsidP="00715605">
      <w:pPr>
        <w:spacing w:line="360" w:lineRule="auto"/>
      </w:pPr>
    </w:p>
    <w:p w:rsidR="00715605" w:rsidRDefault="00043EA9" w:rsidP="00715605">
      <w:pPr>
        <w:spacing w:line="360" w:lineRule="auto"/>
        <w:rPr>
          <w:b/>
          <w:sz w:val="28"/>
          <w:szCs w:val="28"/>
        </w:rPr>
      </w:pPr>
      <w:r>
        <w:rPr>
          <w:b/>
          <w:sz w:val="28"/>
          <w:szCs w:val="28"/>
        </w:rPr>
        <w:t>Impact of Yield Curve Changes</w:t>
      </w:r>
    </w:p>
    <w:p w:rsidR="00715605" w:rsidRDefault="00715605" w:rsidP="00715605">
      <w:pPr>
        <w:spacing w:after="160" w:line="360" w:lineRule="auto"/>
      </w:pPr>
    </w:p>
    <w:p w:rsidR="00715605" w:rsidRDefault="00043EA9" w:rsidP="00043EA9">
      <w:pPr>
        <w:pStyle w:val="ListParagraph"/>
        <w:numPr>
          <w:ilvl w:val="0"/>
          <w:numId w:val="399"/>
        </w:numPr>
        <w:spacing w:after="160" w:line="360" w:lineRule="auto"/>
      </w:pPr>
      <w:r w:rsidRPr="00043EA9">
        <w:rPr>
          <w:u w:val="single"/>
        </w:rPr>
        <w:t>Base Scenario Yield Curve CTD</w:t>
      </w:r>
      <w:r w:rsidR="00715605" w:rsidRPr="0084037E">
        <w:t xml:space="preserve">: </w:t>
      </w:r>
      <w:r>
        <w:t>As demonstrated in the table below (Stanton 1999)), the first row of numbers provide the particulars on the bond that was the cheapest-to-deliver against the March 2000 contract at close on 29 July 1999</w:t>
      </w:r>
      <w:r w:rsidR="00715605">
        <w:t>.</w:t>
      </w:r>
      <w:r>
        <w:t xml:space="preserve"> The three bonds are shown, as is their converted prices (the lowest in </w:t>
      </w:r>
      <w:r w:rsidRPr="00043EA9">
        <w:rPr>
          <w:b/>
          <w:i/>
        </w:rPr>
        <w:t>italicized bold</w:t>
      </w:r>
      <w:r>
        <w:t>).</w:t>
      </w:r>
    </w:p>
    <w:p w:rsidR="00043EA9" w:rsidRDefault="00043EA9" w:rsidP="00043EA9">
      <w:pPr>
        <w:pStyle w:val="ListParagraph"/>
        <w:numPr>
          <w:ilvl w:val="0"/>
          <w:numId w:val="399"/>
        </w:numPr>
        <w:spacing w:after="160" w:line="360" w:lineRule="auto"/>
      </w:pPr>
      <w:r>
        <w:rPr>
          <w:u w:val="single"/>
        </w:rPr>
        <w:t>Yield Curve Change CTD Impact</w:t>
      </w:r>
      <w:r w:rsidRPr="00043EA9">
        <w:t>:</w:t>
      </w:r>
      <w:r>
        <w:t xml:space="preserve"> Data as of 29 July 1999, Source: CBOT.</w:t>
      </w:r>
    </w:p>
    <w:tbl>
      <w:tblPr>
        <w:tblStyle w:val="TableGrid"/>
        <w:tblW w:w="11880" w:type="dxa"/>
        <w:tblInd w:w="-1265" w:type="dxa"/>
        <w:tblLayout w:type="fixed"/>
        <w:tblLook w:val="04A0" w:firstRow="1" w:lastRow="0" w:firstColumn="1" w:lastColumn="0" w:noHBand="0" w:noVBand="1"/>
      </w:tblPr>
      <w:tblGrid>
        <w:gridCol w:w="1530"/>
        <w:gridCol w:w="1170"/>
        <w:gridCol w:w="1350"/>
        <w:gridCol w:w="1080"/>
        <w:gridCol w:w="1080"/>
        <w:gridCol w:w="1080"/>
        <w:gridCol w:w="1080"/>
        <w:gridCol w:w="1530"/>
        <w:gridCol w:w="900"/>
        <w:gridCol w:w="1080"/>
      </w:tblGrid>
      <w:tr w:rsidR="004D1A17" w:rsidTr="004D1A17">
        <w:tc>
          <w:tcPr>
            <w:tcW w:w="1530" w:type="dxa"/>
            <w:vMerge w:val="restart"/>
            <w:vAlign w:val="center"/>
          </w:tcPr>
          <w:p w:rsidR="00043EA9" w:rsidRPr="00043EA9" w:rsidRDefault="00043EA9" w:rsidP="00043EA9">
            <w:pPr>
              <w:spacing w:after="160" w:line="360" w:lineRule="auto"/>
              <w:jc w:val="center"/>
              <w:rPr>
                <w:b/>
                <w:sz w:val="28"/>
                <w:szCs w:val="28"/>
              </w:rPr>
            </w:pPr>
            <w:r>
              <w:rPr>
                <w:b/>
                <w:sz w:val="28"/>
                <w:szCs w:val="28"/>
              </w:rPr>
              <w:t>Maturity</w:t>
            </w:r>
          </w:p>
        </w:tc>
        <w:tc>
          <w:tcPr>
            <w:tcW w:w="1170" w:type="dxa"/>
            <w:vMerge w:val="restart"/>
            <w:vAlign w:val="center"/>
          </w:tcPr>
          <w:p w:rsidR="00043EA9" w:rsidRPr="00043EA9" w:rsidRDefault="00043EA9" w:rsidP="00043EA9">
            <w:pPr>
              <w:spacing w:after="160" w:line="360" w:lineRule="auto"/>
              <w:jc w:val="center"/>
              <w:rPr>
                <w:b/>
                <w:sz w:val="28"/>
                <w:szCs w:val="28"/>
              </w:rPr>
            </w:pPr>
            <w:r>
              <w:rPr>
                <w:b/>
                <w:sz w:val="28"/>
                <w:szCs w:val="28"/>
              </w:rPr>
              <w:t>Coupon</w:t>
            </w:r>
          </w:p>
        </w:tc>
        <w:tc>
          <w:tcPr>
            <w:tcW w:w="1350" w:type="dxa"/>
            <w:vMerge w:val="restart"/>
            <w:vAlign w:val="center"/>
          </w:tcPr>
          <w:p w:rsidR="00043EA9" w:rsidRPr="00043EA9" w:rsidRDefault="00043EA9" w:rsidP="00043EA9">
            <w:pPr>
              <w:spacing w:after="160" w:line="360" w:lineRule="auto"/>
              <w:jc w:val="center"/>
              <w:rPr>
                <w:b/>
                <w:sz w:val="28"/>
                <w:szCs w:val="28"/>
              </w:rPr>
            </w:pPr>
            <w:r>
              <w:rPr>
                <w:b/>
                <w:sz w:val="28"/>
                <w:szCs w:val="28"/>
              </w:rPr>
              <w:t>Duration (Years)</w:t>
            </w:r>
          </w:p>
        </w:tc>
        <w:tc>
          <w:tcPr>
            <w:tcW w:w="1080" w:type="dxa"/>
            <w:vMerge w:val="restart"/>
            <w:vAlign w:val="center"/>
          </w:tcPr>
          <w:p w:rsidR="00043EA9" w:rsidRPr="00043EA9" w:rsidRDefault="00043EA9" w:rsidP="00043EA9">
            <w:pPr>
              <w:spacing w:after="160" w:line="360" w:lineRule="auto"/>
              <w:jc w:val="center"/>
              <w:rPr>
                <w:b/>
                <w:sz w:val="28"/>
                <w:szCs w:val="28"/>
              </w:rPr>
            </w:pPr>
            <w:r>
              <w:rPr>
                <w:b/>
                <w:sz w:val="28"/>
                <w:szCs w:val="28"/>
              </w:rPr>
              <w:t>Price</w:t>
            </w:r>
          </w:p>
        </w:tc>
        <w:tc>
          <w:tcPr>
            <w:tcW w:w="2160" w:type="dxa"/>
            <w:gridSpan w:val="2"/>
            <w:vAlign w:val="center"/>
          </w:tcPr>
          <w:p w:rsidR="00043EA9" w:rsidRPr="00043EA9" w:rsidRDefault="00043EA9" w:rsidP="00043EA9">
            <w:pPr>
              <w:spacing w:after="160" w:line="360" w:lineRule="auto"/>
              <w:jc w:val="center"/>
              <w:rPr>
                <w:b/>
                <w:sz w:val="28"/>
                <w:szCs w:val="28"/>
              </w:rPr>
            </w:pPr>
            <w:r>
              <w:rPr>
                <w:b/>
                <w:sz w:val="28"/>
                <w:szCs w:val="28"/>
              </w:rPr>
              <w:t>Price if Yield</w:t>
            </w:r>
          </w:p>
        </w:tc>
        <w:tc>
          <w:tcPr>
            <w:tcW w:w="1080" w:type="dxa"/>
            <w:vMerge w:val="restart"/>
            <w:vAlign w:val="center"/>
          </w:tcPr>
          <w:p w:rsidR="00043EA9" w:rsidRPr="00043EA9" w:rsidRDefault="00043EA9" w:rsidP="00043EA9">
            <w:pPr>
              <w:spacing w:after="160" w:line="360" w:lineRule="auto"/>
              <w:jc w:val="center"/>
              <w:rPr>
                <w:b/>
                <w:sz w:val="28"/>
                <w:szCs w:val="28"/>
              </w:rPr>
            </w:pPr>
            <w:r>
              <w:rPr>
                <w:b/>
                <w:sz w:val="28"/>
                <w:szCs w:val="28"/>
              </w:rPr>
              <w:t>Factor</w:t>
            </w:r>
          </w:p>
        </w:tc>
        <w:tc>
          <w:tcPr>
            <w:tcW w:w="1530" w:type="dxa"/>
            <w:vMerge w:val="restart"/>
            <w:vAlign w:val="center"/>
          </w:tcPr>
          <w:p w:rsidR="00043EA9" w:rsidRPr="00043EA9" w:rsidRDefault="004D1A17" w:rsidP="00043EA9">
            <w:pPr>
              <w:spacing w:after="160" w:line="360" w:lineRule="auto"/>
              <w:jc w:val="center"/>
              <w:rPr>
                <w:b/>
                <w:sz w:val="28"/>
                <w:szCs w:val="28"/>
              </w:rPr>
            </w:pPr>
            <w:r>
              <w:rPr>
                <w:b/>
                <w:sz w:val="28"/>
                <w:szCs w:val="28"/>
              </w:rPr>
              <w:t>Converted Price</w:t>
            </w:r>
          </w:p>
        </w:tc>
        <w:tc>
          <w:tcPr>
            <w:tcW w:w="1980" w:type="dxa"/>
            <w:gridSpan w:val="2"/>
            <w:vAlign w:val="center"/>
          </w:tcPr>
          <w:p w:rsidR="00043EA9" w:rsidRPr="00043EA9" w:rsidRDefault="00043EA9" w:rsidP="00043EA9">
            <w:pPr>
              <w:spacing w:after="160" w:line="360" w:lineRule="auto"/>
              <w:jc w:val="center"/>
              <w:rPr>
                <w:b/>
                <w:sz w:val="28"/>
                <w:szCs w:val="28"/>
              </w:rPr>
            </w:pPr>
          </w:p>
        </w:tc>
      </w:tr>
      <w:tr w:rsidR="004D1A17" w:rsidTr="004D1A17">
        <w:tc>
          <w:tcPr>
            <w:tcW w:w="1530" w:type="dxa"/>
            <w:vMerge/>
            <w:vAlign w:val="center"/>
          </w:tcPr>
          <w:p w:rsidR="004D1A17" w:rsidRPr="00043EA9" w:rsidRDefault="004D1A17" w:rsidP="004D1A17">
            <w:pPr>
              <w:spacing w:after="160" w:line="360" w:lineRule="auto"/>
              <w:jc w:val="center"/>
              <w:rPr>
                <w:b/>
                <w:sz w:val="28"/>
                <w:szCs w:val="28"/>
              </w:rPr>
            </w:pPr>
          </w:p>
        </w:tc>
        <w:tc>
          <w:tcPr>
            <w:tcW w:w="1170" w:type="dxa"/>
            <w:vMerge/>
            <w:vAlign w:val="center"/>
          </w:tcPr>
          <w:p w:rsidR="004D1A17" w:rsidRPr="00043EA9" w:rsidRDefault="004D1A17" w:rsidP="004D1A17">
            <w:pPr>
              <w:spacing w:after="160" w:line="360" w:lineRule="auto"/>
              <w:jc w:val="center"/>
              <w:rPr>
                <w:b/>
                <w:sz w:val="28"/>
                <w:szCs w:val="28"/>
              </w:rPr>
            </w:pPr>
          </w:p>
        </w:tc>
        <w:tc>
          <w:tcPr>
            <w:tcW w:w="1350" w:type="dxa"/>
            <w:vMerge/>
            <w:vAlign w:val="center"/>
          </w:tcPr>
          <w:p w:rsidR="004D1A17" w:rsidRPr="00043EA9" w:rsidRDefault="004D1A17" w:rsidP="004D1A17">
            <w:pPr>
              <w:spacing w:after="160" w:line="360" w:lineRule="auto"/>
              <w:jc w:val="center"/>
              <w:rPr>
                <w:b/>
                <w:sz w:val="28"/>
                <w:szCs w:val="28"/>
              </w:rPr>
            </w:pPr>
          </w:p>
        </w:tc>
        <w:tc>
          <w:tcPr>
            <w:tcW w:w="1080" w:type="dxa"/>
            <w:vMerge/>
            <w:vAlign w:val="center"/>
          </w:tcPr>
          <w:p w:rsidR="004D1A17" w:rsidRPr="00043EA9" w:rsidRDefault="004D1A17" w:rsidP="004D1A17">
            <w:pPr>
              <w:spacing w:after="160" w:line="360" w:lineRule="auto"/>
              <w:jc w:val="center"/>
              <w:rPr>
                <w:b/>
                <w:sz w:val="28"/>
                <w:szCs w:val="28"/>
              </w:rPr>
            </w:pPr>
          </w:p>
        </w:tc>
        <w:tc>
          <w:tcPr>
            <w:tcW w:w="1080" w:type="dxa"/>
            <w:vAlign w:val="center"/>
          </w:tcPr>
          <w:p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rsidR="004D1A17" w:rsidRPr="00043EA9" w:rsidRDefault="004D1A17" w:rsidP="004D1A17">
            <w:pPr>
              <w:spacing w:after="160" w:line="360" w:lineRule="auto"/>
              <w:jc w:val="center"/>
              <w:rPr>
                <w:b/>
                <w:sz w:val="28"/>
                <w:szCs w:val="28"/>
              </w:rPr>
            </w:pPr>
            <w:r>
              <w:rPr>
                <w:b/>
                <w:sz w:val="28"/>
                <w:szCs w:val="28"/>
              </w:rPr>
              <w:t>Added 25 bp</w:t>
            </w:r>
          </w:p>
        </w:tc>
        <w:tc>
          <w:tcPr>
            <w:tcW w:w="1080" w:type="dxa"/>
            <w:vMerge/>
            <w:vAlign w:val="center"/>
          </w:tcPr>
          <w:p w:rsidR="004D1A17" w:rsidRPr="00043EA9" w:rsidRDefault="004D1A17" w:rsidP="004D1A17">
            <w:pPr>
              <w:spacing w:after="160" w:line="360" w:lineRule="auto"/>
              <w:jc w:val="center"/>
              <w:rPr>
                <w:b/>
                <w:sz w:val="28"/>
                <w:szCs w:val="28"/>
              </w:rPr>
            </w:pPr>
          </w:p>
        </w:tc>
        <w:tc>
          <w:tcPr>
            <w:tcW w:w="1530" w:type="dxa"/>
            <w:vMerge/>
            <w:vAlign w:val="center"/>
          </w:tcPr>
          <w:p w:rsidR="004D1A17" w:rsidRPr="00043EA9" w:rsidRDefault="004D1A17" w:rsidP="004D1A17">
            <w:pPr>
              <w:spacing w:after="160" w:line="360" w:lineRule="auto"/>
              <w:jc w:val="center"/>
              <w:rPr>
                <w:b/>
                <w:sz w:val="28"/>
                <w:szCs w:val="28"/>
              </w:rPr>
            </w:pPr>
          </w:p>
        </w:tc>
        <w:tc>
          <w:tcPr>
            <w:tcW w:w="900" w:type="dxa"/>
            <w:vAlign w:val="center"/>
          </w:tcPr>
          <w:p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rsidR="004D1A17" w:rsidRPr="00043EA9" w:rsidRDefault="004D1A17" w:rsidP="004D1A17">
            <w:pPr>
              <w:spacing w:after="160" w:line="360" w:lineRule="auto"/>
              <w:jc w:val="center"/>
              <w:rPr>
                <w:b/>
                <w:sz w:val="28"/>
                <w:szCs w:val="28"/>
              </w:rPr>
            </w:pPr>
            <w:r>
              <w:rPr>
                <w:b/>
                <w:sz w:val="28"/>
                <w:szCs w:val="28"/>
              </w:rPr>
              <w:t>Added 25 bp</w:t>
            </w:r>
          </w:p>
        </w:tc>
      </w:tr>
      <w:tr w:rsidR="004D1A17" w:rsidTr="004D1A17">
        <w:tc>
          <w:tcPr>
            <w:tcW w:w="1530" w:type="dxa"/>
            <w:vAlign w:val="center"/>
          </w:tcPr>
          <w:p w:rsidR="00043EA9" w:rsidRDefault="00043EA9" w:rsidP="00043EA9">
            <w:pPr>
              <w:spacing w:after="160" w:line="360" w:lineRule="auto"/>
              <w:jc w:val="center"/>
            </w:pPr>
            <w:r>
              <w:t>15 Aug 2021</w:t>
            </w:r>
          </w:p>
        </w:tc>
        <w:tc>
          <w:tcPr>
            <w:tcW w:w="1170" w:type="dxa"/>
            <w:vAlign w:val="center"/>
          </w:tcPr>
          <w:p w:rsidR="00043EA9" w:rsidRDefault="00043EA9" w:rsidP="00043EA9">
            <w:pPr>
              <w:spacing w:after="160" w:line="360" w:lineRule="auto"/>
              <w:jc w:val="center"/>
            </w:pPr>
            <w:r>
              <w:t>8.000%</w:t>
            </w:r>
          </w:p>
        </w:tc>
        <w:tc>
          <w:tcPr>
            <w:tcW w:w="1350" w:type="dxa"/>
            <w:vAlign w:val="center"/>
          </w:tcPr>
          <w:p w:rsidR="00043EA9" w:rsidRDefault="00043EA9" w:rsidP="00043EA9">
            <w:pPr>
              <w:spacing w:after="160" w:line="360" w:lineRule="auto"/>
              <w:jc w:val="center"/>
            </w:pPr>
            <w:r>
              <w:t>11.17</w:t>
            </w:r>
          </w:p>
        </w:tc>
        <w:tc>
          <w:tcPr>
            <w:tcW w:w="1080" w:type="dxa"/>
            <w:vAlign w:val="center"/>
          </w:tcPr>
          <w:p w:rsidR="00043EA9" w:rsidRDefault="00043EA9" w:rsidP="00043EA9">
            <w:pPr>
              <w:spacing w:after="160" w:line="360" w:lineRule="auto"/>
              <w:jc w:val="center"/>
            </w:pPr>
            <w:r>
              <w:t>119.625</w:t>
            </w:r>
          </w:p>
        </w:tc>
        <w:tc>
          <w:tcPr>
            <w:tcW w:w="1080" w:type="dxa"/>
            <w:vAlign w:val="center"/>
          </w:tcPr>
          <w:p w:rsidR="00043EA9" w:rsidRDefault="004D1A17" w:rsidP="00043EA9">
            <w:pPr>
              <w:spacing w:after="160" w:line="360" w:lineRule="auto"/>
              <w:jc w:val="center"/>
            </w:pPr>
            <w:r>
              <w:t>123.083</w:t>
            </w:r>
          </w:p>
        </w:tc>
        <w:tc>
          <w:tcPr>
            <w:tcW w:w="1080" w:type="dxa"/>
            <w:vAlign w:val="center"/>
          </w:tcPr>
          <w:p w:rsidR="00043EA9" w:rsidRDefault="004D1A17" w:rsidP="00043EA9">
            <w:pPr>
              <w:spacing w:after="160" w:line="360" w:lineRule="auto"/>
              <w:jc w:val="center"/>
            </w:pPr>
            <w:r>
              <w:t>116.309</w:t>
            </w:r>
          </w:p>
        </w:tc>
        <w:tc>
          <w:tcPr>
            <w:tcW w:w="1080" w:type="dxa"/>
            <w:vAlign w:val="center"/>
          </w:tcPr>
          <w:p w:rsidR="00043EA9" w:rsidRDefault="004D1A17" w:rsidP="00043EA9">
            <w:pPr>
              <w:spacing w:after="160" w:line="360" w:lineRule="auto"/>
              <w:jc w:val="center"/>
            </w:pPr>
            <w:r>
              <w:t>1.2398</w:t>
            </w:r>
          </w:p>
        </w:tc>
        <w:tc>
          <w:tcPr>
            <w:tcW w:w="1530" w:type="dxa"/>
            <w:vAlign w:val="center"/>
          </w:tcPr>
          <w:p w:rsidR="00043EA9" w:rsidRPr="004D1A17" w:rsidRDefault="004D1A17" w:rsidP="00043EA9">
            <w:pPr>
              <w:spacing w:after="160" w:line="360" w:lineRule="auto"/>
              <w:jc w:val="center"/>
              <w:rPr>
                <w:b/>
                <w:i/>
              </w:rPr>
            </w:pPr>
            <w:r w:rsidRPr="004D1A17">
              <w:rPr>
                <w:b/>
                <w:i/>
              </w:rPr>
              <w:t>96.487</w:t>
            </w:r>
          </w:p>
        </w:tc>
        <w:tc>
          <w:tcPr>
            <w:tcW w:w="900" w:type="dxa"/>
            <w:vAlign w:val="center"/>
          </w:tcPr>
          <w:p w:rsidR="00043EA9" w:rsidRDefault="004D1A17" w:rsidP="00043EA9">
            <w:pPr>
              <w:spacing w:after="160" w:line="360" w:lineRule="auto"/>
              <w:jc w:val="center"/>
            </w:pPr>
            <w:r>
              <w:t>99.276</w:t>
            </w:r>
          </w:p>
        </w:tc>
        <w:tc>
          <w:tcPr>
            <w:tcW w:w="1080" w:type="dxa"/>
            <w:vAlign w:val="center"/>
          </w:tcPr>
          <w:p w:rsidR="00043EA9" w:rsidRDefault="004D1A17" w:rsidP="00043EA9">
            <w:pPr>
              <w:spacing w:after="160" w:line="360" w:lineRule="auto"/>
              <w:jc w:val="center"/>
            </w:pPr>
            <w:r>
              <w:t>93.813</w:t>
            </w:r>
          </w:p>
        </w:tc>
      </w:tr>
      <w:tr w:rsidR="004D1A17" w:rsidTr="004D1A17">
        <w:tc>
          <w:tcPr>
            <w:tcW w:w="1530" w:type="dxa"/>
            <w:vAlign w:val="center"/>
          </w:tcPr>
          <w:p w:rsidR="00043EA9" w:rsidRDefault="00043EA9" w:rsidP="00043EA9">
            <w:pPr>
              <w:spacing w:after="160" w:line="360" w:lineRule="auto"/>
              <w:jc w:val="center"/>
            </w:pPr>
            <w:r>
              <w:t>15 Aug 2019</w:t>
            </w:r>
          </w:p>
        </w:tc>
        <w:tc>
          <w:tcPr>
            <w:tcW w:w="1170" w:type="dxa"/>
            <w:vAlign w:val="center"/>
          </w:tcPr>
          <w:p w:rsidR="00043EA9" w:rsidRDefault="00043EA9" w:rsidP="00043EA9">
            <w:pPr>
              <w:spacing w:after="160" w:line="360" w:lineRule="auto"/>
              <w:jc w:val="center"/>
            </w:pPr>
            <w:r>
              <w:t>8.125%</w:t>
            </w:r>
          </w:p>
        </w:tc>
        <w:tc>
          <w:tcPr>
            <w:tcW w:w="1350" w:type="dxa"/>
            <w:vAlign w:val="center"/>
          </w:tcPr>
          <w:p w:rsidR="00043EA9" w:rsidRDefault="00043EA9" w:rsidP="00043EA9">
            <w:pPr>
              <w:spacing w:after="160" w:line="360" w:lineRule="auto"/>
              <w:jc w:val="center"/>
            </w:pPr>
            <w:r>
              <w:t>10.38</w:t>
            </w:r>
          </w:p>
        </w:tc>
        <w:tc>
          <w:tcPr>
            <w:tcW w:w="1080" w:type="dxa"/>
            <w:vAlign w:val="center"/>
          </w:tcPr>
          <w:p w:rsidR="00043EA9" w:rsidRDefault="00043EA9" w:rsidP="00043EA9">
            <w:pPr>
              <w:spacing w:after="160" w:line="360" w:lineRule="auto"/>
              <w:jc w:val="center"/>
            </w:pPr>
            <w:r>
              <w:t>119.844</w:t>
            </w:r>
          </w:p>
        </w:tc>
        <w:tc>
          <w:tcPr>
            <w:tcW w:w="1080" w:type="dxa"/>
            <w:vAlign w:val="center"/>
          </w:tcPr>
          <w:p w:rsidR="00043EA9" w:rsidRDefault="004D1A17" w:rsidP="00043EA9">
            <w:pPr>
              <w:spacing w:after="160" w:line="360" w:lineRule="auto"/>
              <w:jc w:val="center"/>
            </w:pPr>
            <w:r>
              <w:t>123.113</w:t>
            </w:r>
          </w:p>
        </w:tc>
        <w:tc>
          <w:tcPr>
            <w:tcW w:w="1080" w:type="dxa"/>
            <w:vAlign w:val="center"/>
          </w:tcPr>
          <w:p w:rsidR="00043EA9" w:rsidRDefault="004D1A17" w:rsidP="00043EA9">
            <w:pPr>
              <w:spacing w:after="160" w:line="360" w:lineRule="auto"/>
              <w:jc w:val="center"/>
            </w:pPr>
            <w:r>
              <w:t>116.698</w:t>
            </w:r>
          </w:p>
        </w:tc>
        <w:tc>
          <w:tcPr>
            <w:tcW w:w="1080" w:type="dxa"/>
            <w:vAlign w:val="center"/>
          </w:tcPr>
          <w:p w:rsidR="00043EA9" w:rsidRDefault="004D1A17" w:rsidP="00043EA9">
            <w:pPr>
              <w:spacing w:after="160" w:line="360" w:lineRule="auto"/>
              <w:jc w:val="center"/>
            </w:pPr>
            <w:r>
              <w:t>1.2505</w:t>
            </w:r>
          </w:p>
        </w:tc>
        <w:tc>
          <w:tcPr>
            <w:tcW w:w="1530" w:type="dxa"/>
            <w:vAlign w:val="center"/>
          </w:tcPr>
          <w:p w:rsidR="00043EA9" w:rsidRDefault="004D1A17" w:rsidP="00043EA9">
            <w:pPr>
              <w:spacing w:after="160" w:line="360" w:lineRule="auto"/>
              <w:jc w:val="center"/>
            </w:pPr>
            <w:r>
              <w:t>96.609</w:t>
            </w:r>
          </w:p>
        </w:tc>
        <w:tc>
          <w:tcPr>
            <w:tcW w:w="900" w:type="dxa"/>
            <w:vAlign w:val="center"/>
          </w:tcPr>
          <w:p w:rsidR="00043EA9" w:rsidRPr="004D1A17" w:rsidRDefault="004D1A17" w:rsidP="00043EA9">
            <w:pPr>
              <w:spacing w:after="160" w:line="360" w:lineRule="auto"/>
              <w:jc w:val="center"/>
              <w:rPr>
                <w:b/>
                <w:i/>
              </w:rPr>
            </w:pPr>
            <w:r w:rsidRPr="004D1A17">
              <w:rPr>
                <w:b/>
                <w:i/>
              </w:rPr>
              <w:t>99.244</w:t>
            </w:r>
          </w:p>
        </w:tc>
        <w:tc>
          <w:tcPr>
            <w:tcW w:w="1080" w:type="dxa"/>
            <w:vAlign w:val="center"/>
          </w:tcPr>
          <w:p w:rsidR="00043EA9" w:rsidRDefault="004D1A17" w:rsidP="00043EA9">
            <w:pPr>
              <w:spacing w:after="160" w:line="360" w:lineRule="auto"/>
              <w:jc w:val="center"/>
            </w:pPr>
            <w:r>
              <w:t>94.073</w:t>
            </w:r>
          </w:p>
        </w:tc>
      </w:tr>
      <w:tr w:rsidR="004D1A17" w:rsidTr="004D1A17">
        <w:tc>
          <w:tcPr>
            <w:tcW w:w="1530" w:type="dxa"/>
            <w:vAlign w:val="center"/>
          </w:tcPr>
          <w:p w:rsidR="00043EA9" w:rsidRDefault="00043EA9" w:rsidP="00043EA9">
            <w:pPr>
              <w:spacing w:after="160" w:line="360" w:lineRule="auto"/>
              <w:jc w:val="center"/>
            </w:pPr>
            <w:r>
              <w:t>15 Aug 2022</w:t>
            </w:r>
          </w:p>
        </w:tc>
        <w:tc>
          <w:tcPr>
            <w:tcW w:w="1170" w:type="dxa"/>
            <w:vAlign w:val="center"/>
          </w:tcPr>
          <w:p w:rsidR="00043EA9" w:rsidRDefault="00043EA9" w:rsidP="00043EA9">
            <w:pPr>
              <w:spacing w:after="160" w:line="360" w:lineRule="auto"/>
              <w:jc w:val="center"/>
            </w:pPr>
            <w:r>
              <w:t>7.250%</w:t>
            </w:r>
          </w:p>
        </w:tc>
        <w:tc>
          <w:tcPr>
            <w:tcW w:w="1350" w:type="dxa"/>
            <w:vAlign w:val="center"/>
          </w:tcPr>
          <w:p w:rsidR="00043EA9" w:rsidRDefault="00043EA9" w:rsidP="00043EA9">
            <w:pPr>
              <w:spacing w:after="160" w:line="360" w:lineRule="auto"/>
              <w:jc w:val="center"/>
            </w:pPr>
            <w:r>
              <w:t>11.39</w:t>
            </w:r>
          </w:p>
        </w:tc>
        <w:tc>
          <w:tcPr>
            <w:tcW w:w="1080" w:type="dxa"/>
            <w:vAlign w:val="center"/>
          </w:tcPr>
          <w:p w:rsidR="00043EA9" w:rsidRDefault="00043EA9" w:rsidP="00043EA9">
            <w:pPr>
              <w:spacing w:after="160" w:line="360" w:lineRule="auto"/>
              <w:jc w:val="center"/>
            </w:pPr>
            <w:r>
              <w:t>111.187</w:t>
            </w:r>
          </w:p>
        </w:tc>
        <w:tc>
          <w:tcPr>
            <w:tcW w:w="1080" w:type="dxa"/>
            <w:vAlign w:val="center"/>
          </w:tcPr>
          <w:p w:rsidR="00043EA9" w:rsidRDefault="004D1A17" w:rsidP="00043EA9">
            <w:pPr>
              <w:spacing w:after="160" w:line="360" w:lineRule="auto"/>
              <w:jc w:val="center"/>
            </w:pPr>
            <w:r>
              <w:t>114.465</w:t>
            </w:r>
          </w:p>
        </w:tc>
        <w:tc>
          <w:tcPr>
            <w:tcW w:w="1080" w:type="dxa"/>
            <w:vAlign w:val="center"/>
          </w:tcPr>
          <w:p w:rsidR="00043EA9" w:rsidRDefault="004D1A17" w:rsidP="00043EA9">
            <w:pPr>
              <w:spacing w:after="160" w:line="360" w:lineRule="auto"/>
              <w:jc w:val="center"/>
            </w:pPr>
            <w:r>
              <w:t>107.952</w:t>
            </w:r>
          </w:p>
        </w:tc>
        <w:tc>
          <w:tcPr>
            <w:tcW w:w="1080" w:type="dxa"/>
            <w:vAlign w:val="center"/>
          </w:tcPr>
          <w:p w:rsidR="00043EA9" w:rsidRDefault="004D1A17" w:rsidP="00043EA9">
            <w:pPr>
              <w:spacing w:after="160" w:line="360" w:lineRule="auto"/>
              <w:jc w:val="center"/>
            </w:pPr>
            <w:r>
              <w:t>1.1523</w:t>
            </w:r>
          </w:p>
        </w:tc>
        <w:tc>
          <w:tcPr>
            <w:tcW w:w="1530" w:type="dxa"/>
            <w:vAlign w:val="center"/>
          </w:tcPr>
          <w:p w:rsidR="00043EA9" w:rsidRDefault="004D1A17" w:rsidP="00043EA9">
            <w:pPr>
              <w:spacing w:after="160" w:line="360" w:lineRule="auto"/>
              <w:jc w:val="center"/>
            </w:pPr>
            <w:r>
              <w:t>96.492</w:t>
            </w:r>
          </w:p>
        </w:tc>
        <w:tc>
          <w:tcPr>
            <w:tcW w:w="900" w:type="dxa"/>
            <w:vAlign w:val="center"/>
          </w:tcPr>
          <w:p w:rsidR="00043EA9" w:rsidRDefault="004D1A17" w:rsidP="00043EA9">
            <w:pPr>
              <w:spacing w:after="160" w:line="360" w:lineRule="auto"/>
              <w:jc w:val="center"/>
            </w:pPr>
            <w:r>
              <w:t>99.336</w:t>
            </w:r>
          </w:p>
        </w:tc>
        <w:tc>
          <w:tcPr>
            <w:tcW w:w="1080" w:type="dxa"/>
            <w:vAlign w:val="center"/>
          </w:tcPr>
          <w:p w:rsidR="00043EA9" w:rsidRPr="004D1A17" w:rsidRDefault="004D1A17" w:rsidP="00043EA9">
            <w:pPr>
              <w:spacing w:after="160" w:line="360" w:lineRule="auto"/>
              <w:jc w:val="center"/>
              <w:rPr>
                <w:b/>
                <w:i/>
              </w:rPr>
            </w:pPr>
            <w:r w:rsidRPr="004D1A17">
              <w:rPr>
                <w:b/>
                <w:i/>
              </w:rPr>
              <w:t>93.684</w:t>
            </w:r>
          </w:p>
        </w:tc>
      </w:tr>
    </w:tbl>
    <w:p w:rsidR="00043EA9" w:rsidRDefault="00043EA9" w:rsidP="00043EA9">
      <w:pPr>
        <w:spacing w:after="160" w:line="360" w:lineRule="auto"/>
      </w:pPr>
    </w:p>
    <w:p w:rsidR="004D1A17" w:rsidRDefault="004D1A17" w:rsidP="004D1A17">
      <w:pPr>
        <w:pStyle w:val="ListParagraph"/>
        <w:numPr>
          <w:ilvl w:val="0"/>
          <w:numId w:val="399"/>
        </w:numPr>
        <w:spacing w:after="160" w:line="360" w:lineRule="auto"/>
      </w:pPr>
      <w:r w:rsidRPr="00043EA9">
        <w:rPr>
          <w:u w:val="single"/>
        </w:rPr>
        <w:lastRenderedPageBreak/>
        <w:t xml:space="preserve">Yield Curve </w:t>
      </w:r>
      <w:r w:rsidR="001D3578">
        <w:rPr>
          <w:u w:val="single"/>
        </w:rPr>
        <w:t xml:space="preserve">Bumped Down </w:t>
      </w:r>
      <w:r w:rsidRPr="00043EA9">
        <w:rPr>
          <w:u w:val="single"/>
        </w:rPr>
        <w:t>CTD</w:t>
      </w:r>
      <w:r w:rsidRPr="0084037E">
        <w:t xml:space="preserve">: </w:t>
      </w:r>
      <w:r w:rsidR="001D3578">
        <w:t>The second row gives particulars on the bond that would have been the CTD at the previous close if the yields were 25 bp lower (and price were higher)</w:t>
      </w:r>
      <w:r>
        <w:t>.</w:t>
      </w:r>
      <w:r w:rsidR="001D3578">
        <w:t xml:space="preserve"> As can be seen that is a shorter duration instrument whose price would have benefitted the least from the decline in the rates.</w:t>
      </w:r>
    </w:p>
    <w:p w:rsidR="001D3578" w:rsidRDefault="001D3578" w:rsidP="004D1A17">
      <w:pPr>
        <w:pStyle w:val="ListParagraph"/>
        <w:numPr>
          <w:ilvl w:val="0"/>
          <w:numId w:val="399"/>
        </w:numPr>
        <w:spacing w:after="160" w:line="360" w:lineRule="auto"/>
      </w:pPr>
      <w:r>
        <w:rPr>
          <w:u w:val="single"/>
        </w:rPr>
        <w:t>Yield Curve Bumped Up CTD</w:t>
      </w:r>
      <w:r w:rsidRPr="001D3578">
        <w:t>:</w:t>
      </w:r>
      <w:r>
        <w:t xml:space="preserve"> Finally the third row of numbers tells all about the bond that would have been the cheapest-to-deliver if the yields were 25 bp higher (and the prices lower) – a longer duration instrument whose price would have fallen the most.</w:t>
      </w:r>
    </w:p>
    <w:p w:rsidR="00617362" w:rsidRDefault="00617362" w:rsidP="00617362">
      <w:pPr>
        <w:spacing w:line="360" w:lineRule="auto"/>
      </w:pPr>
    </w:p>
    <w:p w:rsidR="00617362" w:rsidRDefault="00617362" w:rsidP="00617362">
      <w:pPr>
        <w:spacing w:line="360" w:lineRule="auto"/>
      </w:pPr>
    </w:p>
    <w:p w:rsidR="00617362" w:rsidRDefault="00617362" w:rsidP="00617362">
      <w:pPr>
        <w:spacing w:line="360" w:lineRule="auto"/>
        <w:rPr>
          <w:b/>
          <w:sz w:val="28"/>
          <w:szCs w:val="28"/>
        </w:rPr>
      </w:pPr>
      <w:r>
        <w:rPr>
          <w:b/>
          <w:sz w:val="28"/>
          <w:szCs w:val="28"/>
        </w:rPr>
        <w:t>References</w:t>
      </w:r>
    </w:p>
    <w:p w:rsidR="00617362" w:rsidRDefault="00617362" w:rsidP="00617362">
      <w:pPr>
        <w:tabs>
          <w:tab w:val="left" w:pos="7800"/>
        </w:tabs>
        <w:spacing w:line="360" w:lineRule="auto"/>
      </w:pPr>
      <w:r>
        <w:tab/>
      </w:r>
    </w:p>
    <w:p w:rsidR="00617362" w:rsidRDefault="00617362" w:rsidP="00617362">
      <w:pPr>
        <w:pStyle w:val="Footer"/>
        <w:numPr>
          <w:ilvl w:val="0"/>
          <w:numId w:val="395"/>
        </w:numPr>
        <w:tabs>
          <w:tab w:val="clear" w:pos="4320"/>
          <w:tab w:val="clear" w:pos="8640"/>
        </w:tabs>
        <w:spacing w:line="360" w:lineRule="auto"/>
      </w:pPr>
      <w:r>
        <w:t>Stanton</w:t>
      </w:r>
      <w:r w:rsidRPr="0084037E">
        <w:t xml:space="preserve">, </w:t>
      </w:r>
      <w:r>
        <w:t>M.</w:t>
      </w:r>
      <w:r w:rsidRPr="0084037E">
        <w:t xml:space="preserve"> (</w:t>
      </w:r>
      <w:r>
        <w:t>1999</w:t>
      </w:r>
      <w:r w:rsidR="00C63E82">
        <w:t xml:space="preserve">): </w:t>
      </w:r>
      <w:hyperlink r:id="rId59" w:history="1">
        <w:r w:rsidR="00C63E82" w:rsidRPr="00C63E82">
          <w:rPr>
            <w:rStyle w:val="Hyperlink"/>
          </w:rPr>
          <w:t>What makes a Bond Cheapest to Deliver against the Futures Contract?</w:t>
        </w:r>
      </w:hyperlink>
    </w:p>
    <w:p w:rsidR="00177C94" w:rsidRDefault="00177C94">
      <w:pPr>
        <w:spacing w:after="160" w:line="259" w:lineRule="auto"/>
      </w:pPr>
      <w:r>
        <w:br w:type="page"/>
      </w:r>
    </w:p>
    <w:p w:rsidR="00177C94" w:rsidRDefault="00177C94" w:rsidP="00177C94">
      <w:pPr>
        <w:spacing w:line="360" w:lineRule="auto"/>
        <w:jc w:val="center"/>
        <w:rPr>
          <w:b/>
          <w:bCs/>
          <w:sz w:val="32"/>
        </w:rPr>
      </w:pPr>
    </w:p>
    <w:p w:rsidR="00177C94" w:rsidRDefault="00177C94" w:rsidP="00177C94">
      <w:pPr>
        <w:spacing w:line="360" w:lineRule="auto"/>
        <w:jc w:val="center"/>
        <w:rPr>
          <w:b/>
          <w:sz w:val="32"/>
          <w:szCs w:val="32"/>
        </w:rPr>
      </w:pPr>
      <w:r>
        <w:rPr>
          <w:b/>
          <w:sz w:val="32"/>
          <w:szCs w:val="32"/>
        </w:rPr>
        <w:t>Valuation of Treasury Futures Contract</w:t>
      </w:r>
    </w:p>
    <w:p w:rsidR="00177C94" w:rsidRDefault="00177C94" w:rsidP="00177C94">
      <w:pPr>
        <w:spacing w:line="360" w:lineRule="auto"/>
      </w:pPr>
    </w:p>
    <w:p w:rsidR="00177C94" w:rsidRDefault="00177C94" w:rsidP="00177C94">
      <w:pPr>
        <w:spacing w:line="360" w:lineRule="auto"/>
      </w:pPr>
    </w:p>
    <w:p w:rsidR="00177C94" w:rsidRDefault="00177C94" w:rsidP="00177C94">
      <w:pPr>
        <w:spacing w:line="360" w:lineRule="auto"/>
        <w:rPr>
          <w:b/>
          <w:sz w:val="28"/>
          <w:szCs w:val="28"/>
        </w:rPr>
      </w:pPr>
      <w:r>
        <w:rPr>
          <w:b/>
          <w:sz w:val="28"/>
          <w:szCs w:val="28"/>
        </w:rPr>
        <w:t>Futures Contract and Mark to Market</w:t>
      </w:r>
    </w:p>
    <w:p w:rsidR="00177C94" w:rsidRDefault="00177C94" w:rsidP="00177C94">
      <w:pPr>
        <w:spacing w:after="160" w:line="360" w:lineRule="auto"/>
      </w:pPr>
    </w:p>
    <w:p w:rsidR="00177C94" w:rsidRDefault="00177C94" w:rsidP="00177C94">
      <w:pPr>
        <w:pStyle w:val="ListParagraph"/>
        <w:numPr>
          <w:ilvl w:val="0"/>
          <w:numId w:val="400"/>
        </w:numPr>
        <w:spacing w:after="160" w:line="360" w:lineRule="auto"/>
      </w:pPr>
      <w:r w:rsidRPr="00177C94">
        <w:rPr>
          <w:u w:val="single"/>
        </w:rPr>
        <w:t>MTM and the Contract Value</w:t>
      </w:r>
      <w:r w:rsidRPr="0084037E">
        <w:t xml:space="preserve">: </w:t>
      </w:r>
      <w:r w:rsidR="00B23358">
        <w:t>Each day prior to the expiration date the long and the short positions are marked to market</w:t>
      </w:r>
      <w:r>
        <w:t>.</w:t>
      </w:r>
      <w:r w:rsidR="00B23358">
        <w:t xml:space="preserve"> The buyer gets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t-1D</m:t>
            </m:r>
          </m:e>
        </m:d>
      </m:oMath>
      <w:r w:rsidR="00B23358">
        <w:t xml:space="preserve"> and the seller gets </w:t>
      </w:r>
      <m:oMath>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t-1D</m:t>
                </m:r>
              </m:e>
            </m:d>
          </m:e>
        </m:d>
      </m:oMath>
      <w:r w:rsidR="00B23358">
        <w:t>. It costs nothing to get into or out of a futures contract ignoring transaction costs (Carpenter (2011)). Therefore in equilibrium, the futures price on any day is set to make the PV of all the contract cash flows equal to zero.</w:t>
      </w:r>
    </w:p>
    <w:p w:rsidR="00B23358" w:rsidRDefault="00B23358" w:rsidP="00177C94">
      <w:pPr>
        <w:pStyle w:val="ListParagraph"/>
        <w:numPr>
          <w:ilvl w:val="0"/>
          <w:numId w:val="400"/>
        </w:numPr>
        <w:spacing w:after="160" w:line="360" w:lineRule="auto"/>
      </w:pPr>
      <w:r>
        <w:rPr>
          <w:u w:val="single"/>
        </w:rPr>
        <w:t>Basic Futures Contract Valuation Setup</w:t>
      </w:r>
      <w:r>
        <w:t xml:space="preserve">: In a basic futures contract without delivery options the buyer agrees to take delivery of the underlying asset from the seller at a specified expiration date </w:t>
      </w:r>
      <m:oMath>
        <m:r>
          <w:rPr>
            <w:rFonts w:ascii="Cambria Math" w:hAnsi="Cambria Math"/>
          </w:rPr>
          <m:t>T</m:t>
        </m:r>
      </m:oMath>
      <w:r>
        <w:t xml:space="preserve">. Associated with the contract is the futures price </w:t>
      </w:r>
      <m:oMath>
        <m:r>
          <w:rPr>
            <w:rFonts w:ascii="Cambria Math" w:hAnsi="Cambria Math"/>
          </w:rPr>
          <m:t>G</m:t>
        </m:r>
        <m:d>
          <m:dPr>
            <m:ctrlPr>
              <w:rPr>
                <w:rFonts w:ascii="Cambria Math" w:hAnsi="Cambria Math"/>
                <w:i/>
              </w:rPr>
            </m:ctrlPr>
          </m:dPr>
          <m:e>
            <m:r>
              <w:rPr>
                <w:rFonts w:ascii="Cambria Math" w:hAnsi="Cambria Math"/>
              </w:rPr>
              <m:t>t</m:t>
            </m:r>
          </m:e>
        </m:d>
      </m:oMath>
      <w:r>
        <w:t xml:space="preserve"> which varies in equilibrium with time and with market conditions. On the expiration date the buyer pays the seller </w:t>
      </w:r>
      <m:oMath>
        <m:r>
          <w:rPr>
            <w:rFonts w:ascii="Cambria Math" w:hAnsi="Cambria Math"/>
          </w:rPr>
          <m:t>G</m:t>
        </m:r>
        <m:d>
          <m:dPr>
            <m:ctrlPr>
              <w:rPr>
                <w:rFonts w:ascii="Cambria Math" w:hAnsi="Cambria Math"/>
                <w:i/>
              </w:rPr>
            </m:ctrlPr>
          </m:dPr>
          <m:e>
            <m:r>
              <w:rPr>
                <w:rFonts w:ascii="Cambria Math" w:hAnsi="Cambria Math"/>
              </w:rPr>
              <m:t>T</m:t>
            </m:r>
          </m:e>
        </m:d>
      </m:oMath>
      <w:r>
        <w:t xml:space="preserve"> for the underlying assets.</w:t>
      </w:r>
    </w:p>
    <w:p w:rsidR="00B23358" w:rsidRDefault="00B23358" w:rsidP="00177C94">
      <w:pPr>
        <w:pStyle w:val="ListParagraph"/>
        <w:numPr>
          <w:ilvl w:val="0"/>
          <w:numId w:val="400"/>
        </w:numPr>
        <w:spacing w:after="160" w:line="360" w:lineRule="auto"/>
      </w:pPr>
      <w:r>
        <w:rPr>
          <w:u w:val="single"/>
        </w:rPr>
        <w:t>Mechanics of Marking to Market</w:t>
      </w:r>
      <w:r w:rsidRPr="00B23358">
        <w:t>:</w:t>
      </w:r>
      <w:r>
        <w:t xml:space="preserve"> Consider buying the contract at time </w:t>
      </w:r>
      <m:oMath>
        <m:r>
          <w:rPr>
            <w:rFonts w:ascii="Cambria Math" w:hAnsi="Cambria Math"/>
          </w:rPr>
          <m:t>t</m:t>
        </m:r>
      </m:oMath>
      <w:r>
        <w:t xml:space="preserve"> and selling it at </w:t>
      </w:r>
      <m:oMath>
        <m:r>
          <w:rPr>
            <w:rFonts w:ascii="Cambria Math" w:hAnsi="Cambria Math"/>
          </w:rPr>
          <m:t>t+1D</m:t>
        </m:r>
      </m:oMath>
      <w:r>
        <w:t xml:space="preserve">. It essentially costs nothing to buy and sell the contract, so the payoff from this strategy is just the profit or loss from the MTM: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p>
    <w:p w:rsidR="00766AB6" w:rsidRDefault="00766AB6" w:rsidP="00177C94">
      <w:pPr>
        <w:pStyle w:val="ListParagraph"/>
        <w:numPr>
          <w:ilvl w:val="0"/>
          <w:numId w:val="400"/>
        </w:numPr>
        <w:spacing w:after="160" w:line="360" w:lineRule="auto"/>
      </w:pPr>
      <w:r>
        <w:rPr>
          <w:u w:val="single"/>
        </w:rPr>
        <w:t xml:space="preserve">Setting </w:t>
      </w:r>
      <m:oMath>
        <m:r>
          <w:rPr>
            <w:rFonts w:ascii="Cambria Math" w:hAnsi="Cambria Math"/>
            <w:u w:val="single"/>
          </w:rPr>
          <m:t>G</m:t>
        </m:r>
        <m:d>
          <m:dPr>
            <m:ctrlPr>
              <w:rPr>
                <w:rFonts w:ascii="Cambria Math" w:hAnsi="Cambria Math"/>
                <w:i/>
                <w:u w:val="single"/>
              </w:rPr>
            </m:ctrlPr>
          </m:dPr>
          <m:e>
            <m:r>
              <w:rPr>
                <w:rFonts w:ascii="Cambria Math" w:hAnsi="Cambria Math"/>
                <w:u w:val="single"/>
              </w:rPr>
              <m:t>t</m:t>
            </m:r>
          </m:e>
        </m:d>
      </m:oMath>
      <w:r>
        <w:rPr>
          <w:u w:val="single"/>
        </w:rPr>
        <w:t xml:space="preserve"> from the MTM Mechanism</w:t>
      </w:r>
      <w:r>
        <w:t xml:space="preserve">: </w:t>
      </w:r>
      <m:oMath>
        <m:r>
          <w:rPr>
            <w:rFonts w:ascii="Cambria Math" w:hAnsi="Cambria Math"/>
          </w:rPr>
          <m:t>G</m:t>
        </m:r>
        <m:d>
          <m:dPr>
            <m:ctrlPr>
              <w:rPr>
                <w:rFonts w:ascii="Cambria Math" w:hAnsi="Cambria Math"/>
                <w:i/>
              </w:rPr>
            </m:ctrlPr>
          </m:dPr>
          <m:e>
            <m:r>
              <w:rPr>
                <w:rFonts w:ascii="Cambria Math" w:hAnsi="Cambria Math"/>
              </w:rPr>
              <m:t>t+1D</m:t>
            </m:r>
          </m:e>
        </m:d>
      </m:oMath>
      <w:r>
        <w:t xml:space="preserve"> is a random martingale, so </w:t>
      </w:r>
      <m:oMath>
        <m:r>
          <w:rPr>
            <w:rFonts w:ascii="Cambria Math" w:hAnsi="Cambria Math"/>
          </w:rPr>
          <m:t>G</m:t>
        </m:r>
        <m:d>
          <m:dPr>
            <m:ctrlPr>
              <w:rPr>
                <w:rFonts w:ascii="Cambria Math" w:hAnsi="Cambria Math"/>
                <w:i/>
              </w:rPr>
            </m:ctrlPr>
          </m:dPr>
          <m:e>
            <m:r>
              <w:rPr>
                <w:rFonts w:ascii="Cambria Math" w:hAnsi="Cambria Math"/>
              </w:rPr>
              <m:t>t</m:t>
            </m:r>
          </m:e>
        </m:d>
      </m:oMath>
      <w:r>
        <w:t xml:space="preserve"> is set today to make the market value of the next day’s random payoff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r>
        <w:t xml:space="preserve"> equal to zero.</w:t>
      </w:r>
    </w:p>
    <w:p w:rsidR="00067A0D" w:rsidRDefault="00067A0D" w:rsidP="00177C94">
      <w:pPr>
        <w:pStyle w:val="ListParagraph"/>
        <w:numPr>
          <w:ilvl w:val="0"/>
          <w:numId w:val="400"/>
        </w:numPr>
        <w:spacing w:after="160" w:line="360" w:lineRule="auto"/>
      </w:pPr>
      <w:r>
        <w:rPr>
          <w:u w:val="single"/>
        </w:rPr>
        <w:t>Risk Neutral MTM Payoff Replication</w:t>
      </w:r>
      <w:r w:rsidRPr="00067A0D">
        <w:t>:</w:t>
      </w:r>
      <w:r>
        <w:t xml:space="preserve"> The market value of the martingale mark-to-market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r>
        <w:t xml:space="preserve"> is the cost of replicating that payoff. We can represent that cost in its usual way as a discounted expected value under the risk-neutral probability distribution.</w:t>
      </w:r>
    </w:p>
    <w:p w:rsidR="00CA57D0" w:rsidRDefault="00067A0D" w:rsidP="00177C94">
      <w:pPr>
        <w:pStyle w:val="ListParagraph"/>
        <w:numPr>
          <w:ilvl w:val="0"/>
          <w:numId w:val="400"/>
        </w:numPr>
        <w:spacing w:after="160" w:line="360" w:lineRule="auto"/>
      </w:pPr>
      <w:r>
        <w:rPr>
          <w:u w:val="single"/>
        </w:rPr>
        <w:t>The Risk Neutral Expectation</w:t>
      </w:r>
      <w:r w:rsidRPr="00067A0D">
        <w:t>:</w:t>
      </w:r>
      <w:r>
        <w:t xml:space="preserve"> To make this market value zero, today’s futures price must be the expected value of tomorrow’s futures price under the risk-neutral probability distribution</w:t>
      </w:r>
    </w:p>
    <w:p w:rsidR="00CA57D0" w:rsidRDefault="00CA57D0" w:rsidP="00CA57D0">
      <w:pPr>
        <w:pStyle w:val="ListParagraph"/>
        <w:spacing w:after="160" w:line="360" w:lineRule="auto"/>
        <w:ind w:left="360"/>
      </w:pPr>
    </w:p>
    <w:p w:rsidR="00CA57D0" w:rsidRDefault="00CF6E03" w:rsidP="00CA57D0">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m:rPr>
                      <m:scr m:val="double-struck"/>
                    </m:rPr>
                    <w:rPr>
                      <w:rFonts w:ascii="Cambria Math" w:hAnsi="Cambria Math"/>
                    </w:rPr>
                    <m:t>Q</m:t>
                  </m:r>
                </m:e>
                <m:sub>
                  <m:r>
                    <w:rPr>
                      <w:rFonts w:ascii="Cambria Math" w:hAnsi="Cambria Math"/>
                    </w:rPr>
                    <m:t>t</m:t>
                  </m:r>
                </m:sub>
                <m:sup>
                  <m:r>
                    <w:rPr>
                      <w:rFonts w:ascii="Cambria Math" w:hAnsi="Cambria Math"/>
                    </w:rPr>
                    <m:t>t+1D</m:t>
                  </m:r>
                </m:sup>
              </m:sSubSup>
            </m:sup>
          </m:sSub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=0</m:t>
          </m:r>
        </m:oMath>
      </m:oMathPara>
    </w:p>
    <w:p w:rsidR="00CA57D0" w:rsidRDefault="00CA57D0" w:rsidP="00CA57D0">
      <w:pPr>
        <w:pStyle w:val="ListParagraph"/>
        <w:spacing w:after="160" w:line="360" w:lineRule="auto"/>
        <w:ind w:left="360"/>
      </w:pPr>
    </w:p>
    <w:p w:rsidR="00CA57D0" w:rsidRDefault="00067A0D" w:rsidP="00CA57D0">
      <w:pPr>
        <w:pStyle w:val="ListParagraph"/>
        <w:spacing w:after="160" w:line="360" w:lineRule="auto"/>
        <w:ind w:left="360"/>
      </w:pPr>
      <w:r>
        <w:t>which implies that</w:t>
      </w:r>
    </w:p>
    <w:p w:rsidR="00CA57D0" w:rsidRDefault="00CA57D0" w:rsidP="00CA57D0">
      <w:pPr>
        <w:pStyle w:val="ListParagraph"/>
        <w:spacing w:after="160" w:line="360" w:lineRule="auto"/>
        <w:ind w:left="360"/>
      </w:pPr>
    </w:p>
    <w:p w:rsidR="00067A0D" w:rsidRPr="00CA57D0" w:rsidRDefault="00CA57D0" w:rsidP="00CA57D0">
      <w:pPr>
        <w:pStyle w:val="ListParagraph"/>
        <w:spacing w:after="16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t+1D</m:t>
                  </m:r>
                </m:e>
              </m:d>
            </m:e>
          </m:d>
        </m:oMath>
      </m:oMathPara>
    </w:p>
    <w:p w:rsidR="00CA57D0" w:rsidRDefault="00CA57D0" w:rsidP="00CA57D0">
      <w:pPr>
        <w:pStyle w:val="ListParagraph"/>
        <w:spacing w:after="160" w:line="360" w:lineRule="auto"/>
        <w:ind w:left="360"/>
      </w:pPr>
    </w:p>
    <w:p w:rsidR="00CA57D0" w:rsidRDefault="00CA57D0" w:rsidP="00177C94">
      <w:pPr>
        <w:pStyle w:val="ListParagraph"/>
        <w:numPr>
          <w:ilvl w:val="0"/>
          <w:numId w:val="400"/>
        </w:numPr>
        <w:spacing w:after="160" w:line="360" w:lineRule="auto"/>
      </w:pPr>
      <w:r>
        <w:rPr>
          <w:u w:val="single"/>
        </w:rPr>
        <w:t>Terminal Payoff Cash Convergence</w:t>
      </w:r>
      <w:r w:rsidRPr="00CA57D0">
        <w:t>:</w:t>
      </w:r>
      <w:r>
        <w:t xml:space="preserve"> Consider entering the futures contract the instant before it expires. The long position would instantly pay the futures price and receive the underlying asset. The payoff would be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oMath>
      <w:r>
        <w:t xml:space="preserve"> 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spot price of the underlying on the expiration date. In the absence of arbitrage, since it costs nothing to enter into either side of the contract, the (known) payoff must be zero:</w:t>
      </w:r>
    </w:p>
    <w:p w:rsidR="00CA57D0" w:rsidRDefault="00CA57D0" w:rsidP="00CA57D0">
      <w:pPr>
        <w:pStyle w:val="ListParagraph"/>
        <w:spacing w:after="160" w:line="360" w:lineRule="auto"/>
        <w:ind w:left="360"/>
      </w:pPr>
    </w:p>
    <w:p w:rsidR="00CA57D0" w:rsidRPr="00250E5A" w:rsidRDefault="00CA57D0" w:rsidP="00CA57D0">
      <w:pPr>
        <w:pStyle w:val="ListParagraph"/>
        <w:spacing w:after="16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250E5A" w:rsidRDefault="00250E5A" w:rsidP="00CA57D0">
      <w:pPr>
        <w:pStyle w:val="ListParagraph"/>
        <w:spacing w:after="160" w:line="360" w:lineRule="auto"/>
        <w:ind w:left="360"/>
      </w:pPr>
    </w:p>
    <w:p w:rsidR="00177C94" w:rsidRDefault="00250E5A" w:rsidP="00250E5A">
      <w:pPr>
        <w:pStyle w:val="ListParagraph"/>
        <w:numPr>
          <w:ilvl w:val="0"/>
          <w:numId w:val="400"/>
        </w:numPr>
        <w:spacing w:line="360" w:lineRule="auto"/>
      </w:pPr>
      <w:r>
        <w:rPr>
          <w:u w:val="single"/>
        </w:rPr>
        <w:t>Futures Price without Delivery Options</w:t>
      </w:r>
      <w:r w:rsidRPr="00CA57D0">
        <w:t>:</w:t>
      </w:r>
      <w:r>
        <w:t xml:space="preserve"> Consider a basic futures contract on a bond. To determine the current price </w:t>
      </w:r>
      <m:oMath>
        <m:r>
          <w:rPr>
            <w:rFonts w:ascii="Cambria Math" w:hAnsi="Cambria Math"/>
          </w:rPr>
          <m:t>G</m:t>
        </m:r>
        <m:d>
          <m:dPr>
            <m:ctrlPr>
              <w:rPr>
                <w:rFonts w:ascii="Cambria Math" w:hAnsi="Cambria Math"/>
                <w:i/>
              </w:rPr>
            </m:ctrlPr>
          </m:dPr>
          <m:e>
            <m:r>
              <w:rPr>
                <w:rFonts w:ascii="Cambria Math" w:hAnsi="Cambria Math"/>
              </w:rPr>
              <m:t>0</m:t>
            </m:r>
          </m:e>
        </m:d>
      </m:oMath>
      <w:r>
        <w:t xml:space="preserve"> we start at the expiration date of the futures when the futures price is equal to the spot price of the underlying bond, then work backwards each MTM date to determine the futures price that makes the next MTM payoff worth zero.</w:t>
      </w:r>
    </w:p>
    <w:p w:rsidR="00250E5A" w:rsidRDefault="00250E5A" w:rsidP="00250E5A">
      <w:pPr>
        <w:pStyle w:val="ListParagraph"/>
        <w:numPr>
          <w:ilvl w:val="0"/>
          <w:numId w:val="400"/>
        </w:numPr>
        <w:spacing w:line="360" w:lineRule="auto"/>
      </w:pPr>
      <w:r>
        <w:rPr>
          <w:u w:val="single"/>
        </w:rPr>
        <w:t>Futures vs. Forward Price Match</w:t>
      </w:r>
      <w:r w:rsidRPr="00250E5A">
        <w:t>:</w:t>
      </w:r>
      <w:r>
        <w:t xml:space="preserve"> When there are no further marks to market remaining before the expiration date of the contract, the forward and the futures prices are the same. Further, if the interest rates are uncorrelated with the value of the underlying asset, the forward and the futures price are the same. Such an assumption may be reasonable in the case of stock index futures or commodities futures.</w:t>
      </w:r>
    </w:p>
    <w:p w:rsidR="00250E5A" w:rsidRDefault="00250E5A" w:rsidP="00250E5A">
      <w:pPr>
        <w:pStyle w:val="ListParagraph"/>
        <w:numPr>
          <w:ilvl w:val="0"/>
          <w:numId w:val="400"/>
        </w:numPr>
        <w:spacing w:line="360" w:lineRule="auto"/>
      </w:pPr>
      <w:r>
        <w:rPr>
          <w:u w:val="single"/>
        </w:rPr>
        <w:t>Futures Price less than the Forward</w:t>
      </w:r>
      <w:r w:rsidRPr="00250E5A">
        <w:t>:</w:t>
      </w:r>
      <w:r>
        <w:t xml:space="preserve"> When the underlying asset is an interest rate product (e.g., bond, interest rate forward, swap, etc.) the asset’s price typically is negatively correlated with the interest rates. In the case the futures price becomes lower than the forward price.</w:t>
      </w:r>
    </w:p>
    <w:p w:rsidR="00250E5A" w:rsidRDefault="00250E5A" w:rsidP="00250E5A">
      <w:pPr>
        <w:pStyle w:val="ListParagraph"/>
        <w:numPr>
          <w:ilvl w:val="0"/>
          <w:numId w:val="400"/>
        </w:numPr>
        <w:spacing w:line="360" w:lineRule="auto"/>
      </w:pPr>
      <w:r>
        <w:rPr>
          <w:u w:val="single"/>
        </w:rPr>
        <w:t>MTM Profit and Loss Flow</w:t>
      </w:r>
      <w:r w:rsidRPr="00250E5A">
        <w:t>:</w:t>
      </w:r>
      <w:r>
        <w:t xml:space="preserve"> The profit or loss from the forward contract is</w:t>
      </w:r>
    </w:p>
    <w:p w:rsidR="00250E5A" w:rsidRDefault="00250E5A" w:rsidP="00250E5A">
      <w:pPr>
        <w:pStyle w:val="ListParagraph"/>
        <w:spacing w:line="360" w:lineRule="auto"/>
        <w:ind w:left="360"/>
      </w:pPr>
    </w:p>
    <w:p w:rsidR="00DB74E5" w:rsidRDefault="00250E5A" w:rsidP="00250E5A">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oMath>
      </m:oMathPara>
    </w:p>
    <w:p w:rsidR="00DB74E5" w:rsidRDefault="00DB74E5" w:rsidP="00250E5A">
      <w:pPr>
        <w:pStyle w:val="ListParagraph"/>
        <w:spacing w:line="360" w:lineRule="auto"/>
        <w:ind w:left="360"/>
      </w:pPr>
    </w:p>
    <w:p w:rsidR="00DB74E5" w:rsidRDefault="00250E5A" w:rsidP="00250E5A">
      <w:pPr>
        <w:pStyle w:val="ListParagraph"/>
        <w:spacing w:line="360" w:lineRule="auto"/>
        <w:ind w:left="360"/>
      </w:pPr>
      <w:r>
        <w:t xml:space="preserve">and is received all at the end at time </w:t>
      </w:r>
      <m:oMath>
        <m:r>
          <w:rPr>
            <w:rFonts w:ascii="Cambria Math" w:hAnsi="Cambria Math"/>
          </w:rPr>
          <m:t>T</m:t>
        </m:r>
      </m:oMath>
      <w:r>
        <w:t>, and</w:t>
      </w:r>
    </w:p>
    <w:p w:rsidR="00DB74E5" w:rsidRDefault="00DB74E5" w:rsidP="00250E5A">
      <w:pPr>
        <w:pStyle w:val="ListParagraph"/>
        <w:spacing w:line="360" w:lineRule="auto"/>
        <w:ind w:left="360"/>
      </w:pPr>
    </w:p>
    <w:p w:rsidR="00DB74E5" w:rsidRDefault="00250E5A" w:rsidP="00250E5A">
      <w:pPr>
        <w:pStyle w:val="ListParagraph"/>
        <w:spacing w:line="360" w:lineRule="auto"/>
        <w:ind w:left="360"/>
      </w:pPr>
      <m:oMathPara>
        <m:oMath>
          <m:r>
            <w:rPr>
              <w:rFonts w:ascii="Cambria Math" w:hAnsi="Cambria Math"/>
            </w:rPr>
            <m:t>NPV</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e>
          </m:d>
          <m:r>
            <w:rPr>
              <w:rFonts w:ascii="Cambria Math" w:hAnsi="Cambria Math"/>
            </w:rPr>
            <m:t>=0</m:t>
          </m:r>
        </m:oMath>
      </m:oMathPara>
    </w:p>
    <w:p w:rsidR="00DB74E5" w:rsidRDefault="00DB74E5" w:rsidP="00250E5A">
      <w:pPr>
        <w:pStyle w:val="ListParagraph"/>
        <w:spacing w:line="360" w:lineRule="auto"/>
        <w:ind w:left="360"/>
      </w:pPr>
    </w:p>
    <w:p w:rsidR="00DB74E5" w:rsidRDefault="00250E5A" w:rsidP="00250E5A">
      <w:pPr>
        <w:pStyle w:val="ListParagraph"/>
        <w:spacing w:line="360" w:lineRule="auto"/>
        <w:ind w:left="360"/>
      </w:pPr>
      <w:r>
        <w:t>The cumulative profit or loss from the futures contract is</w:t>
      </w:r>
    </w:p>
    <w:p w:rsidR="00DB74E5" w:rsidRDefault="00DB74E5" w:rsidP="00250E5A">
      <w:pPr>
        <w:pStyle w:val="ListParagraph"/>
        <w:spacing w:line="360" w:lineRule="auto"/>
        <w:ind w:left="360"/>
      </w:pPr>
    </w:p>
    <w:p w:rsidR="00DB74E5" w:rsidRDefault="00250E5A" w:rsidP="00250E5A">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oMath>
      </m:oMathPara>
    </w:p>
    <w:p w:rsidR="00DB74E5" w:rsidRDefault="00DB74E5" w:rsidP="00250E5A">
      <w:pPr>
        <w:pStyle w:val="ListParagraph"/>
        <w:spacing w:line="360" w:lineRule="auto"/>
        <w:ind w:left="360"/>
      </w:pPr>
    </w:p>
    <w:p w:rsidR="00250E5A" w:rsidRDefault="00250E5A" w:rsidP="00250E5A">
      <w:pPr>
        <w:pStyle w:val="ListParagraph"/>
        <w:spacing w:line="360" w:lineRule="auto"/>
        <w:ind w:left="360"/>
      </w:pPr>
      <w:r>
        <w:t>but this is paid out intermittently through the marks to market.</w:t>
      </w:r>
    </w:p>
    <w:p w:rsidR="00A47645" w:rsidRDefault="00A47645" w:rsidP="00A47645">
      <w:pPr>
        <w:pStyle w:val="ListParagraph"/>
        <w:numPr>
          <w:ilvl w:val="0"/>
          <w:numId w:val="400"/>
        </w:numPr>
        <w:spacing w:line="360" w:lineRule="auto"/>
      </w:pPr>
      <w:r>
        <w:rPr>
          <w:u w:val="single"/>
        </w:rPr>
        <w:t>Reinvestment of Gains and Losses</w:t>
      </w:r>
      <w:r>
        <w:t>: Consider reinvesting all the gains and the losses from marking to market to the expiration date. Gains would be re-investd at low rates, losses at high rates, so to make the NPV equal to zero, the futures price must start out lower than the forward price.</w:t>
      </w:r>
    </w:p>
    <w:p w:rsidR="00A47645" w:rsidRDefault="00A47645" w:rsidP="00A47645">
      <w:pPr>
        <w:spacing w:line="360" w:lineRule="auto"/>
      </w:pPr>
    </w:p>
    <w:p w:rsidR="00A47645" w:rsidRDefault="00A47645" w:rsidP="00A47645">
      <w:pPr>
        <w:spacing w:line="360" w:lineRule="auto"/>
      </w:pPr>
    </w:p>
    <w:p w:rsidR="00A47645" w:rsidRPr="00A47645" w:rsidRDefault="00A47645" w:rsidP="00A47645">
      <w:pPr>
        <w:spacing w:line="360" w:lineRule="auto"/>
        <w:rPr>
          <w:b/>
          <w:sz w:val="28"/>
          <w:szCs w:val="28"/>
        </w:rPr>
      </w:pPr>
      <w:r w:rsidRPr="00A47645">
        <w:rPr>
          <w:b/>
          <w:sz w:val="28"/>
          <w:szCs w:val="28"/>
        </w:rPr>
        <w:t>Role of the Clearing Corporation</w:t>
      </w:r>
    </w:p>
    <w:p w:rsidR="00A47645" w:rsidRDefault="00A47645" w:rsidP="00A47645">
      <w:pPr>
        <w:spacing w:line="360" w:lineRule="auto"/>
      </w:pPr>
    </w:p>
    <w:p w:rsidR="00A47645" w:rsidRDefault="00A47645" w:rsidP="00A47645">
      <w:pPr>
        <w:pStyle w:val="ListParagraph"/>
        <w:numPr>
          <w:ilvl w:val="0"/>
          <w:numId w:val="401"/>
        </w:numPr>
        <w:spacing w:line="360" w:lineRule="auto"/>
      </w:pPr>
      <w:r w:rsidRPr="00A47645">
        <w:rPr>
          <w:u w:val="single"/>
        </w:rPr>
        <w:t>Clearing Corporation as the Counter Party</w:t>
      </w:r>
      <w:r>
        <w:t xml:space="preserve">: All buyers and sellers trade with a Clearing Corporation associated with each exchange, so there is no counterparty risk. The marking to market provision limits the credit risk faced by the clearing corporation. Commissions on the futures contract on the CBOT/CME are about </w:t>
      </w:r>
      <m:oMath>
        <m:r>
          <w:rPr>
            <w:rFonts w:ascii="Cambria Math" w:hAnsi="Cambria Math"/>
          </w:rPr>
          <m:t>$25</m:t>
        </m:r>
      </m:oMath>
      <w:r>
        <w:t xml:space="preserve"> or less, and are fully negotiable.</w:t>
      </w:r>
    </w:p>
    <w:p w:rsidR="00A47645" w:rsidRDefault="00A47645" w:rsidP="00A47645">
      <w:pPr>
        <w:pStyle w:val="ListParagraph"/>
        <w:numPr>
          <w:ilvl w:val="0"/>
          <w:numId w:val="401"/>
        </w:numPr>
        <w:spacing w:line="360" w:lineRule="auto"/>
      </w:pPr>
      <w:r>
        <w:rPr>
          <w:u w:val="single"/>
        </w:rPr>
        <w:t>Initial, Maintenance, and Variation Margins</w:t>
      </w:r>
      <w:r w:rsidRPr="00A47645">
        <w:t>:</w:t>
      </w:r>
      <w:r>
        <w:t xml:space="preserve"> Upon entering into a futures contract, the investor must post initial margin, which is interest bearing. If the balance in the margin account falls below the maintenance margin, the investor must post variation margin to restore it to its initial level.</w:t>
      </w:r>
    </w:p>
    <w:p w:rsidR="00A47645" w:rsidRDefault="00A47645" w:rsidP="00A47645">
      <w:pPr>
        <w:spacing w:line="360" w:lineRule="auto"/>
      </w:pPr>
    </w:p>
    <w:p w:rsidR="00A47645" w:rsidRDefault="00A47645" w:rsidP="00A47645">
      <w:pPr>
        <w:spacing w:line="360" w:lineRule="auto"/>
      </w:pPr>
    </w:p>
    <w:p w:rsidR="00A47645" w:rsidRPr="00A47645" w:rsidRDefault="00A47645" w:rsidP="00A47645">
      <w:pPr>
        <w:spacing w:line="360" w:lineRule="auto"/>
        <w:rPr>
          <w:b/>
          <w:sz w:val="28"/>
          <w:szCs w:val="28"/>
        </w:rPr>
      </w:pPr>
      <w:r>
        <w:rPr>
          <w:b/>
          <w:sz w:val="28"/>
          <w:szCs w:val="28"/>
        </w:rPr>
        <w:t>Delivery Options for the Underlying</w:t>
      </w:r>
    </w:p>
    <w:p w:rsidR="00A47645" w:rsidRDefault="00A47645" w:rsidP="00A47645">
      <w:pPr>
        <w:spacing w:line="360" w:lineRule="auto"/>
      </w:pPr>
    </w:p>
    <w:p w:rsidR="00A47645" w:rsidRDefault="009A751F" w:rsidP="00A47645">
      <w:pPr>
        <w:pStyle w:val="ListParagraph"/>
        <w:numPr>
          <w:ilvl w:val="0"/>
          <w:numId w:val="402"/>
        </w:numPr>
        <w:spacing w:line="360" w:lineRule="auto"/>
      </w:pPr>
      <w:r>
        <w:rPr>
          <w:u w:val="single"/>
        </w:rPr>
        <w:t xml:space="preserve">Impact of the Delivery </w:t>
      </w:r>
      <w:r w:rsidR="00A47645">
        <w:rPr>
          <w:u w:val="single"/>
        </w:rPr>
        <w:t>Options</w:t>
      </w:r>
      <w:r w:rsidR="00A47645">
        <w:t xml:space="preserve">: </w:t>
      </w:r>
      <w:r>
        <w:t>The delivery options for the futures contract listed below make the futures price very different from the forward price</w:t>
      </w:r>
      <w:r w:rsidR="00A47645">
        <w:t>.</w:t>
      </w:r>
      <w:r>
        <w:t xml:space="preserve"> In particular, these delivery options reduce the equilibrium futures price.</w:t>
      </w:r>
    </w:p>
    <w:p w:rsidR="009A751F" w:rsidRDefault="009A751F" w:rsidP="00A47645">
      <w:pPr>
        <w:pStyle w:val="ListParagraph"/>
        <w:numPr>
          <w:ilvl w:val="0"/>
          <w:numId w:val="402"/>
        </w:numPr>
        <w:spacing w:line="360" w:lineRule="auto"/>
      </w:pPr>
      <w:r>
        <w:rPr>
          <w:u w:val="single"/>
        </w:rPr>
        <w:lastRenderedPageBreak/>
        <w:t>Quality and Timing Delivery Options</w:t>
      </w:r>
      <w:r w:rsidRPr="009A751F">
        <w:t>:</w:t>
      </w:r>
      <w:r>
        <w:t xml:space="preserve"> Using the quality option, the seller can deliver any bond with maturity in a given range using a conversion factor. With the timing option, the seller can deliver any time during the expiration month.</w:t>
      </w:r>
    </w:p>
    <w:p w:rsidR="009A751F" w:rsidRDefault="009A751F" w:rsidP="00A47645">
      <w:pPr>
        <w:pStyle w:val="ListParagraph"/>
        <w:numPr>
          <w:ilvl w:val="0"/>
          <w:numId w:val="402"/>
        </w:numPr>
        <w:spacing w:line="360" w:lineRule="auto"/>
      </w:pPr>
      <w:r>
        <w:rPr>
          <w:u w:val="single"/>
        </w:rPr>
        <w:t>Wildcard/End-Of-Month</w:t>
      </w:r>
      <w:r w:rsidRPr="009A751F">
        <w:t>:</w:t>
      </w:r>
      <w:r>
        <w:t xml:space="preserve"> The futures exchange closes early in the afternoon, but the bonds keep trading. With the wildcard option, the seller can announce the delivery anytime until the bond markets close. The end-of-month option uses the fact that the futures stop trading 8 business days before the end of the month.</w:t>
      </w:r>
    </w:p>
    <w:p w:rsidR="00AD5928" w:rsidRDefault="00AD5928" w:rsidP="00AD5928">
      <w:pPr>
        <w:spacing w:line="360" w:lineRule="auto"/>
      </w:pPr>
    </w:p>
    <w:p w:rsidR="00AD5928" w:rsidRDefault="00AD5928" w:rsidP="00AD5928">
      <w:pPr>
        <w:spacing w:line="360" w:lineRule="auto"/>
      </w:pPr>
    </w:p>
    <w:p w:rsidR="00AD5928" w:rsidRPr="00A47645" w:rsidRDefault="00AD5928" w:rsidP="00AD5928">
      <w:pPr>
        <w:spacing w:line="360" w:lineRule="auto"/>
        <w:rPr>
          <w:b/>
          <w:sz w:val="28"/>
          <w:szCs w:val="28"/>
        </w:rPr>
      </w:pPr>
      <w:r>
        <w:rPr>
          <w:b/>
          <w:sz w:val="28"/>
          <w:szCs w:val="28"/>
        </w:rPr>
        <w:t>Implied Repo Rate for Futures</w:t>
      </w:r>
    </w:p>
    <w:p w:rsidR="00AD5928" w:rsidRDefault="00AD5928" w:rsidP="00AD5928">
      <w:pPr>
        <w:spacing w:line="360" w:lineRule="auto"/>
      </w:pPr>
    </w:p>
    <w:p w:rsidR="00AD5928" w:rsidRDefault="00AD5928" w:rsidP="00AD5928">
      <w:pPr>
        <w:pStyle w:val="ListParagraph"/>
        <w:numPr>
          <w:ilvl w:val="0"/>
          <w:numId w:val="403"/>
        </w:numPr>
        <w:spacing w:line="360" w:lineRule="auto"/>
      </w:pPr>
      <w:r w:rsidRPr="00AD5928">
        <w:rPr>
          <w:u w:val="single"/>
        </w:rPr>
        <w:t>Motivation behind Implied Repo Rate</w:t>
      </w:r>
      <w:r>
        <w:t xml:space="preserve">: Prior to the delivery date, some practitioners identify the cheapest-to-deliver bond as the one with the highest </w:t>
      </w:r>
      <w:r w:rsidRPr="00AD5928">
        <w:rPr>
          <w:i/>
        </w:rPr>
        <w:t>impl</w:t>
      </w:r>
      <w:r>
        <w:rPr>
          <w:i/>
        </w:rPr>
        <w:t>i</w:t>
      </w:r>
      <w:r w:rsidRPr="00AD5928">
        <w:rPr>
          <w:i/>
        </w:rPr>
        <w:t>ed repo rate</w:t>
      </w:r>
      <w:r>
        <w:t>.</w:t>
      </w:r>
    </w:p>
    <w:p w:rsidR="00B62521" w:rsidRDefault="00B62521" w:rsidP="00AD5928">
      <w:pPr>
        <w:pStyle w:val="ListParagraph"/>
        <w:numPr>
          <w:ilvl w:val="0"/>
          <w:numId w:val="403"/>
        </w:numPr>
        <w:spacing w:line="360" w:lineRule="auto"/>
      </w:pPr>
      <w:r>
        <w:rPr>
          <w:u w:val="single"/>
        </w:rPr>
        <w:t>Definition of the Implied Repo Rate</w:t>
      </w:r>
      <w:r w:rsidRPr="00B62521">
        <w:t>:</w:t>
      </w:r>
      <w:r>
        <w:t xml:space="preserve"> The implied repo rate is the hypothetical rate of return earned from buying a deliverable bond, selling the futures, and then delivering the bond on the futures contract at an assumed date (ignoring mark-to-market, treating the futures like a forward).</w:t>
      </w:r>
    </w:p>
    <w:p w:rsidR="002A4656" w:rsidRDefault="002A4656" w:rsidP="00AD5928">
      <w:pPr>
        <w:pStyle w:val="ListParagraph"/>
        <w:numPr>
          <w:ilvl w:val="0"/>
          <w:numId w:val="403"/>
        </w:numPr>
        <w:spacing w:line="360" w:lineRule="auto"/>
      </w:pPr>
      <w:r>
        <w:rPr>
          <w:u w:val="single"/>
        </w:rPr>
        <w:t>Typical Implied Repo Rate Directionality</w:t>
      </w:r>
      <w:r w:rsidRPr="002A4656">
        <w:t>:</w:t>
      </w:r>
      <w:r>
        <w:t xml:space="preserve"> The implied repo rate is typically below the bond market’s repo rate because the seller of the futures can exploit other options (such as wildcard, end-of-month, etc.) as well.</w:t>
      </w:r>
    </w:p>
    <w:p w:rsidR="002A4656" w:rsidRDefault="002A4656" w:rsidP="002A4656">
      <w:pPr>
        <w:spacing w:line="360" w:lineRule="auto"/>
      </w:pPr>
    </w:p>
    <w:p w:rsidR="002A4656" w:rsidRDefault="002A4656" w:rsidP="002A4656">
      <w:pPr>
        <w:spacing w:line="360" w:lineRule="auto"/>
      </w:pPr>
    </w:p>
    <w:p w:rsidR="002A4656" w:rsidRPr="00A47645" w:rsidRDefault="002A4656" w:rsidP="002A4656">
      <w:pPr>
        <w:spacing w:line="360" w:lineRule="auto"/>
        <w:rPr>
          <w:b/>
          <w:sz w:val="28"/>
          <w:szCs w:val="28"/>
        </w:rPr>
      </w:pPr>
      <w:r>
        <w:rPr>
          <w:b/>
          <w:sz w:val="28"/>
          <w:szCs w:val="28"/>
        </w:rPr>
        <w:t>Net Basis for Treasury Futures</w:t>
      </w:r>
    </w:p>
    <w:p w:rsidR="002A4656" w:rsidRDefault="002A4656" w:rsidP="002A4656">
      <w:pPr>
        <w:spacing w:line="360" w:lineRule="auto"/>
      </w:pPr>
    </w:p>
    <w:p w:rsidR="002A4656" w:rsidRDefault="002A4656" w:rsidP="002A4656">
      <w:pPr>
        <w:pStyle w:val="ListParagraph"/>
        <w:numPr>
          <w:ilvl w:val="0"/>
          <w:numId w:val="404"/>
        </w:numPr>
        <w:spacing w:line="360" w:lineRule="auto"/>
      </w:pPr>
      <w:r>
        <w:rPr>
          <w:u w:val="single"/>
        </w:rPr>
        <w:t>Definition of the Net Basis</w:t>
      </w:r>
      <w:r>
        <w:t xml:space="preserve">: An alternate approach is go choose the bond with the minimum </w:t>
      </w:r>
      <w:r>
        <w:rPr>
          <w:i/>
        </w:rPr>
        <w:t>net basis</w:t>
      </w:r>
      <w:r>
        <w:t>. This is the hypothetical loss incurred by buying the bond, financing the purchase in the repo market, selling the futures, and delivering the bond into the futures contract on an assumed delivery date. Again this ignores marking-to-market, treating the futures like a forward.</w:t>
      </w:r>
    </w:p>
    <w:p w:rsidR="002A4656" w:rsidRDefault="002A4656" w:rsidP="002A4656">
      <w:pPr>
        <w:pStyle w:val="ListParagraph"/>
        <w:numPr>
          <w:ilvl w:val="0"/>
          <w:numId w:val="404"/>
        </w:numPr>
        <w:spacing w:line="360" w:lineRule="auto"/>
      </w:pPr>
      <w:r>
        <w:rPr>
          <w:u w:val="single"/>
        </w:rPr>
        <w:lastRenderedPageBreak/>
        <w:t>Directionality of the Net Basis</w:t>
      </w:r>
      <w:r w:rsidRPr="002A4656">
        <w:t>:</w:t>
      </w:r>
      <w:r>
        <w:t xml:space="preserve"> The net basis is typically negative because the seller of the futures contract can exploit other delivery options (e.g., wildcard, end-of-month, etc.) as well.</w:t>
      </w:r>
    </w:p>
    <w:p w:rsidR="00177C94" w:rsidRDefault="00177C94" w:rsidP="00177C94">
      <w:pPr>
        <w:spacing w:line="360" w:lineRule="auto"/>
      </w:pPr>
    </w:p>
    <w:p w:rsidR="00250E5A" w:rsidRDefault="00250E5A" w:rsidP="00177C94">
      <w:pPr>
        <w:spacing w:line="360" w:lineRule="auto"/>
      </w:pPr>
    </w:p>
    <w:p w:rsidR="00177C94" w:rsidRDefault="00177C94" w:rsidP="00177C94">
      <w:pPr>
        <w:spacing w:line="360" w:lineRule="auto"/>
        <w:rPr>
          <w:b/>
          <w:sz w:val="28"/>
          <w:szCs w:val="28"/>
        </w:rPr>
      </w:pPr>
      <w:r>
        <w:rPr>
          <w:b/>
          <w:sz w:val="28"/>
          <w:szCs w:val="28"/>
        </w:rPr>
        <w:t>References</w:t>
      </w:r>
    </w:p>
    <w:p w:rsidR="00177C94" w:rsidRDefault="00177C94" w:rsidP="00177C94">
      <w:pPr>
        <w:tabs>
          <w:tab w:val="left" w:pos="7800"/>
        </w:tabs>
        <w:spacing w:line="360" w:lineRule="auto"/>
      </w:pPr>
      <w:r>
        <w:tab/>
      </w:r>
    </w:p>
    <w:p w:rsidR="00177C94" w:rsidRDefault="00B23358" w:rsidP="00177C94">
      <w:pPr>
        <w:pStyle w:val="Footer"/>
        <w:numPr>
          <w:ilvl w:val="0"/>
          <w:numId w:val="395"/>
        </w:numPr>
        <w:tabs>
          <w:tab w:val="clear" w:pos="4320"/>
          <w:tab w:val="clear" w:pos="8640"/>
        </w:tabs>
        <w:spacing w:line="360" w:lineRule="auto"/>
      </w:pPr>
      <w:r>
        <w:t>Carpenter</w:t>
      </w:r>
      <w:r w:rsidR="00177C94" w:rsidRPr="0084037E">
        <w:t xml:space="preserve">, </w:t>
      </w:r>
      <w:r>
        <w:t>J</w:t>
      </w:r>
      <w:r w:rsidR="00177C94">
        <w:t>.</w:t>
      </w:r>
      <w:r w:rsidR="00177C94" w:rsidRPr="0084037E">
        <w:t xml:space="preserve"> (</w:t>
      </w:r>
      <w:r>
        <w:t>2011</w:t>
      </w:r>
      <w:r w:rsidR="00177C94">
        <w:t xml:space="preserve">): </w:t>
      </w:r>
      <w:hyperlink r:id="rId60" w:history="1">
        <w:r>
          <w:rPr>
            <w:rStyle w:val="Hyperlink"/>
          </w:rPr>
          <w:t>Treasury Bond Futures</w:t>
        </w:r>
      </w:hyperlink>
    </w:p>
    <w:p w:rsidR="003759D1" w:rsidRDefault="00127203" w:rsidP="00127203">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w:t>
      </w:r>
      <w:r w:rsidR="003759D1">
        <w:rPr>
          <w:sz w:val="32"/>
          <w:u w:val="none"/>
        </w:rPr>
        <w:t>V</w:t>
      </w:r>
      <w:r>
        <w:rPr>
          <w:sz w:val="32"/>
          <w:u w:val="none"/>
        </w:rPr>
        <w:t>: Funding and Forward Curve Construction and Customization</w:t>
      </w:r>
    </w:p>
    <w:p w:rsidR="0004542D" w:rsidRDefault="0004542D" w:rsidP="0004542D">
      <w:pPr>
        <w:spacing w:after="160" w:line="259" w:lineRule="auto"/>
        <w:rPr>
          <w:sz w:val="28"/>
        </w:rPr>
      </w:pPr>
      <w:r>
        <w:rPr>
          <w:b/>
          <w:bCs/>
        </w:rPr>
        <w:br w:type="page"/>
      </w:r>
    </w:p>
    <w:p w:rsidR="006B4303" w:rsidRDefault="006B4303" w:rsidP="000F0A2B">
      <w:pPr>
        <w:spacing w:line="360" w:lineRule="auto"/>
        <w:jc w:val="center"/>
        <w:rPr>
          <w:b/>
          <w:bCs/>
          <w:sz w:val="32"/>
        </w:rPr>
      </w:pPr>
    </w:p>
    <w:p w:rsidR="000F0A2B" w:rsidRDefault="000F0A2B" w:rsidP="000F0A2B">
      <w:pPr>
        <w:spacing w:line="360" w:lineRule="auto"/>
        <w:jc w:val="center"/>
        <w:rPr>
          <w:b/>
          <w:bCs/>
          <w:sz w:val="32"/>
        </w:rPr>
      </w:pPr>
      <w:r>
        <w:rPr>
          <w:b/>
          <w:bCs/>
          <w:sz w:val="32"/>
        </w:rPr>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Coroneo, L., K. Nyholm, and R. Vidova-Koleva (2</w:t>
      </w:r>
      <w:r w:rsidR="009B0F75">
        <w:t>0</w:t>
      </w:r>
      <w:r>
        <w:t xml:space="preserve">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1"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2"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3"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176407" w:rsidRDefault="00176407" w:rsidP="00AC3810">
      <w:pPr>
        <w:spacing w:line="360" w:lineRule="auto"/>
        <w:jc w:val="center"/>
        <w:rPr>
          <w:b/>
          <w:bCs/>
          <w:sz w:val="32"/>
        </w:rPr>
      </w:pPr>
    </w:p>
    <w:p w:rsidR="00AC3810" w:rsidRDefault="00AC3810" w:rsidP="00AC3810">
      <w:pPr>
        <w:spacing w:line="360" w:lineRule="auto"/>
        <w:jc w:val="center"/>
        <w:rPr>
          <w:b/>
          <w:bCs/>
          <w:sz w:val="32"/>
        </w:rPr>
      </w:pPr>
      <w:r>
        <w:rPr>
          <w:b/>
          <w:bCs/>
          <w:sz w:val="32"/>
        </w:rPr>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lastRenderedPageBreak/>
        <w:t>It needs to be remembered that the calibration input manifest measure set need not just be instrument quotes, but also “event” rates such as user specified turns meant to account for 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lastRenderedPageBreak/>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w:lastRenderedPageBreak/>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5416E3" w:rsidRDefault="00AC3810" w:rsidP="00E35FCB">
      <w:pPr>
        <w:numPr>
          <w:ilvl w:val="0"/>
          <w:numId w:val="25"/>
        </w:numPr>
        <w:spacing w:line="360" w:lineRule="auto"/>
      </w:pPr>
      <w:r>
        <w:t>For survival curve</w:t>
      </w:r>
    </w:p>
    <w:p w:rsidR="005416E3" w:rsidRPr="005416E3" w:rsidRDefault="005416E3" w:rsidP="005416E3">
      <w:pPr>
        <w:spacing w:line="360" w:lineRule="auto"/>
        <w:ind w:left="720"/>
      </w:pPr>
    </w:p>
    <w:p w:rsid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AC3810" w:rsidP="005416E3">
      <w:pPr>
        <w:spacing w:line="360" w:lineRule="auto"/>
        <w:ind w:left="720"/>
      </w:pPr>
      <w:r>
        <w:t>and this is a hard constraint.</w:t>
      </w:r>
    </w:p>
    <w:p w:rsidR="00AC3810" w:rsidRDefault="00AC3810" w:rsidP="00E35FCB">
      <w:pPr>
        <w:numPr>
          <w:ilvl w:val="0"/>
          <w:numId w:val="25"/>
        </w:numPr>
        <w:spacing w:line="360" w:lineRule="auto"/>
      </w:pPr>
      <w:r>
        <w:t>For discount curve, there are no such constraints.</w:t>
      </w:r>
    </w:p>
    <w:p w:rsidR="005416E3" w:rsidRDefault="00AC3810" w:rsidP="00E35FCB">
      <w:pPr>
        <w:numPr>
          <w:ilvl w:val="0"/>
          <w:numId w:val="25"/>
        </w:numPr>
        <w:spacing w:line="360" w:lineRule="auto"/>
      </w:pPr>
      <w:r>
        <w:t>For recovery curve, the constraint is that</w:t>
      </w:r>
    </w:p>
    <w:p w:rsidR="005416E3" w:rsidRDefault="005416E3" w:rsidP="005416E3">
      <w:pPr>
        <w:spacing w:line="360" w:lineRule="auto"/>
        <w:ind w:left="720"/>
      </w:pPr>
    </w:p>
    <w:p w:rsidR="00AC3810" w:rsidRP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4.25pt" o:ole="">
            <v:imagedata r:id="rId64" o:title=""/>
          </v:shape>
          <o:OLEObject Type="Embed" ProgID="Equation.3" ShapeID="_x0000_i1025" DrawAspect="Content" ObjectID="_1515411415" r:id="rId65"/>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6" type="#_x0000_t75" style="width:28.5pt;height:14.25pt" o:ole="">
            <v:imagedata r:id="rId64" o:title=""/>
          </v:shape>
          <o:OLEObject Type="Embed" ProgID="Equation.3" ShapeID="_x0000_i1026" DrawAspect="Content" ObjectID="_1515411416" r:id="rId66"/>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7" type="#_x0000_t75" style="width:14.25pt;height:14.25pt" o:ole="">
            <v:imagedata r:id="rId67" o:title=""/>
          </v:shape>
          <o:OLEObject Type="Embed" ProgID="Equation.3" ShapeID="_x0000_i1027" DrawAspect="Content" ObjectID="_1515411417" r:id="rId68"/>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lastRenderedPageBreak/>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lastRenderedPageBreak/>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28" type="#_x0000_t75" style="width:14.25pt;height:14.25pt" o:ole="">
            <v:imagedata r:id="rId69" o:title=""/>
          </v:shape>
          <o:OLEObject Type="Embed" ProgID="Equation.3" ShapeID="_x0000_i1028" DrawAspect="Content" ObjectID="_1515411418" r:id="rId70"/>
        </w:object>
      </w:r>
      <w:r>
        <w:t xml:space="preserve"> presents fundamentally no more of an advantage than a </w:t>
      </w:r>
      <w:r>
        <w:rPr>
          <w:position w:val="-6"/>
        </w:rPr>
        <w:object w:dxaOrig="300" w:dyaOrig="320">
          <v:shape id="_x0000_i1029" type="#_x0000_t75" style="width:14.25pt;height:14.25pt" o:ole="">
            <v:imagedata r:id="rId71" o:title=""/>
          </v:shape>
          <o:OLEObject Type="Embed" ProgID="Equation.3" ShapeID="_x0000_i1029" DrawAspect="Content" ObjectID="_1515411419" r:id="rId72"/>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CF6E03"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CF6E03"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CF6E03"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CF6E03"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CF6E03"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3"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4"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lastRenderedPageBreak/>
        <w:t xml:space="preserve">Kinlay, J., and X. Bai (2009): </w:t>
      </w:r>
      <w:hyperlink r:id="rId75"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5416E3" w:rsidRDefault="005416E3" w:rsidP="00F723E6">
      <w:pPr>
        <w:pStyle w:val="Heading2"/>
        <w:jc w:val="center"/>
        <w:rPr>
          <w:sz w:val="32"/>
        </w:rPr>
      </w:pPr>
    </w:p>
    <w:p w:rsidR="00F723E6" w:rsidRDefault="00F723E6" w:rsidP="00F723E6">
      <w:pPr>
        <w:pStyle w:val="Heading2"/>
        <w:jc w:val="center"/>
        <w:rPr>
          <w:sz w:val="32"/>
        </w:rPr>
      </w:pPr>
      <w:r>
        <w:rPr>
          <w:sz w:val="32"/>
        </w:rPr>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lastRenderedPageBreak/>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CF6E03"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0" type="#_x0000_t75" style="width:7.2pt;height:14.4pt" o:ole="">
            <v:imagedata r:id="rId76" o:title=""/>
          </v:shape>
          <o:OLEObject Type="Embed" ProgID="Equation.3" ShapeID="_x0000_i1030" DrawAspect="Content" ObjectID="_1515411420" r:id="rId77"/>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CF6E03"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1" type="#_x0000_t75" style="width:14.4pt;height:21.6pt" o:ole="">
            <v:imagedata r:id="rId78" o:title=""/>
          </v:shape>
          <o:OLEObject Type="Embed" ProgID="Equation.3" ShapeID="_x0000_i1031" DrawAspect="Content" ObjectID="_1515411421" r:id="rId79"/>
        </w:object>
      </w:r>
      <w:r>
        <w:t xml:space="preserve"> and the segment basis functions </w:t>
      </w:r>
      <w:r>
        <w:rPr>
          <w:position w:val="-12"/>
        </w:rPr>
        <w:object w:dxaOrig="279" w:dyaOrig="360">
          <v:shape id="_x0000_i1032" type="#_x0000_t75" style="width:14.4pt;height:21.6pt" o:ole="">
            <v:imagedata r:id="rId80" o:title=""/>
          </v:shape>
          <o:OLEObject Type="Embed" ProgID="Equation.3" ShapeID="_x0000_i1032" DrawAspect="Content" ObjectID="_1515411422" r:id="rId81"/>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CF6E03"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CF6E03"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CF6E03"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CF6E03"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CF6E03"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CF6E03"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F6E03"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F6E03"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CF6E03"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CF6E03"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CF6E03"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CF6E03"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lastRenderedPageBreak/>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CF6E03"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In general, when dealing with the splined mechanisms for curve cooking, it may not be accurate to depend on the quote 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CF6E03"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lastRenderedPageBreak/>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CF6E0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CF6E03"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CF6E0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CF6E0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CF6E03"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CF6E03"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CF6E0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CF6E03"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CF6E03"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CF6E03"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CF6E03"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CF6E03"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CF6E03"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CF6E03"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CF6E03"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CF6E03"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CF6E03"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t>
      </w:r>
      <w:r>
        <w:lastRenderedPageBreak/>
        <w:t>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303CDF" w:rsidRDefault="00303CDF" w:rsidP="00E5272B">
      <w:pPr>
        <w:pStyle w:val="Footer"/>
        <w:tabs>
          <w:tab w:val="clear" w:pos="4320"/>
          <w:tab w:val="clear" w:pos="8640"/>
        </w:tabs>
        <w:spacing w:line="360" w:lineRule="auto"/>
        <w:jc w:val="center"/>
        <w:rPr>
          <w:b/>
          <w:sz w:val="32"/>
          <w:szCs w:val="32"/>
        </w:rPr>
      </w:pP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w:t>
      </w:r>
      <w:r>
        <w:lastRenderedPageBreak/>
        <w:t xml:space="preserve">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However, the relationship between the 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CF6E03"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CF6E03"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CF6E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CF6E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CF6E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CF6E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CF6E0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F6E0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F6E0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CF6E0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CF6E03"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303CDF" w:rsidRDefault="00303CDF" w:rsidP="009842DC">
      <w:pPr>
        <w:pStyle w:val="Heading2"/>
        <w:jc w:val="center"/>
        <w:rPr>
          <w:sz w:val="32"/>
        </w:rPr>
      </w:pPr>
    </w:p>
    <w:p w:rsidR="00CA4F23" w:rsidRDefault="00CA4F23" w:rsidP="009842DC">
      <w:pPr>
        <w:pStyle w:val="Heading2"/>
        <w:jc w:val="center"/>
        <w:rPr>
          <w:sz w:val="32"/>
        </w:rPr>
      </w:pPr>
      <w:r>
        <w:rPr>
          <w:sz w:val="32"/>
        </w:rPr>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CF6E03"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CF6E03"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CF6E03"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CF6E03"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lastRenderedPageBreak/>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CF6E03"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CF6E03"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3" type="#_x0000_t75" style="width:7.5pt;height:7.5pt" o:ole="">
            <v:imagedata r:id="rId82" o:title=""/>
          </v:shape>
          <o:OLEObject Type="Embed" ProgID="Equation.3" ShapeID="_x0000_i1033" DrawAspect="Content" ObjectID="_1515411423" r:id="rId83"/>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4"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03CDF" w:rsidRDefault="00303CDF" w:rsidP="00EF7DB7">
      <w:pPr>
        <w:pStyle w:val="Heading2"/>
        <w:jc w:val="center"/>
        <w:rPr>
          <w:sz w:val="32"/>
        </w:rPr>
      </w:pPr>
    </w:p>
    <w:p w:rsidR="00322009" w:rsidRDefault="00322009" w:rsidP="00EF7DB7">
      <w:pPr>
        <w:pStyle w:val="Heading2"/>
        <w:jc w:val="center"/>
        <w:rPr>
          <w:sz w:val="32"/>
        </w:rPr>
      </w:pPr>
      <w:r>
        <w:rPr>
          <w:sz w:val="32"/>
        </w:rPr>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F6E03"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CF6E03"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lastRenderedPageBreak/>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F6E03"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303CDF" w:rsidRDefault="00303CDF" w:rsidP="009842DC">
      <w:pPr>
        <w:pStyle w:val="Footer"/>
        <w:tabs>
          <w:tab w:val="clear" w:pos="4320"/>
          <w:tab w:val="clear" w:pos="8640"/>
        </w:tabs>
        <w:spacing w:line="360" w:lineRule="auto"/>
        <w:jc w:val="center"/>
        <w:rPr>
          <w:b/>
          <w:bCs/>
          <w:sz w:val="32"/>
        </w:rPr>
      </w:pPr>
    </w:p>
    <w:p w:rsidR="000E5923" w:rsidRDefault="000E5923" w:rsidP="009842DC">
      <w:pPr>
        <w:pStyle w:val="Footer"/>
        <w:tabs>
          <w:tab w:val="clear" w:pos="4320"/>
          <w:tab w:val="clear" w:pos="8640"/>
        </w:tabs>
        <w:spacing w:line="360" w:lineRule="auto"/>
        <w:jc w:val="center"/>
        <w:rPr>
          <w:b/>
          <w:bCs/>
          <w:sz w:val="32"/>
        </w:rPr>
      </w:pPr>
      <w:r>
        <w:rPr>
          <w:b/>
          <w:bCs/>
          <w:sz w:val="32"/>
        </w:rPr>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CF6E0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CF6E0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CF6E0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CF6E03"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CF6E03"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CF6E03"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CF6E03"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CF6E03"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CF6E03"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CF6E03"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CF6E03"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CF6E03"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CF6E03"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CF6E03"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CF6E03"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CF6E03"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CF6E03"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lastRenderedPageBreak/>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CF6E0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F6E0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CF6E0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F6E0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CF6E03"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CF6E0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CF6E0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CF6E0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CF6E0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CF6E03"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CF6E03"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CF6E03"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CF6E03"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CF6E03"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CF6E03"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CF6E03"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48386A" w:rsidRDefault="0048386A" w:rsidP="00183EB8">
      <w:pPr>
        <w:pStyle w:val="Footer"/>
        <w:tabs>
          <w:tab w:val="clear" w:pos="4320"/>
          <w:tab w:val="clear" w:pos="8640"/>
        </w:tabs>
        <w:spacing w:line="360" w:lineRule="auto"/>
        <w:ind w:left="360"/>
        <w:jc w:val="center"/>
        <w:rPr>
          <w:b/>
          <w:bCs/>
          <w:sz w:val="32"/>
        </w:rPr>
      </w:pPr>
    </w:p>
    <w:p w:rsidR="00C32591" w:rsidRDefault="00C32591" w:rsidP="00183EB8">
      <w:pPr>
        <w:pStyle w:val="Footer"/>
        <w:tabs>
          <w:tab w:val="clear" w:pos="4320"/>
          <w:tab w:val="clear" w:pos="8640"/>
        </w:tabs>
        <w:spacing w:line="360" w:lineRule="auto"/>
        <w:ind w:left="360"/>
        <w:jc w:val="center"/>
        <w:rPr>
          <w:b/>
          <w:bCs/>
          <w:sz w:val="32"/>
        </w:rPr>
      </w:pPr>
      <w:r>
        <w:rPr>
          <w:b/>
          <w:bCs/>
          <w:sz w:val="32"/>
        </w:rPr>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4" type="#_x0000_t75" style="width:14.25pt;height:14.25pt" o:ole="">
            <v:imagedata r:id="rId85" o:title=""/>
          </v:shape>
          <o:OLEObject Type="Embed" ProgID="Equation.3" ShapeID="_x0000_i1034" DrawAspect="Content" ObjectID="_1515411424" r:id="rId86"/>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116E86" w:rsidRDefault="00116E86" w:rsidP="00183EB8">
      <w:pPr>
        <w:pStyle w:val="Footer"/>
        <w:tabs>
          <w:tab w:val="clear" w:pos="4320"/>
          <w:tab w:val="clear" w:pos="8640"/>
        </w:tabs>
        <w:spacing w:line="360" w:lineRule="auto"/>
        <w:jc w:val="center"/>
        <w:rPr>
          <w:b/>
          <w:bCs/>
          <w:sz w:val="32"/>
        </w:rPr>
      </w:pPr>
    </w:p>
    <w:p w:rsidR="00741901" w:rsidRDefault="00741901" w:rsidP="00183EB8">
      <w:pPr>
        <w:pStyle w:val="Footer"/>
        <w:tabs>
          <w:tab w:val="clear" w:pos="4320"/>
          <w:tab w:val="clear" w:pos="8640"/>
        </w:tabs>
        <w:spacing w:line="360" w:lineRule="auto"/>
        <w:jc w:val="center"/>
        <w:rPr>
          <w:b/>
          <w:bCs/>
          <w:sz w:val="32"/>
        </w:rPr>
      </w:pPr>
      <w:r>
        <w:rPr>
          <w:b/>
          <w:bCs/>
          <w:sz w:val="32"/>
        </w:rPr>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lastRenderedPageBreak/>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990EEA" w:rsidRDefault="00E42219" w:rsidP="00EE3D03">
      <w:pPr>
        <w:pStyle w:val="Footer"/>
        <w:numPr>
          <w:ilvl w:val="0"/>
          <w:numId w:val="7"/>
        </w:numPr>
        <w:tabs>
          <w:tab w:val="clear" w:pos="4320"/>
          <w:tab w:val="clear" w:pos="8640"/>
        </w:tabs>
        <w:spacing w:after="160" w:line="360" w:lineRule="auto"/>
        <w:rPr>
          <w:szCs w:val="36"/>
        </w:rPr>
      </w:pPr>
      <w:r w:rsidRPr="000D463B">
        <w:rPr>
          <w:szCs w:val="36"/>
        </w:rPr>
        <w:lastRenderedPageBreak/>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br w:type="page"/>
      </w:r>
    </w:p>
    <w:p w:rsidR="00990EEA" w:rsidRDefault="00990EEA" w:rsidP="00183EB8">
      <w:pPr>
        <w:pStyle w:val="Footer"/>
        <w:tabs>
          <w:tab w:val="clear" w:pos="4320"/>
          <w:tab w:val="clear" w:pos="8640"/>
        </w:tabs>
        <w:spacing w:line="360" w:lineRule="auto"/>
        <w:jc w:val="center"/>
        <w:rPr>
          <w:b/>
          <w:bCs/>
          <w:sz w:val="32"/>
        </w:rPr>
      </w:pPr>
    </w:p>
    <w:p w:rsidR="00611E71" w:rsidRDefault="00611E71" w:rsidP="00183EB8">
      <w:pPr>
        <w:pStyle w:val="Footer"/>
        <w:tabs>
          <w:tab w:val="clear" w:pos="4320"/>
          <w:tab w:val="clear" w:pos="8640"/>
        </w:tabs>
        <w:spacing w:line="360" w:lineRule="auto"/>
        <w:jc w:val="center"/>
        <w:rPr>
          <w:b/>
          <w:bCs/>
          <w:sz w:val="32"/>
        </w:rPr>
      </w:pPr>
      <w:r>
        <w:rPr>
          <w:b/>
          <w:bCs/>
          <w:sz w:val="32"/>
        </w:rPr>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lastRenderedPageBreak/>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 xml:space="preserve">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w:t>
      </w:r>
      <w:r>
        <w:lastRenderedPageBreak/>
        <w:t>of RVC’s, so they will need to be handled right from the left-most segment of each stretch.</w:t>
      </w:r>
    </w:p>
    <w:p w:rsidR="0058196A" w:rsidRDefault="00611E71" w:rsidP="005A2C14">
      <w:pPr>
        <w:numPr>
          <w:ilvl w:val="0"/>
          <w:numId w:val="52"/>
        </w:numPr>
        <w:spacing w:line="360" w:lineRule="auto"/>
      </w:pPr>
      <w:r>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3759D1" w:rsidRDefault="009629D2" w:rsidP="00183EB8">
      <w:pPr>
        <w:pStyle w:val="Heading2"/>
        <w:jc w:val="center"/>
        <w:rPr>
          <w:szCs w:val="36"/>
        </w:rPr>
      </w:pPr>
      <w:r>
        <w:rPr>
          <w:szCs w:val="36"/>
        </w:rPr>
        <w:br w:type="page"/>
      </w:r>
    </w:p>
    <w:p w:rsidR="003759D1" w:rsidRDefault="003759D1" w:rsidP="00183EB8">
      <w:pPr>
        <w:pStyle w:val="Heading2"/>
        <w:jc w:val="center"/>
        <w:rPr>
          <w:szCs w:val="36"/>
        </w:rPr>
      </w:pPr>
    </w:p>
    <w:p w:rsidR="00742212" w:rsidRDefault="00742212" w:rsidP="00183EB8">
      <w:pPr>
        <w:pStyle w:val="Heading2"/>
        <w:jc w:val="center"/>
        <w:rPr>
          <w:sz w:val="32"/>
        </w:rPr>
      </w:pPr>
      <w:r>
        <w:rPr>
          <w:sz w:val="32"/>
        </w:rPr>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CF6E03"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CF6E03"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7"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88"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990EEA" w:rsidRDefault="00990EEA" w:rsidP="00183EB8">
      <w:pPr>
        <w:pStyle w:val="Heading2"/>
        <w:jc w:val="center"/>
        <w:rPr>
          <w:sz w:val="32"/>
        </w:rPr>
      </w:pPr>
    </w:p>
    <w:p w:rsidR="00B6438B" w:rsidRDefault="00B6438B" w:rsidP="00183EB8">
      <w:pPr>
        <w:pStyle w:val="Heading2"/>
        <w:jc w:val="center"/>
        <w:rPr>
          <w:sz w:val="32"/>
        </w:rPr>
      </w:pPr>
      <w:r>
        <w:rPr>
          <w:sz w:val="32"/>
        </w:rPr>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lastRenderedPageBreak/>
        <w:t>Convexity adjustment for extracting the rate from future/forward price =&gt; Since futures/forwards act effectively as a zero coupon bond, the transformation of price to the latent zero/forward rate requires a dynamical volatility based curve evolution model. 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CF6E03"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CF6E03"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CF6E03"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CF6E03"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CF6E03"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CF6E03"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CF6E03"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CF6E03"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CF6E03"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CF6E03"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CF6E0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CF6E0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CF6E0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89"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0"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1"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2"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3"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990EEA" w:rsidRDefault="00990EEA" w:rsidP="009224D7">
      <w:pPr>
        <w:pStyle w:val="Heading2"/>
        <w:jc w:val="center"/>
        <w:rPr>
          <w:sz w:val="32"/>
        </w:rPr>
      </w:pPr>
    </w:p>
    <w:p w:rsidR="00301348" w:rsidRDefault="00301348" w:rsidP="009224D7">
      <w:pPr>
        <w:pStyle w:val="Heading2"/>
        <w:jc w:val="center"/>
        <w:rPr>
          <w:sz w:val="32"/>
        </w:rPr>
      </w:pPr>
      <w:r>
        <w:rPr>
          <w:sz w:val="32"/>
        </w:rPr>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9746FF" w:rsidRDefault="00372B3D" w:rsidP="009224D7">
      <w:pPr>
        <w:pStyle w:val="Heading2"/>
        <w:jc w:val="center"/>
        <w:rPr>
          <w:szCs w:val="36"/>
        </w:rPr>
      </w:pPr>
      <w:r>
        <w:rPr>
          <w:szCs w:val="36"/>
        </w:rPr>
        <w:br w:type="page"/>
      </w:r>
    </w:p>
    <w:p w:rsidR="009746FF" w:rsidRDefault="009746FF" w:rsidP="009224D7">
      <w:pPr>
        <w:pStyle w:val="Heading2"/>
        <w:jc w:val="center"/>
        <w:rPr>
          <w:sz w:val="32"/>
        </w:rPr>
      </w:pPr>
    </w:p>
    <w:p w:rsidR="002F303E" w:rsidRDefault="002F303E" w:rsidP="009224D7">
      <w:pPr>
        <w:pStyle w:val="Heading2"/>
        <w:jc w:val="center"/>
        <w:rPr>
          <w:sz w:val="32"/>
        </w:rPr>
      </w:pPr>
      <w:r>
        <w:rPr>
          <w:sz w:val="32"/>
        </w:rPr>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CF6E03"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CF6E03"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CF6E03"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CF6E03"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CF6E03"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CF6E03"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CF6E03"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CF6E03"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9746FF" w:rsidRDefault="009746FF" w:rsidP="00DC2023">
      <w:pPr>
        <w:pStyle w:val="Footer"/>
        <w:tabs>
          <w:tab w:val="clear" w:pos="4320"/>
          <w:tab w:val="clear" w:pos="8640"/>
        </w:tabs>
        <w:spacing w:line="360" w:lineRule="auto"/>
        <w:jc w:val="center"/>
        <w:rPr>
          <w:b/>
          <w:bCs/>
          <w:sz w:val="32"/>
        </w:rPr>
      </w:pPr>
    </w:p>
    <w:p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CF6E03"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CF6E03"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lastRenderedPageBreak/>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CF6E0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F6E0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F6E0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CF6E0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CF6E03"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CF6E03"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CF6E03"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CF6E03"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CF6E03"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CF6E03"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CF6E03"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CF6E03"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CF6E03"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CF6E03"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CF6E03"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CF6E03"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CF6E0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CF6E0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CF6E03"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CF6E03"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CF6E0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CF6E0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5"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6E3B8E" w:rsidRDefault="006E3B8E" w:rsidP="00550114">
      <w:pPr>
        <w:pStyle w:val="Heading2"/>
        <w:jc w:val="center"/>
        <w:rPr>
          <w:sz w:val="32"/>
        </w:rPr>
      </w:pPr>
    </w:p>
    <w:p w:rsidR="00550114" w:rsidRDefault="00550114" w:rsidP="00550114">
      <w:pPr>
        <w:pStyle w:val="Heading2"/>
        <w:jc w:val="center"/>
        <w:rPr>
          <w:sz w:val="32"/>
        </w:rPr>
      </w:pPr>
      <w:r>
        <w:rPr>
          <w:sz w:val="32"/>
        </w:rPr>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3759D1" w:rsidP="0004542D">
      <w:pPr>
        <w:pStyle w:val="Heading1"/>
        <w:jc w:val="center"/>
        <w:rPr>
          <w:sz w:val="32"/>
          <w:u w:val="none"/>
        </w:rPr>
      </w:pPr>
      <w:r>
        <w:rPr>
          <w:sz w:val="32"/>
          <w:u w:val="none"/>
        </w:rPr>
        <w:t xml:space="preserve">Section </w:t>
      </w:r>
      <w:r w:rsidR="0004542D">
        <w:rPr>
          <w:sz w:val="32"/>
          <w:u w:val="none"/>
        </w:rPr>
        <w:t>V: Multi-Curve Construction and Product Valuation</w:t>
      </w:r>
    </w:p>
    <w:p w:rsidR="0004542D" w:rsidRDefault="0004542D" w:rsidP="0004542D">
      <w:pPr>
        <w:spacing w:after="160" w:line="259" w:lineRule="auto"/>
        <w:rPr>
          <w:sz w:val="28"/>
        </w:rPr>
      </w:pPr>
      <w:r>
        <w:rPr>
          <w:b/>
          <w:bCs/>
        </w:rPr>
        <w:br w:type="page"/>
      </w:r>
    </w:p>
    <w:p w:rsidR="001C79A1" w:rsidRDefault="001C79A1" w:rsidP="008E68FF">
      <w:pPr>
        <w:pStyle w:val="Footer"/>
        <w:tabs>
          <w:tab w:val="clear" w:pos="4320"/>
          <w:tab w:val="clear" w:pos="8640"/>
        </w:tabs>
        <w:spacing w:line="360" w:lineRule="auto"/>
        <w:jc w:val="center"/>
        <w:rPr>
          <w:b/>
          <w:bCs/>
          <w:sz w:val="32"/>
        </w:rPr>
      </w:pPr>
    </w:p>
    <w:p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CF6E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CF6E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CF6E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CF6E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CF6E0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CF6E03"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CF6E03"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CF6E03"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CF6E03"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CF6E03"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CF6E0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CF6E03"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CF6E03"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lastRenderedPageBreak/>
        <w:t>i.e.,</w:t>
      </w:r>
    </w:p>
    <w:p w:rsidR="006B54E7" w:rsidRDefault="006B54E7" w:rsidP="00227423">
      <w:pPr>
        <w:pStyle w:val="Footer"/>
        <w:tabs>
          <w:tab w:val="clear" w:pos="4320"/>
          <w:tab w:val="clear" w:pos="8640"/>
        </w:tabs>
        <w:spacing w:line="360" w:lineRule="auto"/>
        <w:ind w:left="720"/>
      </w:pPr>
    </w:p>
    <w:p w:rsidR="006B54E7" w:rsidRPr="002875D4" w:rsidRDefault="00CF6E03"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CF6E03"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CF6E03"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CF6E03"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CF6E0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CF6E0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CF6E03"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CF6E03"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CF6E03"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CF6E03"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CF6E03"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CF6E03"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CF6E0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CF6E03"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CF6E03"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CF6E03"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CF6E03"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CF6E03"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CF6E03"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CF6E03"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CF6E03"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CF6E03"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CF6E03"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CF6E0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CF6E0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CF6E0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CF6E03"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CF6E03"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CF6E03"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CF6E03"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CF6E03"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CF6E03"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CF6E03"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CF6E03"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CF6E03"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CF6E03"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CF6E03"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CF6E03"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CF6E03"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CF6E03"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CF6E03"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CF6E03"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CF6E03"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CF6E03"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CF6E03"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CF6E03"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CF6E03"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CF6E03"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CF6E0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CF6E0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CF6E0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CF6E03"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CF6E03"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CF6E03"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CF6E03"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CF6E03"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CF6E03"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CF6E03"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CF6E03"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CF6E03"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CF6E03"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CF6E03"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6"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7"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98"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99"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0"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1"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2"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3"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1C79A1" w:rsidRDefault="001C79A1" w:rsidP="00E6774C">
      <w:pPr>
        <w:pStyle w:val="Heading2"/>
        <w:jc w:val="center"/>
        <w:rPr>
          <w:sz w:val="32"/>
        </w:rPr>
      </w:pPr>
    </w:p>
    <w:p w:rsidR="00E6774C" w:rsidRDefault="00E6774C" w:rsidP="00E6774C">
      <w:pPr>
        <w:pStyle w:val="Heading2"/>
        <w:jc w:val="center"/>
        <w:rPr>
          <w:sz w:val="32"/>
        </w:rPr>
      </w:pPr>
      <w:r>
        <w:rPr>
          <w:sz w:val="32"/>
        </w:rPr>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CF6E03"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CF6E03"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CF6E03"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CF6E03"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CF6E03"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CF6E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CF6E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CF6E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CF6E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CF6E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CF6E0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CF6E03"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CF6E03"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CF6E03"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CF6E03"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CF6E03"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CF6E03"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CF6E03"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CF6E03"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CF6E03"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CF6E03"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CF6E03"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CF6E03"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CF6E03"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CF6E03"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CF6E0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CF6E03"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CF6E0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CF6E0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CF6E03"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CF6E03"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4"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5"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6"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7"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w:t>
      </w:r>
      <w:r w:rsidR="003759D1">
        <w:rPr>
          <w:sz w:val="32"/>
          <w:u w:val="none"/>
        </w:rPr>
        <w:t>I</w:t>
      </w:r>
      <w:r>
        <w:rPr>
          <w:sz w:val="32"/>
          <w:u w:val="none"/>
        </w:rPr>
        <w:t>: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CF6E03"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CF6E03"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CF6E03"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CF6E03"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CF6E03"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CF6E03"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CF6E03"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CF6E03"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lastRenderedPageBreak/>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CF6E03"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CF6E03"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CF6E03"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lastRenderedPageBreak/>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CF6E03"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CF6E03"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CF6E03"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CF6E03"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072337" w:rsidRPr="0012304F" w:rsidRDefault="00072337" w:rsidP="00072337">
      <w:pPr>
        <w:spacing w:line="360" w:lineRule="auto"/>
      </w:pPr>
    </w:p>
    <w:p w:rsidR="00072337" w:rsidRDefault="00072337" w:rsidP="00072337">
      <w:pPr>
        <w:pStyle w:val="Footer"/>
        <w:tabs>
          <w:tab w:val="clear" w:pos="4320"/>
          <w:tab w:val="clear" w:pos="8640"/>
        </w:tabs>
        <w:spacing w:line="360" w:lineRule="auto"/>
      </w:pPr>
    </w:p>
    <w:p w:rsidR="00072337" w:rsidRDefault="00072337" w:rsidP="00072337">
      <w:pPr>
        <w:pStyle w:val="Heading3"/>
      </w:pPr>
      <w:r>
        <w:t>Collateralization and Funding Derivative Valuation</w:t>
      </w:r>
    </w:p>
    <w:p w:rsidR="00072337" w:rsidRDefault="00072337" w:rsidP="00072337">
      <w:pPr>
        <w:spacing w:line="360" w:lineRule="auto"/>
      </w:pPr>
    </w:p>
    <w:p w:rsidR="00222323" w:rsidRDefault="00072337" w:rsidP="00072337">
      <w:pPr>
        <w:pStyle w:val="ListParagraph"/>
        <w:numPr>
          <w:ilvl w:val="0"/>
          <w:numId w:val="369"/>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222323" w:rsidRDefault="00222323" w:rsidP="00222323">
      <w:pPr>
        <w:pStyle w:val="ListParagraph"/>
        <w:spacing w:line="360" w:lineRule="auto"/>
        <w:ind w:left="360"/>
        <w:rPr>
          <w:u w:val="single"/>
        </w:rPr>
      </w:pPr>
    </w:p>
    <w:p w:rsidR="00222323" w:rsidRP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w:r>
        <w:t>It can be seen that</w:t>
      </w:r>
    </w:p>
    <w:p w:rsidR="00222323" w:rsidRDefault="00222323" w:rsidP="00222323">
      <w:pPr>
        <w:pStyle w:val="ListParagraph"/>
        <w:spacing w:line="360" w:lineRule="auto"/>
        <w:ind w:left="360"/>
      </w:pPr>
    </w:p>
    <w:p w:rsidR="00072337" w:rsidRPr="00222323" w:rsidRDefault="00CF6E03"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222323" w:rsidRDefault="00222323" w:rsidP="00222323">
      <w:pPr>
        <w:pStyle w:val="ListParagraph"/>
        <w:spacing w:line="360" w:lineRule="auto"/>
        <w:ind w:left="360"/>
      </w:pPr>
    </w:p>
    <w:p w:rsidR="00222323" w:rsidRDefault="00072337" w:rsidP="00072337">
      <w:pPr>
        <w:pStyle w:val="ListParagraph"/>
        <w:numPr>
          <w:ilvl w:val="0"/>
          <w:numId w:val="369"/>
        </w:numPr>
        <w:spacing w:line="360" w:lineRule="auto"/>
      </w:pPr>
      <w:r>
        <w:rPr>
          <w:u w:val="single"/>
        </w:rPr>
        <w:t>Derivative Value Under Full Collateralization</w:t>
      </w:r>
      <w:r>
        <w:t xml:space="preserve">: </w:t>
      </w:r>
      <w:r w:rsidR="006C02E1">
        <w:t xml:space="preserve">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rsidR="006C02E1">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rsidR="006C02E1">
        <w:t xml:space="preserve"> then</w:t>
      </w:r>
    </w:p>
    <w:p w:rsidR="00222323" w:rsidRDefault="00222323" w:rsidP="00222323">
      <w:pPr>
        <w:pStyle w:val="ListParagraph"/>
        <w:spacing w:line="360" w:lineRule="auto"/>
        <w:ind w:left="360"/>
        <w:rPr>
          <w:u w:val="single"/>
        </w:rPr>
      </w:pPr>
    </w:p>
    <w:p w:rsidR="00222323" w:rsidRDefault="00CF6E03"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therefore</w:t>
      </w:r>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222323" w:rsidRDefault="00222323" w:rsidP="00222323">
      <w:pPr>
        <w:pStyle w:val="ListParagraph"/>
        <w:spacing w:line="360" w:lineRule="auto"/>
        <w:ind w:left="360"/>
      </w:pPr>
    </w:p>
    <w:p w:rsidR="00222323" w:rsidRDefault="00CF6E03" w:rsidP="00222323">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222323" w:rsidRDefault="00222323" w:rsidP="00222323">
      <w:pPr>
        <w:pStyle w:val="ListParagraph"/>
        <w:spacing w:line="360" w:lineRule="auto"/>
        <w:ind w:left="360"/>
      </w:pPr>
    </w:p>
    <w:p w:rsidR="00072337" w:rsidRDefault="006C02E1" w:rsidP="00222323">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222323" w:rsidRDefault="006C02E1" w:rsidP="00072337">
      <w:pPr>
        <w:pStyle w:val="ListParagraph"/>
        <w:numPr>
          <w:ilvl w:val="0"/>
          <w:numId w:val="369"/>
        </w:numPr>
        <w:spacing w:line="360" w:lineRule="auto"/>
      </w:pPr>
      <w:r>
        <w:rPr>
          <w:u w:val="single"/>
        </w:rPr>
        <w:t>Derived Value Under Unsecured Trading</w:t>
      </w:r>
      <w:r w:rsidRPr="006C02E1">
        <w:t>:</w:t>
      </w:r>
      <w:r>
        <w:t xml:space="preserve"> On the other hand if the collateral is zero then</w:t>
      </w:r>
    </w:p>
    <w:p w:rsidR="00222323" w:rsidRDefault="00222323" w:rsidP="00222323">
      <w:pPr>
        <w:pStyle w:val="ListParagraph"/>
        <w:spacing w:line="360" w:lineRule="auto"/>
        <w:ind w:left="360"/>
        <w:rPr>
          <w:u w:val="single"/>
        </w:rPr>
      </w:pPr>
    </w:p>
    <w:p w:rsidR="00222323" w:rsidRDefault="00CF6E03"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6C02E1" w:rsidRDefault="006C02E1" w:rsidP="00222323">
      <w:pPr>
        <w:pStyle w:val="ListParagraph"/>
        <w:spacing w:line="360" w:lineRule="auto"/>
        <w:ind w:left="360"/>
      </w:pPr>
      <w:r>
        <w:t>and the rate of growth is equal to the bank’s unsecured funding rate, or, using the credit risk language, adjusted for the probability of the bank default.</w:t>
      </w:r>
    </w:p>
    <w:p w:rsidR="00222323" w:rsidRDefault="00EC517D" w:rsidP="00072337">
      <w:pPr>
        <w:pStyle w:val="ListParagraph"/>
        <w:numPr>
          <w:ilvl w:val="0"/>
          <w:numId w:val="369"/>
        </w:numPr>
        <w:spacing w:line="360" w:lineRule="auto"/>
      </w:pPr>
      <w:r>
        <w:rPr>
          <w:u w:val="single"/>
        </w:rPr>
        <w:t>Collateral and Funding Measure Numeraires</w:t>
      </w:r>
      <w:r w:rsidRPr="00EC517D">
        <w:t>:</w:t>
      </w:r>
      <w:r>
        <w:t xml:space="preserve"> Therefore the case</w:t>
      </w:r>
    </w:p>
    <w:p w:rsidR="00222323" w:rsidRDefault="00222323" w:rsidP="00222323">
      <w:pPr>
        <w:pStyle w:val="ListParagraph"/>
        <w:spacing w:line="360" w:lineRule="auto"/>
        <w:ind w:left="360"/>
        <w:rPr>
          <w:u w:val="single"/>
        </w:rPr>
      </w:pPr>
    </w:p>
    <w:p w:rsidR="00222323" w:rsidRDefault="00EC517D" w:rsidP="00222323">
      <w:pPr>
        <w:pStyle w:val="ListParagraph"/>
        <w:spacing w:line="360" w:lineRule="auto"/>
        <w:ind w:left="360"/>
      </w:pPr>
      <m:oMathPara>
        <m:oMath>
          <m:r>
            <w:rPr>
              <w:rFonts w:ascii="Cambria Math" w:hAnsi="Cambria Math"/>
            </w:rPr>
            <w:lastRenderedPageBreak/>
            <m:t>C=V</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could be handled using the measure that corresponds to the risk free bond</w:t>
      </w:r>
    </w:p>
    <w:p w:rsidR="00222323" w:rsidRDefault="00222323" w:rsidP="00222323">
      <w:pPr>
        <w:pStyle w:val="ListParagraph"/>
        <w:spacing w:line="360" w:lineRule="auto"/>
        <w:ind w:left="360"/>
      </w:pPr>
    </w:p>
    <w:p w:rsidR="00222323" w:rsidRDefault="00CF6E03"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as a numeraire, and likewise, the case</w:t>
      </w:r>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corresponds to the risky bond</w:t>
      </w:r>
    </w:p>
    <w:p w:rsidR="00222323" w:rsidRDefault="00222323" w:rsidP="00222323">
      <w:pPr>
        <w:pStyle w:val="ListParagraph"/>
        <w:spacing w:line="360" w:lineRule="auto"/>
        <w:ind w:left="360"/>
      </w:pPr>
    </w:p>
    <w:p w:rsidR="00222323" w:rsidRDefault="00CF6E03"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EC517D" w:rsidRDefault="00EC517D" w:rsidP="00222323">
      <w:pPr>
        <w:pStyle w:val="ListParagraph"/>
        <w:spacing w:line="360" w:lineRule="auto"/>
        <w:ind w:left="360"/>
      </w:pPr>
      <w:r>
        <w:t>as a numeraire.</w:t>
      </w:r>
    </w:p>
    <w:p w:rsidR="00EC517D" w:rsidRDefault="00EC517D" w:rsidP="00072337">
      <w:pPr>
        <w:pStyle w:val="ListParagraph"/>
        <w:numPr>
          <w:ilvl w:val="0"/>
          <w:numId w:val="369"/>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222323" w:rsidRDefault="00EC517D" w:rsidP="00072337">
      <w:pPr>
        <w:pStyle w:val="ListParagraph"/>
        <w:numPr>
          <w:ilvl w:val="0"/>
          <w:numId w:val="369"/>
        </w:numPr>
        <w:spacing w:line="360" w:lineRule="auto"/>
      </w:pPr>
      <w:r>
        <w:rPr>
          <w:u w:val="single"/>
        </w:rPr>
        <w:t>Simplification of Full Collateralization/Trading</w:t>
      </w:r>
      <w:r w:rsidRPr="00EC517D">
        <w:t>:</w:t>
      </w:r>
      <w:r>
        <w:t xml:space="preserve"> Fortunately in the simples case of the collateral being a linear function of th</w:t>
      </w:r>
      <w:r w:rsidR="00222323">
        <w:t xml:space="preserve">e exact value of the portfolio - </w:t>
      </w:r>
      <w:r>
        <w:t>the case that includes b</w:t>
      </w:r>
      <w:r w:rsidR="00222323">
        <w:t>o</w:t>
      </w:r>
      <w:r>
        <w:t>th the no-collateral case</w:t>
      </w:r>
    </w:p>
    <w:p w:rsidR="00222323" w:rsidRDefault="00222323" w:rsidP="00222323">
      <w:pPr>
        <w:pStyle w:val="ListParagraph"/>
        <w:spacing w:line="360" w:lineRule="auto"/>
        <w:ind w:left="360"/>
        <w:rPr>
          <w:u w:val="single"/>
        </w:rPr>
      </w:pPr>
    </w:p>
    <w:p w:rsidR="00222323" w:rsidRDefault="00222323"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as well as the full collateral case</w:t>
      </w:r>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lastRenderedPageBreak/>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222323" w:rsidRDefault="00222323" w:rsidP="00222323">
      <w:pPr>
        <w:pStyle w:val="ListParagraph"/>
        <w:spacing w:line="360" w:lineRule="auto"/>
        <w:ind w:left="360"/>
      </w:pPr>
    </w:p>
    <w:p w:rsidR="00EC517D" w:rsidRDefault="00222323"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CF6E03"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CF6E03"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CF6E03"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CF6E03"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CF6E03"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1B1B83" w:rsidRDefault="001B1B83" w:rsidP="001B1B83">
      <w:pPr>
        <w:spacing w:line="360" w:lineRule="auto"/>
      </w:pPr>
    </w:p>
    <w:p w:rsidR="001B1B83" w:rsidRDefault="001B1B83" w:rsidP="001B1B83">
      <w:pPr>
        <w:pStyle w:val="Footer"/>
        <w:tabs>
          <w:tab w:val="clear" w:pos="4320"/>
          <w:tab w:val="clear" w:pos="8640"/>
        </w:tabs>
        <w:spacing w:line="360" w:lineRule="auto"/>
      </w:pPr>
    </w:p>
    <w:p w:rsidR="001B1B83" w:rsidRDefault="001B1B83" w:rsidP="001B1B83">
      <w:pPr>
        <w:pStyle w:val="Heading3"/>
      </w:pPr>
      <w:r>
        <w:t>Forward Contract Valuation</w:t>
      </w:r>
    </w:p>
    <w:p w:rsidR="001B1B83" w:rsidRDefault="001B1B83" w:rsidP="001B1B83">
      <w:pPr>
        <w:spacing w:line="360" w:lineRule="auto"/>
      </w:pPr>
    </w:p>
    <w:p w:rsidR="001B1B83" w:rsidRDefault="001B1B83" w:rsidP="00EB45AC">
      <w:pPr>
        <w:pStyle w:val="ListParagraph"/>
        <w:numPr>
          <w:ilvl w:val="0"/>
          <w:numId w:val="370"/>
        </w:numPr>
        <w:spacing w:line="360" w:lineRule="auto"/>
      </w:pPr>
      <w:r w:rsidRPr="00EB45AC">
        <w:rPr>
          <w:u w:val="single"/>
        </w:rPr>
        <w:t>Repo’d Zero Strike Call Option</w:t>
      </w:r>
      <w:r w:rsidR="00EB45AC">
        <w:t>:</w:t>
      </w:r>
    </w:p>
    <w:p w:rsidR="00EB45AC" w:rsidRDefault="00EB45AC" w:rsidP="00EB45AC">
      <w:pPr>
        <w:pStyle w:val="ListParagraph"/>
        <w:numPr>
          <w:ilvl w:val="1"/>
          <w:numId w:val="370"/>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2E27F5" w:rsidRDefault="00EB45AC" w:rsidP="00EB45AC">
      <w:pPr>
        <w:pStyle w:val="ListParagraph"/>
        <w:numPr>
          <w:ilvl w:val="1"/>
          <w:numId w:val="370"/>
        </w:numPr>
        <w:spacing w:line="360" w:lineRule="auto"/>
      </w:pPr>
      <w:r>
        <w:t>Forwards Value and Derivative Value =&gt; The payout of the derivative is given by</w:t>
      </w:r>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 xml:space="preserve">and the value at time </w:t>
      </w:r>
      <m:oMath>
        <m:r>
          <w:rPr>
            <w:rFonts w:ascii="Cambria Math" w:hAnsi="Cambria Math"/>
          </w:rPr>
          <m:t>t</m:t>
        </m:r>
      </m:oMath>
      <w:r>
        <w:t>, assuming no CSA, is given by</w:t>
      </w:r>
    </w:p>
    <w:p w:rsidR="002E27F5" w:rsidRDefault="002E27F5" w:rsidP="002E27F5">
      <w:pPr>
        <w:pStyle w:val="ListParagraph"/>
        <w:spacing w:line="360" w:lineRule="auto"/>
        <w:ind w:left="1080"/>
      </w:pPr>
    </w:p>
    <w:p w:rsidR="002E27F5" w:rsidRDefault="00CF6E03"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On the other hand, if</w:t>
      </w:r>
    </w:p>
    <w:p w:rsidR="002E27F5" w:rsidRDefault="002E27F5" w:rsidP="002E27F5">
      <w:pPr>
        <w:pStyle w:val="ListParagraph"/>
        <w:spacing w:line="360" w:lineRule="auto"/>
        <w:ind w:left="1080"/>
      </w:pPr>
    </w:p>
    <w:p w:rsidR="002E27F5" w:rsidRDefault="00CF6E03" w:rsidP="002E27F5">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then</w:t>
      </w:r>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as follows from</w:t>
      </w:r>
    </w:p>
    <w:p w:rsidR="002E27F5" w:rsidRDefault="002E27F5" w:rsidP="002E27F5">
      <w:pPr>
        <w:pStyle w:val="ListParagraph"/>
        <w:spacing w:line="360" w:lineRule="auto"/>
        <w:ind w:left="1080"/>
      </w:pPr>
    </w:p>
    <w:p w:rsidR="002E27F5" w:rsidRPr="002E27F5" w:rsidRDefault="00CF6E03" w:rsidP="002E27F5">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and clearly</w:t>
      </w:r>
    </w:p>
    <w:p w:rsidR="002E27F5" w:rsidRDefault="002E27F5" w:rsidP="002E27F5">
      <w:pPr>
        <w:pStyle w:val="ListParagraph"/>
        <w:spacing w:line="360" w:lineRule="auto"/>
        <w:ind w:left="1080"/>
      </w:pPr>
    </w:p>
    <w:p w:rsidR="00EB45AC" w:rsidRPr="002E27F5" w:rsidRDefault="00CF6E03"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spacing w:line="360" w:lineRule="auto"/>
      </w:pPr>
    </w:p>
    <w:p w:rsidR="002E27F5" w:rsidRDefault="002E27F5" w:rsidP="00EB45AC">
      <w:pPr>
        <w:pStyle w:val="ListParagraph"/>
        <w:numPr>
          <w:ilvl w:val="1"/>
          <w:numId w:val="370"/>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AF16D1" w:rsidRDefault="00AF16D1" w:rsidP="00AF16D1">
      <w:pPr>
        <w:pStyle w:val="ListParagraph"/>
        <w:numPr>
          <w:ilvl w:val="0"/>
          <w:numId w:val="370"/>
        </w:numPr>
        <w:spacing w:line="360" w:lineRule="auto"/>
      </w:pPr>
      <w:r>
        <w:rPr>
          <w:u w:val="single"/>
        </w:rPr>
        <w:t>No-CSA Forwards Valuation</w:t>
      </w:r>
      <w:r w:rsidR="006050FC">
        <w:t>:</w:t>
      </w:r>
    </w:p>
    <w:p w:rsidR="006050FC" w:rsidRDefault="006050FC" w:rsidP="006050FC">
      <w:pPr>
        <w:pStyle w:val="ListParagraph"/>
        <w:numPr>
          <w:ilvl w:val="1"/>
          <w:numId w:val="370"/>
        </w:numPr>
        <w:spacing w:line="360" w:lineRule="auto"/>
      </w:pPr>
      <w:r>
        <w:lastRenderedPageBreak/>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5B17D0" w:rsidRDefault="006050FC" w:rsidP="006050FC">
      <w:pPr>
        <w:pStyle w:val="ListParagraph"/>
        <w:numPr>
          <w:ilvl w:val="1"/>
          <w:numId w:val="370"/>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that</w:t>
      </w:r>
    </w:p>
    <w:p w:rsidR="005B17D0" w:rsidRDefault="005B17D0" w:rsidP="005B17D0">
      <w:pPr>
        <w:pStyle w:val="ListParagraph"/>
        <w:spacing w:line="360" w:lineRule="auto"/>
        <w:ind w:left="1080"/>
      </w:pPr>
    </w:p>
    <w:p w:rsidR="005B17D0" w:rsidRPr="005B17D0" w:rsidRDefault="006050FC" w:rsidP="005B17D0">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so we get</w:t>
      </w:r>
    </w:p>
    <w:p w:rsidR="005B17D0" w:rsidRDefault="005B17D0" w:rsidP="005B17D0">
      <w:pPr>
        <w:pStyle w:val="ListParagraph"/>
        <w:spacing w:line="360" w:lineRule="auto"/>
        <w:ind w:left="1080"/>
      </w:pPr>
    </w:p>
    <w:p w:rsidR="006050FC" w:rsidRPr="005B17D0" w:rsidRDefault="00CF6E03"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5B17D0" w:rsidRDefault="005B17D0" w:rsidP="005B17D0">
      <w:pPr>
        <w:spacing w:line="360" w:lineRule="auto"/>
      </w:pPr>
    </w:p>
    <w:p w:rsidR="005B17D0" w:rsidRDefault="006050FC" w:rsidP="006050FC">
      <w:pPr>
        <w:pStyle w:val="ListParagraph"/>
        <w:numPr>
          <w:ilvl w:val="1"/>
          <w:numId w:val="370"/>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5B17D0" w:rsidRDefault="005B17D0" w:rsidP="005B17D0">
      <w:pPr>
        <w:pStyle w:val="ListParagraph"/>
        <w:spacing w:line="360" w:lineRule="auto"/>
        <w:ind w:left="1080"/>
      </w:pPr>
    </w:p>
    <w:p w:rsidR="005B17D0" w:rsidRDefault="00CF6E03" w:rsidP="005B17D0">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5B17D0" w:rsidRDefault="005B17D0" w:rsidP="005B17D0">
      <w:pPr>
        <w:pStyle w:val="ListParagraph"/>
        <w:spacing w:line="360" w:lineRule="auto"/>
        <w:ind w:left="1080"/>
      </w:pPr>
    </w:p>
    <w:p w:rsidR="005B17D0" w:rsidRDefault="00CF6E03"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5B17D0" w:rsidRDefault="005B17D0" w:rsidP="005B17D0">
      <w:pPr>
        <w:pStyle w:val="ListParagraph"/>
        <w:spacing w:line="360" w:lineRule="auto"/>
        <w:ind w:left="1080"/>
      </w:pPr>
    </w:p>
    <w:p w:rsidR="005B17D0" w:rsidRDefault="00CF6E03" w:rsidP="005B17D0">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6050FC" w:rsidRDefault="00CC59F8" w:rsidP="005B17D0">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5B17D0" w:rsidRDefault="00CC59F8" w:rsidP="006050FC">
      <w:pPr>
        <w:pStyle w:val="ListParagraph"/>
        <w:numPr>
          <w:ilvl w:val="1"/>
          <w:numId w:val="370"/>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5B17D0" w:rsidRDefault="005B17D0" w:rsidP="005B17D0">
      <w:pPr>
        <w:pStyle w:val="ListParagraph"/>
        <w:spacing w:line="360" w:lineRule="auto"/>
        <w:ind w:left="1080"/>
      </w:pPr>
    </w:p>
    <w:p w:rsidR="005B17D0" w:rsidRDefault="00CF6E03" w:rsidP="005B17D0">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w:r>
        <w:t>to be</w:t>
      </w:r>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CC59F8" w:rsidRDefault="005B17D0" w:rsidP="005B17D0">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F516BE" w:rsidRDefault="00F516BE" w:rsidP="00F516BE">
      <w:pPr>
        <w:pStyle w:val="ListParagraph"/>
        <w:numPr>
          <w:ilvl w:val="0"/>
          <w:numId w:val="370"/>
        </w:numPr>
        <w:spacing w:line="360" w:lineRule="auto"/>
      </w:pPr>
      <w:r>
        <w:rPr>
          <w:u w:val="single"/>
        </w:rPr>
        <w:t>Forwards Contract with CSA</w:t>
      </w:r>
      <w:r>
        <w:t>:</w:t>
      </w:r>
    </w:p>
    <w:p w:rsidR="007214C5" w:rsidRDefault="00F516BE" w:rsidP="005653CD">
      <w:pPr>
        <w:pStyle w:val="ListParagraph"/>
        <w:numPr>
          <w:ilvl w:val="1"/>
          <w:numId w:val="370"/>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7214C5" w:rsidRDefault="00F516BE" w:rsidP="005653CD">
      <w:pPr>
        <w:pStyle w:val="ListParagraph"/>
        <w:numPr>
          <w:ilvl w:val="1"/>
          <w:numId w:val="370"/>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is given by</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w:lastRenderedPageBreak/>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so we get</w:t>
      </w:r>
    </w:p>
    <w:p w:rsidR="007214C5" w:rsidRDefault="007214C5" w:rsidP="007214C5">
      <w:pPr>
        <w:pStyle w:val="ListParagraph"/>
        <w:spacing w:line="360" w:lineRule="auto"/>
        <w:ind w:left="1080"/>
      </w:pPr>
    </w:p>
    <w:p w:rsidR="007214C5" w:rsidRDefault="00CF6E03"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Comparing this with</w:t>
      </w:r>
    </w:p>
    <w:p w:rsidR="007214C5" w:rsidRDefault="007214C5" w:rsidP="007214C5">
      <w:pPr>
        <w:pStyle w:val="ListParagraph"/>
        <w:spacing w:line="360" w:lineRule="auto"/>
        <w:ind w:left="1080"/>
      </w:pPr>
    </w:p>
    <w:p w:rsidR="007214C5" w:rsidRDefault="00CF6E03"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we see that</w:t>
      </w:r>
    </w:p>
    <w:p w:rsidR="007214C5" w:rsidRDefault="007214C5" w:rsidP="007214C5">
      <w:pPr>
        <w:pStyle w:val="ListParagraph"/>
        <w:spacing w:line="360" w:lineRule="auto"/>
        <w:ind w:left="1080"/>
      </w:pPr>
    </w:p>
    <w:p w:rsidR="007214C5" w:rsidRDefault="00CF6E03"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By the arguments similar to the no-CSA case we obtain</w:t>
      </w:r>
    </w:p>
    <w:p w:rsidR="007214C5" w:rsidRDefault="007214C5" w:rsidP="007214C5">
      <w:pPr>
        <w:pStyle w:val="ListParagraph"/>
        <w:spacing w:line="360" w:lineRule="auto"/>
        <w:ind w:left="1080"/>
      </w:pPr>
    </w:p>
    <w:p w:rsidR="007214C5" w:rsidRDefault="00CF6E03"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7214C5" w:rsidRDefault="007214C5" w:rsidP="007214C5">
      <w:pPr>
        <w:pStyle w:val="ListParagraph"/>
        <w:spacing w:line="360" w:lineRule="auto"/>
        <w:ind w:left="1080"/>
      </w:pPr>
    </w:p>
    <w:p w:rsidR="007214C5" w:rsidRDefault="00CF6E03" w:rsidP="007214C5">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7214C5" w:rsidRDefault="007214C5" w:rsidP="007214C5">
      <w:pPr>
        <w:pStyle w:val="ListParagraph"/>
        <w:spacing w:line="360" w:lineRule="auto"/>
        <w:ind w:left="1080"/>
      </w:pPr>
    </w:p>
    <w:p w:rsidR="00F516BE" w:rsidRDefault="007214C5" w:rsidP="007214C5">
      <w:pPr>
        <w:pStyle w:val="ListParagraph"/>
        <w:spacing w:line="360" w:lineRule="auto"/>
        <w:ind w:left="1080"/>
      </w:pPr>
      <w:r>
        <w:t>as its numeraire.</w:t>
      </w:r>
    </w:p>
    <w:p w:rsidR="007214C5" w:rsidRDefault="007214C5" w:rsidP="005653CD">
      <w:pPr>
        <w:pStyle w:val="ListParagraph"/>
        <w:numPr>
          <w:ilvl w:val="1"/>
          <w:numId w:val="370"/>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5653CD" w:rsidRDefault="005653CD" w:rsidP="005653CD">
      <w:pPr>
        <w:pStyle w:val="ListParagraph"/>
        <w:numPr>
          <w:ilvl w:val="0"/>
          <w:numId w:val="370"/>
        </w:numPr>
        <w:spacing w:line="360" w:lineRule="auto"/>
      </w:pPr>
      <w:r>
        <w:rPr>
          <w:u w:val="single"/>
        </w:rPr>
        <w:t>Calculating CSA Convexity Adjustment</w:t>
      </w:r>
      <w:r>
        <w:t>:</w:t>
      </w:r>
    </w:p>
    <w:p w:rsidR="00381DBD" w:rsidRDefault="005653CD" w:rsidP="005653CD">
      <w:pPr>
        <w:pStyle w:val="ListParagraph"/>
        <w:numPr>
          <w:ilvl w:val="1"/>
          <w:numId w:val="370"/>
        </w:numPr>
        <w:spacing w:line="360" w:lineRule="auto"/>
      </w:pPr>
      <w:r>
        <w:t>The Funding Basis Spread Numeraire =&gt; This section focusses on the difference between the CSA and the non-CSA forward prices. It can be seen that</w:t>
      </w:r>
    </w:p>
    <w:p w:rsidR="00381DBD" w:rsidRDefault="00381DBD" w:rsidP="00381DBD">
      <w:pPr>
        <w:pStyle w:val="ListParagraph"/>
        <w:spacing w:line="360" w:lineRule="auto"/>
        <w:ind w:left="1080"/>
      </w:pPr>
    </w:p>
    <w:p w:rsidR="00381DBD" w:rsidRDefault="00CF6E03"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where</w:t>
      </w:r>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81DBD" w:rsidRDefault="00381DBD" w:rsidP="00381DBD">
      <w:pPr>
        <w:pStyle w:val="ListParagraph"/>
        <w:spacing w:line="360" w:lineRule="auto"/>
        <w:ind w:left="1080"/>
      </w:pPr>
    </w:p>
    <w:p w:rsidR="005653CD" w:rsidRP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81DBD" w:rsidRDefault="00381DBD" w:rsidP="00381DBD">
      <w:pPr>
        <w:pStyle w:val="ListParagraph"/>
        <w:spacing w:line="360" w:lineRule="auto"/>
        <w:ind w:left="1080"/>
      </w:pPr>
    </w:p>
    <w:p w:rsidR="00381DBD" w:rsidRDefault="00AE2EE8" w:rsidP="005653CD">
      <w:pPr>
        <w:pStyle w:val="ListParagraph"/>
        <w:numPr>
          <w:ilvl w:val="1"/>
          <w:numId w:val="370"/>
        </w:numPr>
        <w:spacing w:line="360" w:lineRule="auto"/>
      </w:pPr>
      <w:r>
        <w:t>CSA vs. no-CSA Convexity =&gt; It can be noted trivially that</w:t>
      </w:r>
    </w:p>
    <w:p w:rsidR="00381DBD" w:rsidRDefault="00381DBD" w:rsidP="00381DBD">
      <w:pPr>
        <w:pStyle w:val="ListParagraph"/>
        <w:spacing w:line="360" w:lineRule="auto"/>
        <w:ind w:left="1080"/>
      </w:pPr>
    </w:p>
    <w:p w:rsidR="00381DBD" w:rsidRPr="00381DBD" w:rsidRDefault="00CF6E03" w:rsidP="00381DBD">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so</w:t>
      </w:r>
    </w:p>
    <w:p w:rsidR="00381DBD" w:rsidRDefault="00381DBD" w:rsidP="00381DBD">
      <w:pPr>
        <w:pStyle w:val="ListParagraph"/>
        <w:spacing w:line="360" w:lineRule="auto"/>
        <w:ind w:left="1080"/>
      </w:pPr>
    </w:p>
    <w:p w:rsidR="00AE2EE8" w:rsidRPr="00381DBD" w:rsidRDefault="00CF6E03"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81DBD" w:rsidRDefault="00381DBD" w:rsidP="00381DBD">
      <w:pPr>
        <w:pStyle w:val="ListParagraph"/>
        <w:spacing w:line="360" w:lineRule="auto"/>
        <w:ind w:left="1080"/>
      </w:pPr>
    </w:p>
    <w:p w:rsidR="00381DBD" w:rsidRDefault="00381DBD" w:rsidP="005653CD">
      <w:pPr>
        <w:pStyle w:val="ListParagraph"/>
        <w:numPr>
          <w:ilvl w:val="1"/>
          <w:numId w:val="370"/>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566AAA" w:rsidRDefault="00566AAA" w:rsidP="00566AAA">
      <w:pPr>
        <w:pStyle w:val="ListParagraph"/>
        <w:numPr>
          <w:ilvl w:val="0"/>
          <w:numId w:val="370"/>
        </w:numPr>
        <w:spacing w:line="360" w:lineRule="auto"/>
      </w:pPr>
      <w:r>
        <w:rPr>
          <w:u w:val="single"/>
        </w:rPr>
        <w:t>Futures vs. CSA Forward Contracts</w:t>
      </w:r>
      <w:r>
        <w:t>:</w:t>
      </w:r>
    </w:p>
    <w:p w:rsidR="00566AAA" w:rsidRDefault="00566AAA" w:rsidP="00566AAA">
      <w:pPr>
        <w:pStyle w:val="ListParagraph"/>
        <w:numPr>
          <w:ilvl w:val="1"/>
          <w:numId w:val="370"/>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6F5971" w:rsidRDefault="00566AAA" w:rsidP="00566AAA">
      <w:pPr>
        <w:pStyle w:val="ListParagraph"/>
        <w:numPr>
          <w:ilvl w:val="1"/>
          <w:numId w:val="370"/>
        </w:numPr>
        <w:spacing w:line="360" w:lineRule="auto"/>
      </w:pPr>
      <w:r>
        <w:t>Futures vs. CSA Forward – Differences =&gt; There is, however, an important difference. Consider the value of the forward contract at</w:t>
      </w:r>
    </w:p>
    <w:p w:rsidR="006F5971" w:rsidRDefault="006F5971" w:rsidP="006F5971">
      <w:pPr>
        <w:pStyle w:val="ListParagraph"/>
        <w:spacing w:line="360" w:lineRule="auto"/>
        <w:ind w:left="1080"/>
      </w:pPr>
    </w:p>
    <w:p w:rsidR="006F5971" w:rsidRPr="006F5971" w:rsidRDefault="00CF6E03" w:rsidP="006F5971">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 xml:space="preserve">a contract that was entered at time </w:t>
      </w:r>
      <m:oMath>
        <m:r>
          <w:rPr>
            <w:rFonts w:ascii="Cambria Math" w:hAnsi="Cambria Math"/>
          </w:rPr>
          <m:t>t</m:t>
        </m:r>
      </m:oMath>
      <w:r w:rsidR="006F5971">
        <w:t xml:space="preserve">, </w:t>
      </w:r>
      <w:r>
        <w:t>so</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Then</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From</w:t>
      </w:r>
    </w:p>
    <w:p w:rsidR="006F5971" w:rsidRDefault="006F5971" w:rsidP="006F5971">
      <w:pPr>
        <w:pStyle w:val="ListParagraph"/>
        <w:spacing w:line="360" w:lineRule="auto"/>
        <w:ind w:left="1080"/>
      </w:pPr>
    </w:p>
    <w:p w:rsidR="006F5971" w:rsidRDefault="00CF6E03" w:rsidP="006F5971">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6F5971" w:rsidRDefault="006F5971" w:rsidP="006F5971">
      <w:pPr>
        <w:pStyle w:val="ListParagraph"/>
        <w:spacing w:line="360" w:lineRule="auto"/>
        <w:ind w:left="1080"/>
      </w:pPr>
    </w:p>
    <w:p w:rsidR="006F5971" w:rsidRDefault="006F5971" w:rsidP="006F5971">
      <w:pPr>
        <w:pStyle w:val="ListParagraph"/>
        <w:spacing w:line="360" w:lineRule="auto"/>
        <w:ind w:left="1080"/>
      </w:pPr>
      <w:r>
        <w:t>one gets</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6F5971" w:rsidRDefault="006F5971" w:rsidP="006F5971">
      <w:pPr>
        <w:pStyle w:val="ListParagraph"/>
        <w:spacing w:line="360" w:lineRule="auto"/>
        <w:ind w:left="1080"/>
      </w:pPr>
    </w:p>
    <w:p w:rsidR="00566AAA" w:rsidRPr="006F5971" w:rsidRDefault="006F5971" w:rsidP="006F5971">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6F5971" w:rsidRDefault="006F5971" w:rsidP="00566AAA">
      <w:pPr>
        <w:pStyle w:val="ListParagraph"/>
        <w:numPr>
          <w:ilvl w:val="1"/>
          <w:numId w:val="370"/>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BE45B9" w:rsidRDefault="00BE45B9" w:rsidP="00BE45B9">
      <w:pPr>
        <w:spacing w:line="360" w:lineRule="auto"/>
      </w:pPr>
    </w:p>
    <w:p w:rsidR="00BE45B9" w:rsidRDefault="00BE45B9" w:rsidP="00BE45B9">
      <w:pPr>
        <w:pStyle w:val="Footer"/>
        <w:tabs>
          <w:tab w:val="clear" w:pos="4320"/>
          <w:tab w:val="clear" w:pos="8640"/>
        </w:tabs>
        <w:spacing w:line="360" w:lineRule="auto"/>
      </w:pPr>
    </w:p>
    <w:p w:rsidR="00BE45B9" w:rsidRDefault="00BE45B9" w:rsidP="00BE45B9">
      <w:pPr>
        <w:pStyle w:val="Heading3"/>
      </w:pPr>
      <w:r>
        <w:t>European Style Options</w:t>
      </w:r>
    </w:p>
    <w:p w:rsidR="00BE45B9" w:rsidRDefault="00BE45B9" w:rsidP="00BE45B9">
      <w:pPr>
        <w:spacing w:line="360" w:lineRule="auto"/>
      </w:pPr>
    </w:p>
    <w:p w:rsidR="00BE45B9" w:rsidRDefault="00BE45B9" w:rsidP="00BE45B9">
      <w:pPr>
        <w:pStyle w:val="ListParagraph"/>
        <w:numPr>
          <w:ilvl w:val="0"/>
          <w:numId w:val="371"/>
        </w:numPr>
        <w:spacing w:line="360" w:lineRule="auto"/>
      </w:pPr>
      <w:r w:rsidRPr="00BE45B9">
        <w:rPr>
          <w:u w:val="single"/>
        </w:rPr>
        <w:t>CSA vs. non-CSA Pricing</w:t>
      </w:r>
      <w:r>
        <w:t>:</w:t>
      </w:r>
    </w:p>
    <w:p w:rsidR="00C4528B" w:rsidRDefault="00BE45B9" w:rsidP="00BE45B9">
      <w:pPr>
        <w:pStyle w:val="ListParagraph"/>
        <w:numPr>
          <w:ilvl w:val="1"/>
          <w:numId w:val="371"/>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C4528B" w:rsidRDefault="00C4528B" w:rsidP="00C4528B">
      <w:pPr>
        <w:pStyle w:val="ListParagraph"/>
        <w:spacing w:line="360" w:lineRule="auto"/>
        <w:ind w:left="1080"/>
      </w:pPr>
    </w:p>
    <w:p w:rsidR="00C4528B" w:rsidRDefault="00CF6E03"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C4528B" w:rsidRDefault="00CF6E03"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BE45B9" w:rsidRDefault="00BE45B9" w:rsidP="00C4528B">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C4528B" w:rsidRDefault="00BE45B9" w:rsidP="00BE45B9">
      <w:pPr>
        <w:pStyle w:val="ListParagraph"/>
        <w:numPr>
          <w:ilvl w:val="1"/>
          <w:numId w:val="371"/>
        </w:numPr>
        <w:spacing w:line="360" w:lineRule="auto"/>
      </w:pPr>
      <w:r>
        <w:t>CSA vs. non-CSA Numeraires =&gt; By the same measure change arguments as in the previous sections we get</w:t>
      </w:r>
    </w:p>
    <w:p w:rsidR="00C4528B" w:rsidRDefault="00C4528B" w:rsidP="00C4528B">
      <w:pPr>
        <w:pStyle w:val="ListParagraph"/>
        <w:spacing w:line="360" w:lineRule="auto"/>
        <w:ind w:left="1080"/>
      </w:pPr>
    </w:p>
    <w:p w:rsidR="00C4528B" w:rsidRPr="00C4528B" w:rsidRDefault="00CF6E03"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BE45B9" w:rsidRPr="00C4528B" w:rsidRDefault="00CF6E03"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C4528B" w:rsidP="00BE45B9">
      <w:pPr>
        <w:pStyle w:val="ListParagraph"/>
        <w:numPr>
          <w:ilvl w:val="1"/>
          <w:numId w:val="371"/>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8F5914" w:rsidRDefault="008F5914" w:rsidP="008F5914">
      <w:pPr>
        <w:pStyle w:val="ListParagraph"/>
        <w:numPr>
          <w:ilvl w:val="0"/>
          <w:numId w:val="371"/>
        </w:numPr>
        <w:spacing w:line="360" w:lineRule="auto"/>
      </w:pPr>
      <w:r>
        <w:rPr>
          <w:u w:val="single"/>
        </w:rPr>
        <w:t>Distribution Impact of Convexity Adjustment</w:t>
      </w:r>
      <w:r>
        <w:t>:</w:t>
      </w:r>
    </w:p>
    <w:p w:rsidR="00733926" w:rsidRDefault="008F5914" w:rsidP="008F5914">
      <w:pPr>
        <w:pStyle w:val="ListParagraph"/>
        <w:numPr>
          <w:ilvl w:val="1"/>
          <w:numId w:val="371"/>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733926" w:rsidRDefault="00733926" w:rsidP="00733926">
      <w:pPr>
        <w:pStyle w:val="ListParagraph"/>
        <w:spacing w:line="360" w:lineRule="auto"/>
        <w:ind w:left="1080"/>
      </w:pPr>
    </w:p>
    <w:p w:rsidR="00733926" w:rsidRDefault="00CF6E03"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one has</w:t>
      </w:r>
    </w:p>
    <w:p w:rsidR="00733926" w:rsidRDefault="00733926" w:rsidP="00733926">
      <w:pPr>
        <w:pStyle w:val="ListParagraph"/>
        <w:spacing w:line="360" w:lineRule="auto"/>
        <w:ind w:left="1080"/>
      </w:pPr>
    </w:p>
    <w:p w:rsidR="00733926" w:rsidRDefault="00CF6E03"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733926" w:rsidRDefault="00733926" w:rsidP="00733926">
      <w:pPr>
        <w:pStyle w:val="ListParagraph"/>
        <w:spacing w:line="360" w:lineRule="auto"/>
        <w:ind w:left="1080"/>
      </w:pPr>
    </w:p>
    <w:p w:rsidR="008F5914" w:rsidRPr="00733926" w:rsidRDefault="008F5914" w:rsidP="00733926">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733926" w:rsidRDefault="00733926" w:rsidP="00733926">
      <w:pPr>
        <w:pStyle w:val="ListParagraph"/>
        <w:spacing w:line="360" w:lineRule="auto"/>
        <w:ind w:left="1080"/>
      </w:pPr>
    </w:p>
    <w:p w:rsidR="00733926" w:rsidRDefault="008F5914" w:rsidP="008F5914">
      <w:pPr>
        <w:pStyle w:val="ListParagraph"/>
        <w:numPr>
          <w:ilvl w:val="1"/>
          <w:numId w:val="371"/>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733926" w:rsidRDefault="00733926" w:rsidP="00733926">
      <w:pPr>
        <w:pStyle w:val="ListParagraph"/>
        <w:spacing w:line="360" w:lineRule="auto"/>
        <w:ind w:left="1080"/>
      </w:pPr>
    </w:p>
    <w:p w:rsidR="00733926" w:rsidRDefault="00CF6E03"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733926" w:rsidRDefault="00733926" w:rsidP="00733926">
      <w:pPr>
        <w:pStyle w:val="ListParagraph"/>
        <w:spacing w:line="360" w:lineRule="auto"/>
        <w:ind w:left="1080"/>
      </w:pPr>
    </w:p>
    <w:p w:rsidR="008F5914" w:rsidRPr="00733926" w:rsidRDefault="001F7F61"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733926" w:rsidRDefault="00733926" w:rsidP="00733926">
      <w:pPr>
        <w:pStyle w:val="ListParagraph"/>
        <w:spacing w:line="360" w:lineRule="auto"/>
        <w:ind w:left="1080"/>
      </w:pPr>
    </w:p>
    <w:p w:rsidR="00733926" w:rsidRDefault="001F7F61" w:rsidP="008F5914">
      <w:pPr>
        <w:pStyle w:val="ListParagraph"/>
        <w:numPr>
          <w:ilvl w:val="1"/>
          <w:numId w:val="371"/>
        </w:numPr>
        <w:spacing w:line="360" w:lineRule="auto"/>
      </w:pPr>
      <w:r>
        <w:t>Linearization of the Conditional Funding Basis =&gt;</w:t>
      </w:r>
      <w:r w:rsidR="00733926">
        <w:t xml:space="preserve">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rsidR="00733926">
        <w:t xml:space="preserve"> by a function that is linear in </w:t>
      </w:r>
      <m:oMath>
        <m:r>
          <w:rPr>
            <w:rFonts w:ascii="Cambria Math" w:hAnsi="Cambria Math"/>
          </w:rPr>
          <m:t>x</m:t>
        </m:r>
      </m:oMath>
      <w:r w:rsidR="00733926">
        <w: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733926" w:rsidRDefault="00733926" w:rsidP="00733926">
      <w:pPr>
        <w:pStyle w:val="ListParagraph"/>
        <w:spacing w:line="360" w:lineRule="auto"/>
        <w:ind w:left="1080"/>
      </w:pPr>
    </w:p>
    <w:p w:rsidR="00733926" w:rsidRDefault="00CF6E03"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733926" w:rsidRDefault="00CF6E03" w:rsidP="00733926">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as</w:t>
      </w:r>
    </w:p>
    <w:p w:rsidR="00733926" w:rsidRDefault="00733926" w:rsidP="00733926">
      <w:pPr>
        <w:pStyle w:val="ListParagraph"/>
        <w:spacing w:line="360" w:lineRule="auto"/>
        <w:ind w:left="1080"/>
      </w:pPr>
    </w:p>
    <w:p w:rsidR="00733926" w:rsidRPr="00733926" w:rsidRDefault="00CF6E03"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1F7F61" w:rsidRPr="007D6003" w:rsidRDefault="00CF6E03"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D6003" w:rsidRDefault="007D6003" w:rsidP="00733926">
      <w:pPr>
        <w:pStyle w:val="ListParagraph"/>
        <w:spacing w:line="360" w:lineRule="auto"/>
        <w:ind w:left="1080"/>
      </w:pPr>
    </w:p>
    <w:p w:rsidR="007C5244" w:rsidRDefault="007D6003" w:rsidP="007D6003">
      <w:pPr>
        <w:pStyle w:val="ListParagraph"/>
        <w:numPr>
          <w:ilvl w:val="1"/>
          <w:numId w:val="371"/>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7C5244" w:rsidRDefault="007C5244" w:rsidP="007C5244">
      <w:pPr>
        <w:pStyle w:val="ListParagraph"/>
        <w:spacing w:line="360" w:lineRule="auto"/>
        <w:ind w:left="1080"/>
      </w:pPr>
    </w:p>
    <w:p w:rsidR="007D6003" w:rsidRPr="007C5244" w:rsidRDefault="00CF6E03" w:rsidP="007C5244">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C5244" w:rsidRDefault="007C5244" w:rsidP="007C5244">
      <w:pPr>
        <w:pStyle w:val="ListParagraph"/>
        <w:spacing w:line="360" w:lineRule="auto"/>
        <w:ind w:left="1080"/>
      </w:pPr>
    </w:p>
    <w:p w:rsidR="00DA5C2B" w:rsidRDefault="007D6003" w:rsidP="007D6003">
      <w:pPr>
        <w:pStyle w:val="ListParagraph"/>
        <w:numPr>
          <w:ilvl w:val="1"/>
          <w:numId w:val="371"/>
        </w:numPr>
        <w:spacing w:line="360" w:lineRule="auto"/>
      </w:pPr>
      <w:r>
        <w:t>Collateral vs. Funding Measure Relation =&gt; Differentiating</w:t>
      </w:r>
    </w:p>
    <w:p w:rsidR="00DA5C2B" w:rsidRDefault="00DA5C2B" w:rsidP="00DA5C2B">
      <w:pPr>
        <w:pStyle w:val="ListParagraph"/>
        <w:spacing w:line="360" w:lineRule="auto"/>
        <w:ind w:left="1080"/>
      </w:pPr>
    </w:p>
    <w:p w:rsidR="00DA5C2B" w:rsidRDefault="00CF6E03" w:rsidP="00DA5C2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DA5C2B" w:rsidRDefault="00DA5C2B" w:rsidP="00DA5C2B">
      <w:pPr>
        <w:pStyle w:val="ListParagraph"/>
        <w:spacing w:line="360" w:lineRule="auto"/>
        <w:ind w:left="1080"/>
      </w:pPr>
    </w:p>
    <w:p w:rsidR="00DA5C2B" w:rsidRDefault="00CF6E03" w:rsidP="00DA5C2B">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DA5C2B" w:rsidRDefault="00DA5C2B" w:rsidP="00DA5C2B">
      <w:pPr>
        <w:pStyle w:val="ListParagraph"/>
        <w:spacing w:line="360" w:lineRule="auto"/>
        <w:ind w:left="1080"/>
      </w:pPr>
    </w:p>
    <w:p w:rsidR="007D6003" w:rsidRDefault="00FE5F52" w:rsidP="00DA5C2B">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DA5C2B" w:rsidRDefault="00FE5F52" w:rsidP="00FE5F52">
      <w:pPr>
        <w:pStyle w:val="ListParagraph"/>
        <w:numPr>
          <w:ilvl w:val="0"/>
          <w:numId w:val="371"/>
        </w:numPr>
        <w:spacing w:line="360" w:lineRule="auto"/>
      </w:pPr>
      <w:r>
        <w:rPr>
          <w:u w:val="single"/>
        </w:rPr>
        <w:t>Stochastic Funding Model</w:t>
      </w:r>
      <w:r>
        <w:t xml:space="preserve">: This section considers a simple stochastic funding model </w:t>
      </w:r>
      <w:r w:rsidR="007C5244">
        <w:t>to estimate the impact of collateral rules on forwards and options. Consider an asset that follows a log-normal process</w:t>
      </w:r>
    </w:p>
    <w:p w:rsidR="00DA5C2B" w:rsidRDefault="00DA5C2B" w:rsidP="00DA5C2B">
      <w:pPr>
        <w:pStyle w:val="ListParagraph"/>
        <w:spacing w:line="360" w:lineRule="auto"/>
        <w:ind w:left="360"/>
        <w:rPr>
          <w:u w:val="single"/>
        </w:rPr>
      </w:pPr>
    </w:p>
    <w:p w:rsidR="00DA5C2B" w:rsidRDefault="00CF6E03" w:rsidP="00DA5C2B">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and a funding spread that follows a simple one-factor Gaussian model of interest rates</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with</w:t>
      </w:r>
    </w:p>
    <w:p w:rsidR="00DA5C2B" w:rsidRDefault="00DA5C2B" w:rsidP="00DA5C2B">
      <w:pPr>
        <w:pStyle w:val="ListParagraph"/>
        <w:spacing w:line="360" w:lineRule="auto"/>
        <w:ind w:left="360"/>
      </w:pPr>
    </w:p>
    <w:p w:rsidR="00DA5C2B" w:rsidRDefault="00CF6E03" w:rsidP="00DA5C2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DA5C2B" w:rsidRDefault="00DA5C2B" w:rsidP="00DA5C2B">
      <w:pPr>
        <w:pStyle w:val="ListParagraph"/>
        <w:spacing w:line="360" w:lineRule="auto"/>
        <w:ind w:left="360"/>
      </w:pPr>
    </w:p>
    <w:p w:rsidR="00FE5F52" w:rsidRDefault="007C5244" w:rsidP="00DA5C2B">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D16907" w:rsidRDefault="00270985" w:rsidP="00270985">
      <w:pPr>
        <w:pStyle w:val="ListParagraph"/>
        <w:numPr>
          <w:ilvl w:val="1"/>
          <w:numId w:val="371"/>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D16907" w:rsidRDefault="00D16907" w:rsidP="00D16907">
      <w:pPr>
        <w:pStyle w:val="ListParagraph"/>
        <w:spacing w:line="360" w:lineRule="auto"/>
        <w:ind w:left="1080"/>
      </w:pPr>
    </w:p>
    <w:p w:rsidR="00D16907" w:rsidRDefault="00CF6E03" w:rsidP="00D16907">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Then</w:t>
      </w:r>
    </w:p>
    <w:p w:rsidR="00D16907" w:rsidRDefault="00D16907" w:rsidP="00D16907">
      <w:pPr>
        <w:pStyle w:val="ListParagraph"/>
        <w:spacing w:line="360" w:lineRule="auto"/>
        <w:ind w:left="1080"/>
      </w:pPr>
    </w:p>
    <w:p w:rsidR="00D16907" w:rsidRDefault="00CF6E03" w:rsidP="00D16907">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and</w:t>
      </w:r>
    </w:p>
    <w:p w:rsidR="00D16907" w:rsidRDefault="00D16907" w:rsidP="00D16907">
      <w:pPr>
        <w:pStyle w:val="ListParagraph"/>
        <w:spacing w:line="360" w:lineRule="auto"/>
        <w:ind w:left="1080"/>
      </w:pPr>
    </w:p>
    <w:p w:rsidR="00D16907" w:rsidRDefault="00CF6E03"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70985" w:rsidRDefault="00270985" w:rsidP="00D16907">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D16907" w:rsidRDefault="00270985" w:rsidP="00270985">
      <w:pPr>
        <w:pStyle w:val="ListParagraph"/>
        <w:numPr>
          <w:ilvl w:val="1"/>
          <w:numId w:val="371"/>
        </w:numPr>
        <w:spacing w:line="360" w:lineRule="auto"/>
      </w:pPr>
      <w:r>
        <w:t>Evolution of the Credit-Risky Numeraire =&gt; On the other hand</w:t>
      </w:r>
    </w:p>
    <w:p w:rsidR="00D16907" w:rsidRDefault="00D16907" w:rsidP="00D16907">
      <w:pPr>
        <w:pStyle w:val="ListParagraph"/>
        <w:spacing w:line="360" w:lineRule="auto"/>
        <w:ind w:left="1080"/>
      </w:pPr>
    </w:p>
    <w:p w:rsidR="00D16907" w:rsidRPr="00D16907" w:rsidRDefault="00CF6E03"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where</w:t>
      </w:r>
    </w:p>
    <w:p w:rsidR="00D16907" w:rsidRDefault="00D16907" w:rsidP="00D16907">
      <w:pPr>
        <w:pStyle w:val="ListParagraph"/>
        <w:spacing w:line="360" w:lineRule="auto"/>
        <w:ind w:left="1080"/>
      </w:pPr>
    </w:p>
    <w:p w:rsidR="00270985" w:rsidRPr="00D16907" w:rsidRDefault="00270985" w:rsidP="00D16907">
      <w:pPr>
        <w:pStyle w:val="ListParagraph"/>
        <w:spacing w:line="360" w:lineRule="auto"/>
        <w:ind w:left="1080"/>
      </w:pPr>
      <m:oMathPara>
        <m:oMath>
          <m:r>
            <w:rPr>
              <w:rFonts w:ascii="Cambria Math" w:hAnsi="Cambria Math"/>
            </w:rPr>
            <w:lastRenderedPageBreak/>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D16907" w:rsidRDefault="00D16907" w:rsidP="00D16907">
      <w:pPr>
        <w:pStyle w:val="ListParagraph"/>
        <w:spacing w:line="360" w:lineRule="auto"/>
        <w:ind w:left="1080"/>
      </w:pPr>
    </w:p>
    <w:p w:rsidR="00D16907" w:rsidRDefault="00D16907" w:rsidP="00270985">
      <w:pPr>
        <w:pStyle w:val="ListParagraph"/>
        <w:numPr>
          <w:ilvl w:val="1"/>
          <w:numId w:val="371"/>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D16907" w:rsidRDefault="00D16907" w:rsidP="00D16907">
      <w:pPr>
        <w:pStyle w:val="ListParagraph"/>
        <w:spacing w:line="360" w:lineRule="auto"/>
        <w:ind w:left="1080"/>
      </w:pPr>
    </w:p>
    <w:p w:rsidR="00D16907" w:rsidRDefault="00D16907" w:rsidP="00D16907">
      <w:pPr>
        <w:pStyle w:val="ListParagraph"/>
        <w:spacing w:line="360" w:lineRule="auto"/>
        <w:ind w:left="1080"/>
      </w:pPr>
      <w:r>
        <w:t>that</w:t>
      </w:r>
    </w:p>
    <w:p w:rsidR="00D16907" w:rsidRDefault="00D16907" w:rsidP="00D16907">
      <w:pPr>
        <w:pStyle w:val="ListParagraph"/>
        <w:spacing w:line="360" w:lineRule="auto"/>
        <w:ind w:left="1080"/>
      </w:pPr>
    </w:p>
    <w:p w:rsidR="00D16907" w:rsidRPr="00D16907" w:rsidRDefault="00CF6E03" w:rsidP="00D16907">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B1DC5" w:rsidRDefault="0068735A" w:rsidP="00270985">
      <w:pPr>
        <w:pStyle w:val="ListParagraph"/>
        <w:numPr>
          <w:ilvl w:val="1"/>
          <w:numId w:val="371"/>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2B1DC5" w:rsidRDefault="002B1DC5" w:rsidP="002B1DC5">
      <w:pPr>
        <w:pStyle w:val="ListParagraph"/>
        <w:spacing w:line="360" w:lineRule="auto"/>
        <w:ind w:left="1080"/>
      </w:pPr>
    </w:p>
    <w:p w:rsidR="002B1DC5" w:rsidRDefault="00CF6E03" w:rsidP="002B1DC5">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w:r>
        <w:t>Using the fact that</w:t>
      </w:r>
    </w:p>
    <w:p w:rsidR="002B1DC5" w:rsidRDefault="002B1DC5" w:rsidP="002B1DC5">
      <w:pPr>
        <w:pStyle w:val="ListParagraph"/>
        <w:spacing w:line="360" w:lineRule="auto"/>
        <w:ind w:left="1080"/>
      </w:pPr>
    </w:p>
    <w:p w:rsidR="002B1DC5" w:rsidRDefault="00CF6E03"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one gets</w:t>
      </w:r>
    </w:p>
    <w:p w:rsidR="002B1DC5" w:rsidRDefault="002B1DC5" w:rsidP="002B1DC5">
      <w:pPr>
        <w:pStyle w:val="ListParagraph"/>
        <w:spacing w:line="360" w:lineRule="auto"/>
        <w:ind w:left="1080"/>
      </w:pPr>
    </w:p>
    <w:p w:rsidR="002B1DC5" w:rsidRDefault="00CF6E03"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and in the case</w:t>
      </w:r>
    </w:p>
    <w:p w:rsidR="002B1DC5" w:rsidRDefault="002B1DC5" w:rsidP="002B1DC5">
      <w:pPr>
        <w:pStyle w:val="ListParagraph"/>
        <w:spacing w:line="360" w:lineRule="auto"/>
        <w:ind w:left="1080"/>
      </w:pPr>
    </w:p>
    <w:p w:rsidR="002B1DC5" w:rsidRPr="002B1DC5" w:rsidRDefault="00CF6E03" w:rsidP="002B1DC5">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2B1DC5" w:rsidRDefault="002B1DC5" w:rsidP="002B1DC5">
      <w:pPr>
        <w:pStyle w:val="ListParagraph"/>
        <w:spacing w:line="360" w:lineRule="auto"/>
        <w:ind w:left="1080"/>
      </w:pPr>
    </w:p>
    <w:p w:rsidR="00D16907" w:rsidRPr="002B1DC5" w:rsidRDefault="00CF6E03"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2B1DC5" w:rsidRDefault="002B1DC5" w:rsidP="002B1DC5">
      <w:pPr>
        <w:pStyle w:val="ListParagraph"/>
        <w:spacing w:line="360" w:lineRule="auto"/>
        <w:ind w:left="1080"/>
      </w:pPr>
    </w:p>
    <w:p w:rsidR="00720C84" w:rsidRDefault="00720C84" w:rsidP="00270985">
      <w:pPr>
        <w:pStyle w:val="ListParagraph"/>
        <w:numPr>
          <w:ilvl w:val="1"/>
          <w:numId w:val="371"/>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w:t>
      </w:r>
      <w:r w:rsidR="002B1DC5">
        <w:t xml:space="preserve"> A similar formula was obtained by Barden (2009) using a model in which the funding spread was functionally linked to the value of the asset.</w:t>
      </w:r>
    </w:p>
    <w:p w:rsidR="005D4C85" w:rsidRDefault="005D4C85" w:rsidP="005D4C85">
      <w:pPr>
        <w:pStyle w:val="Footer"/>
        <w:tabs>
          <w:tab w:val="clear" w:pos="4320"/>
          <w:tab w:val="clear" w:pos="8640"/>
        </w:tabs>
        <w:spacing w:line="360" w:lineRule="auto"/>
      </w:pPr>
    </w:p>
    <w:p w:rsidR="00BE45B9" w:rsidRDefault="00BE45B9"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6F5971">
      <w:pPr>
        <w:numPr>
          <w:ilvl w:val="0"/>
          <w:numId w:val="118"/>
        </w:numPr>
        <w:spacing w:line="360" w:lineRule="auto"/>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CF6E03"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CF6E03"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CF6E03"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CF6E03"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lastRenderedPageBreak/>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CF6E03"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CF6E03"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CF6E03"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CF6E03"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lastRenderedPageBreak/>
        <w:t>in the domestic currency, and is collateralized using the domestic collateral. Thus</w:t>
      </w:r>
    </w:p>
    <w:p w:rsidR="00E3750D" w:rsidRDefault="00E3750D" w:rsidP="00E3750D">
      <w:pPr>
        <w:spacing w:line="360" w:lineRule="auto"/>
        <w:ind w:left="360"/>
      </w:pPr>
    </w:p>
    <w:p w:rsidR="00E3750D" w:rsidRPr="00B54D1B" w:rsidRDefault="00CF6E03"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5" type="#_x0000_t75" style="width:14.25pt;height:14.25pt" o:ole="">
            <v:imagedata r:id="rId108" o:title=""/>
          </v:shape>
          <o:OLEObject Type="Embed" ProgID="Equation.3" ShapeID="_x0000_i1035" DrawAspect="Content" ObjectID="_1515411425" r:id="rId109"/>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CF6E03"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6" type="#_x0000_t75" style="width:14.25pt;height:14.25pt" o:ole="">
            <v:imagedata r:id="rId108" o:title=""/>
          </v:shape>
          <o:OLEObject Type="Embed" ProgID="Equation.3" ShapeID="_x0000_i1036" DrawAspect="Content" ObjectID="_1515411426" r:id="rId110"/>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CF6E03"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CF6E03"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lastRenderedPageBreak/>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CF6E03"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CF6E03"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CF6E03"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lastRenderedPageBreak/>
        <w:t>T</w:t>
      </w:r>
      <w:r w:rsidR="005D4C85">
        <w:t>his entity has a drift</w:t>
      </w:r>
    </w:p>
    <w:p w:rsidR="00E84BD7" w:rsidRDefault="00E84BD7" w:rsidP="00E84BD7">
      <w:pPr>
        <w:spacing w:line="360" w:lineRule="auto"/>
        <w:ind w:left="360"/>
      </w:pPr>
    </w:p>
    <w:p w:rsidR="00E84BD7" w:rsidRPr="00B314D2" w:rsidRDefault="00CF6E03"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CF6E03"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CF6E03"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CF6E03"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CF6E03"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CF6E03"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CF6E03"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CF6E03"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CF6E03"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1"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7D6003" w:rsidRDefault="007D6003" w:rsidP="00E35FCB">
      <w:pPr>
        <w:pStyle w:val="Footer"/>
        <w:numPr>
          <w:ilvl w:val="0"/>
          <w:numId w:val="7"/>
        </w:numPr>
        <w:tabs>
          <w:tab w:val="clear" w:pos="4320"/>
          <w:tab w:val="clear" w:pos="8640"/>
        </w:tabs>
        <w:spacing w:line="360" w:lineRule="auto"/>
      </w:pPr>
      <w:r>
        <w:t xml:space="preserve">Antonov, A., and M. Arneguy (2009): </w:t>
      </w:r>
      <w:hyperlink r:id="rId112" w:history="1">
        <w:r w:rsidRPr="007D6003">
          <w:rPr>
            <w:rStyle w:val="Hyperlink"/>
          </w:rPr>
          <w:t>Analytical Formulas for Pricing CMS Products in the LIBOR Market Model with the Stochastic Volatility</w:t>
        </w:r>
      </w:hyperlink>
      <w:r>
        <w:t xml:space="preserve"> </w:t>
      </w:r>
      <w:r>
        <w:rPr>
          <w:b/>
        </w:rPr>
        <w:t>eSSRN</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3"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lastRenderedPageBreak/>
        <w:t>Burgard, C., and M. Kjaer</w:t>
      </w:r>
      <w:r>
        <w:rPr>
          <w:szCs w:val="36"/>
        </w:rPr>
        <w:t xml:space="preserve"> (2011b): </w:t>
      </w:r>
      <w:hyperlink r:id="rId114"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5"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6"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7"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8"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19"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0"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21"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2"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3"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4"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5"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lastRenderedPageBreak/>
        <w:t xml:space="preserve">ISDA (2011): </w:t>
      </w:r>
      <w:hyperlink r:id="rId126" w:history="1">
        <w:r>
          <w:rPr>
            <w:rStyle w:val="Hyperlink"/>
            <w:i/>
            <w:iCs/>
          </w:rPr>
          <w:t>The Standard CSA: A Proposal for Standard Bilateral Collateralization of OTC Derivatives</w:t>
        </w:r>
      </w:hyperlink>
      <w:r>
        <w:t>.</w:t>
      </w:r>
    </w:p>
    <w:p w:rsidR="006F5971" w:rsidRDefault="006F5971" w:rsidP="00E35FCB">
      <w:pPr>
        <w:pStyle w:val="Footer"/>
        <w:numPr>
          <w:ilvl w:val="0"/>
          <w:numId w:val="7"/>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7"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8"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29"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BE4462" w:rsidRDefault="00BE4462">
      <w:pPr>
        <w:spacing w:after="160" w:line="259" w:lineRule="auto"/>
        <w:rPr>
          <w:sz w:val="32"/>
        </w:rPr>
      </w:pPr>
      <w:r>
        <w:rPr>
          <w:sz w:val="32"/>
        </w:rPr>
        <w:br w:type="page"/>
      </w:r>
    </w:p>
    <w:p w:rsidR="001459CD" w:rsidRDefault="001459CD" w:rsidP="001459CD">
      <w:pPr>
        <w:spacing w:line="360" w:lineRule="auto"/>
        <w:jc w:val="center"/>
        <w:rPr>
          <w:b/>
          <w:sz w:val="32"/>
          <w:szCs w:val="32"/>
        </w:rPr>
      </w:pPr>
    </w:p>
    <w:p w:rsidR="001459CD" w:rsidRDefault="001459CD" w:rsidP="001459CD">
      <w:pPr>
        <w:spacing w:line="360" w:lineRule="auto"/>
        <w:jc w:val="center"/>
        <w:rPr>
          <w:b/>
          <w:sz w:val="32"/>
          <w:szCs w:val="32"/>
        </w:rPr>
      </w:pPr>
      <w:r>
        <w:rPr>
          <w:b/>
          <w:sz w:val="32"/>
          <w:szCs w:val="32"/>
        </w:rPr>
        <w:t>CVA And Funding Adjustments PDE</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Risk and Funding Costs</w:t>
      </w:r>
    </w:p>
    <w:p w:rsidR="001459CD" w:rsidRDefault="001459CD" w:rsidP="001459CD">
      <w:pPr>
        <w:spacing w:line="360" w:lineRule="auto"/>
      </w:pPr>
    </w:p>
    <w:p w:rsidR="001459CD" w:rsidRDefault="001459CD" w:rsidP="001459CD">
      <w:pPr>
        <w:pStyle w:val="ListParagraph"/>
        <w:numPr>
          <w:ilvl w:val="0"/>
          <w:numId w:val="372"/>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1459CD" w:rsidRDefault="001459CD" w:rsidP="001459CD">
      <w:pPr>
        <w:pStyle w:val="ListParagraph"/>
        <w:numPr>
          <w:ilvl w:val="0"/>
          <w:numId w:val="372"/>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1459CD" w:rsidRDefault="001459CD" w:rsidP="001459CD">
      <w:pPr>
        <w:pStyle w:val="ListParagraph"/>
        <w:numPr>
          <w:ilvl w:val="0"/>
          <w:numId w:val="372"/>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1459CD" w:rsidRDefault="001459CD" w:rsidP="001459CD">
      <w:pPr>
        <w:pStyle w:val="ListParagraph"/>
        <w:numPr>
          <w:ilvl w:val="0"/>
          <w:numId w:val="372"/>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Motivation, Literature Scan, and Approach</w:t>
      </w:r>
    </w:p>
    <w:p w:rsidR="001459CD" w:rsidRDefault="001459CD" w:rsidP="001459CD">
      <w:pPr>
        <w:spacing w:line="360" w:lineRule="auto"/>
      </w:pPr>
    </w:p>
    <w:p w:rsidR="001459CD" w:rsidRDefault="001459CD" w:rsidP="001459CD">
      <w:pPr>
        <w:pStyle w:val="ListParagraph"/>
        <w:numPr>
          <w:ilvl w:val="0"/>
          <w:numId w:val="374"/>
        </w:numPr>
        <w:spacing w:after="160" w:line="360" w:lineRule="auto"/>
      </w:pPr>
      <w:r w:rsidRPr="00847E12">
        <w:rPr>
          <w:u w:val="single"/>
        </w:rPr>
        <w:t>Counterparty Credit Risk Definition</w:t>
      </w:r>
      <w:r w:rsidRPr="00847E12">
        <w:t xml:space="preserve">: Counterparty credit risk implicitly embedded in derivative contracts has become increasingly relevant in recent market conditions. This risk </w:t>
      </w:r>
      <w:r w:rsidRPr="00847E12">
        <w:lastRenderedPageBreak/>
        <w:t>represents the possibility that the counterparty defaults while owing money under the terms of a derivative contract, or more precisely, if the mark-market value of the derivative is positive to the seller at the time of the default of a counterparty.</w:t>
      </w:r>
    </w:p>
    <w:p w:rsidR="001459CD" w:rsidRDefault="001459CD" w:rsidP="001459CD">
      <w:pPr>
        <w:pStyle w:val="ListParagraph"/>
        <w:numPr>
          <w:ilvl w:val="0"/>
          <w:numId w:val="374"/>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1459CD" w:rsidRDefault="001459CD" w:rsidP="001459CD">
      <w:pPr>
        <w:pStyle w:val="ListParagraph"/>
        <w:numPr>
          <w:ilvl w:val="0"/>
          <w:numId w:val="374"/>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1459CD" w:rsidRDefault="001459CD" w:rsidP="001459CD">
      <w:pPr>
        <w:pStyle w:val="ListParagraph"/>
        <w:numPr>
          <w:ilvl w:val="0"/>
          <w:numId w:val="374"/>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1459CD" w:rsidRDefault="001459CD" w:rsidP="001459CD">
      <w:pPr>
        <w:pStyle w:val="ListParagraph"/>
        <w:numPr>
          <w:ilvl w:val="0"/>
          <w:numId w:val="374"/>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1459CD" w:rsidRDefault="001459CD" w:rsidP="001459CD">
      <w:pPr>
        <w:pStyle w:val="ListParagraph"/>
        <w:numPr>
          <w:ilvl w:val="0"/>
          <w:numId w:val="374"/>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w:t>
      </w:r>
      <w:r>
        <w:lastRenderedPageBreak/>
        <w:t>value or that it is on the counterparty riskless value. The latter corresponds to the most common approach taken in the literature.</w:t>
      </w:r>
    </w:p>
    <w:p w:rsidR="001459CD" w:rsidRDefault="001459CD" w:rsidP="001459CD">
      <w:pPr>
        <w:pStyle w:val="ListParagraph"/>
        <w:numPr>
          <w:ilvl w:val="0"/>
          <w:numId w:val="374"/>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1459CD" w:rsidRDefault="001459CD" w:rsidP="001459CD">
      <w:pPr>
        <w:pStyle w:val="ListParagraph"/>
        <w:numPr>
          <w:ilvl w:val="0"/>
          <w:numId w:val="374"/>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1459CD" w:rsidRDefault="001459CD" w:rsidP="001459CD">
      <w:pPr>
        <w:pStyle w:val="ListParagraph"/>
        <w:numPr>
          <w:ilvl w:val="0"/>
          <w:numId w:val="374"/>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1459CD" w:rsidRDefault="001459CD" w:rsidP="001459CD">
      <w:pPr>
        <w:pStyle w:val="ListParagraph"/>
        <w:numPr>
          <w:ilvl w:val="0"/>
          <w:numId w:val="374"/>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1459CD" w:rsidRDefault="001459CD" w:rsidP="001459CD">
      <w:pPr>
        <w:pStyle w:val="ListParagraph"/>
        <w:numPr>
          <w:ilvl w:val="0"/>
          <w:numId w:val="374"/>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1459CD" w:rsidRDefault="001459CD" w:rsidP="001459CD">
      <w:pPr>
        <w:pStyle w:val="ListParagraph"/>
        <w:numPr>
          <w:ilvl w:val="0"/>
          <w:numId w:val="374"/>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w:t>
      </w:r>
      <w:r>
        <w:lastRenderedPageBreak/>
        <w:t>account of the hedging strategy. The hedging strategy (including the premium of the derivative) generates the cash needed to repurchase the sellers’ own bond.</w:t>
      </w:r>
    </w:p>
    <w:p w:rsidR="001459CD" w:rsidRPr="00847E12" w:rsidRDefault="001459CD" w:rsidP="001459CD">
      <w:pPr>
        <w:pStyle w:val="ListParagraph"/>
        <w:numPr>
          <w:ilvl w:val="0"/>
          <w:numId w:val="374"/>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Notation, Symbology, and Key PDEs</w:t>
      </w:r>
    </w:p>
    <w:p w:rsidR="001459CD" w:rsidRPr="0062507B" w:rsidRDefault="001459CD" w:rsidP="001459CD">
      <w:pPr>
        <w:spacing w:line="360" w:lineRule="auto"/>
      </w:pPr>
    </w:p>
    <w:p w:rsidR="001459CD" w:rsidRPr="0062507B" w:rsidRDefault="001459CD" w:rsidP="001459CD">
      <w:pPr>
        <w:pStyle w:val="ListParagraph"/>
        <w:numPr>
          <w:ilvl w:val="0"/>
          <w:numId w:val="375"/>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1459CD" w:rsidRPr="00F7337F" w:rsidRDefault="001459CD" w:rsidP="001459CD">
      <w:pPr>
        <w:pStyle w:val="ListParagraph"/>
        <w:numPr>
          <w:ilvl w:val="0"/>
          <w:numId w:val="375"/>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1459CD" w:rsidRPr="00F7337F" w:rsidRDefault="001459CD" w:rsidP="001459CD">
      <w:pPr>
        <w:pStyle w:val="ListParagraph"/>
        <w:numPr>
          <w:ilvl w:val="0"/>
          <w:numId w:val="375"/>
        </w:numPr>
        <w:spacing w:after="160" w:line="360" w:lineRule="auto"/>
        <w:rPr>
          <w:b/>
        </w:rPr>
      </w:pPr>
      <w:r>
        <w:rPr>
          <w:u w:val="single"/>
        </w:rPr>
        <w:t>Notations, Parameter Definitions, and Caveats</w:t>
      </w:r>
      <w:r>
        <w:t>:</w:t>
      </w:r>
    </w:p>
    <w:p w:rsidR="001459CD" w:rsidRPr="00F7337F" w:rsidRDefault="001459CD" w:rsidP="001459CD">
      <w:pPr>
        <w:pStyle w:val="ListParagraph"/>
        <w:numPr>
          <w:ilvl w:val="1"/>
          <w:numId w:val="375"/>
        </w:numPr>
        <w:spacing w:after="160" w:line="360" w:lineRule="auto"/>
        <w:rPr>
          <w:b/>
        </w:rPr>
      </w:pPr>
      <m:oMath>
        <m:r>
          <w:rPr>
            <w:rFonts w:ascii="Cambria Math" w:hAnsi="Cambria Math"/>
          </w:rPr>
          <m:t>r</m:t>
        </m:r>
      </m:oMath>
      <w:r>
        <w:rPr>
          <w:rFonts w:eastAsiaTheme="minorEastAsia"/>
        </w:rPr>
        <w:t xml:space="preserve"> =&gt; Risk-free rate</w:t>
      </w:r>
    </w:p>
    <w:p w:rsidR="001459CD" w:rsidRPr="00F7337F" w:rsidRDefault="00CF6E03"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sidRPr="00F7337F">
        <w:rPr>
          <w:rFonts w:eastAsiaTheme="minorEastAsia"/>
        </w:rPr>
        <w:t xml:space="preserve"> =&gt; Yield on a Recovery-less Bond of Seller </w:t>
      </w:r>
      <m:oMath>
        <m:r>
          <w:rPr>
            <w:rFonts w:ascii="Cambria Math" w:hAnsi="Cambria Math"/>
          </w:rPr>
          <m:t>B</m:t>
        </m:r>
      </m:oMath>
    </w:p>
    <w:p w:rsidR="001459CD" w:rsidRPr="00F7337F" w:rsidRDefault="00CF6E03"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Yield on a Recovery-less Bond of Counterparty </w:t>
      </w:r>
      <m:oMath>
        <m:r>
          <w:rPr>
            <w:rFonts w:ascii="Cambria Math" w:hAnsi="Cambria Math"/>
          </w:rPr>
          <m:t>C</m:t>
        </m:r>
      </m:oMath>
    </w:p>
    <w:p w:rsidR="001459CD" w:rsidRPr="00F96D23" w:rsidRDefault="00CF6E03"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CF6E03"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CF6E03"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1459CD">
        <w:rPr>
          <w:rFonts w:eastAsiaTheme="minorEastAsia"/>
        </w:rPr>
        <w:t xml:space="preserve"> =&gt; Seller funding rate for the borrowed cash on the seller’s derivative replication cash account.</w:t>
      </w:r>
    </w:p>
    <w:p w:rsidR="001459CD" w:rsidRPr="00F96D23"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if the derivative can be used as a collateral.</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spacing w:line="360" w:lineRule="auto"/>
        <w:ind w:left="1080"/>
        <w:rPr>
          <w:rFonts w:eastAsiaTheme="minorEastAsia"/>
        </w:rPr>
      </w:pPr>
    </w:p>
    <w:p w:rsidR="001459CD" w:rsidRPr="00F96D23" w:rsidRDefault="001459CD" w:rsidP="001459CD">
      <w:pPr>
        <w:pStyle w:val="ListParagraph"/>
        <w:spacing w:line="360" w:lineRule="auto"/>
        <w:ind w:left="1080"/>
        <w:rPr>
          <w:rFonts w:eastAsiaTheme="minorEastAsia"/>
          <w:b/>
        </w:rPr>
      </w:pPr>
      <w:r>
        <w:rPr>
          <w:rFonts w:eastAsiaTheme="minorEastAsia"/>
        </w:rPr>
        <w:t>if the derivative cannot be used as a collateral.</w:t>
      </w:r>
    </w:p>
    <w:p w:rsidR="001459CD" w:rsidRPr="00F96D23" w:rsidRDefault="00CF6E03"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7337F" w:rsidRDefault="00CF6E03"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Pr>
          <w:rFonts w:eastAsiaTheme="minorEastAsia"/>
        </w:rPr>
        <w:t xml:space="preserve"> =&gt; Recovery on the derivative MTM value in case the seller </w:t>
      </w:r>
      <m:oMath>
        <m:r>
          <w:rPr>
            <w:rFonts w:ascii="Cambria Math" w:hAnsi="Cambria Math"/>
          </w:rPr>
          <m:t>B</m:t>
        </m:r>
      </m:oMath>
      <w:r w:rsidR="001459CD">
        <w:rPr>
          <w:rFonts w:eastAsiaTheme="minorEastAsia"/>
        </w:rPr>
        <w:t xml:space="preserve"> defaults</w:t>
      </w:r>
    </w:p>
    <w:p w:rsidR="001459CD" w:rsidRPr="00F7337F" w:rsidRDefault="00CF6E03"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Recovery on the derivative MTM value in case the counterparty </w:t>
      </w:r>
      <m:oMath>
        <m:r>
          <w:rPr>
            <w:rFonts w:ascii="Cambria Math" w:hAnsi="Cambria Math"/>
          </w:rPr>
          <m:t>C</m:t>
        </m:r>
      </m:oMath>
      <w:r w:rsidR="001459CD">
        <w:rPr>
          <w:rFonts w:eastAsiaTheme="minorEastAsia"/>
        </w:rPr>
        <w:t xml:space="preserve"> defaults</w:t>
      </w: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CF6E03"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F7337F"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CF6E03"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2A799D"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F96D23" w:rsidRDefault="001459CD" w:rsidP="001459CD">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1459CD" w:rsidRPr="00F7337F" w:rsidRDefault="001459CD" w:rsidP="001459CD">
      <w:pPr>
        <w:pStyle w:val="ListParagraph"/>
        <w:numPr>
          <w:ilvl w:val="0"/>
          <w:numId w:val="375"/>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Model Setup and the Derivation of the Bilateral Risky PDE</w:t>
      </w:r>
    </w:p>
    <w:p w:rsidR="001459CD" w:rsidRDefault="001459CD" w:rsidP="001459CD">
      <w:pPr>
        <w:spacing w:line="360" w:lineRule="auto"/>
      </w:pPr>
    </w:p>
    <w:p w:rsidR="001459CD" w:rsidRDefault="001459CD" w:rsidP="001459CD">
      <w:pPr>
        <w:pStyle w:val="ListParagraph"/>
        <w:numPr>
          <w:ilvl w:val="0"/>
          <w:numId w:val="376"/>
        </w:numPr>
        <w:spacing w:after="160" w:line="360" w:lineRule="auto"/>
      </w:pPr>
      <w:r w:rsidRPr="00C271C1">
        <w:rPr>
          <w:u w:val="single"/>
        </w:rPr>
        <w:t>Underlying Traded Assets and Securities</w:t>
      </w:r>
      <w:r w:rsidRPr="00C271C1">
        <w:t>: Consider an economy with the following four traded assets:</w:t>
      </w:r>
    </w:p>
    <w:p w:rsidR="001459CD" w:rsidRPr="00C271C1" w:rsidRDefault="00CF6E03"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459CD">
        <w:rPr>
          <w:rFonts w:eastAsiaTheme="minorEastAsia"/>
        </w:rPr>
        <w:t xml:space="preserve"> =&gt; Default-risk free zero-coupon bond</w:t>
      </w:r>
    </w:p>
    <w:p w:rsidR="001459CD" w:rsidRPr="004A5650" w:rsidRDefault="00CF6E03"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1459CD">
        <w:rPr>
          <w:rFonts w:eastAsiaTheme="minorEastAsia"/>
        </w:rPr>
        <w:t xml:space="preserve"> =&gt; Default-risky, zero-recovery, zero-coupon bond of party </w:t>
      </w:r>
      <m:oMath>
        <m:r>
          <w:rPr>
            <w:rFonts w:ascii="Cambria Math" w:hAnsi="Cambria Math"/>
          </w:rPr>
          <m:t>B</m:t>
        </m:r>
      </m:oMath>
    </w:p>
    <w:p w:rsidR="001459CD" w:rsidRPr="004A5650" w:rsidRDefault="00CF6E03"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459CD">
        <w:rPr>
          <w:rFonts w:eastAsiaTheme="minorEastAsia"/>
        </w:rPr>
        <w:t xml:space="preserve"> =&gt; Default-risky, zero-recovery, zero-coupon bond of counterparty </w:t>
      </w:r>
      <m:oMath>
        <m:r>
          <w:rPr>
            <w:rFonts w:ascii="Cambria Math" w:hAnsi="Cambria Math"/>
          </w:rPr>
          <m:t>C</m:t>
        </m:r>
      </m:oMath>
    </w:p>
    <w:p w:rsidR="001459CD" w:rsidRPr="004A5650" w:rsidRDefault="001459CD" w:rsidP="001459CD">
      <w:pPr>
        <w:pStyle w:val="ListParagraph"/>
        <w:numPr>
          <w:ilvl w:val="1"/>
          <w:numId w:val="376"/>
        </w:numPr>
        <w:spacing w:after="160" w:line="360" w:lineRule="auto"/>
      </w:pPr>
      <m:oMath>
        <m:r>
          <w:rPr>
            <w:rFonts w:ascii="Cambria Math" w:hAnsi="Cambria Math"/>
          </w:rPr>
          <m:t>S</m:t>
        </m:r>
      </m:oMath>
      <w:r>
        <w:rPr>
          <w:rFonts w:eastAsiaTheme="minorEastAsia"/>
        </w:rPr>
        <w:t xml:space="preserve"> =&gt; The Spot Asset with no Default Risk</w:t>
      </w:r>
    </w:p>
    <w:p w:rsidR="001459CD" w:rsidRPr="004A5650" w:rsidRDefault="001459CD" w:rsidP="001459CD">
      <w:pPr>
        <w:pStyle w:val="ListParagraph"/>
        <w:numPr>
          <w:ilvl w:val="0"/>
          <w:numId w:val="376"/>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1459CD" w:rsidRPr="00841C47" w:rsidRDefault="001459CD" w:rsidP="001459CD">
      <w:pPr>
        <w:pStyle w:val="ListParagraph"/>
        <w:numPr>
          <w:ilvl w:val="0"/>
          <w:numId w:val="376"/>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1459CD" w:rsidRPr="007B0154" w:rsidRDefault="001459CD" w:rsidP="001459CD">
      <w:pPr>
        <w:pStyle w:val="ListParagraph"/>
        <w:numPr>
          <w:ilvl w:val="0"/>
          <w:numId w:val="376"/>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1459CD" w:rsidRPr="00841C47" w:rsidRDefault="001459CD" w:rsidP="001459CD">
      <w:pPr>
        <w:pStyle w:val="ListParagraph"/>
        <w:numPr>
          <w:ilvl w:val="0"/>
          <w:numId w:val="376"/>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means that the seller receives cash or asset from the counterparty.</w:t>
      </w:r>
    </w:p>
    <w:p w:rsidR="001459CD" w:rsidRPr="00801902" w:rsidRDefault="001459CD" w:rsidP="001459CD">
      <w:pPr>
        <w:pStyle w:val="ListParagraph"/>
        <w:numPr>
          <w:ilvl w:val="0"/>
          <w:numId w:val="376"/>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1459CD" w:rsidRPr="00801902" w:rsidRDefault="001459CD" w:rsidP="001459CD">
      <w:pPr>
        <w:pStyle w:val="ListParagraph"/>
        <w:numPr>
          <w:ilvl w:val="0"/>
          <w:numId w:val="376"/>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1459CD" w:rsidRPr="00AB52B6" w:rsidRDefault="001459CD" w:rsidP="001459CD">
      <w:pPr>
        <w:pStyle w:val="ListParagraph"/>
        <w:numPr>
          <w:ilvl w:val="0"/>
          <w:numId w:val="376"/>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1459CD" w:rsidRPr="00841C47" w:rsidRDefault="001459CD" w:rsidP="001459CD">
      <w:pPr>
        <w:pStyle w:val="ListParagraph"/>
        <w:numPr>
          <w:ilvl w:val="0"/>
          <w:numId w:val="376"/>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1459CD" w:rsidRDefault="001459CD" w:rsidP="001459CD">
      <w:pPr>
        <w:pStyle w:val="ListParagraph"/>
        <w:spacing w:line="360" w:lineRule="auto"/>
        <w:ind w:left="360"/>
        <w:rPr>
          <w:u w:val="single"/>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320478"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lastRenderedPageBreak/>
        <w:t>Default Close-out Boundary Conditions</w:t>
      </w:r>
      <w:r>
        <w:t>: Let</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seller defaults first and</w:t>
      </w:r>
    </w:p>
    <w:p w:rsidR="001459CD" w:rsidRDefault="001459CD" w:rsidP="001459CD">
      <w:pPr>
        <w:pStyle w:val="ListParagraph"/>
        <w:spacing w:line="360" w:lineRule="auto"/>
        <w:ind w:left="360"/>
        <w:rPr>
          <w:rFonts w:eastAsiaTheme="minorEastAsia"/>
        </w:rPr>
      </w:pPr>
    </w:p>
    <w:p w:rsidR="001459CD" w:rsidRPr="00841C47"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7675A0"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1459CD" w:rsidRDefault="001459CD" w:rsidP="001459CD">
      <w:pPr>
        <w:pStyle w:val="ListParagraph"/>
        <w:spacing w:line="360" w:lineRule="auto"/>
        <w:ind w:left="360"/>
        <w:rPr>
          <w:u w:val="single"/>
        </w:rPr>
      </w:pPr>
    </w:p>
    <w:p w:rsidR="001459CD" w:rsidRPr="007707A7" w:rsidRDefault="00CF6E03"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lastRenderedPageBreak/>
        <w:t>Thus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1459CD" w:rsidRPr="007675A0"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Counterparty Credit Hedge Ratio</w:t>
      </w:r>
      <w:r>
        <w:t>: Before proceeding note that when</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1459CD" w:rsidRDefault="001459CD" w:rsidP="001459CD">
      <w:pPr>
        <w:pStyle w:val="ListParagraph"/>
        <w:numPr>
          <w:ilvl w:val="0"/>
          <w:numId w:val="376"/>
        </w:numPr>
        <w:spacing w:after="160" w:line="360" w:lineRule="auto"/>
      </w:pPr>
      <w:r>
        <w:rPr>
          <w:u w:val="single"/>
        </w:rPr>
        <w:t>Own Credit Risk Hedge Ratio</w:t>
      </w:r>
      <w:r>
        <w:t>: On the other hand, if</w:t>
      </w:r>
    </w:p>
    <w:p w:rsidR="001459CD" w:rsidRDefault="001459CD" w:rsidP="001459CD">
      <w:pPr>
        <w:pStyle w:val="ListParagraph"/>
        <w:spacing w:line="360" w:lineRule="auto"/>
        <w:ind w:left="360"/>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lastRenderedPageBreak/>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1459CD" w:rsidRDefault="001459CD" w:rsidP="001459CD">
      <w:pPr>
        <w:pStyle w:val="ListParagraph"/>
        <w:numPr>
          <w:ilvl w:val="0"/>
          <w:numId w:val="376"/>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1459CD" w:rsidRPr="00C551F5" w:rsidRDefault="001459CD" w:rsidP="001459CD">
      <w:pPr>
        <w:pStyle w:val="ListParagraph"/>
        <w:numPr>
          <w:ilvl w:val="0"/>
          <w:numId w:val="376"/>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1459CD" w:rsidRPr="007707A7" w:rsidRDefault="001459CD" w:rsidP="001459CD">
      <w:pPr>
        <w:pStyle w:val="ListParagraph"/>
        <w:numPr>
          <w:ilvl w:val="0"/>
          <w:numId w:val="376"/>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Default="001459CD" w:rsidP="001459CD">
      <w:pPr>
        <w:pStyle w:val="ListParagraph"/>
        <w:numPr>
          <w:ilvl w:val="0"/>
          <w:numId w:val="376"/>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Pr="00266953" w:rsidRDefault="001459CD" w:rsidP="001459CD">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Pr="007B268F" w:rsidRDefault="001459CD" w:rsidP="001459CD">
      <w:pPr>
        <w:pStyle w:val="ListParagraph"/>
        <w:numPr>
          <w:ilvl w:val="0"/>
          <w:numId w:val="376"/>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1459CD" w:rsidRPr="007707A7" w:rsidRDefault="001459CD" w:rsidP="001459CD">
      <w:pPr>
        <w:pStyle w:val="ListParagraph"/>
        <w:numPr>
          <w:ilvl w:val="0"/>
          <w:numId w:val="376"/>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1459CD" w:rsidRDefault="001459CD" w:rsidP="001459CD">
      <w:pPr>
        <w:pStyle w:val="ListParagraph"/>
        <w:spacing w:line="360" w:lineRule="auto"/>
        <w:ind w:left="360"/>
        <w:rPr>
          <w:u w:val="single"/>
        </w:rPr>
      </w:pPr>
    </w:p>
    <w:p w:rsidR="001459CD" w:rsidRPr="007707A7"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7B268F"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funding spread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i.e.,</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cannot be used as a collateral, 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6F655A" w:rsidRDefault="001459CD" w:rsidP="001459CD">
      <w:pPr>
        <w:pStyle w:val="ListParagraph"/>
        <w:spacing w:line="360" w:lineRule="auto"/>
        <w:ind w:left="360"/>
      </w:pPr>
      <w:r>
        <w:rPr>
          <w:rFonts w:eastAsiaTheme="minorEastAsia"/>
        </w:rPr>
        <w:t>if it cannot.</w:t>
      </w:r>
    </w:p>
    <w:p w:rsidR="001459CD" w:rsidRPr="007707A7" w:rsidRDefault="001459CD" w:rsidP="001459CD">
      <w:pPr>
        <w:pStyle w:val="ListParagraph"/>
        <w:numPr>
          <w:ilvl w:val="0"/>
          <w:numId w:val="376"/>
        </w:numPr>
        <w:spacing w:after="160" w:line="360" w:lineRule="auto"/>
      </w:pPr>
      <w:r>
        <w:rPr>
          <w:u w:val="single"/>
        </w:rPr>
        <w:lastRenderedPageBreak/>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1459CD" w:rsidRPr="00EC2005"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one gets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1459CD" w:rsidRPr="00FF7337"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computed from</w:t>
      </w:r>
    </w:p>
    <w:p w:rsidR="001459CD" w:rsidRDefault="001459CD" w:rsidP="001459CD">
      <w:pPr>
        <w:pStyle w:val="ListParagraph"/>
        <w:spacing w:line="360" w:lineRule="auto"/>
        <w:ind w:left="360"/>
        <w:rPr>
          <w:rFonts w:eastAsiaTheme="minorEastAsia"/>
        </w:rPr>
      </w:pPr>
    </w:p>
    <w:p w:rsidR="001459CD" w:rsidRPr="007707A7"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7707A7"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Pr="000C226E"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Pr="007707A7"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Pr="007707A7"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Pr="007C148A"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Cash Account Evolution Expression</w:t>
      </w:r>
      <w:r>
        <w:t>: Hence the cash account evolution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rewritten as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Pr="007C148A" w:rsidRDefault="001459CD" w:rsidP="001459CD">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1459CD" w:rsidRPr="00FF00E4" w:rsidRDefault="001459CD" w:rsidP="001459CD">
      <w:pPr>
        <w:pStyle w:val="ListParagraph"/>
        <w:numPr>
          <w:ilvl w:val="0"/>
          <w:numId w:val="376"/>
        </w:numPr>
        <w:spacing w:after="160" w:line="360" w:lineRule="auto"/>
      </w:pPr>
      <w:r>
        <w:rPr>
          <w:u w:val="single"/>
        </w:rPr>
        <w:lastRenderedPageBreak/>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Pr="00FF00E4"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FF00E4"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1459CD" w:rsidRPr="002F6EDB"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Incorporation of the Boundary Condition</w:t>
      </w:r>
      <w:r>
        <w:t>: Inserting</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with the boundary conditions</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into</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finally gives</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relation</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t>has been used.</w:t>
      </w:r>
    </w:p>
    <w:p w:rsidR="001459CD" w:rsidRPr="00FF00E4" w:rsidRDefault="001459CD" w:rsidP="001459CD">
      <w:pPr>
        <w:pStyle w:val="ListParagraph"/>
        <w:numPr>
          <w:ilvl w:val="0"/>
          <w:numId w:val="376"/>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lastRenderedPageBreak/>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1459CD" w:rsidRPr="00A01099" w:rsidRDefault="001459CD" w:rsidP="001459CD">
      <w:pPr>
        <w:pStyle w:val="ListParagraph"/>
        <w:numPr>
          <w:ilvl w:val="0"/>
          <w:numId w:val="376"/>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1459CD" w:rsidRDefault="001459CD" w:rsidP="001459CD">
      <w:pPr>
        <w:pStyle w:val="ListParagraph"/>
        <w:numPr>
          <w:ilvl w:val="0"/>
          <w:numId w:val="376"/>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1459CD" w:rsidRPr="00841C47" w:rsidRDefault="001459CD" w:rsidP="001459CD">
      <w:pPr>
        <w:pStyle w:val="ListParagraph"/>
        <w:numPr>
          <w:ilvl w:val="0"/>
          <w:numId w:val="376"/>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1459CD" w:rsidRDefault="001459CD" w:rsidP="001459CD">
      <w:pPr>
        <w:pStyle w:val="ListParagraph"/>
        <w:numPr>
          <w:ilvl w:val="0"/>
          <w:numId w:val="376"/>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1459CD" w:rsidRPr="00FF00E4" w:rsidRDefault="001459CD" w:rsidP="001459CD">
      <w:pPr>
        <w:pStyle w:val="ListParagraph"/>
        <w:numPr>
          <w:ilvl w:val="0"/>
          <w:numId w:val="376"/>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7"/>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1459CD" w:rsidRDefault="001459CD" w:rsidP="001459CD">
      <w:pPr>
        <w:pStyle w:val="ListParagraph"/>
        <w:numPr>
          <w:ilvl w:val="0"/>
          <w:numId w:val="377"/>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reduces to</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 be posted as collateral 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it cannot.</w:t>
      </w:r>
    </w:p>
    <w:p w:rsidR="001459CD" w:rsidRDefault="001459CD" w:rsidP="001459CD">
      <w:pPr>
        <w:pStyle w:val="ListParagraph"/>
        <w:numPr>
          <w:ilvl w:val="0"/>
          <w:numId w:val="377"/>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so that</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1459CD" w:rsidRDefault="001459CD" w:rsidP="001459CD">
      <w:pPr>
        <w:pStyle w:val="ListParagraph"/>
        <w:numPr>
          <w:ilvl w:val="0"/>
          <w:numId w:val="377"/>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Default="001459CD" w:rsidP="001459CD">
      <w:pPr>
        <w:pStyle w:val="ListParagraph"/>
        <w:numPr>
          <w:ilvl w:val="0"/>
          <w:numId w:val="377"/>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yields</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1459CD" w:rsidRDefault="001459CD" w:rsidP="001459CD">
      <w:pPr>
        <w:pStyle w:val="ListParagraph"/>
        <w:numPr>
          <w:ilvl w:val="0"/>
          <w:numId w:val="377"/>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1459CD" w:rsidRDefault="001459CD" w:rsidP="001459CD">
      <w:pPr>
        <w:pStyle w:val="ListParagraph"/>
        <w:numPr>
          <w:ilvl w:val="0"/>
          <w:numId w:val="377"/>
        </w:numPr>
        <w:spacing w:after="160" w:line="360" w:lineRule="auto"/>
        <w:rPr>
          <w:rFonts w:eastAsiaTheme="minorEastAsia"/>
        </w:rPr>
      </w:pPr>
      <w:r>
        <w:rPr>
          <w:u w:val="single"/>
        </w:rPr>
        <w:lastRenderedPageBreak/>
        <w:t>Receivable/Payable + Funding Numeraire</w:t>
      </w:r>
      <w:r w:rsidRPr="007F037E">
        <w:rPr>
          <w:rFonts w:eastAsiaTheme="minorEastAsia"/>
        </w:rPr>
        <w:t>:</w:t>
      </w:r>
      <w:r>
        <w:rPr>
          <w:rFonts w:eastAsiaTheme="minorEastAsia"/>
        </w:rPr>
        <w:t xml:space="preserve"> Before proceeding with the study of the two cases</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1459CD" w:rsidRDefault="001459CD" w:rsidP="001459CD">
      <w:pPr>
        <w:pStyle w:val="ListParagraph"/>
        <w:numPr>
          <w:ilvl w:val="0"/>
          <w:numId w:val="377"/>
        </w:numPr>
        <w:spacing w:after="160" w:line="360" w:lineRule="auto"/>
        <w:rPr>
          <w:rFonts w:eastAsiaTheme="minorEastAsia"/>
        </w:rPr>
      </w:pPr>
      <w:r>
        <w:rPr>
          <w:u w:val="single"/>
        </w:rPr>
        <w:t>The Seller sells 1 Unit Payable to the Counterparty</w:t>
      </w:r>
      <w:r w:rsidRPr="007F037E">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Pr="00FD20D6"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Pr="00FD20D6"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Payable Numeraire =&gt; If on the other hand the recovery</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becomes</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Pr="00FD20D6"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 risk-free rate. Then the net result in this case is then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so</w:t>
      </w:r>
    </w:p>
    <w:p w:rsidR="001459CD" w:rsidRDefault="001459CD" w:rsidP="001459CD">
      <w:pPr>
        <w:pStyle w:val="ListParagraph"/>
        <w:spacing w:line="360" w:lineRule="auto"/>
        <w:ind w:left="1080"/>
        <w:rPr>
          <w:rFonts w:eastAsiaTheme="minorEastAsia"/>
        </w:rPr>
      </w:pPr>
    </w:p>
    <w:p w:rsidR="001459CD" w:rsidRPr="00FD20D6"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Numeraire =&gt; If on the other hand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lastRenderedPageBreak/>
        <w:t>then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PDE With Derivatives as Collateral =&gt; If the derivative can be posted as collateral the PDE</w:t>
      </w:r>
    </w:p>
    <w:p w:rsidR="001459CD" w:rsidRDefault="001459CD" w:rsidP="001459CD">
      <w:pPr>
        <w:pStyle w:val="ListParagraph"/>
        <w:spacing w:line="360" w:lineRule="auto"/>
        <w:ind w:left="1080"/>
        <w:rPr>
          <w:rFonts w:eastAsiaTheme="minorEastAsia"/>
        </w:rPr>
      </w:pPr>
    </w:p>
    <w:p w:rsidR="001459CD" w:rsidRPr="003117DE"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is a non-linear PDE that needs to be solved numerically unless</w:t>
      </w:r>
    </w:p>
    <w:p w:rsidR="001459CD" w:rsidRDefault="001459CD" w:rsidP="001459CD">
      <w:pPr>
        <w:pStyle w:val="ListParagraph"/>
        <w:spacing w:line="360" w:lineRule="auto"/>
        <w:ind w:left="1080"/>
        <w:rPr>
          <w:rFonts w:eastAsiaTheme="minorEastAsia"/>
        </w:rPr>
      </w:pPr>
    </w:p>
    <w:p w:rsidR="001459CD" w:rsidRPr="003117DE"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or</w:t>
      </w:r>
    </w:p>
    <w:p w:rsidR="001459CD" w:rsidRDefault="001459CD" w:rsidP="001459CD">
      <w:pPr>
        <w:pStyle w:val="ListParagraph"/>
        <w:spacing w:line="360" w:lineRule="auto"/>
        <w:ind w:left="1080"/>
        <w:rPr>
          <w:rFonts w:eastAsiaTheme="minorEastAsia"/>
        </w:rPr>
      </w:pPr>
    </w:p>
    <w:p w:rsidR="001459CD" w:rsidRPr="003117DE"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Pr="003117DE"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sold an option to the counterparty so</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Own-Credit Adjustment for Payables =&gt; Alternatively if for</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we insert the ansatz</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into</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apply the Feynman-Kac theorem, and finally use that</w:t>
      </w:r>
    </w:p>
    <w:p w:rsidR="001459CD" w:rsidRDefault="001459CD" w:rsidP="001459CD">
      <w:pPr>
        <w:pStyle w:val="ListParagraph"/>
        <w:spacing w:line="360" w:lineRule="auto"/>
        <w:ind w:left="1080"/>
        <w:rPr>
          <w:rFonts w:eastAsiaTheme="minorEastAsia"/>
        </w:rPr>
      </w:pPr>
    </w:p>
    <w:p w:rsidR="001459CD" w:rsidRPr="00475A5A" w:rsidRDefault="001459CD" w:rsidP="001459CD">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then gets</w:t>
      </w:r>
    </w:p>
    <w:p w:rsidR="001459CD" w:rsidRDefault="001459CD" w:rsidP="001459CD">
      <w:pPr>
        <w:pStyle w:val="ListParagraph"/>
        <w:spacing w:line="360" w:lineRule="auto"/>
        <w:ind w:left="1080"/>
        <w:rPr>
          <w:rFonts w:eastAsiaTheme="minorEastAsia"/>
        </w:rPr>
      </w:pPr>
    </w:p>
    <w:p w:rsidR="001459CD" w:rsidRPr="00475A5A"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Counterparty Adjustment for Receivables =&gt; When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bought an option, symmetry yields that</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Thus one concludes that if</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it depends only on the counterparty credit.</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The Derivative Cannot Serve as Collateral =&gt; If the derivative cannot be posted as collateral then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again is a non-linear PDE.</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writes</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it is easy to see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given in</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Pr="009B3F7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Pr="009B3F7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Pr="009B3F7D" w:rsidRDefault="001459CD" w:rsidP="001459CD">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lastRenderedPageBreak/>
        <w:t>Own/Counterparty Credit Adjustment =&gt; Analogous to the case</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may make the ansatz</w:t>
      </w:r>
    </w:p>
    <w:p w:rsidR="001459CD" w:rsidRDefault="001459CD" w:rsidP="001459CD">
      <w:pPr>
        <w:pStyle w:val="ListParagraph"/>
        <w:spacing w:line="360" w:lineRule="auto"/>
        <w:ind w:left="1080"/>
        <w:rPr>
          <w:rFonts w:eastAsiaTheme="minorEastAsia"/>
        </w:rPr>
      </w:pPr>
    </w:p>
    <w:p w:rsidR="001459CD" w:rsidRDefault="00CF6E03"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show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1459CD" w:rsidRDefault="001459CD" w:rsidP="001459CD">
      <w:pPr>
        <w:pStyle w:val="ListParagraph"/>
        <w:spacing w:line="360" w:lineRule="auto"/>
        <w:ind w:left="1080"/>
        <w:rPr>
          <w:rFonts w:eastAsiaTheme="minorEastAsia"/>
        </w:rPr>
      </w:pPr>
    </w:p>
    <w:p w:rsidR="001459CD" w:rsidRPr="009B3F7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1459CD" w:rsidRDefault="001459CD" w:rsidP="001459CD">
      <w:pPr>
        <w:pStyle w:val="ListParagraph"/>
        <w:spacing w:line="360" w:lineRule="auto"/>
        <w:ind w:left="1080"/>
        <w:rPr>
          <w:rFonts w:eastAsiaTheme="minorEastAsia"/>
        </w:rPr>
      </w:pPr>
    </w:p>
    <w:p w:rsidR="001459CD" w:rsidRPr="009B3F7D" w:rsidRDefault="00CF6E03"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8"/>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1459CD" w:rsidRPr="00AE4AC5"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conditions</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 becomes</w:t>
      </w:r>
    </w:p>
    <w:p w:rsidR="001459CD" w:rsidRDefault="001459CD" w:rsidP="001459CD">
      <w:pPr>
        <w:pStyle w:val="ListParagraph"/>
        <w:spacing w:line="360" w:lineRule="auto"/>
        <w:ind w:left="360"/>
        <w:rPr>
          <w:rFonts w:eastAsiaTheme="minorEastAsia"/>
        </w:rPr>
      </w:pPr>
    </w:p>
    <w:p w:rsidR="001459CD" w:rsidRPr="00AE4AC5"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E4AC5"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AE4AC5"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1459CD" w:rsidRDefault="001459CD" w:rsidP="001459CD">
      <w:pPr>
        <w:pStyle w:val="ListParagraph"/>
        <w:spacing w:line="360" w:lineRule="auto"/>
        <w:ind w:left="360"/>
        <w:rPr>
          <w:rFonts w:eastAsiaTheme="minorEastAsia"/>
          <w:u w:val="single"/>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hedge ratios become</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1459CD" w:rsidRDefault="001459CD" w:rsidP="001459CD">
      <w:pPr>
        <w:pStyle w:val="ListParagraph"/>
        <w:spacing w:line="360" w:lineRule="auto"/>
        <w:ind w:left="360"/>
        <w:rPr>
          <w:rFonts w:eastAsiaTheme="minorEastAsia"/>
          <w:u w:val="single"/>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Thus application of the Feynman-Kac theorem yields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1459CD" w:rsidRDefault="001459CD" w:rsidP="001459CD">
      <w:pPr>
        <w:pStyle w:val="ListParagraph"/>
        <w:spacing w:line="360" w:lineRule="auto"/>
        <w:ind w:left="360"/>
        <w:rPr>
          <w:rFonts w:eastAsiaTheme="minorEastAsia"/>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1459CD" w:rsidRDefault="001459CD" w:rsidP="001459CD">
      <w:pPr>
        <w:pStyle w:val="ListParagraph"/>
        <w:spacing w:line="360" w:lineRule="auto"/>
        <w:ind w:left="360"/>
        <w:rPr>
          <w:rFonts w:eastAsiaTheme="minorEastAsia"/>
        </w:rPr>
      </w:pPr>
    </w:p>
    <w:p w:rsidR="001459CD" w:rsidRPr="000D3A28"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1459CD" w:rsidRDefault="001459CD" w:rsidP="001459CD">
      <w:pPr>
        <w:pStyle w:val="ListParagraph"/>
        <w:spacing w:line="360" w:lineRule="auto"/>
        <w:ind w:left="360"/>
        <w:rPr>
          <w:rFonts w:eastAsiaTheme="minorEastAsia"/>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is paid when borrowing for the hedging strategy’s cash account.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lastRenderedPageBreak/>
        <w:t>Funding and Default Payoff Examples</w:t>
      </w:r>
    </w:p>
    <w:p w:rsidR="001459CD" w:rsidRDefault="001459CD" w:rsidP="001459CD">
      <w:pPr>
        <w:tabs>
          <w:tab w:val="left" w:pos="7800"/>
        </w:tabs>
        <w:spacing w:line="360" w:lineRule="auto"/>
      </w:pPr>
    </w:p>
    <w:p w:rsidR="001459CD" w:rsidRPr="006C2174" w:rsidRDefault="001459CD" w:rsidP="001459CD">
      <w:pPr>
        <w:pStyle w:val="ListParagraph"/>
        <w:numPr>
          <w:ilvl w:val="0"/>
          <w:numId w:val="379"/>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rPr>
          <w:rFonts w:eastAsiaTheme="minorEastAsia"/>
        </w:rPr>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F6E03"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F6E03"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F6E03"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F6E03"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183347"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V≥0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pPr>
    </w:p>
    <w:p w:rsidR="001459CD" w:rsidRPr="00354395" w:rsidRDefault="00CF6E03"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CF6E03"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354395"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1459CD" w:rsidRDefault="001459CD" w:rsidP="001459CD">
      <w:pPr>
        <w:pStyle w:val="ListParagraph"/>
        <w:spacing w:line="360" w:lineRule="auto"/>
        <w:ind w:left="360"/>
        <w:rPr>
          <w:rFonts w:eastAsiaTheme="minorEastAsia"/>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or</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for a bought option. For a sold option the impact of the funding cost does not have any effect.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Funding and PDE Extensions</w:t>
      </w:r>
    </w:p>
    <w:p w:rsidR="001459CD" w:rsidRDefault="001459CD" w:rsidP="001459CD">
      <w:pPr>
        <w:tabs>
          <w:tab w:val="left" w:pos="7800"/>
        </w:tabs>
        <w:spacing w:line="360" w:lineRule="auto"/>
      </w:pPr>
    </w:p>
    <w:p w:rsidR="001459CD" w:rsidRDefault="001459CD" w:rsidP="001459CD">
      <w:pPr>
        <w:pStyle w:val="ListParagraph"/>
        <w:numPr>
          <w:ilvl w:val="0"/>
          <w:numId w:val="380"/>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1459CD" w:rsidRPr="00C93AEA" w:rsidRDefault="001459CD" w:rsidP="001459CD">
      <w:pPr>
        <w:pStyle w:val="ListParagraph"/>
        <w:numPr>
          <w:ilvl w:val="0"/>
          <w:numId w:val="380"/>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1459CD" w:rsidRPr="00C93AEA" w:rsidRDefault="001459CD" w:rsidP="001459CD">
      <w:pPr>
        <w:pStyle w:val="ListParagraph"/>
        <w:numPr>
          <w:ilvl w:val="0"/>
          <w:numId w:val="380"/>
        </w:numPr>
        <w:tabs>
          <w:tab w:val="left" w:pos="7800"/>
        </w:tabs>
        <w:spacing w:after="160" w:line="360" w:lineRule="auto"/>
      </w:pPr>
      <w:r>
        <w:rPr>
          <w:u w:val="single"/>
        </w:rPr>
        <w:lastRenderedPageBreak/>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1459CD" w:rsidRDefault="001459CD" w:rsidP="001459CD">
      <w:pPr>
        <w:pStyle w:val="ListParagraph"/>
        <w:numPr>
          <w:ilvl w:val="0"/>
          <w:numId w:val="380"/>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1459CD" w:rsidRDefault="001459CD" w:rsidP="001459CD">
      <w:pPr>
        <w:pStyle w:val="ListParagraph"/>
        <w:numPr>
          <w:ilvl w:val="0"/>
          <w:numId w:val="380"/>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1459CD" w:rsidRPr="00C527B4" w:rsidRDefault="001459CD" w:rsidP="001459CD">
      <w:pPr>
        <w:pStyle w:val="ListParagraph"/>
        <w:numPr>
          <w:ilvl w:val="0"/>
          <w:numId w:val="380"/>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or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A202B0" w:rsidRDefault="001459CD" w:rsidP="001459CD">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1459CD" w:rsidRPr="00C527B4" w:rsidRDefault="001459CD" w:rsidP="001459CD">
      <w:pPr>
        <w:pStyle w:val="ListParagraph"/>
        <w:numPr>
          <w:ilvl w:val="0"/>
          <w:numId w:val="380"/>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106DD4" w:rsidRDefault="001459CD" w:rsidP="001459CD">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and Funding Cost Management</w:t>
      </w:r>
    </w:p>
    <w:p w:rsidR="001459CD" w:rsidRDefault="001459CD" w:rsidP="001459CD">
      <w:pPr>
        <w:tabs>
          <w:tab w:val="left" w:pos="7800"/>
        </w:tabs>
        <w:spacing w:line="360" w:lineRule="auto"/>
      </w:pPr>
    </w:p>
    <w:p w:rsidR="001459CD" w:rsidRDefault="001459CD" w:rsidP="001459CD">
      <w:pPr>
        <w:pStyle w:val="ListParagraph"/>
        <w:numPr>
          <w:ilvl w:val="0"/>
          <w:numId w:val="381"/>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1459CD" w:rsidRDefault="001459CD" w:rsidP="001459CD">
      <w:pPr>
        <w:pStyle w:val="ListParagraph"/>
        <w:numPr>
          <w:ilvl w:val="0"/>
          <w:numId w:val="381"/>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1459CD" w:rsidRDefault="001459CD" w:rsidP="001459CD">
      <w:pPr>
        <w:pStyle w:val="ListParagraph"/>
        <w:numPr>
          <w:ilvl w:val="0"/>
          <w:numId w:val="381"/>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1459CD" w:rsidRPr="004B2F38" w:rsidRDefault="001459CD" w:rsidP="001459CD">
      <w:pPr>
        <w:pStyle w:val="ListParagraph"/>
        <w:numPr>
          <w:ilvl w:val="0"/>
          <w:numId w:val="381"/>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Unified Framework for Bilateral Counterparty Risk and Funding Adjustments</w:t>
      </w:r>
    </w:p>
    <w:p w:rsidR="001459CD" w:rsidRDefault="001459CD" w:rsidP="001459CD">
      <w:pPr>
        <w:tabs>
          <w:tab w:val="left" w:pos="7800"/>
        </w:tabs>
        <w:spacing w:line="360" w:lineRule="auto"/>
      </w:pPr>
    </w:p>
    <w:p w:rsidR="001459CD" w:rsidRDefault="001459CD" w:rsidP="001459CD">
      <w:pPr>
        <w:pStyle w:val="ListParagraph"/>
        <w:numPr>
          <w:ilvl w:val="0"/>
          <w:numId w:val="382"/>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Pr="006D6533" w:rsidRDefault="001459CD" w:rsidP="001459CD">
      <w:pPr>
        <w:pStyle w:val="ListParagraph"/>
        <w:tabs>
          <w:tab w:val="left" w:pos="7800"/>
        </w:tabs>
        <w:spacing w:line="360" w:lineRule="auto"/>
        <w:ind w:left="360"/>
      </w:pPr>
    </w:p>
    <w:p w:rsidR="001459CD" w:rsidRDefault="001459CD" w:rsidP="001459CD">
      <w:pPr>
        <w:pStyle w:val="ListParagraph"/>
        <w:numPr>
          <w:ilvl w:val="0"/>
          <w:numId w:val="382"/>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1459CD" w:rsidRPr="00C02F6A" w:rsidRDefault="001459CD" w:rsidP="001459CD">
      <w:pPr>
        <w:pStyle w:val="ListParagraph"/>
        <w:numPr>
          <w:ilvl w:val="0"/>
          <w:numId w:val="382"/>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1459CD" w:rsidRPr="00C554DF" w:rsidRDefault="001459CD" w:rsidP="001459CD">
      <w:pPr>
        <w:pStyle w:val="ListParagraph"/>
        <w:numPr>
          <w:ilvl w:val="0"/>
          <w:numId w:val="382"/>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w:t>
      </w:r>
      <w:r>
        <w:rPr>
          <w:rFonts w:eastAsiaTheme="minorEastAsia"/>
        </w:rPr>
        <w:lastRenderedPageBreak/>
        <w:t xml:space="preserve">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1459CD" w:rsidRPr="00C554DF" w:rsidRDefault="001459CD" w:rsidP="001459CD">
      <w:pPr>
        <w:pStyle w:val="ListParagraph"/>
        <w:numPr>
          <w:ilvl w:val="0"/>
          <w:numId w:val="382"/>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1459CD" w:rsidRPr="006D6533" w:rsidRDefault="001459CD" w:rsidP="001459CD">
      <w:pPr>
        <w:pStyle w:val="ListParagraph"/>
        <w:numPr>
          <w:ilvl w:val="0"/>
          <w:numId w:val="382"/>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Simple Model for the Impact of Derivative Asset on Balance Sheet and Funding</w:t>
      </w:r>
    </w:p>
    <w:p w:rsidR="001459CD" w:rsidRDefault="001459CD" w:rsidP="001459CD">
      <w:pPr>
        <w:tabs>
          <w:tab w:val="left" w:pos="7800"/>
        </w:tabs>
        <w:spacing w:line="360" w:lineRule="auto"/>
      </w:pPr>
    </w:p>
    <w:p w:rsidR="001459CD" w:rsidRDefault="001459CD" w:rsidP="001459CD">
      <w:pPr>
        <w:pStyle w:val="ListParagraph"/>
        <w:numPr>
          <w:ilvl w:val="0"/>
          <w:numId w:val="383"/>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1459CD" w:rsidRPr="00E7283C" w:rsidRDefault="001459CD" w:rsidP="001459CD">
      <w:pPr>
        <w:pStyle w:val="ListParagraph"/>
        <w:numPr>
          <w:ilvl w:val="0"/>
          <w:numId w:val="383"/>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1459CD" w:rsidRDefault="001459CD" w:rsidP="001459CD">
      <w:pPr>
        <w:pStyle w:val="ListParagraph"/>
        <w:tabs>
          <w:tab w:val="left" w:pos="7800"/>
        </w:tabs>
        <w:spacing w:line="360" w:lineRule="auto"/>
        <w:ind w:left="360"/>
        <w:rPr>
          <w:u w:val="single"/>
        </w:rPr>
      </w:pPr>
    </w:p>
    <w:p w:rsidR="001459CD" w:rsidRPr="00E7283C"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Thus the new expected recovery is now</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1459CD" w:rsidRPr="003811AB" w:rsidRDefault="001459CD" w:rsidP="001459CD">
      <w:pPr>
        <w:pStyle w:val="ListParagraph"/>
        <w:tabs>
          <w:tab w:val="left" w:pos="7800"/>
        </w:tabs>
        <w:spacing w:line="360" w:lineRule="auto"/>
        <w:ind w:left="360"/>
      </w:pPr>
    </w:p>
    <w:p w:rsidR="001459CD" w:rsidRDefault="001459CD" w:rsidP="001459CD">
      <w:pPr>
        <w:pStyle w:val="ListParagraph"/>
        <w:numPr>
          <w:ilvl w:val="0"/>
          <w:numId w:val="383"/>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1459CD" w:rsidRDefault="001459CD" w:rsidP="001459CD">
      <w:pPr>
        <w:pStyle w:val="ListParagraph"/>
        <w:tabs>
          <w:tab w:val="left" w:pos="7800"/>
        </w:tabs>
        <w:spacing w:line="360" w:lineRule="auto"/>
        <w:ind w:left="360"/>
        <w:rPr>
          <w:u w:val="single"/>
        </w:rPr>
      </w:pPr>
    </w:p>
    <w:p w:rsidR="001459CD" w:rsidRPr="00E7283C"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3811AB"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1459CD" w:rsidRDefault="001459CD" w:rsidP="001459CD">
      <w:pPr>
        <w:pStyle w:val="ListParagraph"/>
        <w:numPr>
          <w:ilvl w:val="0"/>
          <w:numId w:val="383"/>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1459CD" w:rsidRDefault="001459CD" w:rsidP="001459CD">
      <w:pPr>
        <w:pStyle w:val="ListParagraph"/>
        <w:tabs>
          <w:tab w:val="left" w:pos="7800"/>
        </w:tabs>
        <w:spacing w:line="360" w:lineRule="auto"/>
        <w:ind w:left="360"/>
        <w:rPr>
          <w:rFonts w:eastAsiaTheme="minorEastAsia"/>
        </w:rPr>
      </w:pPr>
    </w:p>
    <w:p w:rsidR="001459CD" w:rsidRPr="00E7283C" w:rsidRDefault="001459CD" w:rsidP="001459CD">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1459CD" w:rsidRPr="00AF11E6" w:rsidRDefault="001459CD" w:rsidP="001459CD">
      <w:pPr>
        <w:pStyle w:val="ListParagraph"/>
        <w:numPr>
          <w:ilvl w:val="0"/>
          <w:numId w:val="383"/>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Management to Mitigate Funding Costs</w:t>
      </w:r>
    </w:p>
    <w:p w:rsidR="001459CD" w:rsidRDefault="001459CD" w:rsidP="001459CD">
      <w:pPr>
        <w:tabs>
          <w:tab w:val="left" w:pos="7800"/>
        </w:tabs>
        <w:spacing w:line="360" w:lineRule="auto"/>
      </w:pPr>
    </w:p>
    <w:p w:rsidR="001459CD" w:rsidRDefault="001459CD" w:rsidP="001459CD">
      <w:pPr>
        <w:pStyle w:val="ListParagraph"/>
        <w:numPr>
          <w:ilvl w:val="0"/>
          <w:numId w:val="384"/>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1459CD" w:rsidRPr="006B6E48" w:rsidRDefault="001459CD" w:rsidP="001459CD">
      <w:pPr>
        <w:pStyle w:val="ListParagraph"/>
        <w:numPr>
          <w:ilvl w:val="0"/>
          <w:numId w:val="384"/>
        </w:numPr>
        <w:tabs>
          <w:tab w:val="left" w:pos="7800"/>
        </w:tabs>
        <w:spacing w:after="160" w:line="360" w:lineRule="auto"/>
      </w:pPr>
      <w:r>
        <w:rPr>
          <w:u w:val="single"/>
        </w:rPr>
        <w:lastRenderedPageBreak/>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1459CD" w:rsidRPr="00274E11" w:rsidRDefault="001459CD" w:rsidP="001459CD">
      <w:pPr>
        <w:pStyle w:val="ListParagraph"/>
        <w:numPr>
          <w:ilvl w:val="0"/>
          <w:numId w:val="384"/>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lastRenderedPageBreak/>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Pr="00635C43" w:rsidRDefault="001459CD" w:rsidP="001459CD">
      <w:pPr>
        <w:pStyle w:val="ListParagraph"/>
        <w:numPr>
          <w:ilvl w:val="0"/>
          <w:numId w:val="384"/>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1459CD" w:rsidRPr="00635C43" w:rsidRDefault="001459CD" w:rsidP="001459CD">
      <w:pPr>
        <w:pStyle w:val="ListParagraph"/>
        <w:numPr>
          <w:ilvl w:val="0"/>
          <w:numId w:val="384"/>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1459CD" w:rsidRPr="009213ED" w:rsidRDefault="001459CD" w:rsidP="001459CD">
      <w:pPr>
        <w:pStyle w:val="ListParagraph"/>
        <w:tabs>
          <w:tab w:val="left" w:pos="7800"/>
        </w:tabs>
        <w:spacing w:line="360" w:lineRule="auto"/>
        <w:ind w:left="360"/>
      </w:pPr>
    </w:p>
    <w:p w:rsidR="001459CD" w:rsidRPr="00635C43" w:rsidRDefault="001459CD" w:rsidP="001459CD">
      <w:pPr>
        <w:pStyle w:val="ListParagraph"/>
        <w:numPr>
          <w:ilvl w:val="0"/>
          <w:numId w:val="384"/>
        </w:numPr>
        <w:tabs>
          <w:tab w:val="left" w:pos="7800"/>
        </w:tabs>
        <w:spacing w:after="160" w:line="360" w:lineRule="auto"/>
      </w:pPr>
      <w:r>
        <w:rPr>
          <w:u w:val="single"/>
        </w:rPr>
        <w:lastRenderedPageBreak/>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635C43"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implies the following pricing PDE:</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F6E03"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1459CD" w:rsidRPr="00E9792F" w:rsidRDefault="001459CD" w:rsidP="001459CD">
      <w:pPr>
        <w:pStyle w:val="ListParagraph"/>
        <w:tabs>
          <w:tab w:val="left" w:pos="7800"/>
        </w:tabs>
        <w:spacing w:line="360" w:lineRule="auto"/>
        <w:ind w:left="360"/>
      </w:pPr>
    </w:p>
    <w:p w:rsidR="001459CD" w:rsidRDefault="001459CD" w:rsidP="001459CD">
      <w:pPr>
        <w:pStyle w:val="ListParagraph"/>
        <w:numPr>
          <w:ilvl w:val="0"/>
          <w:numId w:val="384"/>
        </w:numPr>
        <w:tabs>
          <w:tab w:val="left" w:pos="7800"/>
        </w:tabs>
        <w:spacing w:after="160" w:line="360" w:lineRule="auto"/>
      </w:pPr>
      <w:r>
        <w:rPr>
          <w:u w:val="single"/>
        </w:rPr>
        <w:t>Zero Bond Funding Spread Basis</w:t>
      </w:r>
      <w:r>
        <w:t>: If furthermore one assumes zero differential between the bond basis and the funding spread, i.e.,</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then the previous equation simplifies to</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F6E03"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Pr="00635C4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84"/>
        </w:numPr>
        <w:tabs>
          <w:tab w:val="left" w:pos="7800"/>
        </w:tabs>
        <w:spacing w:after="160" w:line="360" w:lineRule="auto"/>
      </w:pPr>
      <w:r>
        <w:rPr>
          <w:u w:val="single"/>
        </w:rPr>
        <w:t>Issue Senior and Repurchase Junior</w:t>
      </w:r>
      <w:r w:rsidRPr="00E9792F">
        <w:t>:</w:t>
      </w:r>
      <w:r>
        <w:t xml:space="preserve"> Comparing this PDE with</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E9792F" w:rsidRDefault="001459CD" w:rsidP="001459CD">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1459CD" w:rsidRPr="009C0DF6" w:rsidRDefault="001459CD" w:rsidP="001459CD">
      <w:pPr>
        <w:pStyle w:val="ListParagraph"/>
        <w:numPr>
          <w:ilvl w:val="0"/>
          <w:numId w:val="384"/>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1459CD" w:rsidRDefault="001459CD" w:rsidP="001459CD">
      <w:pPr>
        <w:pStyle w:val="ListParagraph"/>
        <w:numPr>
          <w:ilvl w:val="0"/>
          <w:numId w:val="384"/>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1459CD" w:rsidRDefault="001459CD" w:rsidP="001459CD">
      <w:pPr>
        <w:pStyle w:val="ListParagraph"/>
        <w:tabs>
          <w:tab w:val="left" w:pos="7800"/>
        </w:tabs>
        <w:spacing w:line="360" w:lineRule="auto"/>
        <w:ind w:left="360"/>
        <w:rPr>
          <w:u w:val="single"/>
        </w:rPr>
      </w:pPr>
    </w:p>
    <w:p w:rsidR="001459CD" w:rsidRPr="00635C43"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9C0DF6" w:rsidRDefault="00CF6E03" w:rsidP="001459CD">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Pr="009C0DF6" w:rsidRDefault="001459CD" w:rsidP="001459CD">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416"/>
        <w:gridCol w:w="4574"/>
      </w:tblGrid>
      <w:tr w:rsidR="001459CD" w:rsidTr="00C5780B">
        <w:tc>
          <w:tcPr>
            <w:tcW w:w="4675" w:type="dxa"/>
            <w:vAlign w:val="center"/>
          </w:tcPr>
          <w:p w:rsidR="001459CD" w:rsidRDefault="00CF6E03"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1459CD">
              <w:rPr>
                <w:rFonts w:eastAsiaTheme="minorEastAsia"/>
              </w:rPr>
              <w:t xml:space="preserve"> Position Value</w:t>
            </w:r>
          </w:p>
        </w:tc>
        <w:tc>
          <w:tcPr>
            <w:tcW w:w="4675" w:type="dxa"/>
            <w:vAlign w:val="center"/>
          </w:tcPr>
          <w:p w:rsidR="001459CD" w:rsidRDefault="00CF6E03" w:rsidP="00C5780B">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CF6E03"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1459CD">
              <w:rPr>
                <w:rFonts w:eastAsiaTheme="minorEastAsia"/>
              </w:rPr>
              <w:t xml:space="preserve">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1459CD" w:rsidP="00C5780B">
            <w:pPr>
              <w:pStyle w:val="ListParagraph"/>
              <w:tabs>
                <w:tab w:val="left" w:pos="7800"/>
              </w:tabs>
              <w:spacing w:line="360" w:lineRule="auto"/>
              <w:ind w:left="0"/>
              <w:jc w:val="center"/>
            </w:pPr>
            <w:r>
              <w:t>Total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1459CD" w:rsidRPr="009C0DF6" w:rsidRDefault="001459CD" w:rsidP="001459CD">
      <w:pPr>
        <w:pStyle w:val="ListParagraph"/>
        <w:tabs>
          <w:tab w:val="left" w:pos="7800"/>
        </w:tabs>
        <w:spacing w:line="360" w:lineRule="auto"/>
        <w:ind w:left="360"/>
      </w:pPr>
    </w:p>
    <w:p w:rsidR="001459CD" w:rsidRPr="006B6E48" w:rsidRDefault="001459CD" w:rsidP="001459CD">
      <w:pPr>
        <w:pStyle w:val="ListParagraph"/>
        <w:numPr>
          <w:ilvl w:val="0"/>
          <w:numId w:val="384"/>
        </w:numPr>
        <w:tabs>
          <w:tab w:val="left" w:pos="7800"/>
        </w:tabs>
        <w:spacing w:after="160" w:line="360" w:lineRule="auto"/>
      </w:pPr>
      <w:r>
        <w:rPr>
          <w:u w:val="single"/>
        </w:rPr>
        <w:t>Default Windfall Balancing out Funding Costs</w:t>
      </w:r>
      <w:r>
        <w:t xml:space="preserve">: Thus if the issuer is able to offset the impact of the derivative and its funding on the balance with combination of going long senior bonds </w:t>
      </w:r>
      <w:r>
        <w:lastRenderedPageBreak/>
        <w:t>and shot junior bonds, then the windfall is effectively monetized while the issuer is alive, and by doing so the funding cost term is reduced to zero.</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Funding Strategies and Costs Impact</w:t>
      </w:r>
    </w:p>
    <w:p w:rsidR="001459CD" w:rsidRDefault="001459CD" w:rsidP="001459CD">
      <w:pPr>
        <w:tabs>
          <w:tab w:val="left" w:pos="7800"/>
        </w:tabs>
        <w:spacing w:line="360" w:lineRule="auto"/>
      </w:pPr>
    </w:p>
    <w:p w:rsidR="001459CD" w:rsidRDefault="001459CD" w:rsidP="001459CD">
      <w:pPr>
        <w:pStyle w:val="ListParagraph"/>
        <w:numPr>
          <w:ilvl w:val="0"/>
          <w:numId w:val="385"/>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1459CD" w:rsidRDefault="001459CD" w:rsidP="001459CD">
      <w:pPr>
        <w:pStyle w:val="ListParagraph"/>
        <w:numPr>
          <w:ilvl w:val="0"/>
          <w:numId w:val="385"/>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1459CD" w:rsidRDefault="001459CD" w:rsidP="001459CD">
      <w:pPr>
        <w:pStyle w:val="ListParagraph"/>
        <w:numPr>
          <w:ilvl w:val="0"/>
          <w:numId w:val="385"/>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1459CD" w:rsidRDefault="001459CD" w:rsidP="001459CD">
      <w:pPr>
        <w:pStyle w:val="ListParagraph"/>
        <w:numPr>
          <w:ilvl w:val="0"/>
          <w:numId w:val="385"/>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1459CD" w:rsidRDefault="001459CD" w:rsidP="001459CD">
      <w:pPr>
        <w:pStyle w:val="ListParagraph"/>
        <w:numPr>
          <w:ilvl w:val="0"/>
          <w:numId w:val="385"/>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w:t>
      </w:r>
      <w:r>
        <w:lastRenderedPageBreak/>
        <w:t>But it is not clear why some post-default cash flows should be disregarded but not others, and without specifying the funding strategies, the resulting recursive relations cannot be solved.</w:t>
      </w:r>
    </w:p>
    <w:p w:rsidR="001459CD" w:rsidRDefault="001459CD" w:rsidP="001459CD">
      <w:pPr>
        <w:pStyle w:val="ListParagraph"/>
        <w:numPr>
          <w:ilvl w:val="0"/>
          <w:numId w:val="385"/>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1459CD" w:rsidRDefault="001459CD" w:rsidP="001459CD">
      <w:pPr>
        <w:pStyle w:val="ListParagraph"/>
        <w:numPr>
          <w:ilvl w:val="0"/>
          <w:numId w:val="385"/>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1459CD" w:rsidRDefault="001459CD" w:rsidP="001459CD">
      <w:pPr>
        <w:pStyle w:val="ListParagraph"/>
        <w:numPr>
          <w:ilvl w:val="0"/>
          <w:numId w:val="385"/>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1459CD" w:rsidRPr="003E5415" w:rsidRDefault="001459CD" w:rsidP="001459CD">
      <w:pPr>
        <w:pStyle w:val="ListParagraph"/>
        <w:numPr>
          <w:ilvl w:val="0"/>
          <w:numId w:val="385"/>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Generalized Semi-Replication and Pricing PDE</w:t>
      </w:r>
    </w:p>
    <w:p w:rsidR="001459CD" w:rsidRDefault="001459CD" w:rsidP="001459CD">
      <w:pPr>
        <w:tabs>
          <w:tab w:val="left" w:pos="7800"/>
        </w:tabs>
        <w:spacing w:line="360" w:lineRule="auto"/>
      </w:pPr>
    </w:p>
    <w:p w:rsidR="001459CD" w:rsidRDefault="001459CD" w:rsidP="001459CD">
      <w:pPr>
        <w:pStyle w:val="ListParagraph"/>
        <w:numPr>
          <w:ilvl w:val="0"/>
          <w:numId w:val="386"/>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lastRenderedPageBreak/>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1459CD" w:rsidRPr="0013376C" w:rsidRDefault="001459CD" w:rsidP="001459CD">
      <w:pPr>
        <w:pStyle w:val="ListParagraph"/>
        <w:numPr>
          <w:ilvl w:val="0"/>
          <w:numId w:val="386"/>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are the pre-default bond prices.</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B8739F" w:rsidRDefault="001459CD" w:rsidP="001459CD">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w:t>
      </w:r>
    </w:p>
    <w:p w:rsidR="001459CD" w:rsidRDefault="001459CD" w:rsidP="001459CD">
      <w:pPr>
        <w:tabs>
          <w:tab w:val="left" w:pos="7800"/>
        </w:tabs>
        <w:spacing w:line="360" w:lineRule="auto"/>
      </w:pPr>
    </w:p>
    <w:p w:rsidR="001459CD" w:rsidRPr="00762D0A" w:rsidRDefault="001459CD" w:rsidP="001459CD">
      <w:pPr>
        <w:pStyle w:val="ListParagraph"/>
        <w:numPr>
          <w:ilvl w:val="0"/>
          <w:numId w:val="387"/>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1D6AAF" w:rsidRDefault="001459CD" w:rsidP="001459CD">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1459CD" w:rsidRPr="00762D0A" w:rsidRDefault="001459CD" w:rsidP="001459CD">
      <w:pPr>
        <w:pStyle w:val="ListParagraph"/>
        <w:numPr>
          <w:ilvl w:val="0"/>
          <w:numId w:val="387"/>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9331C0" w:rsidRDefault="001459CD" w:rsidP="001459CD">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1459CD" w:rsidRPr="00C429C5" w:rsidRDefault="001459CD" w:rsidP="001459CD">
      <w:pPr>
        <w:pStyle w:val="ListParagraph"/>
        <w:numPr>
          <w:ilvl w:val="0"/>
          <w:numId w:val="387"/>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1459CD" w:rsidRPr="00C429C5" w:rsidRDefault="001459CD" w:rsidP="001459CD">
      <w:pPr>
        <w:pStyle w:val="ListParagraph"/>
        <w:tabs>
          <w:tab w:val="left" w:pos="7800"/>
        </w:tabs>
        <w:spacing w:line="360" w:lineRule="auto"/>
        <w:ind w:left="360"/>
        <w:rPr>
          <w:rFonts w:eastAsiaTheme="minorEastAsia"/>
        </w:rPr>
      </w:pPr>
    </w:p>
    <w:p w:rsidR="001459CD" w:rsidRPr="00C429C5"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9331C0" w:rsidRDefault="001459CD" w:rsidP="001459CD">
      <w:pPr>
        <w:pStyle w:val="ListParagraph"/>
        <w:tabs>
          <w:tab w:val="left" w:pos="7800"/>
        </w:tabs>
        <w:spacing w:line="360" w:lineRule="auto"/>
        <w:ind w:left="360"/>
      </w:pPr>
    </w:p>
    <w:p w:rsidR="001459CD" w:rsidRPr="00C429C5" w:rsidRDefault="001459CD" w:rsidP="001459CD">
      <w:pPr>
        <w:pStyle w:val="ListParagraph"/>
        <w:numPr>
          <w:ilvl w:val="0"/>
          <w:numId w:val="387"/>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lastRenderedPageBreak/>
        <w:t>is given by</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Pr="008130F0" w:rsidRDefault="001459CD" w:rsidP="001459CD">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1459CD" w:rsidRPr="0015151A" w:rsidRDefault="001459CD" w:rsidP="001459CD">
      <w:pPr>
        <w:pStyle w:val="ListParagraph"/>
        <w:numPr>
          <w:ilvl w:val="0"/>
          <w:numId w:val="387"/>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1459CD" w:rsidRPr="00C429C5" w:rsidRDefault="001459CD" w:rsidP="001459CD">
      <w:pPr>
        <w:pStyle w:val="ListParagraph"/>
        <w:numPr>
          <w:ilvl w:val="0"/>
          <w:numId w:val="387"/>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1459CD" w:rsidRPr="0015151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Incremental Change in the Derivative Portfolio</w:t>
      </w:r>
      <w:r>
        <w:t>: With the pre- and the post-default values of the issuer bond position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respectively, inserting</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results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5E5578" w:rsidRDefault="001459CD" w:rsidP="001459CD">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1459CD" w:rsidRPr="00F55034" w:rsidRDefault="001459CD" w:rsidP="001459CD">
      <w:pPr>
        <w:pStyle w:val="ListParagraph"/>
        <w:numPr>
          <w:ilvl w:val="0"/>
          <w:numId w:val="387"/>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Pr="001578B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The Consolidated Derivative Portfolio Increment</w:t>
      </w:r>
      <w:r>
        <w:t>: Combining the evolution of the derivative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 the hedge portfolio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gives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F72B8D"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lastRenderedPageBreak/>
        <w:t>Asset and Counterparty Hedges</w:t>
      </w:r>
      <w:r>
        <w:t>: From the derivatives portfolio increment we can eliminate the stock price and the counterparty risks by choosing</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yields</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1459CD" w:rsidRPr="00B12D9B"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Incorporating the Hedge Ratios</w:t>
      </w:r>
      <w:r>
        <w:t>: On using the zero bond basis relation</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 above becomes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1459CD" w:rsidRPr="00E12AF4"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1459CD" w:rsidRPr="0076112E" w:rsidRDefault="001459CD" w:rsidP="001459CD">
      <w:pPr>
        <w:pStyle w:val="ListParagraph"/>
        <w:numPr>
          <w:ilvl w:val="0"/>
          <w:numId w:val="387"/>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1459CD" w:rsidRDefault="001459CD" w:rsidP="001459CD">
      <w:pPr>
        <w:pStyle w:val="ListParagraph"/>
        <w:numPr>
          <w:ilvl w:val="0"/>
          <w:numId w:val="387"/>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1459CD" w:rsidRDefault="001459CD" w:rsidP="001459CD">
      <w:pPr>
        <w:pStyle w:val="ListParagraph"/>
        <w:numPr>
          <w:ilvl w:val="0"/>
          <w:numId w:val="387"/>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22357C" w:rsidRDefault="001459CD" w:rsidP="001459CD">
      <w:pPr>
        <w:pStyle w:val="ListParagraph"/>
        <w:tabs>
          <w:tab w:val="left" w:pos="7800"/>
        </w:tabs>
        <w:spacing w:line="360" w:lineRule="auto"/>
        <w:ind w:left="360"/>
      </w:pPr>
      <w:r>
        <w:rPr>
          <w:rFonts w:eastAsiaTheme="minorEastAsia"/>
        </w:rP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1459CD" w:rsidRDefault="001459CD" w:rsidP="001459CD">
      <w:pPr>
        <w:pStyle w:val="ListParagraph"/>
        <w:numPr>
          <w:ilvl w:val="0"/>
          <w:numId w:val="387"/>
        </w:numPr>
        <w:tabs>
          <w:tab w:val="left" w:pos="7800"/>
        </w:tabs>
        <w:spacing w:after="160" w:line="360" w:lineRule="auto"/>
      </w:pPr>
      <w:r>
        <w:rPr>
          <w:u w:val="single"/>
        </w:rPr>
        <w:t>PDE for the Valuation Adjustment</w:t>
      </w:r>
      <w:r>
        <w:t>: To estimate the correction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F6E03"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22357C" w:rsidRDefault="001459CD" w:rsidP="001459CD">
      <w:pPr>
        <w:pStyle w:val="ListParagraph"/>
        <w:tabs>
          <w:tab w:val="left" w:pos="7800"/>
        </w:tabs>
        <w:spacing w:line="360" w:lineRule="auto"/>
        <w:ind w:left="360"/>
      </w:pPr>
    </w:p>
    <w:p w:rsidR="001459CD" w:rsidRPr="008355DD" w:rsidRDefault="001459CD" w:rsidP="001459CD">
      <w:pPr>
        <w:pStyle w:val="ListParagraph"/>
        <w:numPr>
          <w:ilvl w:val="0"/>
          <w:numId w:val="387"/>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446C66" w:rsidRDefault="001459CD" w:rsidP="001459CD">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1459CD" w:rsidRPr="009806F3" w:rsidRDefault="001459CD" w:rsidP="001459CD">
      <w:pPr>
        <w:pStyle w:val="ListParagraph"/>
        <w:numPr>
          <w:ilvl w:val="0"/>
          <w:numId w:val="387"/>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1459CD" w:rsidRPr="00762D0A" w:rsidRDefault="001459CD" w:rsidP="001459CD">
      <w:pPr>
        <w:pStyle w:val="ListParagraph"/>
        <w:numPr>
          <w:ilvl w:val="0"/>
          <w:numId w:val="387"/>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1459CD" w:rsidRPr="00762D0A" w:rsidRDefault="001459CD" w:rsidP="001459CD">
      <w:pPr>
        <w:pStyle w:val="ListParagraph"/>
        <w:numPr>
          <w:ilvl w:val="0"/>
          <w:numId w:val="387"/>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1459CD" w:rsidRDefault="001459CD" w:rsidP="001459CD">
      <w:pPr>
        <w:pStyle w:val="ListParagraph"/>
        <w:numPr>
          <w:ilvl w:val="0"/>
          <w:numId w:val="387"/>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1459CD" w:rsidRPr="001D6AAF" w:rsidRDefault="001459CD" w:rsidP="001459CD">
      <w:pPr>
        <w:pStyle w:val="ListParagraph"/>
        <w:numPr>
          <w:ilvl w:val="0"/>
          <w:numId w:val="387"/>
        </w:numPr>
        <w:tabs>
          <w:tab w:val="left" w:pos="7800"/>
        </w:tabs>
        <w:spacing w:after="160" w:line="360" w:lineRule="auto"/>
      </w:pPr>
      <w:r>
        <w:rPr>
          <w:u w:val="single"/>
        </w:rPr>
        <w:lastRenderedPageBreak/>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Examples of Different Bond Portfolios</w:t>
      </w:r>
    </w:p>
    <w:p w:rsidR="001459CD" w:rsidRDefault="001459CD" w:rsidP="001459CD">
      <w:pPr>
        <w:tabs>
          <w:tab w:val="left" w:pos="7800"/>
        </w:tabs>
        <w:spacing w:line="360" w:lineRule="auto"/>
      </w:pPr>
    </w:p>
    <w:p w:rsidR="001459CD" w:rsidRPr="005E505C" w:rsidRDefault="001459CD" w:rsidP="001459CD">
      <w:pPr>
        <w:pStyle w:val="ListParagraph"/>
        <w:numPr>
          <w:ilvl w:val="0"/>
          <w:numId w:val="388"/>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1459CD" w:rsidRDefault="001459CD" w:rsidP="001459CD">
      <w:pPr>
        <w:pStyle w:val="ListParagraph"/>
        <w:numPr>
          <w:ilvl w:val="0"/>
          <w:numId w:val="388"/>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1459CD" w:rsidRDefault="001459CD" w:rsidP="001459CD">
      <w:pPr>
        <w:pStyle w:val="ListParagraph"/>
        <w:numPr>
          <w:ilvl w:val="0"/>
          <w:numId w:val="388"/>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1459CD" w:rsidRDefault="001459CD" w:rsidP="001459CD">
      <w:pPr>
        <w:pStyle w:val="ListParagraph"/>
        <w:numPr>
          <w:ilvl w:val="0"/>
          <w:numId w:val="388"/>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1459CD" w:rsidRPr="002D23D0" w:rsidRDefault="001459CD" w:rsidP="001459CD">
      <w:pPr>
        <w:pStyle w:val="ListParagraph"/>
        <w:numPr>
          <w:ilvl w:val="0"/>
          <w:numId w:val="388"/>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Pr="005E505C" w:rsidRDefault="001459CD" w:rsidP="001459CD">
      <w:pPr>
        <w:pStyle w:val="ListParagraph"/>
        <w:spacing w:line="360" w:lineRule="auto"/>
        <w:ind w:left="360"/>
      </w:pPr>
      <w:r>
        <w:rPr>
          <w:rFonts w:eastAsiaTheme="minorEastAsia"/>
        </w:rPr>
        <w:t>Funding aware close-outs are discussed separately in Burgard and Kjaer (2012c).</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lastRenderedPageBreak/>
        <w:t>Perfect Replication – The FCA Vanishes</w:t>
      </w:r>
    </w:p>
    <w:p w:rsidR="001459CD" w:rsidRDefault="001459CD" w:rsidP="001459CD">
      <w:pPr>
        <w:tabs>
          <w:tab w:val="left" w:pos="7800"/>
        </w:tabs>
        <w:spacing w:line="360" w:lineRule="auto"/>
      </w:pPr>
    </w:p>
    <w:p w:rsidR="001459CD" w:rsidRDefault="001459CD" w:rsidP="001459CD">
      <w:pPr>
        <w:pStyle w:val="ListParagraph"/>
        <w:numPr>
          <w:ilvl w:val="0"/>
          <w:numId w:val="389"/>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1459CD" w:rsidRDefault="001459CD" w:rsidP="001459CD">
      <w:pPr>
        <w:pStyle w:val="ListParagraph"/>
        <w:numPr>
          <w:ilvl w:val="0"/>
          <w:numId w:val="389"/>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valuation PDE</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becomes</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Pr="00AF69F0" w:rsidRDefault="001459CD" w:rsidP="001459CD">
      <w:pPr>
        <w:pStyle w:val="ListParagraph"/>
        <w:spacing w:line="360" w:lineRule="auto"/>
        <w:ind w:left="360"/>
      </w:pPr>
      <w:r>
        <w:rPr>
          <w:rFonts w:eastAsiaTheme="minorEastAsia"/>
        </w:rPr>
        <w:t>vanishes.</w:t>
      </w:r>
    </w:p>
    <w:p w:rsidR="001459CD" w:rsidRPr="004005C3" w:rsidRDefault="001459CD" w:rsidP="001459CD">
      <w:pPr>
        <w:pStyle w:val="ListParagraph"/>
        <w:numPr>
          <w:ilvl w:val="0"/>
          <w:numId w:val="389"/>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1459CD" w:rsidRDefault="001459CD" w:rsidP="001459CD">
      <w:pPr>
        <w:pStyle w:val="ListParagraph"/>
        <w:spacing w:line="360" w:lineRule="auto"/>
        <w:ind w:left="360"/>
        <w:rPr>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the funding constraint</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These two conditions provide two equations that can be solved to find</w:t>
      </w:r>
    </w:p>
    <w:p w:rsidR="001459CD" w:rsidRDefault="001459CD" w:rsidP="001459CD">
      <w:pPr>
        <w:pStyle w:val="ListParagraph"/>
        <w:spacing w:line="360" w:lineRule="auto"/>
        <w:ind w:left="360"/>
        <w:rPr>
          <w:rFonts w:eastAsiaTheme="minorEastAsia"/>
        </w:rPr>
      </w:pPr>
    </w:p>
    <w:p w:rsidR="001459CD" w:rsidRPr="004005C3"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1459CD" w:rsidRDefault="001459CD" w:rsidP="001459CD">
      <w:pPr>
        <w:pStyle w:val="ListParagraph"/>
        <w:spacing w:line="360" w:lineRule="auto"/>
        <w:ind w:left="360"/>
        <w:rPr>
          <w:rFonts w:eastAsiaTheme="minorEastAsia"/>
        </w:rPr>
      </w:pPr>
    </w:p>
    <w:p w:rsidR="001459CD" w:rsidRPr="004005C3"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1459CD" w:rsidRPr="00C7229E" w:rsidRDefault="001459CD" w:rsidP="001459CD">
      <w:pPr>
        <w:pStyle w:val="ListParagraph"/>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Valuation Adjustment Feynman-Kac Integrals</w:t>
      </w:r>
      <w:r>
        <w:t>: As an example, for the regular bilateral conditions</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these adjustments specialize 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if</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Pr="004005C3" w:rsidRDefault="001459CD" w:rsidP="001459CD">
      <w:pPr>
        <w:pStyle w:val="ListParagraph"/>
        <w:tabs>
          <w:tab w:val="left" w:pos="7800"/>
        </w:tabs>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Case of Classical Bilateral CVA</w:t>
      </w:r>
      <w:r>
        <w:t>: If the derivatives are not collateralized,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2D23D0" w:rsidRDefault="001459CD" w:rsidP="001459CD">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No Shortfall at Own-Default</w:t>
      </w:r>
    </w:p>
    <w:p w:rsidR="001459CD" w:rsidRDefault="001459CD" w:rsidP="001459CD">
      <w:pPr>
        <w:tabs>
          <w:tab w:val="left" w:pos="7800"/>
        </w:tabs>
        <w:spacing w:line="360" w:lineRule="auto"/>
      </w:pPr>
    </w:p>
    <w:p w:rsidR="001459CD" w:rsidRDefault="001459CD" w:rsidP="001459CD">
      <w:pPr>
        <w:pStyle w:val="ListParagraph"/>
        <w:numPr>
          <w:ilvl w:val="0"/>
          <w:numId w:val="390"/>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1459CD" w:rsidRDefault="001459CD" w:rsidP="001459CD">
      <w:pPr>
        <w:pStyle w:val="ListParagraph"/>
        <w:numPr>
          <w:ilvl w:val="0"/>
          <w:numId w:val="390"/>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1459CD" w:rsidRDefault="001459CD" w:rsidP="001459CD">
      <w:pPr>
        <w:pStyle w:val="ListParagraph"/>
        <w:numPr>
          <w:ilvl w:val="0"/>
          <w:numId w:val="390"/>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1459CD" w:rsidRPr="002D5569" w:rsidRDefault="00CF6E03" w:rsidP="001459CD">
      <w:pPr>
        <w:pStyle w:val="ListParagraph"/>
        <w:numPr>
          <w:ilvl w:val="0"/>
          <w:numId w:val="390"/>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1459CD" w:rsidRPr="00AD25B8">
        <w:rPr>
          <w:rFonts w:eastAsiaTheme="minorEastAsia"/>
          <w:u w:val="single"/>
        </w:rPr>
        <w:t xml:space="preserve"> Buy-Sell Strategy</w:t>
      </w:r>
      <w:r w:rsidR="001459CD">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459CD">
        <w:rPr>
          <w:rFonts w:eastAsiaTheme="minorEastAsia"/>
        </w:rPr>
        <w:t xml:space="preserve"> with</w:t>
      </w:r>
    </w:p>
    <w:p w:rsidR="001459CD" w:rsidRPr="002D5569" w:rsidRDefault="001459CD" w:rsidP="001459CD">
      <w:pPr>
        <w:pStyle w:val="ListParagraph"/>
        <w:spacing w:line="360" w:lineRule="auto"/>
        <w:ind w:left="360"/>
        <w:rPr>
          <w:rFonts w:eastAsiaTheme="minorEastAsia"/>
          <w:u w:val="single"/>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a recovery bond</w:t>
      </w:r>
    </w:p>
    <w:p w:rsidR="001459CD" w:rsidRDefault="001459CD" w:rsidP="001459CD">
      <w:pPr>
        <w:pStyle w:val="ListParagraph"/>
        <w:spacing w:line="360" w:lineRule="auto"/>
        <w:ind w:left="360"/>
        <w:rPr>
          <w:rFonts w:eastAsiaTheme="minorEastAsia"/>
        </w:rPr>
      </w:pPr>
    </w:p>
    <w:p w:rsidR="001459CD" w:rsidRDefault="00CF6E03"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2D5569" w:rsidRDefault="001459CD" w:rsidP="001459CD">
      <w:pPr>
        <w:pStyle w:val="ListParagraph"/>
        <w:spacing w:line="360" w:lineRule="auto"/>
        <w:ind w:left="360"/>
        <w:rPr>
          <w:rFonts w:eastAsiaTheme="minorEastAsia"/>
        </w:rPr>
      </w:pPr>
      <w:r>
        <w:rPr>
          <w:rFonts w:eastAsiaTheme="minorEastAsia"/>
        </w:rPr>
        <w:t>The issuer runs the following bond positions:</w:t>
      </w:r>
    </w:p>
    <w:p w:rsidR="001459CD" w:rsidRPr="00AD25B8" w:rsidRDefault="001459CD" w:rsidP="001459CD">
      <w:pPr>
        <w:pStyle w:val="ListParagraph"/>
        <w:numPr>
          <w:ilvl w:val="1"/>
          <w:numId w:val="390"/>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1459CD" w:rsidRPr="002D5569" w:rsidRDefault="001459CD" w:rsidP="001459CD">
      <w:pPr>
        <w:pStyle w:val="ListParagraph"/>
        <w:numPr>
          <w:ilvl w:val="1"/>
          <w:numId w:val="390"/>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1459CD" w:rsidRDefault="001459CD" w:rsidP="001459CD">
      <w:pPr>
        <w:pStyle w:val="ListParagraph"/>
        <w:spacing w:line="360" w:lineRule="auto"/>
        <w:ind w:left="1080"/>
        <w:rPr>
          <w:rFonts w:eastAsiaTheme="minorEastAsia"/>
        </w:rPr>
      </w:pPr>
    </w:p>
    <w:p w:rsidR="001459CD" w:rsidRPr="002D5569" w:rsidRDefault="00CF6E03" w:rsidP="001459CD">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C8550B" w:rsidRDefault="001459CD" w:rsidP="001459CD">
      <w:pPr>
        <w:pStyle w:val="ListParagraph"/>
        <w:spacing w:line="360" w:lineRule="auto"/>
        <w:ind w:left="1080"/>
      </w:pPr>
    </w:p>
    <w:p w:rsidR="001459CD" w:rsidRPr="002D5569" w:rsidRDefault="001459CD" w:rsidP="001459CD">
      <w:pPr>
        <w:pStyle w:val="ListParagraph"/>
        <w:numPr>
          <w:ilvl w:val="0"/>
          <w:numId w:val="390"/>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1459CD" w:rsidRDefault="001459CD" w:rsidP="001459CD">
      <w:pPr>
        <w:pStyle w:val="ListParagraph"/>
        <w:spacing w:line="360" w:lineRule="auto"/>
        <w:ind w:left="360"/>
        <w:rPr>
          <w:rFonts w:eastAsiaTheme="minorEastAsia"/>
          <w:u w:val="single"/>
        </w:rPr>
      </w:pPr>
    </w:p>
    <w:p w:rsidR="001459CD" w:rsidRPr="002D5569"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1459CD" w:rsidRDefault="001459CD" w:rsidP="001459CD">
      <w:pPr>
        <w:pStyle w:val="ListParagraph"/>
        <w:spacing w:line="360" w:lineRule="auto"/>
        <w:ind w:left="360"/>
        <w:rPr>
          <w:rFonts w:eastAsiaTheme="minorEastAsia"/>
        </w:rPr>
      </w:pPr>
    </w:p>
    <w:p w:rsidR="001459CD" w:rsidRPr="002D5569" w:rsidRDefault="00CF6E03"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1459CD" w:rsidRPr="00C8550B" w:rsidRDefault="001459CD" w:rsidP="001459CD">
      <w:pPr>
        <w:pStyle w:val="ListParagraph"/>
        <w:spacing w:line="360" w:lineRule="auto"/>
        <w:ind w:left="360"/>
      </w:pPr>
    </w:p>
    <w:p w:rsidR="001459CD" w:rsidRPr="00C8550B" w:rsidRDefault="001459CD" w:rsidP="001459CD">
      <w:pPr>
        <w:pStyle w:val="ListParagraph"/>
        <w:numPr>
          <w:ilvl w:val="0"/>
          <w:numId w:val="390"/>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1459CD" w:rsidRDefault="001459CD" w:rsidP="001459CD">
      <w:pPr>
        <w:pStyle w:val="ListParagraph"/>
        <w:numPr>
          <w:ilvl w:val="0"/>
          <w:numId w:val="390"/>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852175" w:rsidRDefault="001459CD" w:rsidP="001459CD">
      <w:pPr>
        <w:pStyle w:val="ListParagraph"/>
        <w:tabs>
          <w:tab w:val="left" w:pos="7800"/>
        </w:tabs>
        <w:spacing w:line="360" w:lineRule="auto"/>
        <w:ind w:left="360"/>
      </w:pPr>
      <w:r>
        <w:rPr>
          <w:rFonts w:eastAsiaTheme="minorEastAsia"/>
        </w:rPr>
        <w:t>which is always a windfall – possibly zero – to the bondholders of the issuer.</w:t>
      </w:r>
    </w:p>
    <w:p w:rsidR="001459CD" w:rsidRPr="001E1E35" w:rsidRDefault="001459CD" w:rsidP="001459CD">
      <w:pPr>
        <w:pStyle w:val="ListParagraph"/>
        <w:numPr>
          <w:ilvl w:val="0"/>
          <w:numId w:val="390"/>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1459CD" w:rsidRPr="00D84B0E" w:rsidRDefault="00CF6E03" w:rsidP="001459CD">
      <w:pPr>
        <w:pStyle w:val="ListParagraph"/>
        <w:numPr>
          <w:ilvl w:val="0"/>
          <w:numId w:val="390"/>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1459CD">
        <w:rPr>
          <w:rFonts w:eastAsiaTheme="minorEastAsia"/>
          <w:u w:val="single"/>
        </w:rPr>
        <w:t xml:space="preserve"> Recovery Own Bond Balance</w:t>
      </w:r>
      <w:r w:rsidR="001459CD">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1459CD">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1459CD">
        <w:rPr>
          <w:rFonts w:eastAsiaTheme="minorEastAsia"/>
        </w:rPr>
        <w:t xml:space="preserve"> to the issuer’s bondholders when </w:t>
      </w:r>
      <m:oMath>
        <m:r>
          <w:rPr>
            <w:rFonts w:ascii="Cambria Math" w:eastAsiaTheme="minorEastAsia" w:hAnsi="Cambria Math"/>
          </w:rPr>
          <m:t>V-X</m:t>
        </m:r>
      </m:oMath>
      <w:r w:rsidR="001459CD">
        <w:rPr>
          <w:rFonts w:eastAsiaTheme="minorEastAsia"/>
        </w:rPr>
        <w:t xml:space="preserve"> is in the money and the issuer defaults.</w:t>
      </w:r>
    </w:p>
    <w:p w:rsidR="001459CD" w:rsidRPr="002D5569" w:rsidRDefault="001459CD" w:rsidP="001459CD">
      <w:pPr>
        <w:pStyle w:val="ListParagraph"/>
        <w:numPr>
          <w:ilvl w:val="0"/>
          <w:numId w:val="390"/>
        </w:numPr>
        <w:tabs>
          <w:tab w:val="left" w:pos="7800"/>
        </w:tabs>
        <w:spacing w:after="160" w:line="360" w:lineRule="auto"/>
      </w:pPr>
      <m:oMath>
        <m:r>
          <w:rPr>
            <w:rFonts w:ascii="Cambria Math" w:eastAsiaTheme="minorEastAsia" w:hAnsi="Cambria Math"/>
            <w:u w:val="single"/>
          </w:rPr>
          <w:lastRenderedPageBreak/>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1459CD" w:rsidRPr="002D5569"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2D5569"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numPr>
          <w:ilvl w:val="0"/>
          <w:numId w:val="390"/>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0F6F13" w:rsidRDefault="001459CD" w:rsidP="001459CD">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1459CD" w:rsidRPr="002D5569" w:rsidRDefault="001459CD" w:rsidP="001459CD">
      <w:pPr>
        <w:pStyle w:val="ListParagraph"/>
        <w:numPr>
          <w:ilvl w:val="0"/>
          <w:numId w:val="390"/>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lastRenderedPageBreak/>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1459CD" w:rsidRDefault="001459CD" w:rsidP="001459CD">
      <w:pPr>
        <w:pStyle w:val="ListParagraph"/>
        <w:numPr>
          <w:ilvl w:val="0"/>
          <w:numId w:val="390"/>
        </w:numPr>
        <w:tabs>
          <w:tab w:val="left" w:pos="7800"/>
        </w:tabs>
        <w:spacing w:after="160" w:line="360" w:lineRule="auto"/>
      </w:pPr>
      <w:r>
        <w:rPr>
          <w:u w:val="single"/>
        </w:rPr>
        <w:t>Gold-Plated Two-Way CSA</w:t>
      </w:r>
      <w:r>
        <w:t>: For gold-plated two-way CSAs where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This corresponds to the result for fully collateralized trades of Piterbarg (2010).</w:t>
      </w:r>
    </w:p>
    <w:p w:rsidR="001459CD" w:rsidRDefault="001459CD" w:rsidP="001459CD">
      <w:pPr>
        <w:pStyle w:val="ListParagraph"/>
        <w:numPr>
          <w:ilvl w:val="0"/>
          <w:numId w:val="390"/>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1459CD" w:rsidRDefault="001459CD" w:rsidP="001459CD">
      <w:pPr>
        <w:pStyle w:val="ListParagraph"/>
        <w:numPr>
          <w:ilvl w:val="0"/>
          <w:numId w:val="390"/>
        </w:numPr>
        <w:tabs>
          <w:tab w:val="left" w:pos="7800"/>
        </w:tabs>
        <w:spacing w:after="160" w:line="360" w:lineRule="auto"/>
      </w:pPr>
      <w:r>
        <w:rPr>
          <w:u w:val="single"/>
        </w:rPr>
        <w:t>One-Way CSA Valuation Adjustments</w:t>
      </w:r>
      <w:r>
        <w:t>: In this case the adjustments specialize to</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5E3933" w:rsidRDefault="001459CD" w:rsidP="001459CD">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1459CD" w:rsidRPr="00BA7197" w:rsidRDefault="001459CD" w:rsidP="001459CD">
      <w:pPr>
        <w:pStyle w:val="ListParagraph"/>
        <w:numPr>
          <w:ilvl w:val="0"/>
          <w:numId w:val="390"/>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Set-offs</w:t>
      </w:r>
    </w:p>
    <w:p w:rsidR="001459CD" w:rsidRDefault="001459CD" w:rsidP="001459CD">
      <w:pPr>
        <w:tabs>
          <w:tab w:val="left" w:pos="7800"/>
        </w:tabs>
        <w:spacing w:line="360" w:lineRule="auto"/>
      </w:pPr>
    </w:p>
    <w:p w:rsidR="001459CD" w:rsidRDefault="001459CD" w:rsidP="001459CD">
      <w:pPr>
        <w:pStyle w:val="ListParagraph"/>
        <w:numPr>
          <w:ilvl w:val="0"/>
          <w:numId w:val="391"/>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1459CD" w:rsidRDefault="001459CD" w:rsidP="001459CD">
      <w:pPr>
        <w:pStyle w:val="ListParagraph"/>
        <w:numPr>
          <w:ilvl w:val="0"/>
          <w:numId w:val="391"/>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Inserting this into</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1459CD" w:rsidRDefault="001459CD" w:rsidP="001459CD">
      <w:pPr>
        <w:pStyle w:val="ListParagraph"/>
        <w:numPr>
          <w:ilvl w:val="0"/>
          <w:numId w:val="391"/>
        </w:numPr>
        <w:tabs>
          <w:tab w:val="left" w:pos="7800"/>
        </w:tabs>
        <w:spacing w:after="160" w:line="360" w:lineRule="auto"/>
      </w:pPr>
      <w:r>
        <w:rPr>
          <w:u w:val="single"/>
        </w:rPr>
        <w:t>Set-offs CVA and DVA</w:t>
      </w:r>
      <w:r>
        <w:t>: The CVA and the DVA adjustments in this case are given by</w:t>
      </w:r>
    </w:p>
    <w:p w:rsidR="001459CD" w:rsidRDefault="001459CD" w:rsidP="001459CD">
      <w:pPr>
        <w:pStyle w:val="ListParagraph"/>
        <w:tabs>
          <w:tab w:val="left" w:pos="7800"/>
        </w:tabs>
        <w:spacing w:line="360" w:lineRule="auto"/>
        <w:ind w:left="360"/>
        <w:rPr>
          <w:u w:val="single"/>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BE7332" w:rsidRDefault="001459CD" w:rsidP="001459CD">
      <w:pPr>
        <w:pStyle w:val="ListParagraph"/>
        <w:tabs>
          <w:tab w:val="left" w:pos="7800"/>
        </w:tabs>
        <w:spacing w:line="360" w:lineRule="auto"/>
        <w:ind w:left="360"/>
      </w:pPr>
    </w:p>
    <w:p w:rsidR="001459CD" w:rsidRDefault="001459CD" w:rsidP="001459CD">
      <w:pPr>
        <w:pStyle w:val="ListParagraph"/>
        <w:numPr>
          <w:ilvl w:val="0"/>
          <w:numId w:val="391"/>
        </w:numPr>
        <w:tabs>
          <w:tab w:val="left" w:pos="7800"/>
        </w:tabs>
        <w:spacing w:after="160" w:line="360" w:lineRule="auto"/>
      </w:pPr>
      <w:r>
        <w:rPr>
          <w:u w:val="single"/>
        </w:rPr>
        <w:t>Issuer and Counterparty Price Symmetry</w:t>
      </w:r>
      <w:r>
        <w:t>: Significantly with</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a Single Bond</w:t>
      </w:r>
    </w:p>
    <w:p w:rsidR="001459CD" w:rsidRDefault="001459CD" w:rsidP="001459CD">
      <w:pPr>
        <w:tabs>
          <w:tab w:val="left" w:pos="7800"/>
        </w:tabs>
        <w:spacing w:line="360" w:lineRule="auto"/>
      </w:pPr>
    </w:p>
    <w:p w:rsidR="001459CD" w:rsidRDefault="001459CD" w:rsidP="001459CD">
      <w:pPr>
        <w:pStyle w:val="ListParagraph"/>
        <w:numPr>
          <w:ilvl w:val="0"/>
          <w:numId w:val="392"/>
        </w:numPr>
        <w:tabs>
          <w:tab w:val="left" w:pos="7800"/>
        </w:tabs>
        <w:spacing w:after="160" w:line="360" w:lineRule="auto"/>
        <w:rPr>
          <w:rFonts w:eastAsiaTheme="minorEastAsia"/>
        </w:rPr>
      </w:pPr>
      <w:r w:rsidRPr="00FF36C3">
        <w:rPr>
          <w:u w:val="single"/>
        </w:rPr>
        <w:lastRenderedPageBreak/>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has been used.</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Elimination of Recursion ith the Original PDE</w:t>
      </w:r>
      <w:r w:rsidRPr="00512AB6">
        <w:rPr>
          <w:rFonts w:eastAsiaTheme="minorEastAsia"/>
        </w:rPr>
        <w:t>:</w:t>
      </w:r>
      <w:r>
        <w:rPr>
          <w:rFonts w:eastAsiaTheme="minorEastAsia"/>
        </w:rPr>
        <w:t xml:space="preserve"> The best way to deal with this situation is by going back to the PDE</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insert the hedge error above to obtain</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CF6E03"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CF6E03"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zero counterparty risk –</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1459CD" w:rsidRPr="00D223F9" w:rsidRDefault="001459CD" w:rsidP="001459CD">
      <w:pPr>
        <w:pStyle w:val="ListParagraph"/>
        <w:numPr>
          <w:ilvl w:val="0"/>
          <w:numId w:val="392"/>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into the PDE</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CF6E03"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1459CD" w:rsidRDefault="001459CD" w:rsidP="001459CD">
      <w:pPr>
        <w:pStyle w:val="ListParagraph"/>
        <w:tabs>
          <w:tab w:val="left" w:pos="7800"/>
        </w:tabs>
        <w:spacing w:line="360" w:lineRule="auto"/>
        <w:ind w:left="360"/>
        <w:rPr>
          <w:u w:val="single"/>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For these</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Applying the Feynman-Kac theorem we obtain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F6E03" w:rsidP="001459CD">
      <w:pPr>
        <w:pStyle w:val="ListParagraph"/>
        <w:numPr>
          <w:ilvl w:val="0"/>
          <w:numId w:val="392"/>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1459CD">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1459CD"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1459CD">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1459CD">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1459CD">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1459CD">
        <w:rPr>
          <w:rFonts w:eastAsiaTheme="minorEastAsia"/>
        </w:rPr>
        <w:t xml:space="preserve"> results in</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Pr="007F27A3" w:rsidRDefault="00CF6E03"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7F27A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92"/>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1459CD" w:rsidRDefault="001459CD" w:rsidP="001459CD">
      <w:pPr>
        <w:pStyle w:val="ListParagraph"/>
        <w:numPr>
          <w:ilvl w:val="0"/>
          <w:numId w:val="392"/>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1459CD" w:rsidRDefault="001459CD" w:rsidP="001459CD">
      <w:pPr>
        <w:pStyle w:val="ListParagraph"/>
        <w:numPr>
          <w:ilvl w:val="0"/>
          <w:numId w:val="392"/>
        </w:numPr>
        <w:tabs>
          <w:tab w:val="left" w:pos="7800"/>
        </w:tabs>
        <w:spacing w:after="160" w:line="360" w:lineRule="auto"/>
        <w:rPr>
          <w:rFonts w:eastAsiaTheme="minorEastAsia"/>
        </w:rPr>
      </w:pPr>
      <m:oMath>
        <m:r>
          <w:rPr>
            <w:rFonts w:ascii="Cambria Math" w:eastAsiaTheme="minorEastAsia" w:hAnsi="Cambria Math"/>
            <w:u w:val="single"/>
          </w:rPr>
          <w:lastRenderedPageBreak/>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can thus be calculated as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1459CD" w:rsidRPr="0072532A" w:rsidRDefault="001459CD" w:rsidP="001459CD">
      <w:pPr>
        <w:pStyle w:val="ListParagraph"/>
        <w:numPr>
          <w:ilvl w:val="0"/>
          <w:numId w:val="392"/>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Burgard and Kjaer (2013) Case Study</w:t>
      </w:r>
    </w:p>
    <w:p w:rsidR="001459CD" w:rsidRDefault="001459CD" w:rsidP="001459CD">
      <w:pPr>
        <w:tabs>
          <w:tab w:val="left" w:pos="7800"/>
        </w:tabs>
        <w:spacing w:line="360" w:lineRule="auto"/>
      </w:pPr>
    </w:p>
    <w:p w:rsidR="001459CD" w:rsidRPr="00B81761" w:rsidRDefault="001459CD" w:rsidP="001459CD">
      <w:pPr>
        <w:pStyle w:val="ListParagraph"/>
        <w:numPr>
          <w:ilvl w:val="0"/>
          <w:numId w:val="393"/>
        </w:numPr>
        <w:tabs>
          <w:tab w:val="left" w:pos="7800"/>
        </w:tabs>
        <w:spacing w:after="160" w:line="360" w:lineRule="auto"/>
      </w:pPr>
      <w:r w:rsidRPr="00B81761">
        <w:rPr>
          <w:u w:val="single"/>
        </w:rPr>
        <w:t>Strategy Specific Valuation Asymmetry Estimation</w:t>
      </w:r>
      <w:r w:rsidRPr="00B81761">
        <w:t xml:space="preserve">: Burgard and Kjaer (2013) provide an illustrative case study for the generalized bilateral CVA – the sum of CVA from </w:t>
      </w:r>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DVA from </w:t>
      </w:r>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and the generalized FCA from </w:t>
      </w:r>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sidRPr="00B81761">
        <w:rPr>
          <w:rFonts w:eastAsiaTheme="minorEastAsia"/>
        </w:rPr>
        <w:t xml:space="preserve"> 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w:t>
      </w:r>
      <w:r w:rsidRPr="00B81761">
        <w:rPr>
          <w:rFonts w:eastAsiaTheme="minorEastAsia"/>
        </w:rPr>
        <w:lastRenderedPageBreak/>
        <w:t xml:space="preserve">immediate default of the issuer for three sample trades. For strategy II the FCA is computed as per </w:t>
      </w:r>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w:p>
    <w:p w:rsidR="001459CD" w:rsidRDefault="001459CD" w:rsidP="001459CD">
      <w:pPr>
        <w:pStyle w:val="ListParagraph"/>
        <w:numPr>
          <w:ilvl w:val="0"/>
          <w:numId w:val="393"/>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1459CD" w:rsidRDefault="001459CD" w:rsidP="001459CD">
      <w:pPr>
        <w:pStyle w:val="ListParagraph"/>
        <w:numPr>
          <w:ilvl w:val="0"/>
          <w:numId w:val="393"/>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1459CD" w:rsidRDefault="001459CD" w:rsidP="001459CD">
      <w:pPr>
        <w:pStyle w:val="ListParagraph"/>
        <w:numPr>
          <w:ilvl w:val="0"/>
          <w:numId w:val="393"/>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1459CD" w:rsidRDefault="001459CD" w:rsidP="001459CD">
      <w:pPr>
        <w:pStyle w:val="ListParagraph"/>
        <w:numPr>
          <w:ilvl w:val="0"/>
          <w:numId w:val="393"/>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1459CD" w:rsidRDefault="001459CD" w:rsidP="001459CD">
      <w:pPr>
        <w:pStyle w:val="ListParagraph"/>
        <w:numPr>
          <w:ilvl w:val="0"/>
          <w:numId w:val="393"/>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1459CD" w:rsidRDefault="001459CD" w:rsidP="001459CD">
      <w:pPr>
        <w:pStyle w:val="ListParagraph"/>
        <w:numPr>
          <w:ilvl w:val="0"/>
          <w:numId w:val="393"/>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1459CD" w:rsidRDefault="001459CD" w:rsidP="001459CD">
      <w:pPr>
        <w:pStyle w:val="ListParagraph"/>
        <w:numPr>
          <w:ilvl w:val="0"/>
          <w:numId w:val="393"/>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w:t>
      </w:r>
      <w:r>
        <w:lastRenderedPageBreak/>
        <w:t>hedging error depends on the funding and the collateralization strategy. In the 100 bp case the uncollateralized swap has a valuation asymmetry of 50 bp of the notional with the magnitude decreasing from OTM through ATM to ITM.</w:t>
      </w:r>
    </w:p>
    <w:p w:rsidR="001459CD" w:rsidRDefault="001459CD" w:rsidP="001459CD">
      <w:pPr>
        <w:pStyle w:val="ListParagraph"/>
        <w:numPr>
          <w:ilvl w:val="0"/>
          <w:numId w:val="393"/>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1459CD" w:rsidRDefault="001459CD" w:rsidP="001459CD">
      <w:pPr>
        <w:pStyle w:val="ListParagraph"/>
        <w:numPr>
          <w:ilvl w:val="0"/>
          <w:numId w:val="393"/>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1459CD" w:rsidRDefault="001459CD" w:rsidP="001459CD">
      <w:pPr>
        <w:pStyle w:val="ListParagraph"/>
        <w:numPr>
          <w:ilvl w:val="0"/>
          <w:numId w:val="393"/>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1459CD" w:rsidRPr="00B81761" w:rsidRDefault="001459CD" w:rsidP="001459CD">
      <w:pPr>
        <w:pStyle w:val="ListParagraph"/>
        <w:numPr>
          <w:ilvl w:val="0"/>
          <w:numId w:val="393"/>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References</w:t>
      </w:r>
    </w:p>
    <w:p w:rsidR="001459CD" w:rsidRDefault="001459CD" w:rsidP="001459CD">
      <w:pPr>
        <w:tabs>
          <w:tab w:val="left" w:pos="7800"/>
        </w:tabs>
        <w:spacing w:line="360" w:lineRule="auto"/>
      </w:pPr>
      <w:r>
        <w:tab/>
      </w:r>
    </w:p>
    <w:p w:rsidR="001459CD" w:rsidRDefault="001459CD" w:rsidP="001459CD">
      <w:pPr>
        <w:pStyle w:val="ListParagraph"/>
        <w:numPr>
          <w:ilvl w:val="0"/>
          <w:numId w:val="373"/>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130" w:history="1">
        <w:r>
          <w:rPr>
            <w:rStyle w:val="Hyperlink"/>
          </w:rPr>
          <w:t>Credit Valuation Adjustment (CVA)</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1459CD" w:rsidRDefault="001459CD" w:rsidP="001459CD">
      <w:pPr>
        <w:pStyle w:val="ListParagraph"/>
        <w:numPr>
          <w:ilvl w:val="0"/>
          <w:numId w:val="373"/>
        </w:numPr>
        <w:spacing w:after="160" w:line="360" w:lineRule="auto"/>
      </w:pPr>
      <w:r>
        <w:lastRenderedPageBreak/>
        <w:t xml:space="preserve">Brigo, D., and M. Morini (2011): Close-out Convention Tensions </w:t>
      </w:r>
      <w:r>
        <w:rPr>
          <w:i/>
        </w:rPr>
        <w:t>Risk</w:t>
      </w:r>
      <w:r>
        <w:t xml:space="preserve"> 86-90.</w:t>
      </w:r>
    </w:p>
    <w:p w:rsidR="001459CD" w:rsidRDefault="001459CD" w:rsidP="001459CD">
      <w:pPr>
        <w:pStyle w:val="ListParagraph"/>
        <w:numPr>
          <w:ilvl w:val="0"/>
          <w:numId w:val="373"/>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131"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132"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1459CD" w:rsidRDefault="001459CD" w:rsidP="001459CD">
      <w:pPr>
        <w:pStyle w:val="ListParagraph"/>
        <w:numPr>
          <w:ilvl w:val="0"/>
          <w:numId w:val="373"/>
        </w:numPr>
        <w:spacing w:after="160" w:line="360" w:lineRule="auto"/>
      </w:pPr>
      <w:r w:rsidRPr="0084037E">
        <w:t xml:space="preserve">Burgard, C., and M. Kjaer (2012a): </w:t>
      </w:r>
      <w:hyperlink r:id="rId133"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b</w:t>
      </w:r>
      <w:r w:rsidRPr="0084037E">
        <w:t xml:space="preserve">): </w:t>
      </w:r>
      <w:hyperlink r:id="rId134" w:history="1">
        <w:r>
          <w:rPr>
            <w:rStyle w:val="Hyperlink"/>
          </w:rPr>
          <w:t>In the Balance</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c</w:t>
      </w:r>
      <w:r w:rsidRPr="0084037E">
        <w:t xml:space="preserve">): </w:t>
      </w:r>
      <w:hyperlink r:id="rId135" w:history="1">
        <w:r>
          <w:rPr>
            <w:rStyle w:val="Hyperlink"/>
          </w:rPr>
          <w:t>CVA and FVA with Funding Aware Close-outs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w:t>
      </w:r>
      <w:r>
        <w:t>3</w:t>
      </w:r>
      <w:r w:rsidRPr="0084037E">
        <w:t xml:space="preserve">): </w:t>
      </w:r>
      <w:hyperlink r:id="rId136" w:history="1">
        <w:r>
          <w:rPr>
            <w:rStyle w:val="Hyperlink"/>
          </w:rPr>
          <w:t>Funding Costs, Funding Strategies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1459CD" w:rsidRDefault="001459CD" w:rsidP="001459CD">
      <w:pPr>
        <w:pStyle w:val="ListParagraph"/>
        <w:numPr>
          <w:ilvl w:val="0"/>
          <w:numId w:val="373"/>
        </w:numPr>
        <w:spacing w:after="160" w:line="360" w:lineRule="auto"/>
      </w:pPr>
      <w:r>
        <w:t xml:space="preserve">Crepey, S. (2013a): </w:t>
      </w:r>
      <w:hyperlink r:id="rId137" w:history="1">
        <w:r w:rsidRPr="003C7B1E">
          <w:rPr>
            <w:rStyle w:val="Hyperlink"/>
          </w:rPr>
          <w:t>Bilateral Counterparty Risk Under Funding Constraints – Part I: Pricing</w:t>
        </w:r>
      </w:hyperlink>
      <w:r>
        <w:t>.</w:t>
      </w:r>
    </w:p>
    <w:p w:rsidR="001459CD" w:rsidRDefault="001459CD" w:rsidP="001459CD">
      <w:pPr>
        <w:pStyle w:val="ListParagraph"/>
        <w:numPr>
          <w:ilvl w:val="0"/>
          <w:numId w:val="373"/>
        </w:numPr>
        <w:spacing w:after="160" w:line="360" w:lineRule="auto"/>
      </w:pPr>
      <w:r>
        <w:t xml:space="preserve">Crepey, S. (2013b): </w:t>
      </w:r>
      <w:hyperlink r:id="rId138" w:history="1">
        <w:r>
          <w:rPr>
            <w:rStyle w:val="Hyperlink"/>
          </w:rPr>
          <w:t>Bilateral Counterparty Risk Under Funding Constraints – Part II: CVA</w:t>
        </w:r>
      </w:hyperlink>
      <w:r>
        <w:t>.</w:t>
      </w:r>
    </w:p>
    <w:p w:rsidR="001459CD" w:rsidRDefault="001459CD" w:rsidP="001459CD">
      <w:pPr>
        <w:pStyle w:val="ListParagraph"/>
        <w:numPr>
          <w:ilvl w:val="0"/>
          <w:numId w:val="373"/>
        </w:numPr>
        <w:spacing w:after="160" w:line="360" w:lineRule="auto"/>
      </w:pPr>
      <w:r>
        <w:t xml:space="preserve">Gregory, J. (2009): Being Two-faced Over Counter-party Risk </w:t>
      </w:r>
      <w:r>
        <w:rPr>
          <w:i/>
        </w:rPr>
        <w:t>Risk</w:t>
      </w:r>
      <w:r>
        <w:t xml:space="preserve"> 86-90.</w:t>
      </w:r>
    </w:p>
    <w:p w:rsidR="001459CD" w:rsidRDefault="001459CD" w:rsidP="001459CD">
      <w:pPr>
        <w:pStyle w:val="ListParagraph"/>
        <w:numPr>
          <w:ilvl w:val="0"/>
          <w:numId w:val="373"/>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1459CD" w:rsidRDefault="001459CD" w:rsidP="001459CD">
      <w:pPr>
        <w:pStyle w:val="ListParagraph"/>
        <w:numPr>
          <w:ilvl w:val="0"/>
          <w:numId w:val="373"/>
        </w:numPr>
        <w:spacing w:after="160" w:line="360" w:lineRule="auto"/>
      </w:pPr>
      <w:r>
        <w:t xml:space="preserve">Hull, J., and A. White (2012a): The FVA Debate </w:t>
      </w:r>
      <w:r>
        <w:rPr>
          <w:i/>
        </w:rPr>
        <w:t>Risk</w:t>
      </w:r>
      <w:r>
        <w:t xml:space="preserve"> 83-85.</w:t>
      </w:r>
    </w:p>
    <w:p w:rsidR="001459CD" w:rsidRDefault="001459CD" w:rsidP="001459CD">
      <w:pPr>
        <w:pStyle w:val="ListParagraph"/>
        <w:numPr>
          <w:ilvl w:val="0"/>
          <w:numId w:val="373"/>
        </w:numPr>
        <w:spacing w:after="160" w:line="360" w:lineRule="auto"/>
      </w:pPr>
      <w:r>
        <w:t xml:space="preserve">Hull, J., and A. White (2012b): </w:t>
      </w:r>
      <w:hyperlink r:id="rId139" w:history="1">
        <w:r w:rsidRPr="000F6F13">
          <w:rPr>
            <w:rStyle w:val="Hyperlink"/>
          </w:rPr>
          <w:t>CVA, DVA, FVA, and Black-Scholes-Merton Arguments</w:t>
        </w:r>
      </w:hyperlink>
      <w:r>
        <w:t>.</w:t>
      </w:r>
    </w:p>
    <w:p w:rsidR="001459CD" w:rsidRDefault="001459CD" w:rsidP="001459CD">
      <w:pPr>
        <w:pStyle w:val="ListParagraph"/>
        <w:numPr>
          <w:ilvl w:val="0"/>
          <w:numId w:val="373"/>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1459CD" w:rsidRDefault="001459CD" w:rsidP="001459CD">
      <w:pPr>
        <w:pStyle w:val="ListParagraph"/>
        <w:numPr>
          <w:ilvl w:val="0"/>
          <w:numId w:val="373"/>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1459CD" w:rsidRDefault="001459CD" w:rsidP="001459CD">
      <w:pPr>
        <w:pStyle w:val="ListParagraph"/>
        <w:numPr>
          <w:ilvl w:val="0"/>
          <w:numId w:val="373"/>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1459CD" w:rsidRDefault="001459CD" w:rsidP="001459CD">
      <w:pPr>
        <w:pStyle w:val="ListParagraph"/>
        <w:numPr>
          <w:ilvl w:val="0"/>
          <w:numId w:val="373"/>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1459CD" w:rsidRDefault="001459CD" w:rsidP="001459CD">
      <w:pPr>
        <w:pStyle w:val="ListParagraph"/>
        <w:numPr>
          <w:ilvl w:val="0"/>
          <w:numId w:val="373"/>
        </w:numPr>
        <w:spacing w:after="160" w:line="360" w:lineRule="auto"/>
      </w:pPr>
      <w:r>
        <w:lastRenderedPageBreak/>
        <w:t xml:space="preserve">Morini, M., and A. Prampolini (2011): Risky Funding with Counterparty and Liquidity Charges </w:t>
      </w:r>
      <w:r>
        <w:rPr>
          <w:i/>
        </w:rPr>
        <w:t>Risk</w:t>
      </w:r>
      <w:r>
        <w:t xml:space="preserve"> 70-75.</w:t>
      </w:r>
    </w:p>
    <w:p w:rsidR="001459CD" w:rsidRDefault="001459CD" w:rsidP="001459CD">
      <w:pPr>
        <w:pStyle w:val="ListParagraph"/>
        <w:numPr>
          <w:ilvl w:val="0"/>
          <w:numId w:val="373"/>
        </w:numPr>
        <w:spacing w:after="160" w:line="360" w:lineRule="auto"/>
      </w:pPr>
      <w:r>
        <w:t xml:space="preserve">Piterbarg, V. (2010): Funding Beyond Discounting – Collateral Agreements and Derivatives Pricing </w:t>
      </w:r>
      <w:r>
        <w:rPr>
          <w:i/>
        </w:rPr>
        <w:t>Risk</w:t>
      </w:r>
      <w:r>
        <w:t xml:space="preserve"> 97-102.</w:t>
      </w:r>
    </w:p>
    <w:p w:rsidR="001459CD" w:rsidRPr="0084037E" w:rsidRDefault="001459CD" w:rsidP="001459CD">
      <w:pPr>
        <w:pStyle w:val="ListParagraph"/>
        <w:numPr>
          <w:ilvl w:val="0"/>
          <w:numId w:val="373"/>
        </w:numPr>
        <w:spacing w:after="160" w:line="360" w:lineRule="auto"/>
      </w:pPr>
      <w:r>
        <w:t xml:space="preserve">Pykhtin, M., and S. Zhu (2007): </w:t>
      </w:r>
      <w:r>
        <w:rPr>
          <w:i/>
        </w:rPr>
        <w:t>A Guide to Modeling Counterparty Risk</w:t>
      </w:r>
      <w:r>
        <w:t xml:space="preserve"> </w:t>
      </w:r>
      <w:r>
        <w:rPr>
          <w:b/>
        </w:rPr>
        <w:t>GARP Risk Review.</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CF6E03"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40"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786130" w:rsidP="00283121">
      <w:pPr>
        <w:pStyle w:val="Heading3"/>
      </w:pPr>
      <w:r>
        <w:t>MMT And Asset-Liability Symmetry</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41"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42"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43"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44"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45"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47"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48"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CF6E03"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CF6E03"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9"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50"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51"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52"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CF6E03"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CF6E03"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CF6E03"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CF6E03"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CF6E03"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CF6E03"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CF6E03"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CF6E03"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CF6E03"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CF6E0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CF6E0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CF6E0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CF6E0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CF6E03"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CF6E03"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CF6E03"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CF6E03"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CF6E03"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CF6E03"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CF6E03"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CF6E03"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53"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54"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CF6E03"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CF6E03"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CF6E03"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CF6E03"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CF6E03"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CF6E03"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CF6E03"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CF6E03"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CF6E03"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CF6E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CF6E03"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CF6E03"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CF6E03"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CF6E03"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CF6E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CF6E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CF6E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CF6E0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CF6E03"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CF6E03"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CF6E03"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CF6E03"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CF6E03"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CF6E03"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CF6E03"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CF6E03"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CF6E0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CF6E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CF6E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CF6E0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CF6E03"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CF6E0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CF6E0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CF6E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CF6E0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CF6E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CF6E0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CF6E0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CF6E0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CF6E03"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CF6E03"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CF6E03"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CF6E03"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CF6E03"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CF6E03"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CF6E03"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CF6E03"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55"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56"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57"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CF6E03"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CF6E03"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CF6E03"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CF6E03"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CF6E03"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CF6E03"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CF6E03"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CF6E03"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CF6E03"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CF6E03"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CF6E03"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CF6E03"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CF6E03"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CF6E03"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CF6E03"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CF6E03"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CF6E03"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CF6E03"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CF6E03"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CF6E03"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CF6E03"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CF6E03"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CF6E03"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CF6E03"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CF6E03"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CF6E03"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58"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9"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CF6E03"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CF6E03"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CF6E03"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CF6E03"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60"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lastRenderedPageBreak/>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lastRenderedPageBreak/>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w:t>
      </w:r>
      <w:r>
        <w:lastRenderedPageBreak/>
        <w:t>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61"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lastRenderedPageBreak/>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 xml:space="preserve">They do not attempt a rigorous, full-blown analysis of the balance sheet that takes into consideration many other assets and operation of a typical bank. Neither do they consider the effects of taxes, bond covenants, dividend </w:t>
      </w:r>
      <w:r w:rsidR="000D4261">
        <w:lastRenderedPageBreak/>
        <w:t>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62"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63"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w:t>
      </w:r>
      <w:r w:rsidR="000503C7">
        <w:rPr>
          <w:sz w:val="32"/>
          <w:u w:val="none"/>
        </w:rPr>
        <w:t>I</w:t>
      </w:r>
      <w:r>
        <w:rPr>
          <w:sz w:val="32"/>
          <w:u w:val="none"/>
        </w:rPr>
        <w:t>: Assorted Calibration, Hedging, and Valuation Considerations</w:t>
      </w:r>
    </w:p>
    <w:p w:rsidR="0004542D" w:rsidRDefault="0004542D" w:rsidP="0004542D">
      <w:pPr>
        <w:spacing w:after="160" w:line="259" w:lineRule="auto"/>
        <w:rPr>
          <w:sz w:val="28"/>
        </w:rPr>
      </w:pPr>
      <w:r>
        <w:rPr>
          <w:b/>
          <w:bCs/>
        </w:rPr>
        <w:br w:type="page"/>
      </w:r>
    </w:p>
    <w:p w:rsidR="0011375B" w:rsidRDefault="0011375B" w:rsidP="006452B7">
      <w:pPr>
        <w:pStyle w:val="Footer"/>
        <w:tabs>
          <w:tab w:val="clear" w:pos="4320"/>
          <w:tab w:val="clear" w:pos="8640"/>
        </w:tabs>
        <w:spacing w:line="360" w:lineRule="auto"/>
        <w:jc w:val="center"/>
        <w:rPr>
          <w:b/>
          <w:bCs/>
          <w:sz w:val="32"/>
        </w:rPr>
      </w:pPr>
    </w:p>
    <w:p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37243C" w:rsidRDefault="0037243C" w:rsidP="004F43FC">
      <w:pPr>
        <w:pStyle w:val="Footer"/>
        <w:tabs>
          <w:tab w:val="clear" w:pos="4320"/>
          <w:tab w:val="clear" w:pos="8640"/>
        </w:tabs>
        <w:spacing w:line="360" w:lineRule="auto"/>
        <w:jc w:val="center"/>
        <w:rPr>
          <w:b/>
          <w:bCs/>
          <w:sz w:val="32"/>
        </w:rPr>
      </w:pPr>
    </w:p>
    <w:p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37243C" w:rsidRDefault="0037243C" w:rsidP="00CE478B">
      <w:pPr>
        <w:pStyle w:val="Heading2"/>
        <w:jc w:val="center"/>
        <w:rPr>
          <w:sz w:val="32"/>
        </w:rPr>
      </w:pPr>
    </w:p>
    <w:p w:rsidR="00CE478B" w:rsidRDefault="00CE478B" w:rsidP="00CE478B">
      <w:pPr>
        <w:pStyle w:val="Heading2"/>
        <w:jc w:val="center"/>
        <w:rPr>
          <w:sz w:val="32"/>
        </w:rPr>
      </w:pPr>
      <w:r>
        <w:rPr>
          <w:sz w:val="32"/>
        </w:rPr>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37243C">
      <w:pPr>
        <w:pStyle w:val="ListParagraph"/>
        <w:numPr>
          <w:ilvl w:val="0"/>
          <w:numId w:val="394"/>
        </w:numPr>
        <w:spacing w:line="360" w:lineRule="auto"/>
      </w:pPr>
      <w:r w:rsidRPr="0037243C">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CF6E03"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CF6E03"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CF6E03"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CF6E03"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CF6E03"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w:t>
      </w:r>
      <w:r w:rsidR="000503C7">
        <w:rPr>
          <w:sz w:val="32"/>
          <w:u w:val="none"/>
        </w:rPr>
        <w:t>I</w:t>
      </w:r>
      <w:r>
        <w:rPr>
          <w:sz w:val="32"/>
          <w:u w:val="none"/>
        </w:rPr>
        <w:t>: Statistical Learning in Curve Construction</w:t>
      </w:r>
    </w:p>
    <w:p w:rsidR="00CE478B" w:rsidRDefault="00CE478B" w:rsidP="00CE478B">
      <w:pPr>
        <w:spacing w:after="160" w:line="259" w:lineRule="auto"/>
        <w:rPr>
          <w:sz w:val="28"/>
        </w:rPr>
      </w:pPr>
      <w:r>
        <w:rPr>
          <w:b/>
          <w:bCs/>
        </w:rPr>
        <w:br w:type="page"/>
      </w:r>
    </w:p>
    <w:p w:rsidR="0037243C" w:rsidRDefault="0037243C" w:rsidP="00150A73">
      <w:pPr>
        <w:pStyle w:val="Heading4"/>
      </w:pPr>
    </w:p>
    <w:p w:rsidR="00150A73" w:rsidRDefault="00150A73" w:rsidP="00150A73">
      <w:pPr>
        <w:pStyle w:val="Heading4"/>
      </w:pPr>
      <w:r>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lastRenderedPageBreak/>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lastRenderedPageBreak/>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lastRenderedPageBreak/>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lastRenderedPageBreak/>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w:t>
      </w:r>
      <w:r w:rsidR="000503C7">
        <w:rPr>
          <w:sz w:val="32"/>
          <w:u w:val="none"/>
        </w:rPr>
        <w:t>IX</w:t>
      </w:r>
      <w:r>
        <w:rPr>
          <w:sz w:val="32"/>
          <w:u w:val="none"/>
        </w:rPr>
        <w:t xml:space="preserve">: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37243C" w:rsidRDefault="0037243C" w:rsidP="002B21BA">
      <w:pPr>
        <w:pStyle w:val="Heading1"/>
        <w:jc w:val="center"/>
        <w:rPr>
          <w:sz w:val="32"/>
          <w:szCs w:val="32"/>
          <w:u w:val="none"/>
        </w:rPr>
      </w:pPr>
    </w:p>
    <w:p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lastRenderedPageBreak/>
        <w:t>Option Adjusted Spread</w:t>
      </w:r>
    </w:p>
    <w:p w:rsidR="002B21BA" w:rsidRDefault="002B21BA" w:rsidP="005A2C14">
      <w:pPr>
        <w:numPr>
          <w:ilvl w:val="0"/>
          <w:numId w:val="176"/>
        </w:numPr>
        <w:spacing w:line="360" w:lineRule="auto"/>
      </w:pPr>
      <w:r>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lastRenderedPageBreak/>
        <w:t>Convexity</w:t>
      </w:r>
    </w:p>
    <w:p w:rsidR="002B21BA" w:rsidRDefault="002B21BA" w:rsidP="002B21BA">
      <w:pPr>
        <w:spacing w:line="360" w:lineRule="auto"/>
      </w:pPr>
    </w:p>
    <w:p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DV01</w:t>
      </w:r>
    </w:p>
    <w:p w:rsidR="002B21BA" w:rsidRDefault="002B21BA" w:rsidP="002B21BA">
      <w:pPr>
        <w:spacing w:line="360" w:lineRule="auto"/>
      </w:pPr>
    </w:p>
    <w:p w:rsidR="002B21BA" w:rsidRDefault="002B21BA" w:rsidP="002B21BA">
      <w:pPr>
        <w:spacing w:line="360" w:lineRule="auto"/>
      </w:pPr>
      <w:r>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CF6E03"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CF6E03"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CF6E03"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CF6E03"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CF6E03"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F6E03"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F6E0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F6E0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F6E0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F6E03"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F6E03"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CF6E03"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CF6E03"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CF6E03"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CF6E03"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CF6E03"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CF6E03"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F6E03"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9B0F75" w:rsidRDefault="009B0F75" w:rsidP="009B0F75">
      <w:pPr>
        <w:spacing w:line="360" w:lineRule="auto"/>
      </w:pPr>
    </w:p>
    <w:p w:rsidR="009B0F75" w:rsidRDefault="009B0F75" w:rsidP="009B0F75">
      <w:pPr>
        <w:spacing w:line="360" w:lineRule="auto"/>
      </w:pPr>
    </w:p>
    <w:p w:rsidR="009B0F75" w:rsidRDefault="009B0F75" w:rsidP="009B0F75">
      <w:pPr>
        <w:pStyle w:val="Heading3"/>
      </w:pPr>
      <w:r>
        <w:t>Relative Value Cross-Metric Grid</w:t>
      </w:r>
    </w:p>
    <w:p w:rsidR="009B0F75" w:rsidRDefault="009B0F75" w:rsidP="009B0F75">
      <w:pPr>
        <w:pStyle w:val="Footer"/>
        <w:tabs>
          <w:tab w:val="clear" w:pos="4320"/>
          <w:tab w:val="clear" w:pos="8640"/>
        </w:tabs>
        <w:spacing w:line="360" w:lineRule="auto"/>
      </w:pPr>
    </w:p>
    <w:tbl>
      <w:tblPr>
        <w:tblStyle w:val="TableGrid"/>
        <w:tblW w:w="10710" w:type="dxa"/>
        <w:tblInd w:w="-905" w:type="dxa"/>
        <w:tblLook w:val="04A0" w:firstRow="1" w:lastRow="0" w:firstColumn="1" w:lastColumn="0" w:noHBand="0" w:noVBand="1"/>
      </w:tblPr>
      <w:tblGrid>
        <w:gridCol w:w="2449"/>
        <w:gridCol w:w="1601"/>
        <w:gridCol w:w="1890"/>
        <w:gridCol w:w="1827"/>
        <w:gridCol w:w="1516"/>
        <w:gridCol w:w="1427"/>
      </w:tblGrid>
      <w:tr w:rsidR="009B0F75" w:rsidTr="00F06FCC">
        <w:tc>
          <w:tcPr>
            <w:tcW w:w="2449" w:type="dxa"/>
            <w:vAlign w:val="center"/>
          </w:tcPr>
          <w:p w:rsidR="009B0F75" w:rsidRPr="00F06FCC" w:rsidRDefault="00F06FCC" w:rsidP="00F06FCC">
            <w:pPr>
              <w:spacing w:line="360" w:lineRule="auto"/>
              <w:jc w:val="center"/>
              <w:rPr>
                <w:b/>
                <w:sz w:val="28"/>
                <w:szCs w:val="28"/>
              </w:rPr>
            </w:pPr>
            <w:r w:rsidRPr="00F06FCC">
              <w:rPr>
                <w:b/>
                <w:sz w:val="28"/>
                <w:szCs w:val="28"/>
              </w:rPr>
              <w:t>Measure</w:t>
            </w:r>
          </w:p>
        </w:tc>
        <w:tc>
          <w:tcPr>
            <w:tcW w:w="1601" w:type="dxa"/>
            <w:vAlign w:val="center"/>
          </w:tcPr>
          <w:p w:rsidR="009B0F75" w:rsidRPr="00F06FCC" w:rsidRDefault="00F06FCC" w:rsidP="00F06FCC">
            <w:pPr>
              <w:spacing w:line="360" w:lineRule="auto"/>
              <w:jc w:val="center"/>
              <w:rPr>
                <w:b/>
                <w:sz w:val="28"/>
                <w:szCs w:val="28"/>
              </w:rPr>
            </w:pPr>
            <w:r>
              <w:rPr>
                <w:b/>
                <w:sz w:val="28"/>
                <w:szCs w:val="28"/>
              </w:rPr>
              <w:t>Anchor</w:t>
            </w:r>
          </w:p>
        </w:tc>
        <w:tc>
          <w:tcPr>
            <w:tcW w:w="1890" w:type="dxa"/>
            <w:vAlign w:val="center"/>
          </w:tcPr>
          <w:p w:rsidR="009B0F75" w:rsidRPr="00F06FCC" w:rsidRDefault="00F06FCC" w:rsidP="00F06FCC">
            <w:pPr>
              <w:spacing w:line="360" w:lineRule="auto"/>
              <w:jc w:val="center"/>
              <w:rPr>
                <w:b/>
                <w:sz w:val="28"/>
                <w:szCs w:val="28"/>
              </w:rPr>
            </w:pPr>
            <w:r>
              <w:rPr>
                <w:b/>
                <w:sz w:val="28"/>
                <w:szCs w:val="28"/>
              </w:rPr>
              <w:t>Work-out Dependence</w:t>
            </w:r>
          </w:p>
        </w:tc>
        <w:tc>
          <w:tcPr>
            <w:tcW w:w="1827" w:type="dxa"/>
            <w:vAlign w:val="center"/>
          </w:tcPr>
          <w:p w:rsidR="009B0F75" w:rsidRPr="00F06FCC" w:rsidRDefault="00F06FCC" w:rsidP="00F06FCC">
            <w:pPr>
              <w:spacing w:line="360" w:lineRule="auto"/>
              <w:jc w:val="center"/>
              <w:rPr>
                <w:b/>
                <w:sz w:val="28"/>
                <w:szCs w:val="28"/>
              </w:rPr>
            </w:pPr>
            <w:r>
              <w:rPr>
                <w:b/>
                <w:sz w:val="28"/>
                <w:szCs w:val="28"/>
              </w:rPr>
              <w:t>Non-linear Root Extraction</w:t>
            </w:r>
          </w:p>
        </w:tc>
        <w:tc>
          <w:tcPr>
            <w:tcW w:w="1516" w:type="dxa"/>
            <w:vAlign w:val="center"/>
          </w:tcPr>
          <w:p w:rsidR="009B0F75" w:rsidRPr="00F06FCC" w:rsidRDefault="00F06FCC" w:rsidP="00F06FCC">
            <w:pPr>
              <w:spacing w:line="360" w:lineRule="auto"/>
              <w:jc w:val="center"/>
              <w:rPr>
                <w:b/>
                <w:sz w:val="28"/>
                <w:szCs w:val="28"/>
              </w:rPr>
            </w:pPr>
            <w:r>
              <w:rPr>
                <w:b/>
                <w:sz w:val="28"/>
                <w:szCs w:val="28"/>
              </w:rPr>
              <w:t>Manifest Measure Extraction</w:t>
            </w:r>
          </w:p>
        </w:tc>
        <w:tc>
          <w:tcPr>
            <w:tcW w:w="1427" w:type="dxa"/>
            <w:vAlign w:val="center"/>
          </w:tcPr>
          <w:p w:rsidR="009B0F75" w:rsidRPr="00F06FCC" w:rsidRDefault="00F06FCC" w:rsidP="00F06FCC">
            <w:pPr>
              <w:spacing w:line="360" w:lineRule="auto"/>
              <w:jc w:val="center"/>
              <w:rPr>
                <w:b/>
                <w:sz w:val="28"/>
                <w:szCs w:val="28"/>
              </w:rPr>
            </w:pPr>
            <w:r>
              <w:rPr>
                <w:b/>
                <w:sz w:val="28"/>
                <w:szCs w:val="28"/>
              </w:rPr>
              <w:t>Cash Flow Valuation</w:t>
            </w:r>
          </w:p>
        </w:tc>
      </w:tr>
      <w:tr w:rsidR="009B0F75" w:rsidTr="00F06FCC">
        <w:tc>
          <w:tcPr>
            <w:tcW w:w="2449" w:type="dxa"/>
            <w:vAlign w:val="center"/>
          </w:tcPr>
          <w:p w:rsidR="009B0F75" w:rsidRDefault="00F06FCC" w:rsidP="00F06FCC">
            <w:pPr>
              <w:spacing w:line="360" w:lineRule="auto"/>
              <w:jc w:val="center"/>
            </w:pPr>
            <w:r>
              <w:t>Asset Swap Spread</w:t>
            </w:r>
          </w:p>
        </w:tc>
        <w:tc>
          <w:tcPr>
            <w:tcW w:w="1601" w:type="dxa"/>
            <w:vAlign w:val="center"/>
          </w:tcPr>
          <w:p w:rsidR="009B0F75" w:rsidRDefault="00F06FCC" w:rsidP="00F06FCC">
            <w:pPr>
              <w:spacing w:line="360" w:lineRule="auto"/>
              <w:jc w:val="center"/>
            </w:pPr>
            <w:r>
              <w:t>PRICE</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TRUE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F06FCC" w:rsidP="00F06FCC">
            <w:pPr>
              <w:spacing w:line="360" w:lineRule="auto"/>
              <w:jc w:val="center"/>
            </w:pPr>
            <w:r>
              <w:t>Bond Basis</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TRUE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TRUE</w:t>
            </w:r>
          </w:p>
        </w:tc>
      </w:tr>
      <w:tr w:rsidR="009B0F75" w:rsidTr="00F06FCC">
        <w:tc>
          <w:tcPr>
            <w:tcW w:w="2449" w:type="dxa"/>
            <w:vAlign w:val="center"/>
          </w:tcPr>
          <w:p w:rsidR="009B0F75" w:rsidRDefault="00F06FCC" w:rsidP="00F06FCC">
            <w:pPr>
              <w:spacing w:line="360" w:lineRule="auto"/>
              <w:jc w:val="center"/>
            </w:pPr>
            <w:r>
              <w:t>Credit Basis</w:t>
            </w:r>
          </w:p>
        </w:tc>
        <w:tc>
          <w:tcPr>
            <w:tcW w:w="1601" w:type="dxa"/>
            <w:vAlign w:val="center"/>
          </w:tcPr>
          <w:p w:rsidR="009B0F75" w:rsidRDefault="00F06FCC" w:rsidP="00F06FCC">
            <w:pPr>
              <w:spacing w:line="360" w:lineRule="auto"/>
              <w:jc w:val="center"/>
            </w:pPr>
            <w:r>
              <w:t>PRICE</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TRUE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TRUE</w:t>
            </w:r>
          </w:p>
        </w:tc>
      </w:tr>
      <w:tr w:rsidR="009B0F75" w:rsidTr="00F06FCC">
        <w:tc>
          <w:tcPr>
            <w:tcW w:w="2449" w:type="dxa"/>
            <w:vAlign w:val="center"/>
          </w:tcPr>
          <w:p w:rsidR="009B0F75" w:rsidRDefault="00F06FCC" w:rsidP="00F06FCC">
            <w:pPr>
              <w:spacing w:line="360" w:lineRule="auto"/>
              <w:jc w:val="center"/>
            </w:pPr>
            <w:r>
              <w:t>Discount Margin</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FALSE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F06FCC" w:rsidP="00F06FCC">
            <w:pPr>
              <w:spacing w:line="360" w:lineRule="auto"/>
              <w:jc w:val="center"/>
            </w:pPr>
            <w:r>
              <w:t>G Spread</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TRUE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752BD8" w:rsidP="00F06FCC">
            <w:pPr>
              <w:spacing w:line="360" w:lineRule="auto"/>
              <w:jc w:val="center"/>
            </w:pPr>
            <w:r>
              <w:t>I Spread</w:t>
            </w:r>
          </w:p>
        </w:tc>
        <w:tc>
          <w:tcPr>
            <w:tcW w:w="1601" w:type="dxa"/>
            <w:vAlign w:val="center"/>
          </w:tcPr>
          <w:p w:rsidR="009B0F75" w:rsidRDefault="00752BD8" w:rsidP="00F06FCC">
            <w:pPr>
              <w:spacing w:line="360" w:lineRule="auto"/>
              <w:jc w:val="center"/>
            </w:pPr>
            <w:r>
              <w:t>YIELD</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TRUE</w:t>
            </w:r>
          </w:p>
        </w:tc>
        <w:tc>
          <w:tcPr>
            <w:tcW w:w="1427" w:type="dxa"/>
            <w:vAlign w:val="center"/>
          </w:tcPr>
          <w:p w:rsidR="009B0F75" w:rsidRDefault="00752BD8" w:rsidP="00F06FCC">
            <w:pPr>
              <w:spacing w:line="360" w:lineRule="auto"/>
              <w:jc w:val="center"/>
            </w:pPr>
            <w:r>
              <w:t>FALSE</w:t>
            </w:r>
          </w:p>
        </w:tc>
      </w:tr>
      <w:tr w:rsidR="009B0F75" w:rsidTr="00F06FCC">
        <w:tc>
          <w:tcPr>
            <w:tcW w:w="2449" w:type="dxa"/>
            <w:vAlign w:val="center"/>
          </w:tcPr>
          <w:p w:rsidR="009B0F75" w:rsidRDefault="00752BD8" w:rsidP="00F06FCC">
            <w:pPr>
              <w:spacing w:line="360" w:lineRule="auto"/>
              <w:jc w:val="center"/>
            </w:pPr>
            <w:r>
              <w:t>Option Adjusted Spread</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FALSE</w:t>
            </w:r>
          </w:p>
        </w:tc>
        <w:tc>
          <w:tcPr>
            <w:tcW w:w="1427" w:type="dxa"/>
            <w:vAlign w:val="center"/>
          </w:tcPr>
          <w:p w:rsidR="009B0F75" w:rsidRDefault="00752BD8" w:rsidP="00F06FCC">
            <w:pPr>
              <w:spacing w:line="360" w:lineRule="auto"/>
              <w:jc w:val="center"/>
            </w:pPr>
            <w:r>
              <w:t>TRUE</w:t>
            </w:r>
          </w:p>
        </w:tc>
      </w:tr>
      <w:tr w:rsidR="009B0F75" w:rsidTr="00F06FCC">
        <w:tc>
          <w:tcPr>
            <w:tcW w:w="2449" w:type="dxa"/>
            <w:vAlign w:val="center"/>
          </w:tcPr>
          <w:p w:rsidR="009B0F75" w:rsidRDefault="00752BD8" w:rsidP="00F06FCC">
            <w:pPr>
              <w:spacing w:line="360" w:lineRule="auto"/>
              <w:jc w:val="center"/>
            </w:pPr>
            <w:r>
              <w:lastRenderedPageBreak/>
              <w:t>PECS</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TRUE</w:t>
            </w:r>
          </w:p>
        </w:tc>
        <w:tc>
          <w:tcPr>
            <w:tcW w:w="1516" w:type="dxa"/>
            <w:vAlign w:val="center"/>
          </w:tcPr>
          <w:p w:rsidR="009B0F75" w:rsidRDefault="00752BD8" w:rsidP="00F06FCC">
            <w:pPr>
              <w:spacing w:line="360" w:lineRule="auto"/>
              <w:jc w:val="center"/>
            </w:pPr>
            <w:r>
              <w:t>FALSE</w:t>
            </w:r>
          </w:p>
        </w:tc>
        <w:tc>
          <w:tcPr>
            <w:tcW w:w="1427" w:type="dxa"/>
            <w:vAlign w:val="center"/>
          </w:tcPr>
          <w:p w:rsidR="009B0F75" w:rsidRDefault="00752BD8" w:rsidP="00F06FCC">
            <w:pPr>
              <w:spacing w:line="360" w:lineRule="auto"/>
              <w:jc w:val="center"/>
            </w:pPr>
            <w:r>
              <w:t>TRUE</w:t>
            </w:r>
          </w:p>
        </w:tc>
      </w:tr>
      <w:tr w:rsidR="009B0F75" w:rsidTr="00F06FCC">
        <w:tc>
          <w:tcPr>
            <w:tcW w:w="2449" w:type="dxa"/>
            <w:vAlign w:val="center"/>
          </w:tcPr>
          <w:p w:rsidR="009B0F75" w:rsidRDefault="00752BD8" w:rsidP="00F06FCC">
            <w:pPr>
              <w:spacing w:line="360" w:lineRule="auto"/>
              <w:jc w:val="center"/>
            </w:pPr>
            <w:r>
              <w:t>Price</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FALSE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FALSE</w:t>
            </w:r>
          </w:p>
        </w:tc>
        <w:tc>
          <w:tcPr>
            <w:tcW w:w="1427" w:type="dxa"/>
            <w:vAlign w:val="center"/>
          </w:tcPr>
          <w:p w:rsidR="00752BD8" w:rsidRDefault="00752BD8" w:rsidP="00752BD8">
            <w:pPr>
              <w:spacing w:line="360" w:lineRule="auto"/>
              <w:jc w:val="center"/>
            </w:pPr>
            <w:r>
              <w:t>FALSE</w:t>
            </w:r>
          </w:p>
        </w:tc>
      </w:tr>
      <w:tr w:rsidR="00752BD8" w:rsidTr="00F06FCC">
        <w:tc>
          <w:tcPr>
            <w:tcW w:w="2449" w:type="dxa"/>
            <w:vAlign w:val="center"/>
          </w:tcPr>
          <w:p w:rsidR="00752BD8" w:rsidRDefault="00752BD8" w:rsidP="00F06FCC">
            <w:pPr>
              <w:spacing w:line="360" w:lineRule="auto"/>
              <w:jc w:val="center"/>
            </w:pPr>
            <w:r>
              <w:t>Treasury Spread</w:t>
            </w:r>
          </w:p>
        </w:tc>
        <w:tc>
          <w:tcPr>
            <w:tcW w:w="1601" w:type="dxa"/>
            <w:vAlign w:val="center"/>
          </w:tcPr>
          <w:p w:rsidR="00752BD8" w:rsidRDefault="00752BD8" w:rsidP="00F06FCC">
            <w:pPr>
              <w:spacing w:line="360" w:lineRule="auto"/>
              <w:jc w:val="center"/>
            </w:pPr>
            <w:r>
              <w:t>YIELD</w:t>
            </w:r>
          </w:p>
        </w:tc>
        <w:tc>
          <w:tcPr>
            <w:tcW w:w="1890" w:type="dxa"/>
            <w:vAlign w:val="center"/>
          </w:tcPr>
          <w:p w:rsidR="00752BD8" w:rsidRDefault="00752BD8" w:rsidP="00F06FCC">
            <w:pPr>
              <w:spacing w:line="360" w:lineRule="auto"/>
              <w:jc w:val="center"/>
            </w:pPr>
            <w:r>
              <w:t>TRUE</w:t>
            </w:r>
          </w:p>
        </w:tc>
        <w:tc>
          <w:tcPr>
            <w:tcW w:w="1827" w:type="dxa"/>
            <w:vAlign w:val="center"/>
          </w:tcPr>
          <w:p w:rsidR="00752BD8" w:rsidRDefault="00752BD8" w:rsidP="00F06FCC">
            <w:pPr>
              <w:spacing w:line="360" w:lineRule="auto"/>
              <w:jc w:val="center"/>
            </w:pPr>
            <w:r>
              <w:t>FALSE</w:t>
            </w:r>
          </w:p>
        </w:tc>
        <w:tc>
          <w:tcPr>
            <w:tcW w:w="1516" w:type="dxa"/>
            <w:vAlign w:val="center"/>
          </w:tcPr>
          <w:p w:rsidR="00752BD8" w:rsidRDefault="00752BD8" w:rsidP="00F06FCC">
            <w:pPr>
              <w:spacing w:line="360" w:lineRule="auto"/>
              <w:jc w:val="center"/>
            </w:pPr>
            <w:r>
              <w:t>FALSE</w:t>
            </w:r>
          </w:p>
        </w:tc>
        <w:tc>
          <w:tcPr>
            <w:tcW w:w="1427" w:type="dxa"/>
            <w:vAlign w:val="center"/>
          </w:tcPr>
          <w:p w:rsidR="00752BD8" w:rsidRDefault="00752BD8" w:rsidP="00752BD8">
            <w:pPr>
              <w:spacing w:line="360" w:lineRule="auto"/>
              <w:jc w:val="center"/>
            </w:pPr>
            <w:r>
              <w:t>FALSE</w:t>
            </w:r>
          </w:p>
        </w:tc>
      </w:tr>
      <w:tr w:rsidR="00453575" w:rsidTr="00F06FCC">
        <w:tc>
          <w:tcPr>
            <w:tcW w:w="2449" w:type="dxa"/>
            <w:vAlign w:val="center"/>
          </w:tcPr>
          <w:p w:rsidR="00453575" w:rsidRDefault="00453575" w:rsidP="00F06FCC">
            <w:pPr>
              <w:spacing w:line="360" w:lineRule="auto"/>
              <w:jc w:val="center"/>
            </w:pPr>
            <w:r>
              <w:t>Yield</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FALSE</w:t>
            </w:r>
          </w:p>
        </w:tc>
        <w:tc>
          <w:tcPr>
            <w:tcW w:w="1827" w:type="dxa"/>
            <w:vAlign w:val="center"/>
          </w:tcPr>
          <w:p w:rsidR="00453575" w:rsidRDefault="00453575" w:rsidP="00F06FCC">
            <w:pPr>
              <w:spacing w:line="360" w:lineRule="auto"/>
              <w:jc w:val="center"/>
            </w:pPr>
            <w:r>
              <w:t>FALSE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FALSE</w:t>
            </w:r>
          </w:p>
        </w:tc>
      </w:tr>
      <w:tr w:rsidR="00453575" w:rsidTr="00F06FCC">
        <w:tc>
          <w:tcPr>
            <w:tcW w:w="2449" w:type="dxa"/>
            <w:vAlign w:val="center"/>
          </w:tcPr>
          <w:p w:rsidR="00453575" w:rsidRDefault="00453575" w:rsidP="00F06FCC">
            <w:pPr>
              <w:spacing w:line="360" w:lineRule="auto"/>
              <w:jc w:val="center"/>
            </w:pPr>
            <w:r>
              <w:t>Yield Spread</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Z Spread</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Convexity</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Duration</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Modified Duration</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Macaulay Duration</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Yield01</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bl>
    <w:p w:rsidR="009B0F75" w:rsidRDefault="009B0F75" w:rsidP="009B0F75">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CF6E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CF6E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CF6E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CF6E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CF6E03"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CF6E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CF6E0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CF6E03"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CF6E03"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CF6E0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CF6E03"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CF6E03"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CF6E03"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0503C7" w:rsidP="00CB457D">
      <w:pPr>
        <w:pStyle w:val="Heading1"/>
        <w:jc w:val="center"/>
        <w:rPr>
          <w:sz w:val="32"/>
          <w:u w:val="none"/>
        </w:rPr>
      </w:pPr>
      <w:r>
        <w:rPr>
          <w:sz w:val="32"/>
          <w:u w:val="none"/>
        </w:rPr>
        <w:t xml:space="preserve">Section </w:t>
      </w:r>
      <w:r w:rsidR="00CB457D">
        <w:rPr>
          <w:sz w:val="32"/>
          <w:u w:val="none"/>
        </w:rPr>
        <w:t>X: Stochastic Evolution and Option Pricing</w:t>
      </w:r>
    </w:p>
    <w:p w:rsidR="000F5E4C" w:rsidRDefault="000F5E4C">
      <w:pPr>
        <w:spacing w:after="160" w:line="259" w:lineRule="auto"/>
        <w:rPr>
          <w:szCs w:val="36"/>
        </w:rPr>
      </w:pPr>
      <w:r>
        <w:rPr>
          <w:szCs w:val="36"/>
        </w:rPr>
        <w:br w:type="page"/>
      </w:r>
    </w:p>
    <w:p w:rsidR="001C6F6E" w:rsidRDefault="001C6F6E" w:rsidP="000F5E4C">
      <w:pPr>
        <w:pStyle w:val="Footer"/>
        <w:tabs>
          <w:tab w:val="clear" w:pos="4320"/>
          <w:tab w:val="clear" w:pos="8640"/>
        </w:tabs>
        <w:spacing w:line="360" w:lineRule="auto"/>
        <w:jc w:val="center"/>
        <w:rPr>
          <w:b/>
          <w:bCs/>
          <w:sz w:val="32"/>
        </w:rPr>
      </w:pPr>
    </w:p>
    <w:p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CF6E03"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CF6E03"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F6E03"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CF6E03"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F6E03"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CF6E0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CF6E0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CF6E0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CF6E0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CF6E0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CF6E0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CF6E03"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CF6E03"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CF6E03"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CF6E03"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CF6E03"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CF6E03"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CF6E03"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CF6E0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F6E0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F6E0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CF6E0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CF6E03"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CF6E0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F6E03"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CF6E0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F6E0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CF6E0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CF6E0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CF6E03"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CF6E0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64"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71765B" w:rsidRDefault="0071765B" w:rsidP="005E52C3">
      <w:pPr>
        <w:pStyle w:val="Footer"/>
        <w:tabs>
          <w:tab w:val="clear" w:pos="4320"/>
          <w:tab w:val="clear" w:pos="8640"/>
        </w:tabs>
        <w:spacing w:line="360" w:lineRule="auto"/>
        <w:jc w:val="center"/>
        <w:rPr>
          <w:b/>
          <w:bCs/>
          <w:sz w:val="32"/>
        </w:rPr>
      </w:pPr>
    </w:p>
    <w:p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CF6E03"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CF6E03"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CF6E0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CF6E0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CF6E0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CF6E03"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w:lastRenderedPageBreak/>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lastRenderedPageBreak/>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lastRenderedPageBreak/>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CF6E03"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CF6E03"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lastRenderedPageBreak/>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CF6E03"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CF6E03"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CF6E03"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lastRenderedPageBreak/>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CF6E03"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CF6E03"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CF6E03"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CF6E03"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CF6E03"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71765B" w:rsidRDefault="0071765B" w:rsidP="004B49DF">
      <w:pPr>
        <w:pStyle w:val="Footer"/>
        <w:tabs>
          <w:tab w:val="clear" w:pos="4320"/>
          <w:tab w:val="clear" w:pos="8640"/>
        </w:tabs>
        <w:spacing w:line="360" w:lineRule="auto"/>
        <w:jc w:val="center"/>
        <w:rPr>
          <w:b/>
          <w:sz w:val="32"/>
        </w:rPr>
      </w:pP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CF6E0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CF6E0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CF6E0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CF6E0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CF6E0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A20F0">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CF6E03"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lastRenderedPageBreak/>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CF6E03"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CF6E0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CF6E0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0A20F0" w:rsidRDefault="000A20F0" w:rsidP="00727E34">
      <w:pPr>
        <w:pStyle w:val="Footer"/>
        <w:tabs>
          <w:tab w:val="clear" w:pos="4320"/>
          <w:tab w:val="clear" w:pos="8640"/>
        </w:tabs>
        <w:spacing w:line="360" w:lineRule="auto"/>
        <w:jc w:val="center"/>
        <w:rPr>
          <w:b/>
          <w:bCs/>
          <w:sz w:val="32"/>
        </w:rPr>
      </w:pPr>
    </w:p>
    <w:p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CF6E0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CF6E0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CF6E03"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CF6E03"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CF6E03"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CF6E0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CF6E03"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CF6E03"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lastRenderedPageBreak/>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CF6E03"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CF6E03"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CF6E0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CF6E0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CF6E0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CF6E03"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CF6E03"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0A20F0" w:rsidRDefault="000A20F0" w:rsidP="00FE1C05">
      <w:pPr>
        <w:pStyle w:val="Footer"/>
        <w:tabs>
          <w:tab w:val="clear" w:pos="4320"/>
          <w:tab w:val="clear" w:pos="8640"/>
        </w:tabs>
        <w:spacing w:line="360" w:lineRule="auto"/>
        <w:jc w:val="center"/>
        <w:rPr>
          <w:b/>
          <w:bCs/>
          <w:sz w:val="32"/>
        </w:rPr>
      </w:pPr>
    </w:p>
    <w:p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CF6E03"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CF6E03"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CF6E03"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CF6E03"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CF6E03"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CF6E03"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CF6E03"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FE6D16" w:rsidRDefault="00FE6D16" w:rsidP="00EF22E8">
      <w:pPr>
        <w:pStyle w:val="Footer"/>
        <w:tabs>
          <w:tab w:val="clear" w:pos="4320"/>
          <w:tab w:val="clear" w:pos="8640"/>
        </w:tabs>
        <w:spacing w:line="360" w:lineRule="auto"/>
        <w:jc w:val="center"/>
        <w:rPr>
          <w:b/>
          <w:bCs/>
          <w:sz w:val="32"/>
        </w:rPr>
      </w:pPr>
    </w:p>
    <w:p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lastRenderedPageBreak/>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CF6E03"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CF6E03"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CF6E03"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CF6E03"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CF6E03"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CF6E03"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CF6E03"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CF6E0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CF6E0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CF6E0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CF6E0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CF6E03"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CF6E03"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CF6E03"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CF6E03"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CF6E0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CF6E0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CF6E0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CF6E0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CF6E0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CF6E0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CF6E0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CF6E0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CF6E0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CF6E0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CF6E03"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CF6E03"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CF6E03"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CF6E03"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CF6E03"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CF6E03"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65"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66"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67"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8E6AF8" w:rsidRDefault="008E6AF8" w:rsidP="00C67C05">
      <w:pPr>
        <w:pStyle w:val="Footer"/>
        <w:tabs>
          <w:tab w:val="clear" w:pos="4320"/>
          <w:tab w:val="clear" w:pos="8640"/>
        </w:tabs>
        <w:spacing w:line="360" w:lineRule="auto"/>
        <w:jc w:val="center"/>
        <w:rPr>
          <w:b/>
          <w:bCs/>
          <w:sz w:val="32"/>
        </w:rPr>
      </w:pPr>
    </w:p>
    <w:p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CF6E03"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CF6E03"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CF6E03"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CF6E03"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CF6E03"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CF6E03"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CF6E03"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w:t>
      </w:r>
      <w:r w:rsidR="000503C7">
        <w:rPr>
          <w:sz w:val="32"/>
          <w:u w:val="none"/>
        </w:rPr>
        <w:t>I</w:t>
      </w:r>
      <w:r>
        <w:rPr>
          <w:sz w:val="32"/>
          <w:u w:val="none"/>
        </w:rPr>
        <w:t>: Interest Rate Dynamics and Option Pricing</w:t>
      </w:r>
    </w:p>
    <w:p w:rsidR="0085600D" w:rsidRDefault="0085600D">
      <w:pPr>
        <w:spacing w:after="160" w:line="259" w:lineRule="auto"/>
        <w:rPr>
          <w:szCs w:val="36"/>
        </w:rPr>
      </w:pPr>
      <w:r>
        <w:rPr>
          <w:szCs w:val="36"/>
        </w:rPr>
        <w:br w:type="page"/>
      </w:r>
    </w:p>
    <w:p w:rsidR="008E6AF8" w:rsidRDefault="008E6AF8" w:rsidP="0085600D">
      <w:pPr>
        <w:pStyle w:val="Footer"/>
        <w:tabs>
          <w:tab w:val="clear" w:pos="4320"/>
          <w:tab w:val="clear" w:pos="8640"/>
        </w:tabs>
        <w:spacing w:line="360" w:lineRule="auto"/>
        <w:jc w:val="center"/>
        <w:rPr>
          <w:b/>
          <w:bCs/>
          <w:sz w:val="32"/>
        </w:rPr>
      </w:pPr>
    </w:p>
    <w:p w:rsidR="0085600D" w:rsidRDefault="0085600D" w:rsidP="0085600D">
      <w:pPr>
        <w:pStyle w:val="Footer"/>
        <w:tabs>
          <w:tab w:val="clear" w:pos="4320"/>
          <w:tab w:val="clear" w:pos="8640"/>
        </w:tabs>
        <w:spacing w:line="360" w:lineRule="auto"/>
        <w:jc w:val="center"/>
        <w:rPr>
          <w:b/>
          <w:bCs/>
          <w:sz w:val="32"/>
        </w:rPr>
      </w:pPr>
      <w:r>
        <w:rPr>
          <w:b/>
          <w:bCs/>
          <w:sz w:val="32"/>
        </w:rPr>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CF6E03"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CF6E03"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a</w:t>
      </w:r>
      <w:r w:rsidR="003D3508">
        <w:t>nd</w:t>
      </w:r>
    </w:p>
    <w:p w:rsidR="005D363D" w:rsidRDefault="005D363D" w:rsidP="005D363D">
      <w:pPr>
        <w:pStyle w:val="ListParagraph"/>
        <w:spacing w:after="160" w:line="360" w:lineRule="auto"/>
        <w:ind w:left="360"/>
      </w:pPr>
    </w:p>
    <w:p w:rsidR="005D363D" w:rsidRDefault="00CF6E03"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CF6E03"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CF6E03"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CF6E03"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CF6E03"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CF6E03"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CF6E03"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CF6E03"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CF6E03"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CF6E03"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CF6E03"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CF6E03" w:rsidP="005A2C14">
      <w:pPr>
        <w:pStyle w:val="ListParagraph"/>
        <w:numPr>
          <w:ilvl w:val="0"/>
          <w:numId w:val="215"/>
        </w:numPr>
        <w:spacing w:after="160" w:line="360" w:lineRule="auto"/>
        <w:rPr>
          <w:i/>
          <w:szCs w:val="36"/>
        </w:rPr>
      </w:pPr>
      <w:hyperlink r:id="rId168"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9"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6E2B23" w:rsidRDefault="006E2B23" w:rsidP="0013187E">
      <w:pPr>
        <w:pStyle w:val="Footer"/>
        <w:tabs>
          <w:tab w:val="clear" w:pos="4320"/>
          <w:tab w:val="clear" w:pos="8640"/>
        </w:tabs>
        <w:spacing w:line="360" w:lineRule="auto"/>
        <w:jc w:val="center"/>
        <w:rPr>
          <w:b/>
          <w:bCs/>
          <w:sz w:val="32"/>
        </w:rPr>
      </w:pPr>
    </w:p>
    <w:p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lastRenderedPageBreak/>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w:lastRenderedPageBreak/>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CF6E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F6E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F6E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CF6E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CF6E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CF6E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CF6E0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CF6E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CF6E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F6E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CF6E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F6E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CF6E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CF6E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CF6E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CF6E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CF6E0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CF6E0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lastRenderedPageBreak/>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70" w:history="1">
        <w:r>
          <w:rPr>
            <w:rStyle w:val="Hyperlink"/>
            <w:i/>
          </w:rPr>
          <w:t>Hull-White Model</w:t>
        </w:r>
      </w:hyperlink>
      <w:r>
        <w:t>.</w:t>
      </w:r>
    </w:p>
    <w:p w:rsidR="008C28C5" w:rsidRDefault="008C28C5">
      <w:pPr>
        <w:spacing w:after="160" w:line="259" w:lineRule="auto"/>
        <w:rPr>
          <w:szCs w:val="36"/>
        </w:rPr>
      </w:pPr>
      <w:r>
        <w:rPr>
          <w:szCs w:val="36"/>
        </w:rPr>
        <w:br w:type="page"/>
      </w:r>
    </w:p>
    <w:p w:rsidR="006E2B23" w:rsidRDefault="006E2B23" w:rsidP="008C28C5">
      <w:pPr>
        <w:spacing w:line="360" w:lineRule="auto"/>
        <w:jc w:val="center"/>
        <w:rPr>
          <w:b/>
          <w:bCs/>
          <w:sz w:val="32"/>
        </w:rPr>
      </w:pPr>
    </w:p>
    <w:p w:rsidR="008C28C5" w:rsidRDefault="008C28C5" w:rsidP="008C28C5">
      <w:pPr>
        <w:spacing w:line="360" w:lineRule="auto"/>
        <w:jc w:val="center"/>
        <w:rPr>
          <w:b/>
          <w:bCs/>
          <w:sz w:val="32"/>
        </w:rPr>
      </w:pPr>
      <w:r>
        <w:rPr>
          <w:b/>
          <w:bCs/>
          <w:sz w:val="32"/>
        </w:rPr>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CF6E0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CF6E0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CF6E03"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CF6E0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CF6E0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CF6E0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CF6E0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CF6E03"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CF6E03"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6E2B23" w:rsidRDefault="006E2B23" w:rsidP="008D7920">
      <w:pPr>
        <w:spacing w:line="360" w:lineRule="auto"/>
        <w:jc w:val="center"/>
        <w:rPr>
          <w:b/>
          <w:bCs/>
          <w:sz w:val="32"/>
        </w:rPr>
      </w:pPr>
    </w:p>
    <w:p w:rsidR="008D7920" w:rsidRDefault="008D7920" w:rsidP="008D7920">
      <w:pPr>
        <w:spacing w:line="360" w:lineRule="auto"/>
        <w:jc w:val="center"/>
        <w:rPr>
          <w:b/>
          <w:bCs/>
          <w:sz w:val="32"/>
        </w:rPr>
      </w:pPr>
      <w:r>
        <w:rPr>
          <w:b/>
          <w:bCs/>
          <w:sz w:val="32"/>
        </w:rPr>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CF6E03"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CF6E03"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CF6E0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lastRenderedPageBreak/>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CF6E0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CF6E0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CF6E03"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CF6E0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CF6E0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CF6E03"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CF6E0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CF6E03"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CF6E03"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CF6E03"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CF6E03"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CF6E03"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CF6E03"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CF6E03"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CF6E03"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CF6E03"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CF6E0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CF6E0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CF6E0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CF6E0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CF6E03"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CF6E03"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CF6E03"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CF6E03"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CF6E03"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CF6E03"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CF6E03"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CF6E03"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CF6E0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CF6E0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CF6E0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CF6E03"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CF6E0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CF6E0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CF6E0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CF6E0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CF6E03"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CF6E03"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CF6E03"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CF6E03"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CF6E03"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CF6E03"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CF6E03"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CF6E03"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CF6E03"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CF6E03"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CF6E03"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CF6E03"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CF6E03"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CF6E03"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CF6E03"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CF6E03"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CF6E03"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CF6E03"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CF6E03"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CF6E03"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CF6E03"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CF6E03"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CF6E03"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CF6E03"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CF6E0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CF6E0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CF6E03"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CF6E03"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CF6E0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CF6E03"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CF6E0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F6E0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F6E0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CF6E0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CF6E0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CF6E0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CF6E0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9E4D39" w:rsidRDefault="009E4D39" w:rsidP="00ED5688">
      <w:pPr>
        <w:spacing w:line="360" w:lineRule="auto"/>
        <w:jc w:val="center"/>
        <w:rPr>
          <w:b/>
          <w:bCs/>
          <w:sz w:val="32"/>
        </w:rPr>
      </w:pPr>
    </w:p>
    <w:p w:rsidR="00ED5688" w:rsidRDefault="00ED5688" w:rsidP="00ED5688">
      <w:pPr>
        <w:spacing w:line="360" w:lineRule="auto"/>
        <w:jc w:val="center"/>
        <w:rPr>
          <w:b/>
          <w:bCs/>
          <w:sz w:val="32"/>
        </w:rPr>
      </w:pPr>
      <w:r>
        <w:rPr>
          <w:b/>
          <w:bCs/>
          <w:sz w:val="32"/>
        </w:rPr>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CF6E03"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CF6E03"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CF6E03"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CF6E03"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CF6E03"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w:lastRenderedPageBreak/>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CF6E03"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CF6E03"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CF6E03"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CF6E03"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CF6E03"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CF6E03"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CF6E03"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CF6E03"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CF6E03"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CF6E03"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CF6E03"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CF6E03"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CF6E03"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and hence</w:t>
      </w:r>
    </w:p>
    <w:p w:rsidR="00E53E0D" w:rsidRDefault="00E53E0D" w:rsidP="00CD6900">
      <w:pPr>
        <w:pStyle w:val="ListParagraph"/>
        <w:spacing w:line="360" w:lineRule="auto"/>
        <w:ind w:left="360"/>
      </w:pPr>
    </w:p>
    <w:p w:rsidR="00E53E0D" w:rsidRDefault="00CF6E03"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CF6E03"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CF6E03"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CF6E03"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CF6E03"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CF6E03"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CF6E03"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CF6E03"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CF6E03"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CF6E03"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CF6E03"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CF6E03"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CF6E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CF6E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lastRenderedPageBreak/>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CF6E0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CF6E03"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CF6E03"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CF6E03"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lastRenderedPageBreak/>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CF6E03"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CF6E03"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C53599">
        <w:t>nd</w:t>
      </w:r>
    </w:p>
    <w:p w:rsidR="006B1E5F" w:rsidRDefault="006B1E5F" w:rsidP="006B1E5F">
      <w:pPr>
        <w:pStyle w:val="ListParagraph"/>
        <w:spacing w:line="360" w:lineRule="auto"/>
        <w:ind w:left="360"/>
      </w:pPr>
    </w:p>
    <w:p w:rsidR="00C53599" w:rsidRPr="00C53599" w:rsidRDefault="00CF6E03"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lastRenderedPageBreak/>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CF6E0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CF6E03"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CF6E0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CF6E0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w:lastRenderedPageBreak/>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CF6E03"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CF6E0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CF6E03"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CF6E0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CF6E0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CF6E03"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CF6E03"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CF6E0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CF6E0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CF6E0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CF6E03"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CF6E03"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CF6E03"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CF6E03"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CF6E03"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CF6E03"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CF6E03"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CF6E03"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CF6E03"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CF6E03"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lastRenderedPageBreak/>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9E4D39" w:rsidRDefault="009E4D39" w:rsidP="001D22AE">
      <w:pPr>
        <w:spacing w:line="360" w:lineRule="auto"/>
        <w:jc w:val="center"/>
        <w:rPr>
          <w:b/>
          <w:bCs/>
          <w:sz w:val="32"/>
        </w:rPr>
      </w:pPr>
    </w:p>
    <w:p w:rsidR="001D22AE" w:rsidRDefault="001D22AE" w:rsidP="001D22AE">
      <w:pPr>
        <w:spacing w:line="360" w:lineRule="auto"/>
        <w:jc w:val="center"/>
        <w:rPr>
          <w:b/>
          <w:bCs/>
          <w:sz w:val="32"/>
        </w:rPr>
      </w:pPr>
      <w:r>
        <w:rPr>
          <w:b/>
          <w:bCs/>
          <w:sz w:val="32"/>
        </w:rPr>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CF6E03"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CF6E03"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CF6E03"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CF6E03"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CF6E03"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CF6E03"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CF6E03"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CF6E03"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CF6E03"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CF6E03"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CF6E03"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CF6E03"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71" w:history="1">
        <w:r>
          <w:rPr>
            <w:rStyle w:val="Hyperlink"/>
            <w:i/>
          </w:rPr>
          <w:t>SABR Model</w:t>
        </w:r>
      </w:hyperlink>
      <w:r>
        <w:t>.</w:t>
      </w:r>
    </w:p>
    <w:p w:rsidR="00C905F7" w:rsidRDefault="00C905F7">
      <w:pPr>
        <w:spacing w:after="160" w:line="259" w:lineRule="auto"/>
        <w:rPr>
          <w:szCs w:val="36"/>
        </w:rPr>
      </w:pPr>
      <w:r>
        <w:rPr>
          <w:szCs w:val="36"/>
        </w:rPr>
        <w:lastRenderedPageBreak/>
        <w:br w:type="page"/>
      </w: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jc w:val="center"/>
      </w:pPr>
    </w:p>
    <w:p w:rsidR="00C905F7" w:rsidRDefault="00C905F7" w:rsidP="00C905F7">
      <w:pPr>
        <w:pStyle w:val="Footer"/>
        <w:tabs>
          <w:tab w:val="clear" w:pos="4320"/>
          <w:tab w:val="clear" w:pos="8640"/>
        </w:tabs>
        <w:spacing w:line="360" w:lineRule="auto"/>
      </w:pPr>
    </w:p>
    <w:p w:rsidR="00C905F7" w:rsidRDefault="00C905F7" w:rsidP="00C905F7">
      <w:pPr>
        <w:pStyle w:val="Footer"/>
        <w:tabs>
          <w:tab w:val="clear" w:pos="4320"/>
          <w:tab w:val="clear" w:pos="8640"/>
        </w:tabs>
        <w:spacing w:line="360" w:lineRule="auto"/>
      </w:pPr>
    </w:p>
    <w:p w:rsidR="00C905F7" w:rsidRDefault="00C905F7" w:rsidP="00C905F7">
      <w:pPr>
        <w:pStyle w:val="Heading1"/>
        <w:jc w:val="center"/>
        <w:rPr>
          <w:sz w:val="32"/>
          <w:u w:val="none"/>
        </w:rPr>
      </w:pPr>
      <w:r>
        <w:rPr>
          <w:sz w:val="32"/>
          <w:u w:val="none"/>
        </w:rPr>
        <w:t>Section XII: LMM Extensions, Calibration, and Greeks</w:t>
      </w:r>
    </w:p>
    <w:p w:rsidR="00C905F7" w:rsidRDefault="00C905F7" w:rsidP="00C905F7">
      <w:pPr>
        <w:spacing w:after="160" w:line="259" w:lineRule="auto"/>
        <w:rPr>
          <w:sz w:val="28"/>
        </w:rPr>
      </w:pPr>
      <w:r>
        <w:rPr>
          <w:b/>
          <w:bCs/>
        </w:rPr>
        <w:br w:type="page"/>
      </w:r>
    </w:p>
    <w:p w:rsidR="00C905F7" w:rsidRDefault="00C905F7" w:rsidP="00C905F7">
      <w:pPr>
        <w:spacing w:line="360" w:lineRule="auto"/>
        <w:jc w:val="center"/>
        <w:rPr>
          <w:b/>
          <w:bCs/>
          <w:sz w:val="32"/>
        </w:rPr>
      </w:pPr>
    </w:p>
    <w:p w:rsidR="00C905F7" w:rsidRDefault="00C905F7" w:rsidP="00C905F7">
      <w:pPr>
        <w:spacing w:line="360" w:lineRule="auto"/>
        <w:jc w:val="center"/>
        <w:rPr>
          <w:b/>
          <w:bCs/>
          <w:sz w:val="32"/>
        </w:rPr>
      </w:pPr>
      <w:r>
        <w:rPr>
          <w:b/>
          <w:bCs/>
          <w:sz w:val="32"/>
        </w:rPr>
        <w:t>LMM Calibration and Greeks Overview</w:t>
      </w:r>
    </w:p>
    <w:p w:rsidR="00C905F7" w:rsidRDefault="00C905F7" w:rsidP="00C905F7">
      <w:pPr>
        <w:spacing w:line="360" w:lineRule="auto"/>
      </w:pPr>
    </w:p>
    <w:p w:rsidR="00C905F7" w:rsidRDefault="00C905F7" w:rsidP="00C905F7">
      <w:pPr>
        <w:spacing w:line="360" w:lineRule="auto"/>
      </w:pPr>
    </w:p>
    <w:p w:rsidR="00C905F7" w:rsidRPr="005F2EBC" w:rsidRDefault="00C905F7" w:rsidP="00C905F7">
      <w:pPr>
        <w:pStyle w:val="Heading4"/>
        <w:ind w:left="0"/>
        <w:jc w:val="left"/>
        <w:rPr>
          <w:sz w:val="28"/>
          <w:szCs w:val="28"/>
        </w:rPr>
      </w:pPr>
      <w:r>
        <w:rPr>
          <w:sz w:val="28"/>
          <w:szCs w:val="28"/>
        </w:rPr>
        <w:t>Motivation for Robust LMM Calibration</w:t>
      </w:r>
    </w:p>
    <w:p w:rsidR="00C905F7" w:rsidRDefault="00C905F7" w:rsidP="00C905F7">
      <w:pPr>
        <w:spacing w:line="360" w:lineRule="auto"/>
      </w:pPr>
    </w:p>
    <w:p w:rsidR="00C905F7" w:rsidRPr="00CF6E03" w:rsidRDefault="00CF6E03" w:rsidP="00C905F7">
      <w:pPr>
        <w:pStyle w:val="ListParagraph"/>
        <w:numPr>
          <w:ilvl w:val="0"/>
          <w:numId w:val="308"/>
        </w:numPr>
        <w:spacing w:line="360" w:lineRule="auto"/>
        <w:rPr>
          <w:u w:val="single"/>
        </w:rPr>
      </w:pPr>
      <w:r>
        <w:rPr>
          <w:u w:val="single"/>
        </w:rPr>
        <w:t>Impact on Pricing and Greeks</w:t>
      </w:r>
      <w:r w:rsidR="00C905F7">
        <w:t xml:space="preserve">: </w:t>
      </w:r>
      <w:r>
        <w:t>The LIBOR market model has established itself as the benchmark model for interest rate derivatives</w:t>
      </w:r>
      <w:r w:rsidR="00C905F7">
        <w:t>.</w:t>
      </w:r>
      <w:r>
        <w:t xml:space="preserve"> If the observed correlation and the volatility surfaces cannot be reproduced by a model, it is hopeless to be able to get meaningful prices. The crucial task, therefore, before it comes to pricing, is to calibrate the model to the given market data.</w:t>
      </w:r>
    </w:p>
    <w:p w:rsidR="00CF6E03" w:rsidRPr="00CF6E03" w:rsidRDefault="00CF6E03" w:rsidP="00C905F7">
      <w:pPr>
        <w:pStyle w:val="ListParagraph"/>
        <w:numPr>
          <w:ilvl w:val="0"/>
          <w:numId w:val="308"/>
        </w:numPr>
        <w:spacing w:line="360" w:lineRule="auto"/>
        <w:rPr>
          <w:u w:val="single"/>
        </w:rPr>
      </w:pPr>
      <w:r>
        <w:rPr>
          <w:u w:val="single"/>
        </w:rPr>
        <w:t>Drawback of the Basic LMM</w:t>
      </w:r>
      <w:r>
        <w:t>: Schatz (2011) provides an overview of the LIBOR market mode and shows how to obtain a robust calibration. The big drawback of the model is that it cannot reproduce the typically observed implied volatility smile.</w:t>
      </w:r>
    </w:p>
    <w:p w:rsidR="00CF6E03" w:rsidRDefault="00CF6E03" w:rsidP="00CF6E03">
      <w:pPr>
        <w:spacing w:line="360" w:lineRule="auto"/>
        <w:rPr>
          <w:u w:val="single"/>
        </w:rPr>
      </w:pPr>
    </w:p>
    <w:p w:rsidR="00CF6E03" w:rsidRDefault="00CF6E03" w:rsidP="00CF6E03">
      <w:pPr>
        <w:spacing w:line="360" w:lineRule="auto"/>
      </w:pPr>
    </w:p>
    <w:p w:rsidR="00CF6E03" w:rsidRPr="005F2EBC" w:rsidRDefault="00CF6E03" w:rsidP="00CF6E03">
      <w:pPr>
        <w:pStyle w:val="Heading4"/>
        <w:ind w:left="0"/>
        <w:jc w:val="left"/>
        <w:rPr>
          <w:sz w:val="28"/>
          <w:szCs w:val="28"/>
        </w:rPr>
      </w:pPr>
      <w:r>
        <w:rPr>
          <w:sz w:val="28"/>
          <w:szCs w:val="28"/>
        </w:rPr>
        <w:t>Robust LMM Calibration</w:t>
      </w:r>
      <w:r w:rsidR="00485959">
        <w:rPr>
          <w:sz w:val="28"/>
          <w:szCs w:val="28"/>
        </w:rPr>
        <w:t xml:space="preserve"> Approaches Overview</w:t>
      </w:r>
    </w:p>
    <w:p w:rsidR="00CF6E03" w:rsidRDefault="00CF6E03" w:rsidP="00CF6E03">
      <w:pPr>
        <w:spacing w:line="360" w:lineRule="auto"/>
      </w:pPr>
    </w:p>
    <w:p w:rsidR="00CF6E03" w:rsidRPr="00485959" w:rsidRDefault="00485959" w:rsidP="00485959">
      <w:pPr>
        <w:pStyle w:val="ListParagraph"/>
        <w:numPr>
          <w:ilvl w:val="0"/>
          <w:numId w:val="406"/>
        </w:numPr>
        <w:spacing w:line="360" w:lineRule="auto"/>
        <w:rPr>
          <w:u w:val="single"/>
        </w:rPr>
      </w:pPr>
      <w:r>
        <w:rPr>
          <w:u w:val="single"/>
        </w:rPr>
        <w:t>Stochastic Volatility Smile/Skew Extensions</w:t>
      </w:r>
      <w:r w:rsidR="00CF6E03">
        <w:t xml:space="preserve">: </w:t>
      </w:r>
      <w:r>
        <w:t>LMM can be extended to model market smile by making use of stochastic volatility</w:t>
      </w:r>
      <w:r w:rsidR="00CF6E03">
        <w:t>.</w:t>
      </w:r>
      <w:r>
        <w:t xml:space="preserve"> It has been observed that a time homogenous parametrization of these stochastic volatility models has the capability of fitting the market very well.</w:t>
      </w:r>
    </w:p>
    <w:p w:rsidR="00485959" w:rsidRPr="00485959" w:rsidRDefault="00485959" w:rsidP="00485959">
      <w:pPr>
        <w:pStyle w:val="ListParagraph"/>
        <w:numPr>
          <w:ilvl w:val="0"/>
          <w:numId w:val="406"/>
        </w:numPr>
        <w:spacing w:line="360" w:lineRule="auto"/>
        <w:rPr>
          <w:u w:val="single"/>
        </w:rPr>
      </w:pPr>
      <w:r>
        <w:rPr>
          <w:u w:val="single"/>
        </w:rPr>
        <w:t>Approximate Terminal Correlation Estimation Formula</w:t>
      </w:r>
      <w:r>
        <w:t>: Schatz (2011) develops a new approximate terminal correlation estimation formula based on the same parameter averaging techniques used for pricing in a stochastic volatility LMM.</w:t>
      </w:r>
    </w:p>
    <w:p w:rsidR="00485959" w:rsidRPr="00485959" w:rsidRDefault="00485959" w:rsidP="00485959">
      <w:pPr>
        <w:pStyle w:val="ListParagraph"/>
        <w:numPr>
          <w:ilvl w:val="0"/>
          <w:numId w:val="406"/>
        </w:numPr>
        <w:spacing w:line="360" w:lineRule="auto"/>
        <w:rPr>
          <w:u w:val="single"/>
        </w:rPr>
      </w:pPr>
      <w:r>
        <w:rPr>
          <w:u w:val="single"/>
        </w:rPr>
        <w:t>Robust Local/Global Optimization Procedures</w:t>
      </w:r>
      <w:r>
        <w:t>: Schatz (2011) also looks at a very robust calibration procedure and shows how to use it if there are no starting values available, and introduce some new approximations that make it possible to use global optimizers.</w:t>
      </w:r>
    </w:p>
    <w:p w:rsidR="00485959" w:rsidRPr="005D5F0B" w:rsidRDefault="00485959" w:rsidP="00485959">
      <w:pPr>
        <w:pStyle w:val="ListParagraph"/>
        <w:numPr>
          <w:ilvl w:val="0"/>
          <w:numId w:val="406"/>
        </w:numPr>
        <w:spacing w:line="360" w:lineRule="auto"/>
        <w:rPr>
          <w:u w:val="single"/>
        </w:rPr>
      </w:pPr>
      <w:r>
        <w:rPr>
          <w:u w:val="single"/>
        </w:rPr>
        <w:t>Optimal Local/Global Optimizer Choice</w:t>
      </w:r>
      <w:r>
        <w:t xml:space="preserve">: The optimal choice if the local and global optimizers for each step of the calibration must be dealt with, especially in the context of the </w:t>
      </w:r>
      <w:r>
        <w:lastRenderedPageBreak/>
        <w:t>algorithms that have attracted interest in the financial community in the recent times (e.g., differential evolution algorithms).</w:t>
      </w:r>
    </w:p>
    <w:p w:rsidR="005D5F0B" w:rsidRPr="00485959" w:rsidRDefault="005D5F0B" w:rsidP="00485959">
      <w:pPr>
        <w:pStyle w:val="ListParagraph"/>
        <w:numPr>
          <w:ilvl w:val="0"/>
          <w:numId w:val="406"/>
        </w:numPr>
        <w:spacing w:line="360" w:lineRule="auto"/>
        <w:rPr>
          <w:u w:val="single"/>
        </w:rPr>
      </w:pPr>
      <w:r>
        <w:rPr>
          <w:u w:val="single"/>
        </w:rPr>
        <w:t>Stability of the Calibrated Parameters</w:t>
      </w:r>
      <w:r>
        <w:t>: Furthermore, an analysis of the robustness of the calibrated parameters over the specified period of interest must also be performed.</w:t>
      </w:r>
    </w:p>
    <w:p w:rsidR="00742FAF" w:rsidRDefault="00742FAF" w:rsidP="00742FAF">
      <w:pPr>
        <w:spacing w:line="360" w:lineRule="auto"/>
        <w:rPr>
          <w:u w:val="single"/>
        </w:rPr>
      </w:pPr>
    </w:p>
    <w:p w:rsidR="00742FAF" w:rsidRDefault="00742FAF" w:rsidP="00742FAF">
      <w:pPr>
        <w:spacing w:line="360" w:lineRule="auto"/>
      </w:pPr>
    </w:p>
    <w:p w:rsidR="00742FAF" w:rsidRPr="005F2EBC" w:rsidRDefault="00742FAF" w:rsidP="00742FAF">
      <w:pPr>
        <w:pStyle w:val="Heading4"/>
        <w:ind w:left="0"/>
        <w:jc w:val="left"/>
        <w:rPr>
          <w:sz w:val="28"/>
          <w:szCs w:val="28"/>
        </w:rPr>
      </w:pPr>
      <w:r>
        <w:rPr>
          <w:sz w:val="28"/>
          <w:szCs w:val="28"/>
        </w:rPr>
        <w:t>Cross Currency LIBOR Market Model</w:t>
      </w:r>
    </w:p>
    <w:p w:rsidR="00742FAF" w:rsidRDefault="00742FAF" w:rsidP="00742FAF">
      <w:pPr>
        <w:spacing w:line="360" w:lineRule="auto"/>
      </w:pPr>
    </w:p>
    <w:p w:rsidR="00742FAF" w:rsidRPr="00742FAF" w:rsidRDefault="00742FAF" w:rsidP="00742FAF">
      <w:pPr>
        <w:pStyle w:val="ListParagraph"/>
        <w:numPr>
          <w:ilvl w:val="0"/>
          <w:numId w:val="407"/>
        </w:numPr>
        <w:spacing w:line="360" w:lineRule="auto"/>
        <w:rPr>
          <w:u w:val="single"/>
        </w:rPr>
      </w:pPr>
      <w:r>
        <w:rPr>
          <w:u w:val="single"/>
        </w:rPr>
        <w:t>Cross Currency Extensions to LMM</w:t>
      </w:r>
      <w:r>
        <w:t>: The extensions to the cross currency LIBOR market model introduced by Schlogl (2002) must also be incorporated.</w:t>
      </w:r>
    </w:p>
    <w:p w:rsidR="00742FAF" w:rsidRPr="00742FAF" w:rsidRDefault="00742FAF" w:rsidP="00742FAF">
      <w:pPr>
        <w:pStyle w:val="ListParagraph"/>
        <w:numPr>
          <w:ilvl w:val="0"/>
          <w:numId w:val="407"/>
        </w:numPr>
        <w:spacing w:line="360" w:lineRule="auto"/>
        <w:rPr>
          <w:u w:val="single"/>
        </w:rPr>
      </w:pPr>
      <w:r>
        <w:rPr>
          <w:u w:val="single"/>
        </w:rPr>
        <w:t>Displacement/Stochastic Volatility Fits</w:t>
      </w:r>
      <w:r>
        <w:t>: These extensions make use of the displacement and stochastic volatility to fit the observed smile and skew respectively.</w:t>
      </w:r>
    </w:p>
    <w:p w:rsidR="00742FAF" w:rsidRDefault="00742FAF" w:rsidP="00742FAF">
      <w:pPr>
        <w:spacing w:line="360" w:lineRule="auto"/>
        <w:rPr>
          <w:u w:val="single"/>
        </w:rPr>
      </w:pPr>
    </w:p>
    <w:p w:rsidR="00742FAF" w:rsidRDefault="00742FAF" w:rsidP="00742FAF">
      <w:pPr>
        <w:spacing w:line="360" w:lineRule="auto"/>
        <w:rPr>
          <w:u w:val="single"/>
        </w:rPr>
      </w:pPr>
    </w:p>
    <w:p w:rsidR="00742FAF" w:rsidRPr="00742FAF" w:rsidRDefault="00742FAF" w:rsidP="00742FAF">
      <w:pPr>
        <w:spacing w:line="360" w:lineRule="auto"/>
        <w:rPr>
          <w:b/>
          <w:sz w:val="28"/>
          <w:szCs w:val="28"/>
        </w:rPr>
      </w:pPr>
      <w:r w:rsidRPr="00742FAF">
        <w:rPr>
          <w:b/>
          <w:sz w:val="28"/>
          <w:szCs w:val="28"/>
        </w:rPr>
        <w:t>LMM Based Greeks Calculation Approaches</w:t>
      </w:r>
    </w:p>
    <w:p w:rsidR="00742FAF" w:rsidRDefault="00742FAF" w:rsidP="00393D5F">
      <w:pPr>
        <w:spacing w:line="360" w:lineRule="auto"/>
      </w:pPr>
    </w:p>
    <w:p w:rsidR="00742FAF" w:rsidRDefault="00742FAF" w:rsidP="00393D5F">
      <w:pPr>
        <w:pStyle w:val="ListParagraph"/>
        <w:numPr>
          <w:ilvl w:val="0"/>
          <w:numId w:val="408"/>
        </w:numPr>
        <w:spacing w:line="360" w:lineRule="auto"/>
      </w:pPr>
      <w:r w:rsidRPr="00742FAF">
        <w:rPr>
          <w:u w:val="single"/>
        </w:rPr>
        <w:t>Monte Carlo Based LMM Greeks</w:t>
      </w:r>
      <w:r>
        <w:t xml:space="preserve">: </w:t>
      </w:r>
      <w:r w:rsidR="00393D5F">
        <w:t>The calculation of greeks for exotic interest rate derivatives is crucial</w:t>
      </w:r>
      <w:r w:rsidR="00563459">
        <w:t xml:space="preserve"> for hedging and therefore for trading these products. For a LIBOR market model this task can only be fulfilled by means of non-trivial Monte Carlo based methods.</w:t>
      </w:r>
    </w:p>
    <w:p w:rsidR="00563459" w:rsidRDefault="00C73A10" w:rsidP="00393D5F">
      <w:pPr>
        <w:pStyle w:val="ListParagraph"/>
        <w:numPr>
          <w:ilvl w:val="0"/>
          <w:numId w:val="408"/>
        </w:numPr>
        <w:spacing w:line="360" w:lineRule="auto"/>
      </w:pPr>
      <w:r w:rsidRPr="00C73A10">
        <w:rPr>
          <w:u w:val="single"/>
        </w:rPr>
        <w:t>Transition Densities Using Pro</w:t>
      </w:r>
      <w:r>
        <w:rPr>
          <w:u w:val="single"/>
        </w:rPr>
        <w:t>x</w:t>
      </w:r>
      <w:r w:rsidRPr="00C73A10">
        <w:rPr>
          <w:u w:val="single"/>
        </w:rPr>
        <w:t>y Simulation</w:t>
      </w:r>
      <w:r>
        <w:t xml:space="preserve">: </w:t>
      </w:r>
      <w:r w:rsidR="00215AB5">
        <w:t>One possibility is to use the proxy simulation scheme method, which makes use of the transition densities of the discretized processes.</w:t>
      </w:r>
    </w:p>
    <w:p w:rsidR="00215AB5" w:rsidRDefault="00215AB5" w:rsidP="00393D5F">
      <w:pPr>
        <w:pStyle w:val="ListParagraph"/>
        <w:numPr>
          <w:ilvl w:val="0"/>
          <w:numId w:val="408"/>
        </w:numPr>
        <w:spacing w:line="360" w:lineRule="auto"/>
      </w:pPr>
      <w:r>
        <w:rPr>
          <w:u w:val="single"/>
        </w:rPr>
        <w:t>Fourier Techniques for Transition Densities</w:t>
      </w:r>
      <w:r w:rsidRPr="00215AB5">
        <w:t>:</w:t>
      </w:r>
      <w:r>
        <w:t xml:space="preserve"> When it comes to the calculation of these transition densities in the stochastic volatility models, they can only be done by means of Fourier inversion.</w:t>
      </w:r>
    </w:p>
    <w:p w:rsidR="00215AB5" w:rsidRDefault="00215AB5" w:rsidP="00393D5F">
      <w:pPr>
        <w:pStyle w:val="ListParagraph"/>
        <w:numPr>
          <w:ilvl w:val="0"/>
          <w:numId w:val="408"/>
        </w:numPr>
        <w:spacing w:line="360" w:lineRule="auto"/>
      </w:pPr>
      <w:r>
        <w:rPr>
          <w:u w:val="single"/>
        </w:rPr>
        <w:t>Conditional Independence of Stochastic Volatility</w:t>
      </w:r>
      <w:r w:rsidRPr="00215AB5">
        <w:t>:</w:t>
      </w:r>
      <w:r>
        <w:t xml:space="preserve"> Techniques are available for the calculation of the weights by making use of the conditional independence of the underlying from the stochastic volatility process, which can be applied for any process for which this conditional independence holds. This is also the case for the extension to the stochastic volatility cross currency model.</w:t>
      </w:r>
    </w:p>
    <w:p w:rsidR="00215AB5" w:rsidRDefault="00215AB5" w:rsidP="00393D5F">
      <w:pPr>
        <w:pStyle w:val="ListParagraph"/>
        <w:numPr>
          <w:ilvl w:val="0"/>
          <w:numId w:val="408"/>
        </w:numPr>
        <w:spacing w:line="360" w:lineRule="auto"/>
      </w:pPr>
      <w:r>
        <w:rPr>
          <w:u w:val="single"/>
        </w:rPr>
        <w:lastRenderedPageBreak/>
        <w:t>Simplicity of Transition Density Estimator</w:t>
      </w:r>
      <w:r>
        <w:t>: The developed estimators are very si</w:t>
      </w:r>
      <w:bookmarkStart w:id="1" w:name="_GoBack"/>
      <w:bookmarkEnd w:id="1"/>
      <w:r>
        <w:t>milar to the standard estimators for an LMM, and are fast enough to be employable in everyday practice.</w:t>
      </w:r>
    </w:p>
    <w:p w:rsidR="00215AB5" w:rsidRDefault="00215AB5" w:rsidP="00393D5F">
      <w:pPr>
        <w:pStyle w:val="ListParagraph"/>
        <w:numPr>
          <w:ilvl w:val="0"/>
          <w:numId w:val="408"/>
        </w:numPr>
        <w:spacing w:line="360" w:lineRule="auto"/>
      </w:pPr>
      <w:r>
        <w:rPr>
          <w:u w:val="single"/>
        </w:rPr>
        <w:t>Simulation Schemes/Random Sequence Impact</w:t>
      </w:r>
      <w:r w:rsidRPr="00215AB5">
        <w:t>:</w:t>
      </w:r>
      <w:r>
        <w:t xml:space="preserve"> Schatz (2011) shows how these greeks calculated by these proxy simulation methods perform compared to the finite differences approximation and shows how the use of Sobol sequences influences the results.</w:t>
      </w:r>
    </w:p>
    <w:p w:rsidR="00742FAF" w:rsidRDefault="00742FAF" w:rsidP="00393D5F">
      <w:pPr>
        <w:spacing w:line="360" w:lineRule="auto"/>
      </w:pPr>
    </w:p>
    <w:p w:rsidR="00742FAF" w:rsidRPr="00742FAF" w:rsidRDefault="00742FAF" w:rsidP="00393D5F">
      <w:pPr>
        <w:spacing w:line="360" w:lineRule="auto"/>
      </w:pPr>
    </w:p>
    <w:p w:rsidR="00C905F7" w:rsidRPr="005F2EBC" w:rsidRDefault="00CF6E03" w:rsidP="00C905F7">
      <w:pPr>
        <w:pStyle w:val="Heading4"/>
        <w:ind w:left="0"/>
        <w:jc w:val="left"/>
        <w:rPr>
          <w:sz w:val="28"/>
          <w:szCs w:val="28"/>
        </w:rPr>
      </w:pPr>
      <w:r>
        <w:rPr>
          <w:sz w:val="28"/>
          <w:szCs w:val="28"/>
        </w:rPr>
        <w:t>References</w:t>
      </w:r>
    </w:p>
    <w:p w:rsidR="00C905F7" w:rsidRDefault="00C905F7" w:rsidP="00C905F7">
      <w:pPr>
        <w:spacing w:line="360" w:lineRule="auto"/>
      </w:pPr>
    </w:p>
    <w:p w:rsidR="00C905F7" w:rsidRDefault="00CF6E03" w:rsidP="00CF6E03">
      <w:pPr>
        <w:numPr>
          <w:ilvl w:val="0"/>
          <w:numId w:val="405"/>
        </w:numPr>
        <w:spacing w:line="360" w:lineRule="auto"/>
      </w:pPr>
      <w:r>
        <w:t>Schatz, D. (2011):</w:t>
      </w:r>
      <w:r w:rsidR="00C73A10">
        <w:t xml:space="preserve"> </w:t>
      </w:r>
      <w:r w:rsidR="00C73A10">
        <w:rPr>
          <w:i/>
        </w:rPr>
        <w:t>Robust Calibration of the LIBOR Market Model and Pricing of Derivative Product</w:t>
      </w:r>
      <w:r w:rsidR="00C73A10">
        <w:t xml:space="preserve"> PhD </w:t>
      </w:r>
      <w:r w:rsidR="00C73A10">
        <w:rPr>
          <w:b/>
        </w:rPr>
        <w:t>University of Ulm</w:t>
      </w:r>
      <w:r w:rsidR="00C73A10">
        <w:t>.</w:t>
      </w:r>
    </w:p>
    <w:p w:rsidR="00CF6E03" w:rsidRDefault="00215AB5" w:rsidP="00CF6E03">
      <w:pPr>
        <w:numPr>
          <w:ilvl w:val="0"/>
          <w:numId w:val="405"/>
        </w:numPr>
        <w:spacing w:line="360" w:lineRule="auto"/>
      </w:pPr>
      <w:r>
        <w:t>Schlogl, E</w:t>
      </w:r>
      <w:r w:rsidR="00CF6E03">
        <w:t>. (2002):</w:t>
      </w:r>
      <w:r>
        <w:t xml:space="preserve"> A Multi-currency Extension of the Log-normal Interest Rate Market Models </w:t>
      </w:r>
      <w:r>
        <w:rPr>
          <w:i/>
        </w:rPr>
        <w:t>Finance and Stochastics</w:t>
      </w:r>
      <w:r>
        <w:t xml:space="preserve"> </w:t>
      </w:r>
      <w:r>
        <w:rPr>
          <w:b/>
        </w:rPr>
        <w:t>6</w:t>
      </w:r>
      <w:r>
        <w:t xml:space="preserve"> 173-196.</w:t>
      </w:r>
    </w:p>
    <w:p w:rsidR="00C905F7" w:rsidRDefault="00C905F7" w:rsidP="00C905F7">
      <w:pPr>
        <w:spacing w:after="160" w:line="259" w:lineRule="auto"/>
        <w:rPr>
          <w:rStyle w:val="Hyperlink"/>
          <w:iCs/>
        </w:rPr>
      </w:pPr>
    </w:p>
    <w:p w:rsidR="00662C49" w:rsidRDefault="00662C49" w:rsidP="00C905F7">
      <w:pPr>
        <w:spacing w:after="160" w:line="259" w:lineRule="auto"/>
        <w:rPr>
          <w:szCs w:val="36"/>
        </w:rPr>
      </w:pPr>
      <w:r>
        <w:rPr>
          <w:szCs w:val="36"/>
        </w:rPr>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w:t>
      </w:r>
      <w:r w:rsidR="000503C7">
        <w:rPr>
          <w:sz w:val="32"/>
          <w:u w:val="none"/>
        </w:rPr>
        <w:t>I</w:t>
      </w:r>
      <w:r w:rsidR="00C905F7">
        <w:rPr>
          <w:sz w:val="32"/>
          <w:u w:val="none"/>
        </w:rPr>
        <w:t>I</w:t>
      </w:r>
      <w:r>
        <w:rPr>
          <w:sz w:val="32"/>
          <w:u w:val="none"/>
        </w:rPr>
        <w:t>: Algorithmic Differentiation</w:t>
      </w:r>
    </w:p>
    <w:p w:rsidR="0094051F" w:rsidRPr="0085600D" w:rsidRDefault="0094051F" w:rsidP="0085600D">
      <w:pPr>
        <w:spacing w:after="160" w:line="360" w:lineRule="auto"/>
        <w:rPr>
          <w:szCs w:val="36"/>
        </w:rPr>
      </w:pPr>
      <w:r w:rsidRPr="0085600D">
        <w:rPr>
          <w:szCs w:val="36"/>
        </w:rP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72"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lastRenderedPageBreak/>
        <w:t xml:space="preserve">Bischof, C, P Hovland, and B Norris (2005): </w:t>
      </w:r>
      <w:hyperlink r:id="rId173"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4"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B20603" w:rsidRDefault="005F2EBC" w:rsidP="00B20603">
      <w:pPr>
        <w:spacing w:line="360" w:lineRule="auto"/>
      </w:pPr>
      <w: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75"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CF6E03"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CF6E03"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CF6E03"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10061F" w:rsidRPr="0010061F"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w:t>
      </w:r>
    </w:p>
    <w:p w:rsidR="0010061F" w:rsidRDefault="0010061F" w:rsidP="0010061F">
      <w:pPr>
        <w:spacing w:line="360" w:lineRule="auto"/>
        <w:ind w:left="360"/>
        <w:rPr>
          <w:color w:val="000000"/>
          <w:szCs w:val="22"/>
          <w:u w:val="single"/>
        </w:rPr>
      </w:pPr>
    </w:p>
    <w:p w:rsidR="0010061F" w:rsidRDefault="005F2EBC" w:rsidP="0010061F">
      <w:pPr>
        <w:spacing w:line="360" w:lineRule="auto"/>
      </w:pPr>
      <m:oMathPara>
        <m:oMath>
          <m:r>
            <w:rPr>
              <w:rFonts w:ascii="Cambria Math" w:hAnsi="Cambria Math"/>
            </w:rPr>
            <m:t>n&gt;1</m:t>
          </m:r>
        </m:oMath>
      </m:oMathPara>
    </w:p>
    <w:p w:rsidR="0010061F" w:rsidRDefault="0010061F" w:rsidP="0010061F">
      <w:pPr>
        <w:spacing w:line="360" w:lineRule="auto"/>
        <w:ind w:left="360"/>
      </w:pPr>
    </w:p>
    <w:p w:rsidR="0010061F" w:rsidRDefault="005F2EBC" w:rsidP="0010061F">
      <w:pPr>
        <w:spacing w:line="360" w:lineRule="auto"/>
        <w:ind w:left="360"/>
        <w:rPr>
          <w:color w:val="000000"/>
          <w:szCs w:val="22"/>
        </w:rPr>
      </w:pPr>
      <w:r>
        <w:rPr>
          <w:color w:val="000000"/>
          <w:szCs w:val="22"/>
        </w:rPr>
        <w:t>and</w:t>
      </w:r>
    </w:p>
    <w:p w:rsidR="0010061F" w:rsidRDefault="0010061F" w:rsidP="0010061F">
      <w:pPr>
        <w:spacing w:line="360" w:lineRule="auto"/>
        <w:ind w:left="360"/>
        <w:rPr>
          <w:color w:val="000000"/>
          <w:szCs w:val="22"/>
        </w:rPr>
      </w:pPr>
    </w:p>
    <w:p w:rsidR="0010061F" w:rsidRDefault="005F2EBC" w:rsidP="0010061F">
      <w:pPr>
        <w:spacing w:line="360" w:lineRule="auto"/>
      </w:pPr>
      <m:oMathPara>
        <m:oMath>
          <m:r>
            <w:rPr>
              <w:rFonts w:ascii="Cambria Math" w:hAnsi="Cambria Math"/>
            </w:rPr>
            <m:t>m&gt;1</m:t>
          </m:r>
        </m:oMath>
      </m:oMathPara>
    </w:p>
    <w:p w:rsidR="0010061F" w:rsidRDefault="0010061F" w:rsidP="0010061F">
      <w:pPr>
        <w:spacing w:line="360" w:lineRule="auto"/>
        <w:ind w:left="360"/>
      </w:pPr>
    </w:p>
    <w:p w:rsidR="005F2EBC" w:rsidRDefault="005F2EBC" w:rsidP="0010061F">
      <w:pPr>
        <w:spacing w:line="360" w:lineRule="auto"/>
        <w:ind w:left="360"/>
      </w:pPr>
      <w:r>
        <w:rPr>
          <w:color w:val="000000"/>
          <w:szCs w:val="22"/>
        </w:rPr>
        <w:t>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CF6E03"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lastRenderedPageBreak/>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In computational finance (esp. computational fixed income finance), the payout/product/pricer object serves the function of the intermediate Wengert variate indicated above. From below this variate you have the 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lastRenderedPageBreak/>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lastRenderedPageBreak/>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76"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7"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78"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8E60CB" w:rsidRDefault="00D7082A" w:rsidP="00D7082A">
      <w:pPr>
        <w:pStyle w:val="Heading2"/>
        <w:jc w:val="center"/>
        <w:rPr>
          <w:sz w:val="28"/>
        </w:rPr>
      </w:pPr>
      <w:r>
        <w:rPr>
          <w:sz w:val="28"/>
        </w:rPr>
        <w:br w:type="page"/>
      </w:r>
    </w:p>
    <w:p w:rsidR="008E60CB" w:rsidRDefault="008E60CB" w:rsidP="00D7082A">
      <w:pPr>
        <w:pStyle w:val="Heading2"/>
        <w:jc w:val="center"/>
        <w:rPr>
          <w:sz w:val="28"/>
        </w:rPr>
      </w:pPr>
    </w:p>
    <w:p w:rsidR="00D7082A" w:rsidRDefault="00D7082A" w:rsidP="00D7082A">
      <w:pPr>
        <w:pStyle w:val="Heading2"/>
        <w:jc w:val="center"/>
        <w:rPr>
          <w:sz w:val="32"/>
        </w:rPr>
      </w:pPr>
      <w:r>
        <w:rPr>
          <w:sz w:val="32"/>
        </w:rPr>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CF6E03"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CF6E03"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CF6E03"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CF6E03"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CF6E03"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CF6E03"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CF6E03"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CF6E03"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CF6E03"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CF6E03"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CF6E03"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CF6E03"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CF6E03"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CF6E03"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w:lastRenderedPageBreak/>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CF6E03"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CF6E03"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lastRenderedPageBreak/>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CF6E03"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F6E03"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F6E03"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CF6E03"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CF6E03"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CF6E03"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CF6E03"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CF6E03"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CF6E03"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CF6E03"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CF6E03"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CF6E03"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CF6E03"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CF6E03"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CF6E03"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CF6E03"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CF6E03"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CF6E03"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CF6E03"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CF6E03"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CF6E03"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8E60CB" w:rsidRDefault="00D7082A" w:rsidP="00D7082A">
      <w:pPr>
        <w:spacing w:line="360" w:lineRule="auto"/>
        <w:jc w:val="center"/>
      </w:pPr>
      <w:r>
        <w:br w:type="page"/>
      </w:r>
    </w:p>
    <w:p w:rsidR="008E60CB" w:rsidRDefault="008E60CB" w:rsidP="00D7082A">
      <w:pPr>
        <w:spacing w:line="360" w:lineRule="auto"/>
        <w:jc w:val="center"/>
      </w:pPr>
    </w:p>
    <w:p w:rsidR="00D7082A" w:rsidRDefault="00D7082A" w:rsidP="00D7082A">
      <w:pPr>
        <w:spacing w:line="360" w:lineRule="auto"/>
        <w:jc w:val="center"/>
        <w:rPr>
          <w:b/>
          <w:bCs/>
          <w:sz w:val="32"/>
        </w:rPr>
      </w:pPr>
      <w:r>
        <w:rPr>
          <w:b/>
          <w:bCs/>
          <w:sz w:val="32"/>
        </w:rPr>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CF6E03"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CF6E03"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CF6E03"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CF6E03"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CF6E03"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CF6E03"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CF6E03"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CF6E03"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CF6E0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CF6E0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CF6E0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CF6E0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CF6E03"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CF6E03"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CF6E03"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CF6E03"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CF6E03"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CF6E03"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CF6E03"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CF6E03"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CF6E03"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CF6E03"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CF6E03"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CF6E03"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CF6E03"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CF6E03"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CF6E03"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CF6E0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CF6E0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CF6E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CF6E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CF6E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CF6E0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CF6E03"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CF6E03"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CF6E03"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CF6E03"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CF6E03"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CF6E03"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F9095E" w:rsidRDefault="00D7082A" w:rsidP="00D7082A">
      <w:pPr>
        <w:spacing w:line="360" w:lineRule="auto"/>
        <w:jc w:val="center"/>
      </w:pPr>
      <w:r>
        <w:br w:type="page"/>
      </w:r>
    </w:p>
    <w:p w:rsidR="00F9095E" w:rsidRDefault="00F9095E" w:rsidP="00D7082A">
      <w:pPr>
        <w:spacing w:line="360" w:lineRule="auto"/>
        <w:jc w:val="center"/>
      </w:pPr>
    </w:p>
    <w:p w:rsidR="00D7082A" w:rsidRDefault="00D7082A" w:rsidP="00D7082A">
      <w:pPr>
        <w:spacing w:line="360" w:lineRule="auto"/>
        <w:jc w:val="center"/>
        <w:rPr>
          <w:b/>
          <w:bCs/>
          <w:sz w:val="32"/>
        </w:rPr>
      </w:pPr>
      <w:r>
        <w:rPr>
          <w:b/>
          <w:bCs/>
          <w:sz w:val="32"/>
        </w:rPr>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CF6E03"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CF6E03"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CF6E03"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CF6E03"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CF6E03"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lastRenderedPageBreak/>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CF6E03"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CF6E03"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CF6E03"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CF6E03"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CF6E03"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CF6E03"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CF6E03"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CF6E03"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lastRenderedPageBreak/>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CF6E03"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CF6E03"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lastRenderedPageBreak/>
        <w:t>From this, and using</w:t>
      </w:r>
    </w:p>
    <w:p w:rsidR="007436F2" w:rsidRDefault="007436F2" w:rsidP="007436F2">
      <w:pPr>
        <w:pStyle w:val="Footer"/>
        <w:tabs>
          <w:tab w:val="clear" w:pos="4320"/>
          <w:tab w:val="clear" w:pos="8640"/>
        </w:tabs>
        <w:spacing w:line="360" w:lineRule="auto"/>
        <w:ind w:left="720"/>
      </w:pPr>
    </w:p>
    <w:p w:rsidR="007436F2" w:rsidRPr="007436F2" w:rsidRDefault="00CF6E03"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CF6E0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CF6E0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CF6E0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F6E03"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F6E03"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xml:space="preserve">: Automatic Differentiation is natural performance fit in these situations (Kaebe, Maruhn, and Sachs (2009), Schlenkirch </w:t>
      </w:r>
      <w:r>
        <w:lastRenderedPageBreak/>
        <w:t>(2011)).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9"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lastRenderedPageBreak/>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F96F4D" w:rsidRDefault="00D7082A" w:rsidP="00D7082A">
      <w:pPr>
        <w:spacing w:line="360" w:lineRule="auto"/>
        <w:jc w:val="center"/>
      </w:pPr>
      <w:r>
        <w:br w:type="page"/>
      </w:r>
    </w:p>
    <w:p w:rsidR="00F96F4D" w:rsidRDefault="00F96F4D" w:rsidP="00D7082A">
      <w:pPr>
        <w:spacing w:line="360" w:lineRule="auto"/>
        <w:jc w:val="center"/>
      </w:pPr>
    </w:p>
    <w:p w:rsidR="00D7082A" w:rsidRDefault="00D7082A" w:rsidP="00D7082A">
      <w:pPr>
        <w:spacing w:line="360" w:lineRule="auto"/>
        <w:jc w:val="center"/>
        <w:rPr>
          <w:b/>
          <w:bCs/>
          <w:sz w:val="32"/>
        </w:rPr>
      </w:pPr>
      <w:r>
        <w:rPr>
          <w:b/>
          <w:bCs/>
          <w:sz w:val="32"/>
        </w:rPr>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CF6E03"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CF6E03"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CF6E03"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CF6E03"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CF6E03"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CF6E03"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CF6E03"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CF6E03"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CF6E03"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t>implies that</w:t>
      </w:r>
    </w:p>
    <w:p w:rsidR="00DD4119" w:rsidRDefault="00DD4119" w:rsidP="00DD4119">
      <w:pPr>
        <w:spacing w:line="360" w:lineRule="auto"/>
        <w:ind w:left="360"/>
      </w:pPr>
    </w:p>
    <w:p w:rsidR="00D7082A" w:rsidRPr="00DD4119" w:rsidRDefault="00CF6E03"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CF6E03"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CF6E0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CF6E0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CF6E0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lastRenderedPageBreak/>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80"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686C95" w:rsidRDefault="00D7082A" w:rsidP="00D7082A">
      <w:pPr>
        <w:spacing w:line="360" w:lineRule="auto"/>
        <w:jc w:val="center"/>
      </w:pPr>
      <w:r>
        <w:br w:type="page"/>
      </w:r>
    </w:p>
    <w:p w:rsidR="00686C95" w:rsidRDefault="00686C95" w:rsidP="00D7082A">
      <w:pPr>
        <w:spacing w:line="360" w:lineRule="auto"/>
        <w:jc w:val="center"/>
      </w:pPr>
    </w:p>
    <w:p w:rsidR="00D7082A" w:rsidRDefault="00D7082A" w:rsidP="00D7082A">
      <w:pPr>
        <w:spacing w:line="360" w:lineRule="auto"/>
        <w:jc w:val="center"/>
        <w:rPr>
          <w:b/>
          <w:bCs/>
          <w:sz w:val="32"/>
        </w:rPr>
      </w:pPr>
      <w:r>
        <w:rPr>
          <w:b/>
          <w:bCs/>
          <w:sz w:val="32"/>
        </w:rPr>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CF6E03"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CF6E03"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CF6E0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CF6E0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CF6E0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CF6E03"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CF6E03"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CF6E03"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CF6E03"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CF6E03"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CF6E03"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CF6E03"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CF6E03"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CF6E03"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CF6E03"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81"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C905F7">
      <w:pPr>
        <w:spacing w:line="360" w:lineRule="auto"/>
      </w:pPr>
      <w:r>
        <w:br w:type="page"/>
      </w:r>
    </w:p>
    <w:p w:rsidR="000503C7" w:rsidRDefault="000503C7" w:rsidP="0043186F">
      <w:pPr>
        <w:pStyle w:val="Footer"/>
        <w:tabs>
          <w:tab w:val="clear" w:pos="4320"/>
          <w:tab w:val="clear" w:pos="8640"/>
        </w:tabs>
        <w:spacing w:line="360" w:lineRule="auto"/>
        <w:jc w:val="center"/>
        <w:rPr>
          <w:b/>
          <w:bCs/>
          <w:sz w:val="32"/>
        </w:rPr>
      </w:pPr>
    </w:p>
    <w:p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CF6E03"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563459" w:rsidRDefault="00563459"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563459" w:rsidRDefault="00563459"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563459" w:rsidRDefault="00563459"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563459" w:rsidRDefault="00563459"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563459" w:rsidRDefault="00563459"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563459" w:rsidRDefault="00563459"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563459" w:rsidRDefault="00563459"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563459" w:rsidRDefault="00563459"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563459" w:rsidRDefault="00563459"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563459" w:rsidRDefault="00563459"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563459" w:rsidRDefault="00563459"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563459" w:rsidRDefault="00563459"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563459" w:rsidRDefault="00563459"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Transition</w:t>
                            </w:r>
                          </w:p>
                          <w:p w:rsidR="00563459" w:rsidRDefault="00563459"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Transition</w:t>
                      </w:r>
                    </w:p>
                    <w:p w:rsidR="00563459" w:rsidRDefault="00563459"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563459" w:rsidRDefault="00563459"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563459" w:rsidRDefault="00563459"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563459" w:rsidRDefault="0056345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563459" w:rsidRDefault="00563459"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jc w:val="center"/>
                              <w:rPr>
                                <w:b/>
                                <w:bCs/>
                                <w:color w:val="000000"/>
                                <w:sz w:val="28"/>
                                <w:szCs w:val="28"/>
                              </w:rPr>
                            </w:pPr>
                            <w:r>
                              <w:rPr>
                                <w:b/>
                                <w:bCs/>
                                <w:color w:val="000000"/>
                                <w:sz w:val="28"/>
                                <w:szCs w:val="28"/>
                              </w:rPr>
                              <w:t>Stretch 2</w:t>
                            </w:r>
                          </w:p>
                          <w:p w:rsidR="00563459" w:rsidRDefault="00563459"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563459" w:rsidRDefault="00563459" w:rsidP="00A81711">
                      <w:pPr>
                        <w:autoSpaceDE w:val="0"/>
                        <w:autoSpaceDN w:val="0"/>
                        <w:adjustRightInd w:val="0"/>
                        <w:jc w:val="center"/>
                        <w:rPr>
                          <w:b/>
                          <w:bCs/>
                          <w:color w:val="000000"/>
                          <w:sz w:val="28"/>
                          <w:szCs w:val="28"/>
                        </w:rPr>
                      </w:pPr>
                      <w:r>
                        <w:rPr>
                          <w:b/>
                          <w:bCs/>
                          <w:color w:val="000000"/>
                          <w:sz w:val="28"/>
                          <w:szCs w:val="28"/>
                        </w:rPr>
                        <w:t>Stretch 2</w:t>
                      </w:r>
                    </w:p>
                    <w:p w:rsidR="00563459" w:rsidRDefault="00563459"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jc w:val="center"/>
                              <w:rPr>
                                <w:b/>
                                <w:bCs/>
                                <w:color w:val="000000"/>
                                <w:sz w:val="28"/>
                                <w:szCs w:val="28"/>
                              </w:rPr>
                            </w:pPr>
                            <w:r>
                              <w:rPr>
                                <w:b/>
                                <w:bCs/>
                                <w:color w:val="000000"/>
                                <w:sz w:val="28"/>
                                <w:szCs w:val="28"/>
                              </w:rPr>
                              <w:t>Stretch 2</w:t>
                            </w:r>
                          </w:p>
                          <w:p w:rsidR="00563459" w:rsidRDefault="00563459"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563459" w:rsidRDefault="00563459" w:rsidP="00A81711">
                      <w:pPr>
                        <w:autoSpaceDE w:val="0"/>
                        <w:autoSpaceDN w:val="0"/>
                        <w:adjustRightInd w:val="0"/>
                        <w:jc w:val="center"/>
                        <w:rPr>
                          <w:b/>
                          <w:bCs/>
                          <w:color w:val="000000"/>
                          <w:sz w:val="28"/>
                          <w:szCs w:val="28"/>
                        </w:rPr>
                      </w:pPr>
                      <w:r>
                        <w:rPr>
                          <w:b/>
                          <w:bCs/>
                          <w:color w:val="000000"/>
                          <w:sz w:val="28"/>
                          <w:szCs w:val="28"/>
                        </w:rPr>
                        <w:t>Stretch 2</w:t>
                      </w:r>
                    </w:p>
                    <w:p w:rsidR="00563459" w:rsidRDefault="00563459"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jc w:val="center"/>
                              <w:rPr>
                                <w:b/>
                                <w:bCs/>
                                <w:color w:val="000000"/>
                                <w:sz w:val="28"/>
                                <w:szCs w:val="28"/>
                              </w:rPr>
                            </w:pPr>
                            <w:r>
                              <w:rPr>
                                <w:b/>
                                <w:bCs/>
                                <w:color w:val="000000"/>
                                <w:sz w:val="28"/>
                                <w:szCs w:val="28"/>
                              </w:rPr>
                              <w:t>Stretch 1</w:t>
                            </w:r>
                          </w:p>
                          <w:p w:rsidR="00563459" w:rsidRDefault="00563459"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563459" w:rsidRDefault="00563459" w:rsidP="00A81711">
                      <w:pPr>
                        <w:autoSpaceDE w:val="0"/>
                        <w:autoSpaceDN w:val="0"/>
                        <w:adjustRightInd w:val="0"/>
                        <w:jc w:val="center"/>
                        <w:rPr>
                          <w:b/>
                          <w:bCs/>
                          <w:color w:val="000000"/>
                          <w:sz w:val="28"/>
                          <w:szCs w:val="28"/>
                        </w:rPr>
                      </w:pPr>
                      <w:r>
                        <w:rPr>
                          <w:b/>
                          <w:bCs/>
                          <w:color w:val="000000"/>
                          <w:sz w:val="28"/>
                          <w:szCs w:val="28"/>
                        </w:rPr>
                        <w:t>Stretch 1</w:t>
                      </w:r>
                    </w:p>
                    <w:p w:rsidR="00563459" w:rsidRDefault="00563459"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jc w:val="center"/>
                              <w:rPr>
                                <w:b/>
                                <w:bCs/>
                                <w:color w:val="000000"/>
                                <w:sz w:val="28"/>
                                <w:szCs w:val="28"/>
                              </w:rPr>
                            </w:pPr>
                            <w:r>
                              <w:rPr>
                                <w:b/>
                                <w:bCs/>
                                <w:color w:val="000000"/>
                                <w:sz w:val="28"/>
                                <w:szCs w:val="28"/>
                              </w:rPr>
                              <w:t>Stretch 1</w:t>
                            </w:r>
                          </w:p>
                          <w:p w:rsidR="00563459" w:rsidRDefault="00563459"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563459" w:rsidRDefault="00563459" w:rsidP="00A81711">
                      <w:pPr>
                        <w:autoSpaceDE w:val="0"/>
                        <w:autoSpaceDN w:val="0"/>
                        <w:adjustRightInd w:val="0"/>
                        <w:jc w:val="center"/>
                        <w:rPr>
                          <w:b/>
                          <w:bCs/>
                          <w:color w:val="000000"/>
                          <w:sz w:val="28"/>
                          <w:szCs w:val="28"/>
                        </w:rPr>
                      </w:pPr>
                      <w:r>
                        <w:rPr>
                          <w:b/>
                          <w:bCs/>
                          <w:color w:val="000000"/>
                          <w:sz w:val="28"/>
                          <w:szCs w:val="28"/>
                        </w:rPr>
                        <w:t>Stretch 1</w:t>
                      </w:r>
                    </w:p>
                    <w:p w:rsidR="00563459" w:rsidRDefault="00563459"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3459" w:rsidRDefault="00563459"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563459" w:rsidRDefault="00563459"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3459" w:rsidRDefault="00563459"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563459" w:rsidRDefault="00563459"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3459" w:rsidRDefault="00563459"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563459" w:rsidRDefault="00563459"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563459" w:rsidRDefault="00563459"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563459" w:rsidRDefault="00563459"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563459" w:rsidRDefault="00563459"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563459" w:rsidRDefault="00563459"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563459" w:rsidRDefault="00563459"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563459" w:rsidRDefault="00563459"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3459" w:rsidRDefault="00563459"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563459" w:rsidRDefault="00563459"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Latent State Current</w:t>
                            </w:r>
                          </w:p>
                          <w:p w:rsidR="00563459" w:rsidRDefault="00563459"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Latent State Current</w:t>
                      </w:r>
                    </w:p>
                    <w:p w:rsidR="00563459" w:rsidRDefault="00563459"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Latent State Left</w:t>
                            </w:r>
                          </w:p>
                          <w:p w:rsidR="00563459" w:rsidRDefault="00563459"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Latent State Left</w:t>
                      </w:r>
                    </w:p>
                    <w:p w:rsidR="00563459" w:rsidRDefault="00563459"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563459" w:rsidRDefault="00563459"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563459" w:rsidRDefault="00563459"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63459" w:rsidRDefault="00563459"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563459" w:rsidRDefault="00563459"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63459" w:rsidRDefault="00563459"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563459" w:rsidRDefault="00563459"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63459" w:rsidRDefault="00563459"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563459" w:rsidRDefault="00563459"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563459" w:rsidRDefault="00563459"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563459" w:rsidRDefault="00563459"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563459" w:rsidRDefault="00563459"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Intermediate</w:t>
                            </w:r>
                          </w:p>
                          <w:p w:rsidR="00563459" w:rsidRDefault="00563459"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563459" w:rsidRDefault="00563459" w:rsidP="00D7082A">
                      <w:pPr>
                        <w:autoSpaceDE w:val="0"/>
                        <w:autoSpaceDN w:val="0"/>
                        <w:adjustRightInd w:val="0"/>
                        <w:jc w:val="center"/>
                        <w:rPr>
                          <w:b/>
                          <w:bCs/>
                          <w:color w:val="000000"/>
                        </w:rPr>
                      </w:pPr>
                      <w:r>
                        <w:rPr>
                          <w:b/>
                          <w:bCs/>
                          <w:color w:val="000000"/>
                        </w:rPr>
                        <w:t>Intermediate</w:t>
                      </w:r>
                    </w:p>
                    <w:p w:rsidR="00563459" w:rsidRDefault="00563459"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Output</w:t>
                            </w:r>
                          </w:p>
                          <w:p w:rsidR="00563459" w:rsidRDefault="00563459"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563459" w:rsidRDefault="00563459" w:rsidP="00D7082A">
                      <w:pPr>
                        <w:autoSpaceDE w:val="0"/>
                        <w:autoSpaceDN w:val="0"/>
                        <w:adjustRightInd w:val="0"/>
                        <w:jc w:val="center"/>
                        <w:rPr>
                          <w:b/>
                          <w:bCs/>
                          <w:color w:val="000000"/>
                        </w:rPr>
                      </w:pPr>
                      <w:r>
                        <w:rPr>
                          <w:b/>
                          <w:bCs/>
                          <w:color w:val="000000"/>
                        </w:rPr>
                        <w:t>Output</w:t>
                      </w:r>
                    </w:p>
                    <w:p w:rsidR="00563459" w:rsidRDefault="00563459"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Input</w:t>
                            </w:r>
                          </w:p>
                          <w:p w:rsidR="00563459" w:rsidRDefault="00563459"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563459" w:rsidRDefault="00563459" w:rsidP="00D7082A">
                      <w:pPr>
                        <w:autoSpaceDE w:val="0"/>
                        <w:autoSpaceDN w:val="0"/>
                        <w:adjustRightInd w:val="0"/>
                        <w:jc w:val="center"/>
                        <w:rPr>
                          <w:b/>
                          <w:bCs/>
                          <w:color w:val="000000"/>
                        </w:rPr>
                      </w:pPr>
                      <w:r>
                        <w:rPr>
                          <w:b/>
                          <w:bCs/>
                          <w:color w:val="000000"/>
                        </w:rPr>
                        <w:t>Input</w:t>
                      </w:r>
                    </w:p>
                    <w:p w:rsidR="00563459" w:rsidRDefault="00563459"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563459" w:rsidRDefault="00563459"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563459" w:rsidRDefault="00563459"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563459" w:rsidRDefault="00563459"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563459" w:rsidRDefault="00563459"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563459" w:rsidRDefault="00563459"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563459" w:rsidRDefault="00563459"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563459" w:rsidRDefault="00563459"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563459" w:rsidRDefault="00563459"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563459" w:rsidRDefault="00563459"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563459" w:rsidRDefault="00563459"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563459" w:rsidRDefault="00563459"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563459" w:rsidRDefault="00563459"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563459" w:rsidRDefault="00563459"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Input</w:t>
                            </w:r>
                          </w:p>
                          <w:p w:rsidR="00563459" w:rsidRDefault="00563459"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563459" w:rsidRDefault="00563459" w:rsidP="00D7082A">
                      <w:pPr>
                        <w:autoSpaceDE w:val="0"/>
                        <w:autoSpaceDN w:val="0"/>
                        <w:adjustRightInd w:val="0"/>
                        <w:jc w:val="center"/>
                        <w:rPr>
                          <w:b/>
                          <w:bCs/>
                          <w:color w:val="000000"/>
                        </w:rPr>
                      </w:pPr>
                      <w:r>
                        <w:rPr>
                          <w:b/>
                          <w:bCs/>
                          <w:color w:val="000000"/>
                        </w:rPr>
                        <w:t>Input</w:t>
                      </w:r>
                    </w:p>
                    <w:p w:rsidR="00563459" w:rsidRDefault="00563459"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Intermediate</w:t>
                            </w:r>
                          </w:p>
                          <w:p w:rsidR="00563459" w:rsidRDefault="00563459"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563459" w:rsidRDefault="00563459" w:rsidP="00D7082A">
                      <w:pPr>
                        <w:autoSpaceDE w:val="0"/>
                        <w:autoSpaceDN w:val="0"/>
                        <w:adjustRightInd w:val="0"/>
                        <w:jc w:val="center"/>
                        <w:rPr>
                          <w:b/>
                          <w:bCs/>
                          <w:color w:val="000000"/>
                        </w:rPr>
                      </w:pPr>
                      <w:r>
                        <w:rPr>
                          <w:b/>
                          <w:bCs/>
                          <w:color w:val="000000"/>
                        </w:rPr>
                        <w:t>Intermediate</w:t>
                      </w:r>
                    </w:p>
                    <w:p w:rsidR="00563459" w:rsidRDefault="00563459"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Output</w:t>
                            </w:r>
                          </w:p>
                          <w:p w:rsidR="00563459" w:rsidRDefault="00563459"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563459" w:rsidRDefault="00563459" w:rsidP="00D7082A">
                      <w:pPr>
                        <w:autoSpaceDE w:val="0"/>
                        <w:autoSpaceDN w:val="0"/>
                        <w:adjustRightInd w:val="0"/>
                        <w:jc w:val="center"/>
                        <w:rPr>
                          <w:b/>
                          <w:bCs/>
                          <w:color w:val="000000"/>
                        </w:rPr>
                      </w:pPr>
                      <w:r>
                        <w:rPr>
                          <w:b/>
                          <w:bCs/>
                          <w:color w:val="000000"/>
                        </w:rPr>
                        <w:t>Output</w:t>
                      </w:r>
                    </w:p>
                    <w:p w:rsidR="00563459" w:rsidRDefault="00563459"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563459" w:rsidRDefault="00563459"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563459" w:rsidRDefault="00563459"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563459" w:rsidRDefault="00563459"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563459" w:rsidRDefault="00563459"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563459" w:rsidRDefault="00563459"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jc w:val="center"/>
                              <w:rPr>
                                <w:b/>
                                <w:bCs/>
                                <w:color w:val="000000"/>
                              </w:rPr>
                            </w:pPr>
                            <w:r>
                              <w:rPr>
                                <w:b/>
                                <w:bCs/>
                                <w:color w:val="000000"/>
                              </w:rPr>
                              <w:t>n Input Instrument</w:t>
                            </w:r>
                          </w:p>
                          <w:p w:rsidR="00563459" w:rsidRDefault="00563459"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563459" w:rsidRDefault="00563459" w:rsidP="00D7082A">
                      <w:pPr>
                        <w:autoSpaceDE w:val="0"/>
                        <w:autoSpaceDN w:val="0"/>
                        <w:adjustRightInd w:val="0"/>
                        <w:jc w:val="center"/>
                        <w:rPr>
                          <w:b/>
                          <w:bCs/>
                          <w:color w:val="000000"/>
                        </w:rPr>
                      </w:pPr>
                      <w:r>
                        <w:rPr>
                          <w:b/>
                          <w:bCs/>
                          <w:color w:val="000000"/>
                        </w:rPr>
                        <w:t>n Input Instrument</w:t>
                      </w:r>
                    </w:p>
                    <w:p w:rsidR="00563459" w:rsidRDefault="00563459"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563459" w:rsidRDefault="00563459"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563459" w:rsidRDefault="00563459"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563459" w:rsidRDefault="00563459"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563459" w:rsidRDefault="00563459"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563459" w:rsidRDefault="00563459"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82"/>
      <w:footerReference w:type="default" r:id="rId183"/>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A00" w:rsidRDefault="00327A00" w:rsidP="00ED5136">
      <w:r>
        <w:separator/>
      </w:r>
    </w:p>
  </w:endnote>
  <w:endnote w:type="continuationSeparator" w:id="0">
    <w:p w:rsidR="00327A00" w:rsidRDefault="00327A00"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563459" w:rsidRDefault="00563459">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3459" w:rsidRDefault="00563459">
                                <w:pPr>
                                  <w:jc w:val="center"/>
                                  <w:rPr>
                                    <w:szCs w:val="18"/>
                                  </w:rPr>
                                </w:pPr>
                                <w:r>
                                  <w:rPr>
                                    <w:sz w:val="22"/>
                                    <w:szCs w:val="22"/>
                                  </w:rPr>
                                  <w:fldChar w:fldCharType="begin"/>
                                </w:r>
                                <w:r>
                                  <w:instrText xml:space="preserve"> PAGE    \* MERGEFORMAT </w:instrText>
                                </w:r>
                                <w:r>
                                  <w:rPr>
                                    <w:sz w:val="22"/>
                                    <w:szCs w:val="22"/>
                                  </w:rPr>
                                  <w:fldChar w:fldCharType="separate"/>
                                </w:r>
                                <w:r w:rsidR="00EC50A6" w:rsidRPr="00EC50A6">
                                  <w:rPr>
                                    <w:i/>
                                    <w:iCs/>
                                    <w:noProof/>
                                    <w:sz w:val="18"/>
                                    <w:szCs w:val="18"/>
                                  </w:rPr>
                                  <w:t>600</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563459" w:rsidRDefault="00563459">
                          <w:pPr>
                            <w:jc w:val="center"/>
                            <w:rPr>
                              <w:szCs w:val="18"/>
                            </w:rPr>
                          </w:pPr>
                          <w:r>
                            <w:rPr>
                              <w:sz w:val="22"/>
                              <w:szCs w:val="22"/>
                            </w:rPr>
                            <w:fldChar w:fldCharType="begin"/>
                          </w:r>
                          <w:r>
                            <w:instrText xml:space="preserve"> PAGE    \* MERGEFORMAT </w:instrText>
                          </w:r>
                          <w:r>
                            <w:rPr>
                              <w:sz w:val="22"/>
                              <w:szCs w:val="22"/>
                            </w:rPr>
                            <w:fldChar w:fldCharType="separate"/>
                          </w:r>
                          <w:r w:rsidR="00EC50A6" w:rsidRPr="00EC50A6">
                            <w:rPr>
                              <w:i/>
                              <w:iCs/>
                              <w:noProof/>
                              <w:sz w:val="18"/>
                              <w:szCs w:val="18"/>
                            </w:rPr>
                            <w:t>600</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563459" w:rsidRPr="00767792" w:rsidRDefault="00563459"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A00" w:rsidRDefault="00327A00" w:rsidP="00ED5136">
      <w:r>
        <w:separator/>
      </w:r>
    </w:p>
  </w:footnote>
  <w:footnote w:type="continuationSeparator" w:id="0">
    <w:p w:rsidR="00327A00" w:rsidRDefault="00327A00"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459" w:rsidRDefault="00563459">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664211"/>
    <w:multiLevelType w:val="hybridMultilevel"/>
    <w:tmpl w:val="B008B0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113C2"/>
    <w:multiLevelType w:val="hybridMultilevel"/>
    <w:tmpl w:val="50D20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467C68"/>
    <w:multiLevelType w:val="hybridMultilevel"/>
    <w:tmpl w:val="D826E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CA66D6E"/>
    <w:multiLevelType w:val="hybridMultilevel"/>
    <w:tmpl w:val="C6041B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7"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ADB7299"/>
    <w:multiLevelType w:val="hybridMultilevel"/>
    <w:tmpl w:val="39C23A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3"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8"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1"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3"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B41289F"/>
    <w:multiLevelType w:val="hybridMultilevel"/>
    <w:tmpl w:val="49B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4"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5" w15:restartNumberingAfterBreak="0">
    <w:nsid w:val="2DD3469F"/>
    <w:multiLevelType w:val="hybridMultilevel"/>
    <w:tmpl w:val="23E0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48"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0"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1"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3"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7"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0"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6"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3E88239D"/>
    <w:multiLevelType w:val="hybridMultilevel"/>
    <w:tmpl w:val="D8000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5"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0"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1"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2"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5"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8"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479F61D0"/>
    <w:multiLevelType w:val="hybridMultilevel"/>
    <w:tmpl w:val="8DAC7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3"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5"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6"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7"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9"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1"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4"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5"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1"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5"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4D7263B2"/>
    <w:multiLevelType w:val="hybridMultilevel"/>
    <w:tmpl w:val="DD84D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1"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3"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8"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4"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5"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6"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7"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1"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9" w15:restartNumberingAfterBreak="0">
    <w:nsid w:val="5677561A"/>
    <w:multiLevelType w:val="hybridMultilevel"/>
    <w:tmpl w:val="F432E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1" w15:restartNumberingAfterBreak="0">
    <w:nsid w:val="56A705D2"/>
    <w:multiLevelType w:val="hybridMultilevel"/>
    <w:tmpl w:val="1772A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3"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5"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6"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8"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9"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0"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2"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5"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5ADC785E"/>
    <w:multiLevelType w:val="hybridMultilevel"/>
    <w:tmpl w:val="0D3CF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2"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5"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6"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2"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7"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8"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1"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2"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4"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5"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3"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5"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8"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6D286634"/>
    <w:multiLevelType w:val="hybridMultilevel"/>
    <w:tmpl w:val="6A4EC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3"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4"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5"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6"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7" w15:restartNumberingAfterBreak="0">
    <w:nsid w:val="6F042DB0"/>
    <w:multiLevelType w:val="hybridMultilevel"/>
    <w:tmpl w:val="D2D25B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9"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1"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2"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3"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5"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6"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7"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8"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9"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1"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2"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5"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6"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9"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0"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1"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4"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5"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6"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8"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7A3F0A10"/>
    <w:multiLevelType w:val="hybridMultilevel"/>
    <w:tmpl w:val="58AE6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1"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2"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3"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4"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5"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7"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8"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9"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0"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1"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2"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3"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4"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5"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6"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0"/>
  </w:num>
  <w:num w:numId="2">
    <w:abstractNumId w:val="73"/>
  </w:num>
  <w:num w:numId="3">
    <w:abstractNumId w:val="221"/>
  </w:num>
  <w:num w:numId="4">
    <w:abstractNumId w:val="207"/>
  </w:num>
  <w:num w:numId="5">
    <w:abstractNumId w:val="216"/>
  </w:num>
  <w:num w:numId="6">
    <w:abstractNumId w:val="125"/>
  </w:num>
  <w:num w:numId="7">
    <w:abstractNumId w:val="262"/>
  </w:num>
  <w:num w:numId="8">
    <w:abstractNumId w:val="7"/>
  </w:num>
  <w:num w:numId="9">
    <w:abstractNumId w:val="182"/>
  </w:num>
  <w:num w:numId="10">
    <w:abstractNumId w:val="64"/>
  </w:num>
  <w:num w:numId="11">
    <w:abstractNumId w:val="350"/>
  </w:num>
  <w:num w:numId="12">
    <w:abstractNumId w:val="188"/>
  </w:num>
  <w:num w:numId="13">
    <w:abstractNumId w:val="329"/>
  </w:num>
  <w:num w:numId="14">
    <w:abstractNumId w:val="392"/>
  </w:num>
  <w:num w:numId="15">
    <w:abstractNumId w:val="2"/>
  </w:num>
  <w:num w:numId="16">
    <w:abstractNumId w:val="168"/>
  </w:num>
  <w:num w:numId="17">
    <w:abstractNumId w:val="232"/>
  </w:num>
  <w:num w:numId="18">
    <w:abstractNumId w:val="148"/>
  </w:num>
  <w:num w:numId="19">
    <w:abstractNumId w:val="190"/>
  </w:num>
  <w:num w:numId="20">
    <w:abstractNumId w:val="314"/>
  </w:num>
  <w:num w:numId="21">
    <w:abstractNumId w:val="210"/>
  </w:num>
  <w:num w:numId="22">
    <w:abstractNumId w:val="304"/>
  </w:num>
  <w:num w:numId="23">
    <w:abstractNumId w:val="142"/>
  </w:num>
  <w:num w:numId="24">
    <w:abstractNumId w:val="219"/>
  </w:num>
  <w:num w:numId="25">
    <w:abstractNumId w:val="218"/>
  </w:num>
  <w:num w:numId="26">
    <w:abstractNumId w:val="162"/>
  </w:num>
  <w:num w:numId="27">
    <w:abstractNumId w:val="294"/>
  </w:num>
  <w:num w:numId="28">
    <w:abstractNumId w:val="12"/>
  </w:num>
  <w:num w:numId="29">
    <w:abstractNumId w:val="152"/>
  </w:num>
  <w:num w:numId="30">
    <w:abstractNumId w:val="169"/>
  </w:num>
  <w:num w:numId="31">
    <w:abstractNumId w:val="104"/>
  </w:num>
  <w:num w:numId="32">
    <w:abstractNumId w:val="257"/>
  </w:num>
  <w:num w:numId="33">
    <w:abstractNumId w:val="248"/>
  </w:num>
  <w:num w:numId="34">
    <w:abstractNumId w:val="285"/>
  </w:num>
  <w:num w:numId="35">
    <w:abstractNumId w:val="384"/>
  </w:num>
  <w:num w:numId="36">
    <w:abstractNumId w:val="31"/>
  </w:num>
  <w:num w:numId="37">
    <w:abstractNumId w:val="18"/>
  </w:num>
  <w:num w:numId="38">
    <w:abstractNumId w:val="252"/>
  </w:num>
  <w:num w:numId="39">
    <w:abstractNumId w:val="71"/>
  </w:num>
  <w:num w:numId="40">
    <w:abstractNumId w:val="203"/>
  </w:num>
  <w:num w:numId="41">
    <w:abstractNumId w:val="77"/>
  </w:num>
  <w:num w:numId="42">
    <w:abstractNumId w:val="32"/>
  </w:num>
  <w:num w:numId="43">
    <w:abstractNumId w:val="99"/>
  </w:num>
  <w:num w:numId="44">
    <w:abstractNumId w:val="6"/>
  </w:num>
  <w:num w:numId="45">
    <w:abstractNumId w:val="243"/>
  </w:num>
  <w:num w:numId="46">
    <w:abstractNumId w:val="114"/>
  </w:num>
  <w:num w:numId="47">
    <w:abstractNumId w:val="1"/>
  </w:num>
  <w:num w:numId="48">
    <w:abstractNumId w:val="87"/>
  </w:num>
  <w:num w:numId="49">
    <w:abstractNumId w:val="324"/>
  </w:num>
  <w:num w:numId="50">
    <w:abstractNumId w:val="280"/>
  </w:num>
  <w:num w:numId="51">
    <w:abstractNumId w:val="319"/>
  </w:num>
  <w:num w:numId="52">
    <w:abstractNumId w:val="17"/>
  </w:num>
  <w:num w:numId="53">
    <w:abstractNumId w:val="105"/>
  </w:num>
  <w:num w:numId="54">
    <w:abstractNumId w:val="119"/>
  </w:num>
  <w:num w:numId="55">
    <w:abstractNumId w:val="93"/>
  </w:num>
  <w:num w:numId="56">
    <w:abstractNumId w:val="236"/>
  </w:num>
  <w:num w:numId="57">
    <w:abstractNumId w:val="355"/>
  </w:num>
  <w:num w:numId="58">
    <w:abstractNumId w:val="331"/>
  </w:num>
  <w:num w:numId="59">
    <w:abstractNumId w:val="287"/>
  </w:num>
  <w:num w:numId="60">
    <w:abstractNumId w:val="120"/>
  </w:num>
  <w:num w:numId="61">
    <w:abstractNumId w:val="281"/>
  </w:num>
  <w:num w:numId="62">
    <w:abstractNumId w:val="56"/>
  </w:num>
  <w:num w:numId="63">
    <w:abstractNumId w:val="303"/>
  </w:num>
  <w:num w:numId="64">
    <w:abstractNumId w:val="283"/>
  </w:num>
  <w:num w:numId="65">
    <w:abstractNumId w:val="109"/>
  </w:num>
  <w:num w:numId="66">
    <w:abstractNumId w:val="140"/>
  </w:num>
  <w:num w:numId="67">
    <w:abstractNumId w:val="39"/>
  </w:num>
  <w:num w:numId="68">
    <w:abstractNumId w:val="260"/>
  </w:num>
  <w:num w:numId="69">
    <w:abstractNumId w:val="288"/>
  </w:num>
  <w:num w:numId="70">
    <w:abstractNumId w:val="250"/>
  </w:num>
  <w:num w:numId="71">
    <w:abstractNumId w:val="181"/>
  </w:num>
  <w:num w:numId="72">
    <w:abstractNumId w:val="383"/>
  </w:num>
  <w:num w:numId="73">
    <w:abstractNumId w:val="259"/>
  </w:num>
  <w:num w:numId="74">
    <w:abstractNumId w:val="267"/>
  </w:num>
  <w:num w:numId="75">
    <w:abstractNumId w:val="63"/>
  </w:num>
  <w:num w:numId="76">
    <w:abstractNumId w:val="19"/>
  </w:num>
  <w:num w:numId="77">
    <w:abstractNumId w:val="301"/>
  </w:num>
  <w:num w:numId="78">
    <w:abstractNumId w:val="212"/>
  </w:num>
  <w:num w:numId="79">
    <w:abstractNumId w:val="15"/>
  </w:num>
  <w:num w:numId="80">
    <w:abstractNumId w:val="297"/>
  </w:num>
  <w:num w:numId="81">
    <w:abstractNumId w:val="273"/>
  </w:num>
  <w:num w:numId="82">
    <w:abstractNumId w:val="167"/>
  </w:num>
  <w:num w:numId="83">
    <w:abstractNumId w:val="349"/>
  </w:num>
  <w:num w:numId="84">
    <w:abstractNumId w:val="235"/>
  </w:num>
  <w:num w:numId="85">
    <w:abstractNumId w:val="53"/>
  </w:num>
  <w:num w:numId="86">
    <w:abstractNumId w:val="362"/>
  </w:num>
  <w:num w:numId="87">
    <w:abstractNumId w:val="5"/>
  </w:num>
  <w:num w:numId="88">
    <w:abstractNumId w:val="183"/>
  </w:num>
  <w:num w:numId="89">
    <w:abstractNumId w:val="298"/>
  </w:num>
  <w:num w:numId="90">
    <w:abstractNumId w:val="54"/>
  </w:num>
  <w:num w:numId="91">
    <w:abstractNumId w:val="305"/>
  </w:num>
  <w:num w:numId="92">
    <w:abstractNumId w:val="400"/>
  </w:num>
  <w:num w:numId="93">
    <w:abstractNumId w:val="238"/>
  </w:num>
  <w:num w:numId="94">
    <w:abstractNumId w:val="242"/>
  </w:num>
  <w:num w:numId="95">
    <w:abstractNumId w:val="317"/>
  </w:num>
  <w:num w:numId="96">
    <w:abstractNumId w:val="172"/>
  </w:num>
  <w:num w:numId="97">
    <w:abstractNumId w:val="209"/>
  </w:num>
  <w:num w:numId="98">
    <w:abstractNumId w:val="156"/>
  </w:num>
  <w:num w:numId="99">
    <w:abstractNumId w:val="369"/>
  </w:num>
  <w:num w:numId="100">
    <w:abstractNumId w:val="381"/>
  </w:num>
  <w:num w:numId="101">
    <w:abstractNumId w:val="401"/>
  </w:num>
  <w:num w:numId="102">
    <w:abstractNumId w:val="386"/>
  </w:num>
  <w:num w:numId="103">
    <w:abstractNumId w:val="290"/>
  </w:num>
  <w:num w:numId="104">
    <w:abstractNumId w:val="33"/>
  </w:num>
  <w:num w:numId="105">
    <w:abstractNumId w:val="223"/>
  </w:num>
  <w:num w:numId="106">
    <w:abstractNumId w:val="228"/>
  </w:num>
  <w:num w:numId="107">
    <w:abstractNumId w:val="274"/>
  </w:num>
  <w:num w:numId="108">
    <w:abstractNumId w:val="107"/>
  </w:num>
  <w:num w:numId="109">
    <w:abstractNumId w:val="150"/>
  </w:num>
  <w:num w:numId="110">
    <w:abstractNumId w:val="82"/>
  </w:num>
  <w:num w:numId="111">
    <w:abstractNumId w:val="234"/>
  </w:num>
  <w:num w:numId="112">
    <w:abstractNumId w:val="360"/>
  </w:num>
  <w:num w:numId="113">
    <w:abstractNumId w:val="121"/>
  </w:num>
  <w:num w:numId="114">
    <w:abstractNumId w:val="340"/>
  </w:num>
  <w:num w:numId="115">
    <w:abstractNumId w:val="96"/>
  </w:num>
  <w:num w:numId="116">
    <w:abstractNumId w:val="266"/>
  </w:num>
  <w:num w:numId="117">
    <w:abstractNumId w:val="405"/>
  </w:num>
  <w:num w:numId="118">
    <w:abstractNumId w:val="91"/>
  </w:num>
  <w:num w:numId="119">
    <w:abstractNumId w:val="254"/>
  </w:num>
  <w:num w:numId="120">
    <w:abstractNumId w:val="390"/>
  </w:num>
  <w:num w:numId="121">
    <w:abstractNumId w:val="315"/>
  </w:num>
  <w:num w:numId="122">
    <w:abstractNumId w:val="10"/>
  </w:num>
  <w:num w:numId="123">
    <w:abstractNumId w:val="122"/>
  </w:num>
  <w:num w:numId="124">
    <w:abstractNumId w:val="263"/>
  </w:num>
  <w:num w:numId="125">
    <w:abstractNumId w:val="239"/>
  </w:num>
  <w:num w:numId="126">
    <w:abstractNumId w:val="146"/>
  </w:num>
  <w:num w:numId="127">
    <w:abstractNumId w:val="240"/>
  </w:num>
  <w:num w:numId="128">
    <w:abstractNumId w:val="76"/>
  </w:num>
  <w:num w:numId="129">
    <w:abstractNumId w:val="382"/>
  </w:num>
  <w:num w:numId="130">
    <w:abstractNumId w:val="154"/>
  </w:num>
  <w:num w:numId="131">
    <w:abstractNumId w:val="136"/>
  </w:num>
  <w:num w:numId="132">
    <w:abstractNumId w:val="117"/>
  </w:num>
  <w:num w:numId="133">
    <w:abstractNumId w:val="318"/>
  </w:num>
  <w:num w:numId="134">
    <w:abstractNumId w:val="178"/>
  </w:num>
  <w:num w:numId="135">
    <w:abstractNumId w:val="233"/>
  </w:num>
  <w:num w:numId="136">
    <w:abstractNumId w:val="338"/>
  </w:num>
  <w:num w:numId="137">
    <w:abstractNumId w:val="155"/>
  </w:num>
  <w:num w:numId="138">
    <w:abstractNumId w:val="268"/>
  </w:num>
  <w:num w:numId="139">
    <w:abstractNumId w:val="359"/>
  </w:num>
  <w:num w:numId="140">
    <w:abstractNumId w:val="160"/>
  </w:num>
  <w:num w:numId="141">
    <w:abstractNumId w:val="309"/>
  </w:num>
  <w:num w:numId="142">
    <w:abstractNumId w:val="312"/>
  </w:num>
  <w:num w:numId="143">
    <w:abstractNumId w:val="335"/>
  </w:num>
  <w:num w:numId="144">
    <w:abstractNumId w:val="81"/>
  </w:num>
  <w:num w:numId="145">
    <w:abstractNumId w:val="201"/>
  </w:num>
  <w:num w:numId="146">
    <w:abstractNumId w:val="187"/>
  </w:num>
  <w:num w:numId="147">
    <w:abstractNumId w:val="123"/>
  </w:num>
  <w:num w:numId="148">
    <w:abstractNumId w:val="52"/>
  </w:num>
  <w:num w:numId="149">
    <w:abstractNumId w:val="78"/>
  </w:num>
  <w:num w:numId="150">
    <w:abstractNumId w:val="185"/>
  </w:num>
  <w:num w:numId="151">
    <w:abstractNumId w:val="151"/>
  </w:num>
  <w:num w:numId="152">
    <w:abstractNumId w:val="286"/>
  </w:num>
  <w:num w:numId="153">
    <w:abstractNumId w:val="256"/>
  </w:num>
  <w:num w:numId="154">
    <w:abstractNumId w:val="196"/>
  </w:num>
  <w:num w:numId="155">
    <w:abstractNumId w:val="393"/>
  </w:num>
  <w:num w:numId="156">
    <w:abstractNumId w:val="36"/>
  </w:num>
  <w:num w:numId="157">
    <w:abstractNumId w:val="0"/>
  </w:num>
  <w:num w:numId="158">
    <w:abstractNumId w:val="74"/>
  </w:num>
  <w:num w:numId="159">
    <w:abstractNumId w:val="388"/>
  </w:num>
  <w:num w:numId="160">
    <w:abstractNumId w:val="272"/>
  </w:num>
  <w:num w:numId="161">
    <w:abstractNumId w:val="113"/>
  </w:num>
  <w:num w:numId="162">
    <w:abstractNumId w:val="397"/>
  </w:num>
  <w:num w:numId="163">
    <w:abstractNumId w:val="55"/>
  </w:num>
  <w:num w:numId="164">
    <w:abstractNumId w:val="293"/>
  </w:num>
  <w:num w:numId="165">
    <w:abstractNumId w:val="291"/>
  </w:num>
  <w:num w:numId="166">
    <w:abstractNumId w:val="62"/>
  </w:num>
  <w:num w:numId="167">
    <w:abstractNumId w:val="271"/>
  </w:num>
  <w:num w:numId="168">
    <w:abstractNumId w:val="206"/>
  </w:num>
  <w:num w:numId="169">
    <w:abstractNumId w:val="159"/>
  </w:num>
  <w:num w:numId="170">
    <w:abstractNumId w:val="406"/>
  </w:num>
  <w:num w:numId="171">
    <w:abstractNumId w:val="378"/>
  </w:num>
  <w:num w:numId="172">
    <w:abstractNumId w:val="141"/>
  </w:num>
  <w:num w:numId="173">
    <w:abstractNumId w:val="375"/>
  </w:num>
  <w:num w:numId="174">
    <w:abstractNumId w:val="200"/>
  </w:num>
  <w:num w:numId="175">
    <w:abstractNumId w:val="108"/>
  </w:num>
  <w:num w:numId="176">
    <w:abstractNumId w:val="25"/>
  </w:num>
  <w:num w:numId="177">
    <w:abstractNumId w:val="342"/>
  </w:num>
  <w:num w:numId="178">
    <w:abstractNumId w:val="68"/>
  </w:num>
  <w:num w:numId="179">
    <w:abstractNumId w:val="41"/>
  </w:num>
  <w:num w:numId="180">
    <w:abstractNumId w:val="275"/>
  </w:num>
  <w:num w:numId="181">
    <w:abstractNumId w:val="366"/>
  </w:num>
  <w:num w:numId="182">
    <w:abstractNumId w:val="356"/>
  </w:num>
  <w:num w:numId="183">
    <w:abstractNumId w:val="249"/>
  </w:num>
  <w:num w:numId="184">
    <w:abstractNumId w:val="300"/>
  </w:num>
  <w:num w:numId="185">
    <w:abstractNumId w:val="353"/>
  </w:num>
  <w:num w:numId="186">
    <w:abstractNumId w:val="265"/>
  </w:num>
  <w:num w:numId="187">
    <w:abstractNumId w:val="75"/>
  </w:num>
  <w:num w:numId="188">
    <w:abstractNumId w:val="387"/>
  </w:num>
  <w:num w:numId="189">
    <w:abstractNumId w:val="211"/>
  </w:num>
  <w:num w:numId="190">
    <w:abstractNumId w:val="144"/>
  </w:num>
  <w:num w:numId="191">
    <w:abstractNumId w:val="127"/>
  </w:num>
  <w:num w:numId="192">
    <w:abstractNumId w:val="348"/>
  </w:num>
  <w:num w:numId="193">
    <w:abstractNumId w:val="166"/>
  </w:num>
  <w:num w:numId="194">
    <w:abstractNumId w:val="328"/>
  </w:num>
  <w:num w:numId="195">
    <w:abstractNumId w:val="395"/>
  </w:num>
  <w:num w:numId="196">
    <w:abstractNumId w:val="138"/>
  </w:num>
  <w:num w:numId="197">
    <w:abstractNumId w:val="171"/>
  </w:num>
  <w:num w:numId="198">
    <w:abstractNumId w:val="231"/>
  </w:num>
  <w:num w:numId="199">
    <w:abstractNumId w:val="270"/>
  </w:num>
  <w:num w:numId="200">
    <w:abstractNumId w:val="327"/>
  </w:num>
  <w:num w:numId="201">
    <w:abstractNumId w:val="244"/>
  </w:num>
  <w:num w:numId="202">
    <w:abstractNumId w:val="180"/>
  </w:num>
  <w:num w:numId="203">
    <w:abstractNumId w:val="66"/>
  </w:num>
  <w:num w:numId="204">
    <w:abstractNumId w:val="134"/>
  </w:num>
  <w:num w:numId="205">
    <w:abstractNumId w:val="402"/>
  </w:num>
  <w:num w:numId="206">
    <w:abstractNumId w:val="175"/>
  </w:num>
  <w:num w:numId="207">
    <w:abstractNumId w:val="198"/>
  </w:num>
  <w:num w:numId="208">
    <w:abstractNumId w:val="361"/>
  </w:num>
  <w:num w:numId="209">
    <w:abstractNumId w:val="116"/>
  </w:num>
  <w:num w:numId="210">
    <w:abstractNumId w:val="345"/>
  </w:num>
  <w:num w:numId="211">
    <w:abstractNumId w:val="296"/>
  </w:num>
  <w:num w:numId="212">
    <w:abstractNumId w:val="365"/>
  </w:num>
  <w:num w:numId="213">
    <w:abstractNumId w:val="50"/>
  </w:num>
  <w:num w:numId="214">
    <w:abstractNumId w:val="103"/>
  </w:num>
  <w:num w:numId="215">
    <w:abstractNumId w:val="85"/>
  </w:num>
  <w:num w:numId="216">
    <w:abstractNumId w:val="237"/>
  </w:num>
  <w:num w:numId="217">
    <w:abstractNumId w:val="29"/>
  </w:num>
  <w:num w:numId="218">
    <w:abstractNumId w:val="320"/>
  </w:num>
  <w:num w:numId="219">
    <w:abstractNumId w:val="316"/>
  </w:num>
  <w:num w:numId="220">
    <w:abstractNumId w:val="310"/>
  </w:num>
  <w:num w:numId="221">
    <w:abstractNumId w:val="241"/>
  </w:num>
  <w:num w:numId="222">
    <w:abstractNumId w:val="226"/>
  </w:num>
  <w:num w:numId="223">
    <w:abstractNumId w:val="396"/>
  </w:num>
  <w:num w:numId="224">
    <w:abstractNumId w:val="143"/>
  </w:num>
  <w:num w:numId="225">
    <w:abstractNumId w:val="364"/>
  </w:num>
  <w:num w:numId="226">
    <w:abstractNumId w:val="352"/>
  </w:num>
  <w:num w:numId="227">
    <w:abstractNumId w:val="276"/>
  </w:num>
  <w:num w:numId="228">
    <w:abstractNumId w:val="59"/>
  </w:num>
  <w:num w:numId="229">
    <w:abstractNumId w:val="70"/>
  </w:num>
  <w:num w:numId="230">
    <w:abstractNumId w:val="371"/>
  </w:num>
  <w:num w:numId="231">
    <w:abstractNumId w:val="354"/>
  </w:num>
  <w:num w:numId="232">
    <w:abstractNumId w:val="67"/>
  </w:num>
  <w:num w:numId="233">
    <w:abstractNumId w:val="202"/>
  </w:num>
  <w:num w:numId="234">
    <w:abstractNumId w:val="292"/>
  </w:num>
  <w:num w:numId="235">
    <w:abstractNumId w:val="204"/>
  </w:num>
  <w:num w:numId="236">
    <w:abstractNumId w:val="217"/>
  </w:num>
  <w:num w:numId="237">
    <w:abstractNumId w:val="133"/>
  </w:num>
  <w:num w:numId="238">
    <w:abstractNumId w:val="165"/>
  </w:num>
  <w:num w:numId="239">
    <w:abstractNumId w:val="111"/>
  </w:num>
  <w:num w:numId="240">
    <w:abstractNumId w:val="399"/>
  </w:num>
  <w:num w:numId="241">
    <w:abstractNumId w:val="403"/>
  </w:num>
  <w:num w:numId="242">
    <w:abstractNumId w:val="295"/>
  </w:num>
  <w:num w:numId="243">
    <w:abstractNumId w:val="149"/>
  </w:num>
  <w:num w:numId="244">
    <w:abstractNumId w:val="135"/>
  </w:num>
  <w:num w:numId="245">
    <w:abstractNumId w:val="321"/>
  </w:num>
  <w:num w:numId="246">
    <w:abstractNumId w:val="278"/>
  </w:num>
  <w:num w:numId="247">
    <w:abstractNumId w:val="35"/>
  </w:num>
  <w:num w:numId="248">
    <w:abstractNumId w:val="333"/>
  </w:num>
  <w:num w:numId="249">
    <w:abstractNumId w:val="299"/>
  </w:num>
  <w:num w:numId="250">
    <w:abstractNumId w:val="84"/>
  </w:num>
  <w:num w:numId="251">
    <w:abstractNumId w:val="47"/>
  </w:num>
  <w:num w:numId="252">
    <w:abstractNumId w:val="311"/>
  </w:num>
  <w:num w:numId="253">
    <w:abstractNumId w:val="43"/>
  </w:num>
  <w:num w:numId="254">
    <w:abstractNumId w:val="129"/>
  </w:num>
  <w:num w:numId="255">
    <w:abstractNumId w:val="170"/>
  </w:num>
  <w:num w:numId="256">
    <w:abstractNumId w:val="26"/>
  </w:num>
  <w:num w:numId="257">
    <w:abstractNumId w:val="16"/>
  </w:num>
  <w:num w:numId="258">
    <w:abstractNumId w:val="214"/>
  </w:num>
  <w:num w:numId="259">
    <w:abstractNumId w:val="147"/>
  </w:num>
  <w:num w:numId="260">
    <w:abstractNumId w:val="358"/>
  </w:num>
  <w:num w:numId="261">
    <w:abstractNumId w:val="330"/>
  </w:num>
  <w:num w:numId="262">
    <w:abstractNumId w:val="347"/>
  </w:num>
  <w:num w:numId="263">
    <w:abstractNumId w:val="9"/>
  </w:num>
  <w:num w:numId="264">
    <w:abstractNumId w:val="344"/>
  </w:num>
  <w:num w:numId="265">
    <w:abstractNumId w:val="334"/>
  </w:num>
  <w:num w:numId="266">
    <w:abstractNumId w:val="394"/>
  </w:num>
  <w:num w:numId="267">
    <w:abstractNumId w:val="22"/>
  </w:num>
  <w:num w:numId="268">
    <w:abstractNumId w:val="124"/>
  </w:num>
  <w:num w:numId="269">
    <w:abstractNumId w:val="343"/>
  </w:num>
  <w:num w:numId="270">
    <w:abstractNumId w:val="139"/>
  </w:num>
  <w:num w:numId="271">
    <w:abstractNumId w:val="208"/>
  </w:num>
  <w:num w:numId="272">
    <w:abstractNumId w:val="90"/>
  </w:num>
  <w:num w:numId="273">
    <w:abstractNumId w:val="404"/>
  </w:num>
  <w:num w:numId="274">
    <w:abstractNumId w:val="23"/>
  </w:num>
  <w:num w:numId="275">
    <w:abstractNumId w:val="112"/>
  </w:num>
  <w:num w:numId="276">
    <w:abstractNumId w:val="199"/>
  </w:num>
  <w:num w:numId="277">
    <w:abstractNumId w:val="326"/>
  </w:num>
  <w:num w:numId="278">
    <w:abstractNumId w:val="385"/>
  </w:num>
  <w:num w:numId="279">
    <w:abstractNumId w:val="118"/>
  </w:num>
  <w:num w:numId="280">
    <w:abstractNumId w:val="391"/>
  </w:num>
  <w:num w:numId="281">
    <w:abstractNumId w:val="195"/>
  </w:num>
  <w:num w:numId="282">
    <w:abstractNumId w:val="225"/>
  </w:num>
  <w:num w:numId="283">
    <w:abstractNumId w:val="376"/>
  </w:num>
  <w:num w:numId="284">
    <w:abstractNumId w:val="363"/>
  </w:num>
  <w:num w:numId="285">
    <w:abstractNumId w:val="213"/>
  </w:num>
  <w:num w:numId="286">
    <w:abstractNumId w:val="186"/>
  </w:num>
  <w:num w:numId="287">
    <w:abstractNumId w:val="407"/>
  </w:num>
  <w:num w:numId="288">
    <w:abstractNumId w:val="153"/>
  </w:num>
  <w:num w:numId="289">
    <w:abstractNumId w:val="332"/>
  </w:num>
  <w:num w:numId="290">
    <w:abstractNumId w:val="126"/>
  </w:num>
  <w:num w:numId="291">
    <w:abstractNumId w:val="307"/>
  </w:num>
  <w:num w:numId="292">
    <w:abstractNumId w:val="245"/>
  </w:num>
  <w:num w:numId="293">
    <w:abstractNumId w:val="174"/>
  </w:num>
  <w:num w:numId="294">
    <w:abstractNumId w:val="95"/>
  </w:num>
  <w:num w:numId="295">
    <w:abstractNumId w:val="302"/>
  </w:num>
  <w:num w:numId="296">
    <w:abstractNumId w:val="261"/>
  </w:num>
  <w:num w:numId="297">
    <w:abstractNumId w:val="65"/>
  </w:num>
  <w:num w:numId="298">
    <w:abstractNumId w:val="222"/>
  </w:num>
  <w:num w:numId="299">
    <w:abstractNumId w:val="372"/>
  </w:num>
  <w:num w:numId="300">
    <w:abstractNumId w:val="179"/>
  </w:num>
  <w:num w:numId="301">
    <w:abstractNumId w:val="163"/>
  </w:num>
  <w:num w:numId="302">
    <w:abstractNumId w:val="83"/>
  </w:num>
  <w:num w:numId="303">
    <w:abstractNumId w:val="157"/>
  </w:num>
  <w:num w:numId="304">
    <w:abstractNumId w:val="40"/>
  </w:num>
  <w:num w:numId="305">
    <w:abstractNumId w:val="58"/>
  </w:num>
  <w:num w:numId="306">
    <w:abstractNumId w:val="57"/>
  </w:num>
  <w:num w:numId="307">
    <w:abstractNumId w:val="336"/>
  </w:num>
  <w:num w:numId="308">
    <w:abstractNumId w:val="194"/>
  </w:num>
  <w:num w:numId="309">
    <w:abstractNumId w:val="79"/>
  </w:num>
  <w:num w:numId="310">
    <w:abstractNumId w:val="164"/>
  </w:num>
  <w:num w:numId="311">
    <w:abstractNumId w:val="253"/>
  </w:num>
  <w:num w:numId="312">
    <w:abstractNumId w:val="101"/>
  </w:num>
  <w:num w:numId="313">
    <w:abstractNumId w:val="137"/>
  </w:num>
  <w:num w:numId="314">
    <w:abstractNumId w:val="8"/>
  </w:num>
  <w:num w:numId="315">
    <w:abstractNumId w:val="20"/>
  </w:num>
  <w:num w:numId="316">
    <w:abstractNumId w:val="325"/>
  </w:num>
  <w:num w:numId="317">
    <w:abstractNumId w:val="161"/>
  </w:num>
  <w:num w:numId="318">
    <w:abstractNumId w:val="337"/>
  </w:num>
  <w:num w:numId="319">
    <w:abstractNumId w:val="42"/>
  </w:num>
  <w:num w:numId="320">
    <w:abstractNumId w:val="377"/>
  </w:num>
  <w:num w:numId="321">
    <w:abstractNumId w:val="346"/>
  </w:num>
  <w:num w:numId="322">
    <w:abstractNumId w:val="89"/>
  </w:num>
  <w:num w:numId="323">
    <w:abstractNumId w:val="21"/>
  </w:num>
  <w:num w:numId="324">
    <w:abstractNumId w:val="247"/>
  </w:num>
  <w:num w:numId="325">
    <w:abstractNumId w:val="380"/>
  </w:num>
  <w:num w:numId="326">
    <w:abstractNumId w:val="37"/>
  </w:num>
  <w:num w:numId="327">
    <w:abstractNumId w:val="308"/>
  </w:num>
  <w:num w:numId="328">
    <w:abstractNumId w:val="282"/>
  </w:num>
  <w:num w:numId="329">
    <w:abstractNumId w:val="230"/>
  </w:num>
  <w:num w:numId="330">
    <w:abstractNumId w:val="61"/>
  </w:num>
  <w:num w:numId="331">
    <w:abstractNumId w:val="227"/>
  </w:num>
  <w:num w:numId="332">
    <w:abstractNumId w:val="30"/>
  </w:num>
  <w:num w:numId="333">
    <w:abstractNumId w:val="367"/>
  </w:num>
  <w:num w:numId="334">
    <w:abstractNumId w:val="86"/>
  </w:num>
  <w:num w:numId="335">
    <w:abstractNumId w:val="379"/>
  </w:num>
  <w:num w:numId="336">
    <w:abstractNumId w:val="24"/>
  </w:num>
  <w:num w:numId="337">
    <w:abstractNumId w:val="14"/>
  </w:num>
  <w:num w:numId="338">
    <w:abstractNumId w:val="220"/>
  </w:num>
  <w:num w:numId="339">
    <w:abstractNumId w:val="277"/>
  </w:num>
  <w:num w:numId="340">
    <w:abstractNumId w:val="92"/>
  </w:num>
  <w:num w:numId="341">
    <w:abstractNumId w:val="374"/>
  </w:num>
  <w:num w:numId="342">
    <w:abstractNumId w:val="46"/>
  </w:num>
  <w:num w:numId="343">
    <w:abstractNumId w:val="44"/>
  </w:num>
  <w:num w:numId="344">
    <w:abstractNumId w:val="49"/>
  </w:num>
  <w:num w:numId="345">
    <w:abstractNumId w:val="246"/>
  </w:num>
  <w:num w:numId="346">
    <w:abstractNumId w:val="264"/>
  </w:num>
  <w:num w:numId="347">
    <w:abstractNumId w:val="98"/>
  </w:num>
  <w:num w:numId="348">
    <w:abstractNumId w:val="102"/>
  </w:num>
  <w:num w:numId="349">
    <w:abstractNumId w:val="269"/>
  </w:num>
  <w:num w:numId="350">
    <w:abstractNumId w:val="339"/>
  </w:num>
  <w:num w:numId="351">
    <w:abstractNumId w:val="100"/>
  </w:num>
  <w:num w:numId="352">
    <w:abstractNumId w:val="322"/>
  </w:num>
  <w:num w:numId="353">
    <w:abstractNumId w:val="197"/>
  </w:num>
  <w:num w:numId="354">
    <w:abstractNumId w:val="398"/>
  </w:num>
  <w:num w:numId="355">
    <w:abstractNumId w:val="323"/>
  </w:num>
  <w:num w:numId="356">
    <w:abstractNumId w:val="193"/>
  </w:num>
  <w:num w:numId="357">
    <w:abstractNumId w:val="184"/>
  </w:num>
  <w:num w:numId="358">
    <w:abstractNumId w:val="341"/>
  </w:num>
  <w:num w:numId="359">
    <w:abstractNumId w:val="51"/>
  </w:num>
  <w:num w:numId="360">
    <w:abstractNumId w:val="255"/>
  </w:num>
  <w:num w:numId="361">
    <w:abstractNumId w:val="173"/>
  </w:num>
  <w:num w:numId="362">
    <w:abstractNumId w:val="158"/>
  </w:num>
  <w:num w:numId="363">
    <w:abstractNumId w:val="177"/>
  </w:num>
  <w:num w:numId="364">
    <w:abstractNumId w:val="224"/>
  </w:num>
  <w:num w:numId="365">
    <w:abstractNumId w:val="34"/>
  </w:num>
  <w:num w:numId="366">
    <w:abstractNumId w:val="279"/>
  </w:num>
  <w:num w:numId="367">
    <w:abstractNumId w:val="215"/>
  </w:num>
  <w:num w:numId="368">
    <w:abstractNumId w:val="368"/>
  </w:num>
  <w:num w:numId="369">
    <w:abstractNumId w:val="27"/>
  </w:num>
  <w:num w:numId="370">
    <w:abstractNumId w:val="115"/>
  </w:num>
  <w:num w:numId="371">
    <w:abstractNumId w:val="11"/>
  </w:num>
  <w:num w:numId="372">
    <w:abstractNumId w:val="130"/>
  </w:num>
  <w:num w:numId="373">
    <w:abstractNumId w:val="69"/>
  </w:num>
  <w:num w:numId="374">
    <w:abstractNumId w:val="48"/>
  </w:num>
  <w:num w:numId="375">
    <w:abstractNumId w:val="106"/>
  </w:num>
  <w:num w:numId="376">
    <w:abstractNumId w:val="205"/>
  </w:num>
  <w:num w:numId="377">
    <w:abstractNumId w:val="373"/>
  </w:num>
  <w:num w:numId="378">
    <w:abstractNumId w:val="97"/>
  </w:num>
  <w:num w:numId="379">
    <w:abstractNumId w:val="28"/>
  </w:num>
  <w:num w:numId="380">
    <w:abstractNumId w:val="189"/>
  </w:num>
  <w:num w:numId="381">
    <w:abstractNumId w:val="88"/>
  </w:num>
  <w:num w:numId="382">
    <w:abstractNumId w:val="251"/>
  </w:num>
  <w:num w:numId="383">
    <w:abstractNumId w:val="128"/>
  </w:num>
  <w:num w:numId="384">
    <w:abstractNumId w:val="132"/>
  </w:num>
  <w:num w:numId="385">
    <w:abstractNumId w:val="94"/>
  </w:num>
  <w:num w:numId="386">
    <w:abstractNumId w:val="72"/>
  </w:num>
  <w:num w:numId="387">
    <w:abstractNumId w:val="176"/>
  </w:num>
  <w:num w:numId="388">
    <w:abstractNumId w:val="45"/>
  </w:num>
  <w:num w:numId="389">
    <w:abstractNumId w:val="60"/>
  </w:num>
  <w:num w:numId="390">
    <w:abstractNumId w:val="284"/>
  </w:num>
  <w:num w:numId="391">
    <w:abstractNumId w:val="191"/>
  </w:num>
  <w:num w:numId="392">
    <w:abstractNumId w:val="370"/>
  </w:num>
  <w:num w:numId="393">
    <w:abstractNumId w:val="313"/>
  </w:num>
  <w:num w:numId="394">
    <w:abstractNumId w:val="131"/>
  </w:num>
  <w:num w:numId="395">
    <w:abstractNumId w:val="145"/>
  </w:num>
  <w:num w:numId="396">
    <w:abstractNumId w:val="4"/>
  </w:num>
  <w:num w:numId="397">
    <w:abstractNumId w:val="38"/>
  </w:num>
  <w:num w:numId="398">
    <w:abstractNumId w:val="229"/>
  </w:num>
  <w:num w:numId="399">
    <w:abstractNumId w:val="192"/>
  </w:num>
  <w:num w:numId="400">
    <w:abstractNumId w:val="13"/>
  </w:num>
  <w:num w:numId="401">
    <w:abstractNumId w:val="289"/>
  </w:num>
  <w:num w:numId="402">
    <w:abstractNumId w:val="3"/>
  </w:num>
  <w:num w:numId="403">
    <w:abstractNumId w:val="357"/>
  </w:num>
  <w:num w:numId="404">
    <w:abstractNumId w:val="258"/>
  </w:num>
  <w:num w:numId="405">
    <w:abstractNumId w:val="80"/>
  </w:num>
  <w:num w:numId="406">
    <w:abstractNumId w:val="306"/>
  </w:num>
  <w:num w:numId="407">
    <w:abstractNumId w:val="389"/>
  </w:num>
  <w:num w:numId="408">
    <w:abstractNumId w:val="351"/>
  </w:num>
  <w:numIdMacAtCleanup w:val="4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3EA9"/>
    <w:rsid w:val="0004542D"/>
    <w:rsid w:val="00045758"/>
    <w:rsid w:val="00045AC2"/>
    <w:rsid w:val="00046E82"/>
    <w:rsid w:val="000503C7"/>
    <w:rsid w:val="0005043C"/>
    <w:rsid w:val="00051012"/>
    <w:rsid w:val="00051809"/>
    <w:rsid w:val="000529AF"/>
    <w:rsid w:val="00054B81"/>
    <w:rsid w:val="0005533D"/>
    <w:rsid w:val="000566D2"/>
    <w:rsid w:val="00056E2B"/>
    <w:rsid w:val="00060566"/>
    <w:rsid w:val="00060668"/>
    <w:rsid w:val="000624FF"/>
    <w:rsid w:val="00062AD2"/>
    <w:rsid w:val="000649BD"/>
    <w:rsid w:val="00065629"/>
    <w:rsid w:val="0006655E"/>
    <w:rsid w:val="00066B02"/>
    <w:rsid w:val="00067A0D"/>
    <w:rsid w:val="00067CF4"/>
    <w:rsid w:val="000700E0"/>
    <w:rsid w:val="00070898"/>
    <w:rsid w:val="00071E8D"/>
    <w:rsid w:val="00072337"/>
    <w:rsid w:val="00073186"/>
    <w:rsid w:val="000744BC"/>
    <w:rsid w:val="0007557A"/>
    <w:rsid w:val="0007705E"/>
    <w:rsid w:val="0007794D"/>
    <w:rsid w:val="000807DB"/>
    <w:rsid w:val="0008162B"/>
    <w:rsid w:val="00082465"/>
    <w:rsid w:val="000863BF"/>
    <w:rsid w:val="00097CF0"/>
    <w:rsid w:val="000A1F17"/>
    <w:rsid w:val="000A2034"/>
    <w:rsid w:val="000A20F0"/>
    <w:rsid w:val="000A4C62"/>
    <w:rsid w:val="000B1800"/>
    <w:rsid w:val="000B4765"/>
    <w:rsid w:val="000B48B2"/>
    <w:rsid w:val="000B4D61"/>
    <w:rsid w:val="000B5101"/>
    <w:rsid w:val="000B5FD0"/>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061F"/>
    <w:rsid w:val="00104BEC"/>
    <w:rsid w:val="00104C99"/>
    <w:rsid w:val="00106AC2"/>
    <w:rsid w:val="0011139F"/>
    <w:rsid w:val="0011375B"/>
    <w:rsid w:val="00113821"/>
    <w:rsid w:val="0011677F"/>
    <w:rsid w:val="00116E86"/>
    <w:rsid w:val="00121D2B"/>
    <w:rsid w:val="00122B00"/>
    <w:rsid w:val="0012304F"/>
    <w:rsid w:val="001242CA"/>
    <w:rsid w:val="001245AE"/>
    <w:rsid w:val="00124D9A"/>
    <w:rsid w:val="00125346"/>
    <w:rsid w:val="00126278"/>
    <w:rsid w:val="001270CC"/>
    <w:rsid w:val="00127203"/>
    <w:rsid w:val="001309AE"/>
    <w:rsid w:val="0013187E"/>
    <w:rsid w:val="00131E58"/>
    <w:rsid w:val="001332B2"/>
    <w:rsid w:val="0013619F"/>
    <w:rsid w:val="001369B3"/>
    <w:rsid w:val="00137A06"/>
    <w:rsid w:val="00137F3B"/>
    <w:rsid w:val="00143361"/>
    <w:rsid w:val="00143D68"/>
    <w:rsid w:val="001459CD"/>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6407"/>
    <w:rsid w:val="00177503"/>
    <w:rsid w:val="00177C94"/>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1B83"/>
    <w:rsid w:val="001B5622"/>
    <w:rsid w:val="001B5BA0"/>
    <w:rsid w:val="001B65E2"/>
    <w:rsid w:val="001B67DA"/>
    <w:rsid w:val="001B6DF4"/>
    <w:rsid w:val="001B799E"/>
    <w:rsid w:val="001B7D07"/>
    <w:rsid w:val="001C1C91"/>
    <w:rsid w:val="001C2137"/>
    <w:rsid w:val="001C6682"/>
    <w:rsid w:val="001C6F6E"/>
    <w:rsid w:val="001C79A1"/>
    <w:rsid w:val="001D0717"/>
    <w:rsid w:val="001D115E"/>
    <w:rsid w:val="001D22AE"/>
    <w:rsid w:val="001D3578"/>
    <w:rsid w:val="001D4296"/>
    <w:rsid w:val="001D4D60"/>
    <w:rsid w:val="001D5288"/>
    <w:rsid w:val="001D707E"/>
    <w:rsid w:val="001E0A3D"/>
    <w:rsid w:val="001E2482"/>
    <w:rsid w:val="001E3C60"/>
    <w:rsid w:val="001E4AEB"/>
    <w:rsid w:val="001E4ECE"/>
    <w:rsid w:val="001E5033"/>
    <w:rsid w:val="001F3322"/>
    <w:rsid w:val="001F7F61"/>
    <w:rsid w:val="00200972"/>
    <w:rsid w:val="0020185D"/>
    <w:rsid w:val="00203E12"/>
    <w:rsid w:val="00204FDB"/>
    <w:rsid w:val="00205C5F"/>
    <w:rsid w:val="00211F73"/>
    <w:rsid w:val="00212093"/>
    <w:rsid w:val="00212145"/>
    <w:rsid w:val="00215AB5"/>
    <w:rsid w:val="00215B64"/>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0E5A"/>
    <w:rsid w:val="002510C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4656"/>
    <w:rsid w:val="002A5159"/>
    <w:rsid w:val="002B1DC5"/>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D4B29"/>
    <w:rsid w:val="002E27F5"/>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3CD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A00"/>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243C"/>
    <w:rsid w:val="00372B3D"/>
    <w:rsid w:val="00374A7B"/>
    <w:rsid w:val="0037555E"/>
    <w:rsid w:val="003759D1"/>
    <w:rsid w:val="00381AE7"/>
    <w:rsid w:val="00381DBD"/>
    <w:rsid w:val="00381FE2"/>
    <w:rsid w:val="00383965"/>
    <w:rsid w:val="00386372"/>
    <w:rsid w:val="003865C5"/>
    <w:rsid w:val="0038731B"/>
    <w:rsid w:val="00391FB9"/>
    <w:rsid w:val="00392B6E"/>
    <w:rsid w:val="00393D5F"/>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3575"/>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386A"/>
    <w:rsid w:val="0048408A"/>
    <w:rsid w:val="00485959"/>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1A17"/>
    <w:rsid w:val="004D34EB"/>
    <w:rsid w:val="004D6DA4"/>
    <w:rsid w:val="004E258B"/>
    <w:rsid w:val="004E5D34"/>
    <w:rsid w:val="004E63C7"/>
    <w:rsid w:val="004E76AB"/>
    <w:rsid w:val="004F0479"/>
    <w:rsid w:val="004F08C8"/>
    <w:rsid w:val="004F0BF7"/>
    <w:rsid w:val="004F2568"/>
    <w:rsid w:val="004F43FC"/>
    <w:rsid w:val="004F4EEF"/>
    <w:rsid w:val="004F65FE"/>
    <w:rsid w:val="00504790"/>
    <w:rsid w:val="005073CF"/>
    <w:rsid w:val="005101CA"/>
    <w:rsid w:val="005101CB"/>
    <w:rsid w:val="005132F0"/>
    <w:rsid w:val="005145A0"/>
    <w:rsid w:val="005164C7"/>
    <w:rsid w:val="005171D9"/>
    <w:rsid w:val="0052066D"/>
    <w:rsid w:val="00520B73"/>
    <w:rsid w:val="00522303"/>
    <w:rsid w:val="005224E0"/>
    <w:rsid w:val="0052253C"/>
    <w:rsid w:val="005253F8"/>
    <w:rsid w:val="00526630"/>
    <w:rsid w:val="005310CA"/>
    <w:rsid w:val="005333F2"/>
    <w:rsid w:val="00533CE5"/>
    <w:rsid w:val="00535D01"/>
    <w:rsid w:val="00536E4F"/>
    <w:rsid w:val="00536EC0"/>
    <w:rsid w:val="00537A05"/>
    <w:rsid w:val="00537B9D"/>
    <w:rsid w:val="005416E3"/>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3459"/>
    <w:rsid w:val="005642D5"/>
    <w:rsid w:val="005653CD"/>
    <w:rsid w:val="00566AAA"/>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D5F0B"/>
    <w:rsid w:val="005E0193"/>
    <w:rsid w:val="005E0557"/>
    <w:rsid w:val="005E4DBA"/>
    <w:rsid w:val="005E52C3"/>
    <w:rsid w:val="005E5D12"/>
    <w:rsid w:val="005E74D4"/>
    <w:rsid w:val="005E7650"/>
    <w:rsid w:val="005F2EBC"/>
    <w:rsid w:val="005F48CC"/>
    <w:rsid w:val="005F7934"/>
    <w:rsid w:val="006016E0"/>
    <w:rsid w:val="00602A16"/>
    <w:rsid w:val="006031C7"/>
    <w:rsid w:val="006050FC"/>
    <w:rsid w:val="0060756C"/>
    <w:rsid w:val="00611E71"/>
    <w:rsid w:val="00611FED"/>
    <w:rsid w:val="0061255C"/>
    <w:rsid w:val="00612E65"/>
    <w:rsid w:val="006138B4"/>
    <w:rsid w:val="00616D72"/>
    <w:rsid w:val="0061736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6C9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4303"/>
    <w:rsid w:val="006B54E7"/>
    <w:rsid w:val="006B63D0"/>
    <w:rsid w:val="006C0292"/>
    <w:rsid w:val="006C02E1"/>
    <w:rsid w:val="006C1C19"/>
    <w:rsid w:val="006C21FA"/>
    <w:rsid w:val="006C314F"/>
    <w:rsid w:val="006C38FE"/>
    <w:rsid w:val="006D1DEB"/>
    <w:rsid w:val="006D2899"/>
    <w:rsid w:val="006D3446"/>
    <w:rsid w:val="006D695B"/>
    <w:rsid w:val="006D6CB4"/>
    <w:rsid w:val="006D6F05"/>
    <w:rsid w:val="006D71CC"/>
    <w:rsid w:val="006E01D8"/>
    <w:rsid w:val="006E260F"/>
    <w:rsid w:val="006E2B23"/>
    <w:rsid w:val="006E2CC2"/>
    <w:rsid w:val="006E2FF7"/>
    <w:rsid w:val="006E3B8E"/>
    <w:rsid w:val="006E436B"/>
    <w:rsid w:val="006F481C"/>
    <w:rsid w:val="006F4D5E"/>
    <w:rsid w:val="006F537E"/>
    <w:rsid w:val="006F5971"/>
    <w:rsid w:val="00701D8F"/>
    <w:rsid w:val="007024D9"/>
    <w:rsid w:val="00702914"/>
    <w:rsid w:val="0070634C"/>
    <w:rsid w:val="0070684E"/>
    <w:rsid w:val="0070747B"/>
    <w:rsid w:val="00715605"/>
    <w:rsid w:val="0071765B"/>
    <w:rsid w:val="007201D4"/>
    <w:rsid w:val="00720C84"/>
    <w:rsid w:val="007214C5"/>
    <w:rsid w:val="00722CF7"/>
    <w:rsid w:val="00722F5C"/>
    <w:rsid w:val="0072793A"/>
    <w:rsid w:val="007279AD"/>
    <w:rsid w:val="00727AED"/>
    <w:rsid w:val="00727E34"/>
    <w:rsid w:val="0073144A"/>
    <w:rsid w:val="00731B96"/>
    <w:rsid w:val="00733926"/>
    <w:rsid w:val="00734868"/>
    <w:rsid w:val="007348DD"/>
    <w:rsid w:val="00734FEC"/>
    <w:rsid w:val="00737F32"/>
    <w:rsid w:val="007401D9"/>
    <w:rsid w:val="007415D5"/>
    <w:rsid w:val="00741901"/>
    <w:rsid w:val="00742212"/>
    <w:rsid w:val="00742FAF"/>
    <w:rsid w:val="0074322F"/>
    <w:rsid w:val="007436F2"/>
    <w:rsid w:val="007444D4"/>
    <w:rsid w:val="007458F3"/>
    <w:rsid w:val="00745DED"/>
    <w:rsid w:val="007460F2"/>
    <w:rsid w:val="007464DE"/>
    <w:rsid w:val="00746E27"/>
    <w:rsid w:val="00747688"/>
    <w:rsid w:val="007500BA"/>
    <w:rsid w:val="007521D9"/>
    <w:rsid w:val="00752BD8"/>
    <w:rsid w:val="0075695B"/>
    <w:rsid w:val="007573DD"/>
    <w:rsid w:val="00760A1B"/>
    <w:rsid w:val="00766AB6"/>
    <w:rsid w:val="00767792"/>
    <w:rsid w:val="00770855"/>
    <w:rsid w:val="00770F6E"/>
    <w:rsid w:val="007725BC"/>
    <w:rsid w:val="00775FF3"/>
    <w:rsid w:val="00777660"/>
    <w:rsid w:val="007776F8"/>
    <w:rsid w:val="00780E52"/>
    <w:rsid w:val="00783C8F"/>
    <w:rsid w:val="00784FFF"/>
    <w:rsid w:val="00786130"/>
    <w:rsid w:val="00786657"/>
    <w:rsid w:val="007901F3"/>
    <w:rsid w:val="007933B7"/>
    <w:rsid w:val="00794063"/>
    <w:rsid w:val="00794439"/>
    <w:rsid w:val="0079492D"/>
    <w:rsid w:val="007A62F9"/>
    <w:rsid w:val="007B4485"/>
    <w:rsid w:val="007C5244"/>
    <w:rsid w:val="007C7B52"/>
    <w:rsid w:val="007C7BC7"/>
    <w:rsid w:val="007D0166"/>
    <w:rsid w:val="007D1A19"/>
    <w:rsid w:val="007D3097"/>
    <w:rsid w:val="007D3101"/>
    <w:rsid w:val="007D4375"/>
    <w:rsid w:val="007D552A"/>
    <w:rsid w:val="007D5CDE"/>
    <w:rsid w:val="007D6003"/>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D7AEA"/>
    <w:rsid w:val="008E60CB"/>
    <w:rsid w:val="008E68FF"/>
    <w:rsid w:val="008E6AF8"/>
    <w:rsid w:val="008F0A08"/>
    <w:rsid w:val="008F108B"/>
    <w:rsid w:val="008F2373"/>
    <w:rsid w:val="008F36A0"/>
    <w:rsid w:val="008F5914"/>
    <w:rsid w:val="008F6C59"/>
    <w:rsid w:val="00900EF1"/>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5745D"/>
    <w:rsid w:val="009611F0"/>
    <w:rsid w:val="009629D2"/>
    <w:rsid w:val="009651D6"/>
    <w:rsid w:val="00966674"/>
    <w:rsid w:val="009672D0"/>
    <w:rsid w:val="00970455"/>
    <w:rsid w:val="0097351D"/>
    <w:rsid w:val="00974012"/>
    <w:rsid w:val="009746FF"/>
    <w:rsid w:val="0097542C"/>
    <w:rsid w:val="00975CA1"/>
    <w:rsid w:val="00976AEE"/>
    <w:rsid w:val="00980F20"/>
    <w:rsid w:val="009814A8"/>
    <w:rsid w:val="00982A93"/>
    <w:rsid w:val="00983278"/>
    <w:rsid w:val="009842DC"/>
    <w:rsid w:val="00984751"/>
    <w:rsid w:val="009879AB"/>
    <w:rsid w:val="00990EEA"/>
    <w:rsid w:val="00991173"/>
    <w:rsid w:val="00991D8C"/>
    <w:rsid w:val="00992C13"/>
    <w:rsid w:val="00993610"/>
    <w:rsid w:val="009942DD"/>
    <w:rsid w:val="0099525F"/>
    <w:rsid w:val="00996EC3"/>
    <w:rsid w:val="009973B1"/>
    <w:rsid w:val="00997E47"/>
    <w:rsid w:val="009A18BE"/>
    <w:rsid w:val="009A21A0"/>
    <w:rsid w:val="009A5571"/>
    <w:rsid w:val="009A7104"/>
    <w:rsid w:val="009A751F"/>
    <w:rsid w:val="009A790E"/>
    <w:rsid w:val="009B0558"/>
    <w:rsid w:val="009B0F75"/>
    <w:rsid w:val="009B366C"/>
    <w:rsid w:val="009B5883"/>
    <w:rsid w:val="009B6B7B"/>
    <w:rsid w:val="009C2886"/>
    <w:rsid w:val="009C2A28"/>
    <w:rsid w:val="009C38D8"/>
    <w:rsid w:val="009C3B01"/>
    <w:rsid w:val="009D1767"/>
    <w:rsid w:val="009D2806"/>
    <w:rsid w:val="009D40DE"/>
    <w:rsid w:val="009D5FD8"/>
    <w:rsid w:val="009D6B9C"/>
    <w:rsid w:val="009E4D39"/>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645"/>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1553"/>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D5928"/>
    <w:rsid w:val="00AE2EE8"/>
    <w:rsid w:val="00AE2FA6"/>
    <w:rsid w:val="00AF16D1"/>
    <w:rsid w:val="00AF1D74"/>
    <w:rsid w:val="00AF54A0"/>
    <w:rsid w:val="00AF7096"/>
    <w:rsid w:val="00B00B46"/>
    <w:rsid w:val="00B013FB"/>
    <w:rsid w:val="00B0312E"/>
    <w:rsid w:val="00B063A2"/>
    <w:rsid w:val="00B064F2"/>
    <w:rsid w:val="00B10422"/>
    <w:rsid w:val="00B1498B"/>
    <w:rsid w:val="00B20603"/>
    <w:rsid w:val="00B2078E"/>
    <w:rsid w:val="00B209B3"/>
    <w:rsid w:val="00B20B15"/>
    <w:rsid w:val="00B2193F"/>
    <w:rsid w:val="00B23358"/>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2521"/>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2DF6"/>
    <w:rsid w:val="00BB33BB"/>
    <w:rsid w:val="00BB5547"/>
    <w:rsid w:val="00BB7E54"/>
    <w:rsid w:val="00BC1ACE"/>
    <w:rsid w:val="00BC35A0"/>
    <w:rsid w:val="00BC3FA5"/>
    <w:rsid w:val="00BC4C9B"/>
    <w:rsid w:val="00BC4D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27"/>
    <w:rsid w:val="00C320E6"/>
    <w:rsid w:val="00C32591"/>
    <w:rsid w:val="00C33149"/>
    <w:rsid w:val="00C36EDA"/>
    <w:rsid w:val="00C413A0"/>
    <w:rsid w:val="00C44EF7"/>
    <w:rsid w:val="00C4528B"/>
    <w:rsid w:val="00C45798"/>
    <w:rsid w:val="00C46E60"/>
    <w:rsid w:val="00C51593"/>
    <w:rsid w:val="00C53599"/>
    <w:rsid w:val="00C5753C"/>
    <w:rsid w:val="00C577DA"/>
    <w:rsid w:val="00C5780B"/>
    <w:rsid w:val="00C6348A"/>
    <w:rsid w:val="00C63E82"/>
    <w:rsid w:val="00C63F85"/>
    <w:rsid w:val="00C64AD7"/>
    <w:rsid w:val="00C668F7"/>
    <w:rsid w:val="00C67C05"/>
    <w:rsid w:val="00C73379"/>
    <w:rsid w:val="00C73A10"/>
    <w:rsid w:val="00C754FD"/>
    <w:rsid w:val="00C7683A"/>
    <w:rsid w:val="00C8005D"/>
    <w:rsid w:val="00C84082"/>
    <w:rsid w:val="00C84670"/>
    <w:rsid w:val="00C84E7A"/>
    <w:rsid w:val="00C85C16"/>
    <w:rsid w:val="00C905F7"/>
    <w:rsid w:val="00C9439C"/>
    <w:rsid w:val="00C9551C"/>
    <w:rsid w:val="00C95EB6"/>
    <w:rsid w:val="00C96BCA"/>
    <w:rsid w:val="00C971FB"/>
    <w:rsid w:val="00CA24B8"/>
    <w:rsid w:val="00CA2950"/>
    <w:rsid w:val="00CA3A4E"/>
    <w:rsid w:val="00CA4F23"/>
    <w:rsid w:val="00CA57D0"/>
    <w:rsid w:val="00CA67AE"/>
    <w:rsid w:val="00CA6E52"/>
    <w:rsid w:val="00CB1FB7"/>
    <w:rsid w:val="00CB457D"/>
    <w:rsid w:val="00CB49C5"/>
    <w:rsid w:val="00CC0C10"/>
    <w:rsid w:val="00CC48E3"/>
    <w:rsid w:val="00CC59F8"/>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6E03"/>
    <w:rsid w:val="00CF73A6"/>
    <w:rsid w:val="00D01B41"/>
    <w:rsid w:val="00D02EC6"/>
    <w:rsid w:val="00D040F9"/>
    <w:rsid w:val="00D05FDE"/>
    <w:rsid w:val="00D06F32"/>
    <w:rsid w:val="00D079AE"/>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28D0"/>
    <w:rsid w:val="00D53AA5"/>
    <w:rsid w:val="00D56C80"/>
    <w:rsid w:val="00D60C97"/>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5C2B"/>
    <w:rsid w:val="00DA69E2"/>
    <w:rsid w:val="00DA79C7"/>
    <w:rsid w:val="00DB1108"/>
    <w:rsid w:val="00DB74E5"/>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27767"/>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45AC"/>
    <w:rsid w:val="00EB50C2"/>
    <w:rsid w:val="00EB6327"/>
    <w:rsid w:val="00EB7A48"/>
    <w:rsid w:val="00EC50A6"/>
    <w:rsid w:val="00EC517D"/>
    <w:rsid w:val="00EC5AAB"/>
    <w:rsid w:val="00EC5ACB"/>
    <w:rsid w:val="00ED15CF"/>
    <w:rsid w:val="00ED4AA9"/>
    <w:rsid w:val="00ED5136"/>
    <w:rsid w:val="00ED5688"/>
    <w:rsid w:val="00ED5D3B"/>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06FCC"/>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16BE"/>
    <w:rsid w:val="00F57623"/>
    <w:rsid w:val="00F60FC1"/>
    <w:rsid w:val="00F64A8E"/>
    <w:rsid w:val="00F658F6"/>
    <w:rsid w:val="00F673D3"/>
    <w:rsid w:val="00F718FB"/>
    <w:rsid w:val="00F723E6"/>
    <w:rsid w:val="00F734BB"/>
    <w:rsid w:val="00F73885"/>
    <w:rsid w:val="00F7511E"/>
    <w:rsid w:val="00F75B92"/>
    <w:rsid w:val="00F76D1E"/>
    <w:rsid w:val="00F844AA"/>
    <w:rsid w:val="00F84B2A"/>
    <w:rsid w:val="00F861FD"/>
    <w:rsid w:val="00F86518"/>
    <w:rsid w:val="00F9095E"/>
    <w:rsid w:val="00F92752"/>
    <w:rsid w:val="00F93E06"/>
    <w:rsid w:val="00F94166"/>
    <w:rsid w:val="00F96F4D"/>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5F52"/>
    <w:rsid w:val="00FE6D16"/>
    <w:rsid w:val="00FE7E27"/>
    <w:rsid w:val="00FF136F"/>
    <w:rsid w:val="00FF2DC1"/>
    <w:rsid w:val="00FF383C"/>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aths.univ-evry.fr/prepubli/366.pdf"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hyperlink" Target="http://developers.opengamma.com/quantitative-research/Analytic-Framework-for-Implying-Yield-Curves-from-Market-Data-OpenGamma.pdf" TargetMode="External"/><Relationship Id="rId84" Type="http://schemas.openxmlformats.org/officeDocument/2006/relationships/hyperlink" Target="http://www.bondex.co.za/pricing/BEASSA_Zero_Curves_Tech_Specs_240504.pdf" TargetMode="External"/><Relationship Id="rId138" Type="http://schemas.openxmlformats.org/officeDocument/2006/relationships/hyperlink" Target="http://www.maths.univ-evry.fr/prepubli/367.pdf" TargetMode="External"/><Relationship Id="rId159" Type="http://schemas.openxmlformats.org/officeDocument/2006/relationships/hyperlink" Target="http://papers.ssrn.com/sol3/papers.cfm?abstract_id=2482955" TargetMode="External"/><Relationship Id="rId170" Type="http://schemas.openxmlformats.org/officeDocument/2006/relationships/hyperlink" Target="http://letianwang.net/Fixed_Income/09_Hull-White_Model.htm" TargetMode="External"/><Relationship Id="rId107" Type="http://schemas.openxmlformats.org/officeDocument/2006/relationships/hyperlink" Target="http://papers.ssrn.com/sol3/papers.cfm?abstract_id=1681910"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hyperlink" Target="http://arxiv.org/abs/1107.1834" TargetMode="External"/><Relationship Id="rId128" Type="http://schemas.openxmlformats.org/officeDocument/2006/relationships/hyperlink" Target="http://papers.ssrn.com/sol3/papers.cfm?abstract_id=1506046" TargetMode="External"/><Relationship Id="rId14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5" Type="http://schemas.openxmlformats.org/officeDocument/2006/relationships/hyperlink" Target="http://developers.opengamma.com/quantitative-research/Multiple-Curve-Construction-OpenGamma.pdf" TargetMode="External"/><Relationship Id="rId160" Type="http://schemas.openxmlformats.org/officeDocument/2006/relationships/hyperlink" Target="http://papers.ssrn.com/sol3/papers.cfm?abstract_id=2482955" TargetMode="External"/><Relationship Id="rId181" Type="http://schemas.openxmlformats.org/officeDocument/2006/relationships/hyperlink" Target="http://papers.ssrn.com/sol3/papers.cfm?abstract_id=1801522"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2.wmf"/><Relationship Id="rId118" Type="http://schemas.openxmlformats.org/officeDocument/2006/relationships/hyperlink" Target="http://grozny.maths.univ-evry.fr/pages_perso/crepey/papers/Reduced-Part%202.pdf" TargetMode="External"/><Relationship Id="rId139" Type="http://schemas.openxmlformats.org/officeDocument/2006/relationships/hyperlink" Target="http://papers.ssrn.com/sol3/papers.cfm?abstract_id=2157631" TargetMode="External"/><Relationship Id="rId85" Type="http://schemas.openxmlformats.org/officeDocument/2006/relationships/image" Target="media/image10.wmf"/><Relationship Id="rId150" Type="http://schemas.openxmlformats.org/officeDocument/2006/relationships/hyperlink" Target="http://papers.ssrn.com/sol3/papers.cfm?abstract_id=1785262" TargetMode="External"/><Relationship Id="rId171" Type="http://schemas.openxmlformats.org/officeDocument/2006/relationships/hyperlink" Target="http://letianwang.net/Fixed_Income/12_SABR_Model.htm"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image" Target="media/image11.wmf"/><Relationship Id="rId129" Type="http://schemas.openxmlformats.org/officeDocument/2006/relationships/hyperlink" Target="http://arxiv.org/abs/1006.4767"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hyperlink" Target="http://www.jonathankinlay.com/Articles/Yield%20Curve%20Construction%20Models.pdf" TargetMode="External"/><Relationship Id="rId96" Type="http://schemas.openxmlformats.org/officeDocument/2006/relationships/hyperlink" Target="http://arxiv.org/pdf/0905.2770.pdf" TargetMode="External"/><Relationship Id="rId140" Type="http://schemas.openxmlformats.org/officeDocument/2006/relationships/hyperlink" Target="http://papers.ssrn.com/sol3/papers.cfm?abstract_id=2482955" TargetMode="External"/><Relationship Id="rId161" Type="http://schemas.openxmlformats.org/officeDocument/2006/relationships/hyperlink" Target="http://papers.ssrn.com/sol3/papers.cfm?abstract_id=2482955" TargetMode="External"/><Relationship Id="rId182" Type="http://schemas.openxmlformats.org/officeDocument/2006/relationships/header" Target="header1.xml"/><Relationship Id="rId6" Type="http://schemas.openxmlformats.org/officeDocument/2006/relationships/footnotes" Target="footnotes.xml"/><Relationship Id="rId23" Type="http://schemas.openxmlformats.org/officeDocument/2006/relationships/hyperlink" Target="http://www.m-x.ca/" TargetMode="External"/><Relationship Id="rId119" Type="http://schemas.openxmlformats.org/officeDocument/2006/relationships/hyperlink" Target="http://papers.ssrn.com/sol3/papers.cfm?abstract_id=1440633" TargetMode="External"/><Relationship Id="rId44" Type="http://schemas.openxmlformats.org/officeDocument/2006/relationships/hyperlink" Target="http://www.wmba.org.uk/pages/index.cfm?page_id=32" TargetMode="External"/><Relationship Id="rId65" Type="http://schemas.openxmlformats.org/officeDocument/2006/relationships/oleObject" Target="embeddings/oleObject1.bin"/><Relationship Id="rId86" Type="http://schemas.openxmlformats.org/officeDocument/2006/relationships/oleObject" Target="embeddings/oleObject10.bin"/><Relationship Id="rId130" Type="http://schemas.openxmlformats.org/officeDocument/2006/relationships/hyperlink" Target="http://papers.ssrn.com/sol3/papers.cfm?abstract_id=1310226" TargetMode="External"/><Relationship Id="rId151" Type="http://schemas.openxmlformats.org/officeDocument/2006/relationships/hyperlink" Target="http://www.kpmg.com" TargetMode="External"/><Relationship Id="rId172" Type="http://schemas.openxmlformats.org/officeDocument/2006/relationships/hyperlink" Target="http://www.autodiff.org/"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oleObject" Target="embeddings/oleObject11.bin"/><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image" Target="media/image6.wmf"/><Relationship Id="rId97" Type="http://schemas.openxmlformats.org/officeDocument/2006/relationships/hyperlink" Target="http://arxiv.org/abs/1103.2567" TargetMode="External"/><Relationship Id="rId104" Type="http://schemas.openxmlformats.org/officeDocument/2006/relationships/hyperlink" Target="http://papers.ssrn.com/sol3/papers.cfm?abstract_id=1440633" TargetMode="External"/><Relationship Id="rId120" Type="http://schemas.openxmlformats.org/officeDocument/2006/relationships/hyperlink" Target="http://papers.ssrn.com/sol3/papers.cfm?abstract_id=1556487" TargetMode="External"/><Relationship Id="rId125" Type="http://schemas.openxmlformats.org/officeDocument/2006/relationships/hyperlink" Target="http://www.isda.org/c_and_a/pdf/ISDA-Margin-Survey-2009.pdf" TargetMode="External"/><Relationship Id="rId141" Type="http://schemas.openxmlformats.org/officeDocument/2006/relationships/hyperlink" Target="http://www.albanese.co.uk"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www.frouah.com/finance%20notes/The%20Heston%20model%20short%20version.pdf" TargetMode="External"/><Relationship Id="rId7" Type="http://schemas.openxmlformats.org/officeDocument/2006/relationships/endnotes" Target="endnotes.xml"/><Relationship Id="rId71" Type="http://schemas.openxmlformats.org/officeDocument/2006/relationships/image" Target="media/image5.wmf"/><Relationship Id="rId92" Type="http://schemas.openxmlformats.org/officeDocument/2006/relationships/hyperlink" Target="http://www.risk.net/risk-magazine/feature/1497684/libor-attack" TargetMode="External"/><Relationship Id="rId162" Type="http://schemas.openxmlformats.org/officeDocument/2006/relationships/hyperlink" Target="http://papers.ssrn.com/sol3/papers.cfm?abstract_id=2482955"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oleObject" Target="embeddings/oleObject2.bin"/><Relationship Id="rId87" Type="http://schemas.openxmlformats.org/officeDocument/2006/relationships/hyperlink" Target="http://papers.ssrn.com/sol3/papers.cfm?abstract_id=871088" TargetMode="External"/><Relationship Id="rId110" Type="http://schemas.openxmlformats.org/officeDocument/2006/relationships/oleObject" Target="embeddings/oleObject12.bin"/><Relationship Id="rId115" Type="http://schemas.openxmlformats.org/officeDocument/2006/relationships/hyperlink" Target="http://papers.ssrn.com/sol3/papers.cfm?abstract_id=1974479" TargetMode="External"/><Relationship Id="rId131" Type="http://schemas.openxmlformats.org/officeDocument/2006/relationships/hyperlink" Target="http://papers.ssrn.com/sol3/papers.cfm?abstract_id=2103121" TargetMode="External"/><Relationship Id="rId136" Type="http://schemas.openxmlformats.org/officeDocument/2006/relationships/hyperlink" Target="http://papers.ssrn.com/sol3/papers.cfm?abstract_id=2027195" TargetMode="External"/><Relationship Id="rId157" Type="http://schemas.openxmlformats.org/officeDocument/2006/relationships/hyperlink" Target="http://papers.ssrn.com/sol3/papers.cfm?abstract_id=6143" TargetMode="External"/><Relationship Id="rId178" Type="http://schemas.openxmlformats.org/officeDocument/2006/relationships/hyperlink" Target="http://www.cas.mcmaster.ca/~cs777/presentations/AD.pdf" TargetMode="External"/><Relationship Id="rId61" Type="http://schemas.openxmlformats.org/officeDocument/2006/relationships/hyperlink" Target="http://www.bankofcanada.ca/en/res/wp00-17.htm" TargetMode="External"/><Relationship Id="rId82" Type="http://schemas.openxmlformats.org/officeDocument/2006/relationships/image" Target="media/image9.wmf"/><Relationship Id="rId152" Type="http://schemas.openxmlformats.org/officeDocument/2006/relationships/hyperlink" Target="http://inform.pwc.com/" TargetMode="External"/><Relationship Id="rId173" Type="http://schemas.openxmlformats.org/officeDocument/2006/relationships/hyperlink" Target="http://info.mcs.anl.gov/pub/tech_reports/reports/P1152.pdf"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oleObject" Target="embeddings/oleObject6.bin"/><Relationship Id="rId100" Type="http://schemas.openxmlformats.org/officeDocument/2006/relationships/hyperlink" Target="http://papers.ssrn.com/sol3/papers.cfm?abstract_id=1332205" TargetMode="External"/><Relationship Id="rId105" Type="http://schemas.openxmlformats.org/officeDocument/2006/relationships/hyperlink" Target="http://papers.ssrn.com/sol3/papers.cfm?abstract_id=1556487" TargetMode="External"/><Relationship Id="rId126" Type="http://schemas.openxmlformats.org/officeDocument/2006/relationships/hyperlink" Target="http://www.isda.org/c_and_a/pdf/Collateral-Market-Review.pdf" TargetMode="External"/><Relationship Id="rId147" Type="http://schemas.openxmlformats.org/officeDocument/2006/relationships/hyperlink" Target="http://papers.ssrn.com/sol3/papers.cfm?abstract_id=2245821" TargetMode="External"/><Relationship Id="rId168" Type="http://schemas.openxmlformats.org/officeDocument/2006/relationships/hyperlink" Target="http://en.wikipedia.org/wiki/Girsanov_theorem"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5.bin"/><Relationship Id="rId93" Type="http://schemas.openxmlformats.org/officeDocument/2006/relationships/hyperlink" Target="http://papers.ssrn.com/sol3/papers.cfm?abstract_id=1332205" TargetMode="External"/><Relationship Id="rId98" Type="http://schemas.openxmlformats.org/officeDocument/2006/relationships/hyperlink" Target="http://papers.ssrn.com/sol3/papers.cfm?abstract_id=682343" TargetMode="External"/><Relationship Id="rId121" Type="http://schemas.openxmlformats.org/officeDocument/2006/relationships/hyperlink" Target="http://papers.ssrn.com/sol3/papers.cfm?abstract_id=1601866" TargetMode="External"/><Relationship Id="rId142" Type="http://schemas.openxmlformats.org/officeDocument/2006/relationships/hyperlink" Target="http://papers.ssrn.com/sol3/papers.cfm?abstract_id=2482955" TargetMode="External"/><Relationship Id="rId163" Type="http://schemas.openxmlformats.org/officeDocument/2006/relationships/hyperlink" Target="http://papers.ssrn.com/sol3/papers.cfm?abstract_id=2400324"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image" Target="media/image3.wmf"/><Relationship Id="rId116" Type="http://schemas.openxmlformats.org/officeDocument/2006/relationships/hyperlink" Target="http://papers.ssrn.com/sol3/papers.cfm?abstract_id=2073300" TargetMode="External"/><Relationship Id="rId137" Type="http://schemas.openxmlformats.org/officeDocument/2006/relationships/hyperlink" Target="http://www.maths.univ-evry.fr/prepubli/366.pdf" TargetMode="External"/><Relationship Id="rId158" Type="http://schemas.openxmlformats.org/officeDocument/2006/relationships/hyperlink" Target="http://papers.ssrn.com/sol3/papers.cfm?abstract_id=2482955"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hyperlink" Target="http://developers.opengamma.com/quantitative-research/Multiple-Curve-Construction-OpenGamma.pdf" TargetMode="External"/><Relationship Id="rId83" Type="http://schemas.openxmlformats.org/officeDocument/2006/relationships/oleObject" Target="embeddings/oleObject9.bin"/><Relationship Id="rId88" Type="http://schemas.openxmlformats.org/officeDocument/2006/relationships/hyperlink" Target="http://ideas.repec.org/p/fip/fedgfe/95-1.html" TargetMode="External"/><Relationship Id="rId111" Type="http://schemas.openxmlformats.org/officeDocument/2006/relationships/hyperlink" Target="http://papers.ssrn.com/sol3/papers.cfm?abstract_id=2219548" TargetMode="External"/><Relationship Id="rId132" Type="http://schemas.openxmlformats.org/officeDocument/2006/relationships/hyperlink" Target="http://arxiv.org/pdf/1210.3811.pdf" TargetMode="External"/><Relationship Id="rId153" Type="http://schemas.openxmlformats.org/officeDocument/2006/relationships/hyperlink" Target="http://papers.ssrn.com/sol3/papers.cfm?abstract_id=2482955" TargetMode="External"/><Relationship Id="rId174" Type="http://schemas.openxmlformats.org/officeDocument/2006/relationships/hyperlink" Target="http://papers.ssrn.com/sol3/papers.cfm?abstract_id=1801522" TargetMode="External"/><Relationship Id="rId179" Type="http://schemas.openxmlformats.org/officeDocument/2006/relationships/hyperlink" Target="http://papers.ssrn.com/sol3/papers.cfm?abstract_id=1801522"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601866" TargetMode="External"/><Relationship Id="rId127" Type="http://schemas.openxmlformats.org/officeDocument/2006/relationships/hyperlink" Target="http://papers.ssrn.com/sol3/papers.cfm?abstract_id=1945769"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hyperlink" Target="http://papers.ssrn.com/sol3/papers.cfm?abstract_id=871088" TargetMode="External"/><Relationship Id="rId78" Type="http://schemas.openxmlformats.org/officeDocument/2006/relationships/image" Target="media/image7.wmf"/><Relationship Id="rId94" Type="http://schemas.openxmlformats.org/officeDocument/2006/relationships/hyperlink" Target="http://www.bancaimi.com/bancaimi/dms/bancaimi/...crisis/.../Morini_day4.pdf&#8206;" TargetMode="External"/><Relationship Id="rId99" Type="http://schemas.openxmlformats.org/officeDocument/2006/relationships/hyperlink" Target="http://papers.ssrn.com/sol3/papers.cfm?abstract_id=1433022" TargetMode="External"/><Relationship Id="rId101" Type="http://schemas.openxmlformats.org/officeDocument/2006/relationships/hyperlink" Target="http://papers.ssrn.com/sol3/papers.cfm?abstract_id=1563685" TargetMode="External"/><Relationship Id="rId122" Type="http://schemas.openxmlformats.org/officeDocument/2006/relationships/hyperlink" Target="http://arxiv.org/abs/1112.1763" TargetMode="External"/><Relationship Id="rId143" Type="http://schemas.openxmlformats.org/officeDocument/2006/relationships/hyperlink" Target="http://www.leeds-faculty.colorado.edu" TargetMode="External"/><Relationship Id="rId148" Type="http://schemas.openxmlformats.org/officeDocument/2006/relationships/hyperlink" Target="http://papers.ssrn.com/sol3/papers.cfm?abstract_id=2482955" TargetMode="External"/><Relationship Id="rId164" Type="http://schemas.openxmlformats.org/officeDocument/2006/relationships/hyperlink" Target="http://papers.ssrn.com/sol3/papers.cfm?abstract_id=1395390" TargetMode="External"/><Relationship Id="rId169" Type="http://schemas.openxmlformats.org/officeDocument/2006/relationships/hyperlink" Target="http://letianwang.net/Fixed_Income/08_HJM_Model.htm" TargetMode="External"/><Relationship Id="rId18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2.isda.org/" TargetMode="External"/><Relationship Id="rId180" Type="http://schemas.openxmlformats.org/officeDocument/2006/relationships/hyperlink" Target="http://papers.ssrn.com/sol3/papers.cfm?abstract_id=1801522"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3.bin"/><Relationship Id="rId89" Type="http://schemas.openxmlformats.org/officeDocument/2006/relationships/hyperlink" Target="http://arxiv.org/pdf/0905.2770.pdf" TargetMode="External"/><Relationship Id="rId112" Type="http://schemas.openxmlformats.org/officeDocument/2006/relationships/hyperlink" Target="http://papers.ssrn.com/sol3/papers.cfm?abstract_id=1352606" TargetMode="External"/><Relationship Id="rId133" Type="http://schemas.openxmlformats.org/officeDocument/2006/relationships/hyperlink" Target="http://papers.ssrn.com/sol3/papers.cfm?abstract_id=1605307" TargetMode="External"/><Relationship Id="rId154" Type="http://schemas.openxmlformats.org/officeDocument/2006/relationships/hyperlink" Target="http://papers.ssrn.com/sol3/papers.cfm?abstract_id=6143" TargetMode="External"/><Relationship Id="rId175" Type="http://schemas.openxmlformats.org/officeDocument/2006/relationships/hyperlink" Target="http://en.wikipedia.org/wiki/Automatic_differentiation"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7.bin"/><Relationship Id="rId102" Type="http://schemas.openxmlformats.org/officeDocument/2006/relationships/hyperlink" Target="http://www.bancaimi.com/bancaimi/dms/bancaimi/...crisis/.../Morini_day4.pdf&#8206;" TargetMode="External"/><Relationship Id="rId123" Type="http://schemas.openxmlformats.org/officeDocument/2006/relationships/hyperlink" Target="http://papers.ssrn.com/sol3/papers.cfm?abstract_id=2220371" TargetMode="External"/><Relationship Id="rId144" Type="http://schemas.openxmlformats.org/officeDocument/2006/relationships/hyperlink" Target="http://papers.ssrn.com/sol3/papers.cfm?abstract_id=1855028" TargetMode="External"/><Relationship Id="rId90" Type="http://schemas.openxmlformats.org/officeDocument/2006/relationships/hyperlink" Target="http://papers.ssrn.com/sol3/papers.cfm?abstract_id=970509" TargetMode="External"/><Relationship Id="rId165" Type="http://schemas.openxmlformats.org/officeDocument/2006/relationships/hyperlink" Target="http://www.math.nyu.edu/research/carrp/papers/pdf/integtransform.pdf"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4.wmf"/><Relationship Id="rId113" Type="http://schemas.openxmlformats.org/officeDocument/2006/relationships/hyperlink" Target="http://arxiv.org/abs/1207.2316" TargetMode="External"/><Relationship Id="rId134" Type="http://schemas.openxmlformats.org/officeDocument/2006/relationships/hyperlink" Target="http://papers.ssrn.com/sol3/papers.cfm?abstract_id=1785262" TargetMode="External"/><Relationship Id="rId80" Type="http://schemas.openxmlformats.org/officeDocument/2006/relationships/image" Target="media/image8.wmf"/><Relationship Id="rId155" Type="http://schemas.openxmlformats.org/officeDocument/2006/relationships/hyperlink" Target="http://papers.ssrn.com/sol3/papers.cfm?abstract_id=2482955" TargetMode="External"/><Relationship Id="rId176" Type="http://schemas.openxmlformats.org/officeDocument/2006/relationships/hyperlink" Target="http://www.pvv.ntnu.no/~berland/resources/autodiff-triallecture.pdf"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thestreet.com/story/769619/1/what-makes-a-bond-cheapest-to-deliver-against-the-futures-contract.html" TargetMode="External"/><Relationship Id="rId103" Type="http://schemas.openxmlformats.org/officeDocument/2006/relationships/hyperlink" Target="http://papers.ssrn.com/sol3/papers.cfm?abstract_id=1506046" TargetMode="External"/><Relationship Id="rId124" Type="http://schemas.openxmlformats.org/officeDocument/2006/relationships/hyperlink" Target="http://papers.ssrn.com/sol3/papers.cfm?abstract_id=2164331" TargetMode="External"/><Relationship Id="rId70" Type="http://schemas.openxmlformats.org/officeDocument/2006/relationships/oleObject" Target="embeddings/oleObject4.bin"/><Relationship Id="rId91" Type="http://schemas.openxmlformats.org/officeDocument/2006/relationships/hyperlink" Target="http://www2.isda.org/" TargetMode="External"/><Relationship Id="rId145" Type="http://schemas.openxmlformats.org/officeDocument/2006/relationships/hyperlink" Target="http://investor.shareholder.com" TargetMode="External"/><Relationship Id="rId166" Type="http://schemas.openxmlformats.org/officeDocument/2006/relationships/hyperlink" Target="http://www.pjaeckel.webspace.virginmedia.com/NotSoComplexLogarithmsInTheHestonModel.pdf" TargetMode="External"/><Relationship Id="rId1" Type="http://schemas.openxmlformats.org/officeDocument/2006/relationships/customXml" Target="../customXml/item1.xm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papers.ssrn.com/sol3/papers.cfm?abstract_id=2027195" TargetMode="External"/><Relationship Id="rId60" Type="http://schemas.openxmlformats.org/officeDocument/2006/relationships/hyperlink" Target="http://people.stern.nyu.edu/jcarpen0/courses/b403333/23bondfutures.pdf" TargetMode="External"/><Relationship Id="rId81" Type="http://schemas.openxmlformats.org/officeDocument/2006/relationships/oleObject" Target="embeddings/oleObject8.bin"/><Relationship Id="rId135" Type="http://schemas.openxmlformats.org/officeDocument/2006/relationships/hyperlink" Target="http://papers.ssrn.com/sol3/papers.cfm?abstract_id=2157631" TargetMode="External"/><Relationship Id="rId156" Type="http://schemas.openxmlformats.org/officeDocument/2006/relationships/hyperlink" Target="http://papers.ssrn.com/sol3/papers.cfm?abstract_id=1785262" TargetMode="External"/><Relationship Id="rId177" Type="http://schemas.openxmlformats.org/officeDocument/2006/relationships/hyperlink" Target="http://info.mcs.anl.gov/pub/tech_reports/reports/P115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B22CC-BC1A-4634-9428-4CF11850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658</Pages>
  <Words>117934</Words>
  <Characters>672224</Characters>
  <Application>Microsoft Office Word</Application>
  <DocSecurity>0</DocSecurity>
  <Lines>5601</Lines>
  <Paragraphs>1577</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788581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5</cp:revision>
  <cp:lastPrinted>2015-08-26T19:50:00Z</cp:lastPrinted>
  <dcterms:created xsi:type="dcterms:W3CDTF">2016-01-27T18:03:00Z</dcterms:created>
  <dcterms:modified xsi:type="dcterms:W3CDTF">2016-01-27T19:50:00Z</dcterms:modified>
</cp:coreProperties>
</file>