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0F4BEC93" w:rsidR="00493320" w:rsidRDefault="00EC5BBC">
      <w:pPr>
        <w:spacing w:line="360" w:lineRule="auto"/>
        <w:ind w:left="360"/>
        <w:jc w:val="center"/>
      </w:pPr>
      <w:r>
        <w:rPr>
          <w:b/>
          <w:bCs/>
        </w:rPr>
        <w:t>v4.</w:t>
      </w:r>
      <w:r w:rsidR="00597EF7">
        <w:rPr>
          <w:b/>
          <w:bCs/>
        </w:rPr>
        <w:t>7</w:t>
      </w:r>
      <w:r w:rsidR="00652FCF">
        <w:rPr>
          <w:b/>
          <w:bCs/>
        </w:rPr>
        <w:t>2</w:t>
      </w:r>
      <w:r w:rsidR="00991306">
        <w:t xml:space="preserve"> </w:t>
      </w:r>
      <w:r w:rsidR="00652FCF">
        <w:t>14</w:t>
      </w:r>
      <w:r w:rsidR="00991306">
        <w:t xml:space="preserve"> </w:t>
      </w:r>
      <w:r w:rsidR="00652FCF">
        <w:t>March</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08D519F" w14:textId="28812CBC"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m:t>
        </m:r>
        <m:r>
          <w:rPr>
            <w:rStyle w:val="citationjournal"/>
            <w:rFonts w:ascii="Cambria Math" w:hAnsi="Cambria Math"/>
            <w:lang w:val="en"/>
          </w:rPr>
          <m:t>-1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Default="007A687E" w:rsidP="00652FCF">
      <w:pPr>
        <w:pStyle w:val="Footer"/>
        <w:tabs>
          <w:tab w:val="clear" w:pos="4320"/>
          <w:tab w:val="clear" w:pos="8640"/>
        </w:tabs>
        <w:spacing w:line="360" w:lineRule="auto"/>
        <w:rPr>
          <w:rStyle w:val="citationjournal"/>
          <w:lang w:val="en"/>
        </w:rPr>
      </w:pPr>
      <w:r>
        <w:rPr>
          <w:rStyle w:val="citationjournal"/>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m:t>
              </m:r>
              <m:r>
                <w:rPr>
                  <w:rStyle w:val="citationjournal"/>
                  <w:rFonts w:ascii="Cambria Math" w:hAnsi="Cambria Math"/>
                  <w:lang w:val="en"/>
                </w:rPr>
                <m:t>-1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xml:space="preserve">: </w:t>
      </w:r>
      <w:r>
        <w:rPr>
          <w:rStyle w:val="citationjournal"/>
          <w:lang w:val="en"/>
        </w:rPr>
        <w:t>For an n-dimensional</w:t>
      </w:r>
      <w:r>
        <w:rPr>
          <w:rStyle w:val="citationjournal"/>
          <w:lang w:val="en"/>
        </w:rPr>
        <w:t xml:space="preserve">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m:t>
          </m:r>
          <m:r>
            <w:rPr>
              <w:rStyle w:val="citationjournal"/>
              <w:rFonts w:ascii="Cambria Math" w:hAnsi="Cambria Math"/>
              <w:lang w:val="en"/>
            </w:rPr>
            <m:t>=j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r>
                <w:rPr>
                  <w:rStyle w:val="citationjournal"/>
                  <w:rFonts w:ascii="Cambria Math" w:hAnsi="Cambria Math"/>
                  <w:lang w:val="en"/>
                </w:rPr>
                <m:t>-e</m:t>
              </m:r>
            </m:e>
          </m:d>
          <m:r>
            <w:rPr>
              <w:rStyle w:val="citationjournal"/>
              <w:rFonts w:ascii="Cambria Math" w:hAnsi="Cambria Math"/>
              <w:lang w:val="en"/>
            </w:rPr>
            <m:t>+</m:t>
          </m:r>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r>
                <w:rPr>
                  <w:rStyle w:val="citationjournal"/>
                  <w:rFonts w:ascii="Cambria Math" w:hAnsi="Cambria Math"/>
                  <w:lang w:val="en"/>
                </w:rPr>
                <m:t>/e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m:t>
        </m:r>
        <m:r>
          <w:rPr>
            <w:rStyle w:val="citationjournal"/>
            <w:rFonts w:ascii="Cambria Math" w:hAnsi="Cambria Math"/>
            <w:lang w:val="en"/>
          </w:rPr>
          <m:t>-e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m:t>
        </m:r>
        <m:r>
          <w:rPr>
            <w:rStyle w:val="citationjournal"/>
            <w:rFonts w:ascii="Cambria Math" w:hAnsi="Cambria Math"/>
            <w:lang w:val="en"/>
          </w:rPr>
          <m:t>/e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m:t>
        </m:r>
        <m:r>
          <w:rPr>
            <w:rStyle w:val="citationjournal"/>
            <w:rFonts w:ascii="Cambria Math" w:hAnsi="Cambria Math"/>
            <w:lang w:val="en"/>
          </w:rPr>
          <m:t>-e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r>
              <w:rPr>
                <w:rStyle w:val="citationjournal"/>
                <w:rFonts w:ascii="Cambria Math" w:hAnsi="Cambria Math"/>
                <w:lang w:val="en"/>
              </w:rPr>
              <m:t>/e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1FDE3865" w:rsidR="00116996" w:rsidRPr="007061D0"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255A7D1D" w14:textId="03AA7DC1"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5890E77F" w14:textId="04505460"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Goldberg, L. A., and M. Jerrum (2008): Inapproximability of the Tutte Polynomia</w:t>
      </w:r>
      <w:bookmarkStart w:id="0" w:name="_GoBack"/>
      <w:bookmarkEnd w:id="0"/>
      <w:r>
        <w:rPr>
          <w:rStyle w:val="citationjournal"/>
          <w:lang w:val="en"/>
        </w:rPr>
        <w:t xml:space="preserve">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69D16510" w14:textId="22E11DDF"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3C1C9545" w14:textId="0B19675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15" w:history="1">
        <w:r>
          <w:rPr>
            <w:rStyle w:val="Hyperlink"/>
            <w:lang w:val="en"/>
          </w:rPr>
          <w:t>Spanning Tree</w:t>
        </w:r>
      </w:hyperlink>
    </w:p>
    <w:p w14:paraId="26C982BB" w14:textId="40A3A212"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652FCF"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16"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17"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652FCF"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1"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1"/>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652FCF"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652FCF"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18"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19"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20" w:history="1">
        <w:r w:rsidRPr="00CE51CB">
          <w:rPr>
            <w:rStyle w:val="Hyperlink"/>
          </w:rPr>
          <w:t>Kruskal's Algorithm</w:t>
        </w:r>
      </w:hyperlink>
    </w:p>
    <w:p w14:paraId="4D606432" w14:textId="77777777" w:rsidR="00CE51CB" w:rsidRPr="00CE51CB" w:rsidRDefault="00CE51CB" w:rsidP="00CE51CB">
      <w:pPr>
        <w:pStyle w:val="Footer"/>
        <w:tabs>
          <w:tab w:val="clear" w:pos="4320"/>
          <w:tab w:val="clear" w:pos="8640"/>
        </w:tabs>
        <w:spacing w:line="360" w:lineRule="auto"/>
        <w:rPr>
          <w:rStyle w:val="citationjournal"/>
          <w:lang w:val="en"/>
        </w:rPr>
      </w:pPr>
    </w:p>
    <w:sectPr w:rsidR="00CE51CB" w:rsidRPr="00CE51CB">
      <w:headerReference w:type="default" r:id="rId21"/>
      <w:footerReference w:type="even"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CF253" w14:textId="77777777" w:rsidR="009D59F9" w:rsidRDefault="009D59F9">
      <w:r>
        <w:separator/>
      </w:r>
    </w:p>
  </w:endnote>
  <w:endnote w:type="continuationSeparator" w:id="0">
    <w:p w14:paraId="42D8DB2F" w14:textId="77777777" w:rsidR="009D59F9" w:rsidRDefault="009D5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652FCF" w:rsidRDefault="00652F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52FCF" w:rsidRDefault="00652F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652FCF" w:rsidRDefault="00652F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52FCF" w:rsidRDefault="00652F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E7141" w14:textId="77777777" w:rsidR="009D59F9" w:rsidRDefault="009D59F9">
      <w:r>
        <w:separator/>
      </w:r>
    </w:p>
  </w:footnote>
  <w:footnote w:type="continuationSeparator" w:id="0">
    <w:p w14:paraId="25FFC8E8" w14:textId="77777777" w:rsidR="009D59F9" w:rsidRDefault="009D5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652FCF" w:rsidRDefault="00652FCF">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52FCF" w:rsidRDefault="00652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6"/>
  </w:num>
  <w:num w:numId="3">
    <w:abstractNumId w:val="2"/>
  </w:num>
  <w:num w:numId="4">
    <w:abstractNumId w:val="18"/>
  </w:num>
  <w:num w:numId="5">
    <w:abstractNumId w:val="19"/>
  </w:num>
  <w:num w:numId="6">
    <w:abstractNumId w:val="14"/>
  </w:num>
  <w:num w:numId="7">
    <w:abstractNumId w:val="5"/>
  </w:num>
  <w:num w:numId="8">
    <w:abstractNumId w:val="3"/>
  </w:num>
  <w:num w:numId="9">
    <w:abstractNumId w:val="10"/>
  </w:num>
  <w:num w:numId="10">
    <w:abstractNumId w:val="7"/>
  </w:num>
  <w:num w:numId="11">
    <w:abstractNumId w:val="13"/>
  </w:num>
  <w:num w:numId="12">
    <w:abstractNumId w:val="4"/>
  </w:num>
  <w:num w:numId="13">
    <w:abstractNumId w:val="0"/>
  </w:num>
  <w:num w:numId="14">
    <w:abstractNumId w:val="17"/>
  </w:num>
  <w:num w:numId="15">
    <w:abstractNumId w:val="9"/>
  </w:num>
  <w:num w:numId="16">
    <w:abstractNumId w:val="1"/>
  </w:num>
  <w:num w:numId="17">
    <w:abstractNumId w:val="15"/>
  </w:num>
  <w:num w:numId="18">
    <w:abstractNumId w:val="12"/>
  </w:num>
  <w:num w:numId="19">
    <w:abstractNumId w:val="8"/>
  </w:num>
  <w:num w:numId="20">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E67"/>
    <w:rsid w:val="0000527E"/>
    <w:rsid w:val="00006579"/>
    <w:rsid w:val="000134DC"/>
    <w:rsid w:val="00015363"/>
    <w:rsid w:val="00015EC2"/>
    <w:rsid w:val="00015FDE"/>
    <w:rsid w:val="00017942"/>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2C6C"/>
    <w:rsid w:val="000C4740"/>
    <w:rsid w:val="000C74B1"/>
    <w:rsid w:val="000C7B3D"/>
    <w:rsid w:val="000D0FEE"/>
    <w:rsid w:val="000E1511"/>
    <w:rsid w:val="000E379F"/>
    <w:rsid w:val="000E52D5"/>
    <w:rsid w:val="000E622C"/>
    <w:rsid w:val="000F5D94"/>
    <w:rsid w:val="000F67C5"/>
    <w:rsid w:val="000F6C6D"/>
    <w:rsid w:val="000F7006"/>
    <w:rsid w:val="001008E1"/>
    <w:rsid w:val="00101612"/>
    <w:rsid w:val="0010221F"/>
    <w:rsid w:val="001072A4"/>
    <w:rsid w:val="00113012"/>
    <w:rsid w:val="0011476F"/>
    <w:rsid w:val="00116996"/>
    <w:rsid w:val="00117B20"/>
    <w:rsid w:val="0012015E"/>
    <w:rsid w:val="00120DCA"/>
    <w:rsid w:val="00123A8D"/>
    <w:rsid w:val="001251DB"/>
    <w:rsid w:val="0012595F"/>
    <w:rsid w:val="001304CA"/>
    <w:rsid w:val="00130524"/>
    <w:rsid w:val="001342AB"/>
    <w:rsid w:val="00136358"/>
    <w:rsid w:val="00136E43"/>
    <w:rsid w:val="00141604"/>
    <w:rsid w:val="0014285D"/>
    <w:rsid w:val="001473D8"/>
    <w:rsid w:val="00150D58"/>
    <w:rsid w:val="00152829"/>
    <w:rsid w:val="001547EA"/>
    <w:rsid w:val="00154F29"/>
    <w:rsid w:val="001571A2"/>
    <w:rsid w:val="00157E7D"/>
    <w:rsid w:val="00161BE3"/>
    <w:rsid w:val="001631C4"/>
    <w:rsid w:val="00165A09"/>
    <w:rsid w:val="00166C1D"/>
    <w:rsid w:val="00167320"/>
    <w:rsid w:val="00167DBD"/>
    <w:rsid w:val="001801FF"/>
    <w:rsid w:val="00180904"/>
    <w:rsid w:val="00181B56"/>
    <w:rsid w:val="001843E4"/>
    <w:rsid w:val="00186D65"/>
    <w:rsid w:val="00190259"/>
    <w:rsid w:val="001925A1"/>
    <w:rsid w:val="00192860"/>
    <w:rsid w:val="00197573"/>
    <w:rsid w:val="001A06DE"/>
    <w:rsid w:val="001A2837"/>
    <w:rsid w:val="001A2F4D"/>
    <w:rsid w:val="001A6422"/>
    <w:rsid w:val="001A6639"/>
    <w:rsid w:val="001B2EF0"/>
    <w:rsid w:val="001B61EC"/>
    <w:rsid w:val="001C1038"/>
    <w:rsid w:val="001C130A"/>
    <w:rsid w:val="001C1956"/>
    <w:rsid w:val="001C2D16"/>
    <w:rsid w:val="001C442D"/>
    <w:rsid w:val="001C4D55"/>
    <w:rsid w:val="001C4F3B"/>
    <w:rsid w:val="001C59D0"/>
    <w:rsid w:val="001C62A7"/>
    <w:rsid w:val="001C677C"/>
    <w:rsid w:val="001C7538"/>
    <w:rsid w:val="001D36B9"/>
    <w:rsid w:val="001D37F7"/>
    <w:rsid w:val="001E055F"/>
    <w:rsid w:val="001E395A"/>
    <w:rsid w:val="001E676E"/>
    <w:rsid w:val="001E6DB7"/>
    <w:rsid w:val="001F2C84"/>
    <w:rsid w:val="001F30BB"/>
    <w:rsid w:val="001F34E7"/>
    <w:rsid w:val="001F3DA2"/>
    <w:rsid w:val="001F5DE2"/>
    <w:rsid w:val="00202B67"/>
    <w:rsid w:val="00207909"/>
    <w:rsid w:val="00214CE1"/>
    <w:rsid w:val="00215E5F"/>
    <w:rsid w:val="00215F60"/>
    <w:rsid w:val="002203C1"/>
    <w:rsid w:val="00223C41"/>
    <w:rsid w:val="0022403A"/>
    <w:rsid w:val="0022693A"/>
    <w:rsid w:val="002278F8"/>
    <w:rsid w:val="002307D5"/>
    <w:rsid w:val="0023349B"/>
    <w:rsid w:val="00234A05"/>
    <w:rsid w:val="00235B85"/>
    <w:rsid w:val="00240727"/>
    <w:rsid w:val="00243B5A"/>
    <w:rsid w:val="0024798E"/>
    <w:rsid w:val="00247CD4"/>
    <w:rsid w:val="00252250"/>
    <w:rsid w:val="002524E7"/>
    <w:rsid w:val="002546B6"/>
    <w:rsid w:val="002559AA"/>
    <w:rsid w:val="0025744F"/>
    <w:rsid w:val="00261B36"/>
    <w:rsid w:val="00264E83"/>
    <w:rsid w:val="00265467"/>
    <w:rsid w:val="00274B85"/>
    <w:rsid w:val="00274FF2"/>
    <w:rsid w:val="0027529F"/>
    <w:rsid w:val="00276C69"/>
    <w:rsid w:val="002770B2"/>
    <w:rsid w:val="00280D1D"/>
    <w:rsid w:val="00280FF5"/>
    <w:rsid w:val="002836C8"/>
    <w:rsid w:val="002847F5"/>
    <w:rsid w:val="00285404"/>
    <w:rsid w:val="002864EA"/>
    <w:rsid w:val="00286762"/>
    <w:rsid w:val="00287627"/>
    <w:rsid w:val="002913AB"/>
    <w:rsid w:val="0029515E"/>
    <w:rsid w:val="0029575F"/>
    <w:rsid w:val="00297B8B"/>
    <w:rsid w:val="002A0229"/>
    <w:rsid w:val="002A03FA"/>
    <w:rsid w:val="002A3D27"/>
    <w:rsid w:val="002A5098"/>
    <w:rsid w:val="002A5951"/>
    <w:rsid w:val="002A737E"/>
    <w:rsid w:val="002B110C"/>
    <w:rsid w:val="002B15E6"/>
    <w:rsid w:val="002B39F5"/>
    <w:rsid w:val="002B5DE9"/>
    <w:rsid w:val="002C0B9A"/>
    <w:rsid w:val="002C590F"/>
    <w:rsid w:val="002C7A7E"/>
    <w:rsid w:val="002D0046"/>
    <w:rsid w:val="002D0801"/>
    <w:rsid w:val="002D1109"/>
    <w:rsid w:val="002D69DC"/>
    <w:rsid w:val="002E0604"/>
    <w:rsid w:val="002E2CD0"/>
    <w:rsid w:val="002E4A55"/>
    <w:rsid w:val="002F0492"/>
    <w:rsid w:val="002F200C"/>
    <w:rsid w:val="002F265D"/>
    <w:rsid w:val="002F43FC"/>
    <w:rsid w:val="002F697D"/>
    <w:rsid w:val="002F717D"/>
    <w:rsid w:val="00300430"/>
    <w:rsid w:val="003005B3"/>
    <w:rsid w:val="00300D50"/>
    <w:rsid w:val="00301874"/>
    <w:rsid w:val="003020C9"/>
    <w:rsid w:val="00304ACE"/>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6660"/>
    <w:rsid w:val="00336CB9"/>
    <w:rsid w:val="003412AC"/>
    <w:rsid w:val="00342959"/>
    <w:rsid w:val="003443EE"/>
    <w:rsid w:val="00346216"/>
    <w:rsid w:val="003532DF"/>
    <w:rsid w:val="003551A7"/>
    <w:rsid w:val="00355C77"/>
    <w:rsid w:val="00356868"/>
    <w:rsid w:val="00361090"/>
    <w:rsid w:val="00362E2C"/>
    <w:rsid w:val="00366A55"/>
    <w:rsid w:val="003672FE"/>
    <w:rsid w:val="0037103E"/>
    <w:rsid w:val="00371519"/>
    <w:rsid w:val="00371BDD"/>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60EB"/>
    <w:rsid w:val="003A62F5"/>
    <w:rsid w:val="003A6596"/>
    <w:rsid w:val="003B4E48"/>
    <w:rsid w:val="003B4F18"/>
    <w:rsid w:val="003B6424"/>
    <w:rsid w:val="003C0C2B"/>
    <w:rsid w:val="003C0CDB"/>
    <w:rsid w:val="003C77D8"/>
    <w:rsid w:val="003C7A6F"/>
    <w:rsid w:val="003D0869"/>
    <w:rsid w:val="003D15F7"/>
    <w:rsid w:val="003D1F45"/>
    <w:rsid w:val="003D2899"/>
    <w:rsid w:val="003D34C6"/>
    <w:rsid w:val="003D3D68"/>
    <w:rsid w:val="003D4D3A"/>
    <w:rsid w:val="003D5A73"/>
    <w:rsid w:val="003D5A7F"/>
    <w:rsid w:val="003D6684"/>
    <w:rsid w:val="003D6F37"/>
    <w:rsid w:val="003D7637"/>
    <w:rsid w:val="003E2B16"/>
    <w:rsid w:val="003E38F2"/>
    <w:rsid w:val="003E5CCF"/>
    <w:rsid w:val="003E5F2C"/>
    <w:rsid w:val="003E638D"/>
    <w:rsid w:val="003E6557"/>
    <w:rsid w:val="003E7BB5"/>
    <w:rsid w:val="003F01FB"/>
    <w:rsid w:val="003F22BB"/>
    <w:rsid w:val="003F632C"/>
    <w:rsid w:val="0040000D"/>
    <w:rsid w:val="00400863"/>
    <w:rsid w:val="0040364C"/>
    <w:rsid w:val="004036B3"/>
    <w:rsid w:val="0040382D"/>
    <w:rsid w:val="00403AF4"/>
    <w:rsid w:val="004053B3"/>
    <w:rsid w:val="004053D0"/>
    <w:rsid w:val="004063F1"/>
    <w:rsid w:val="00407021"/>
    <w:rsid w:val="00411EC1"/>
    <w:rsid w:val="00412680"/>
    <w:rsid w:val="00414702"/>
    <w:rsid w:val="0042184E"/>
    <w:rsid w:val="00421D2E"/>
    <w:rsid w:val="00424E37"/>
    <w:rsid w:val="00425EB7"/>
    <w:rsid w:val="00427FC4"/>
    <w:rsid w:val="004316ED"/>
    <w:rsid w:val="004326DB"/>
    <w:rsid w:val="00432941"/>
    <w:rsid w:val="00435468"/>
    <w:rsid w:val="004355F0"/>
    <w:rsid w:val="00435AD8"/>
    <w:rsid w:val="00440795"/>
    <w:rsid w:val="00441D5A"/>
    <w:rsid w:val="004441D1"/>
    <w:rsid w:val="00445798"/>
    <w:rsid w:val="004479BC"/>
    <w:rsid w:val="0046126B"/>
    <w:rsid w:val="0046178B"/>
    <w:rsid w:val="004645A8"/>
    <w:rsid w:val="004647B2"/>
    <w:rsid w:val="00465584"/>
    <w:rsid w:val="00465E58"/>
    <w:rsid w:val="00466FC6"/>
    <w:rsid w:val="0046733B"/>
    <w:rsid w:val="0047131F"/>
    <w:rsid w:val="00475309"/>
    <w:rsid w:val="00475E43"/>
    <w:rsid w:val="004802A9"/>
    <w:rsid w:val="00480EFA"/>
    <w:rsid w:val="00482F58"/>
    <w:rsid w:val="00483DD1"/>
    <w:rsid w:val="0048713D"/>
    <w:rsid w:val="00487493"/>
    <w:rsid w:val="004907B1"/>
    <w:rsid w:val="00493320"/>
    <w:rsid w:val="00495AE8"/>
    <w:rsid w:val="00495BDE"/>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00F2"/>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412A3"/>
    <w:rsid w:val="005414F5"/>
    <w:rsid w:val="00542BB6"/>
    <w:rsid w:val="005433FB"/>
    <w:rsid w:val="005471C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4379"/>
    <w:rsid w:val="00586BF2"/>
    <w:rsid w:val="00591860"/>
    <w:rsid w:val="005930E5"/>
    <w:rsid w:val="00595AA8"/>
    <w:rsid w:val="00596AE9"/>
    <w:rsid w:val="00597EF7"/>
    <w:rsid w:val="005A08B3"/>
    <w:rsid w:val="005A0BA8"/>
    <w:rsid w:val="005A24D5"/>
    <w:rsid w:val="005A5741"/>
    <w:rsid w:val="005B06C4"/>
    <w:rsid w:val="005B1903"/>
    <w:rsid w:val="005B3DCC"/>
    <w:rsid w:val="005B45AF"/>
    <w:rsid w:val="005B5B24"/>
    <w:rsid w:val="005B6181"/>
    <w:rsid w:val="005C015F"/>
    <w:rsid w:val="005C2F1A"/>
    <w:rsid w:val="005C391F"/>
    <w:rsid w:val="005C4B5F"/>
    <w:rsid w:val="005C587E"/>
    <w:rsid w:val="005D1C41"/>
    <w:rsid w:val="005D69F7"/>
    <w:rsid w:val="005D77CA"/>
    <w:rsid w:val="005D7D19"/>
    <w:rsid w:val="005E1CF0"/>
    <w:rsid w:val="005E1D49"/>
    <w:rsid w:val="005E5945"/>
    <w:rsid w:val="005E5993"/>
    <w:rsid w:val="005E5B3B"/>
    <w:rsid w:val="005F214C"/>
    <w:rsid w:val="005F2335"/>
    <w:rsid w:val="005F2D89"/>
    <w:rsid w:val="005F6765"/>
    <w:rsid w:val="00600404"/>
    <w:rsid w:val="0060140C"/>
    <w:rsid w:val="006028FC"/>
    <w:rsid w:val="0060391A"/>
    <w:rsid w:val="0060522D"/>
    <w:rsid w:val="00606C6C"/>
    <w:rsid w:val="00610A46"/>
    <w:rsid w:val="00610DA2"/>
    <w:rsid w:val="00611B73"/>
    <w:rsid w:val="006128B2"/>
    <w:rsid w:val="00612F1B"/>
    <w:rsid w:val="0061579C"/>
    <w:rsid w:val="00616A92"/>
    <w:rsid w:val="00617E5B"/>
    <w:rsid w:val="00620641"/>
    <w:rsid w:val="00621C4A"/>
    <w:rsid w:val="00622390"/>
    <w:rsid w:val="00622BBB"/>
    <w:rsid w:val="00624F8A"/>
    <w:rsid w:val="006300E2"/>
    <w:rsid w:val="006300F6"/>
    <w:rsid w:val="00633F0B"/>
    <w:rsid w:val="00635CBE"/>
    <w:rsid w:val="00637A70"/>
    <w:rsid w:val="00637ECF"/>
    <w:rsid w:val="006405DA"/>
    <w:rsid w:val="00642675"/>
    <w:rsid w:val="00645A36"/>
    <w:rsid w:val="00652812"/>
    <w:rsid w:val="00652ABA"/>
    <w:rsid w:val="00652FCF"/>
    <w:rsid w:val="00653B2C"/>
    <w:rsid w:val="00655447"/>
    <w:rsid w:val="00656826"/>
    <w:rsid w:val="00656DE3"/>
    <w:rsid w:val="00657E3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71C"/>
    <w:rsid w:val="00691DB4"/>
    <w:rsid w:val="006934EB"/>
    <w:rsid w:val="00693AB3"/>
    <w:rsid w:val="00694E6A"/>
    <w:rsid w:val="00697E14"/>
    <w:rsid w:val="006A0BC9"/>
    <w:rsid w:val="006A30DD"/>
    <w:rsid w:val="006A3736"/>
    <w:rsid w:val="006B0647"/>
    <w:rsid w:val="006B0AE6"/>
    <w:rsid w:val="006C1A8F"/>
    <w:rsid w:val="006D0BE0"/>
    <w:rsid w:val="006D318D"/>
    <w:rsid w:val="006D5C9A"/>
    <w:rsid w:val="006D6BBA"/>
    <w:rsid w:val="006D7D4F"/>
    <w:rsid w:val="006E0595"/>
    <w:rsid w:val="006E3EF9"/>
    <w:rsid w:val="006E4D9D"/>
    <w:rsid w:val="006E5E80"/>
    <w:rsid w:val="006F180D"/>
    <w:rsid w:val="006F3287"/>
    <w:rsid w:val="006F5DBB"/>
    <w:rsid w:val="006F6D39"/>
    <w:rsid w:val="006F729D"/>
    <w:rsid w:val="006F7765"/>
    <w:rsid w:val="006F7EB1"/>
    <w:rsid w:val="006F7ED0"/>
    <w:rsid w:val="00700F48"/>
    <w:rsid w:val="0070154C"/>
    <w:rsid w:val="0070336C"/>
    <w:rsid w:val="007061D0"/>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598A"/>
    <w:rsid w:val="00781E2B"/>
    <w:rsid w:val="007845C8"/>
    <w:rsid w:val="007906A1"/>
    <w:rsid w:val="00791502"/>
    <w:rsid w:val="007944F4"/>
    <w:rsid w:val="00796ACA"/>
    <w:rsid w:val="007A3E25"/>
    <w:rsid w:val="007A687E"/>
    <w:rsid w:val="007A7222"/>
    <w:rsid w:val="007B0E0F"/>
    <w:rsid w:val="007B19E7"/>
    <w:rsid w:val="007C0F80"/>
    <w:rsid w:val="007C0FB6"/>
    <w:rsid w:val="007C1959"/>
    <w:rsid w:val="007C209D"/>
    <w:rsid w:val="007C7EBA"/>
    <w:rsid w:val="007D09C2"/>
    <w:rsid w:val="007D36CB"/>
    <w:rsid w:val="007D4063"/>
    <w:rsid w:val="007E1F0E"/>
    <w:rsid w:val="007E385B"/>
    <w:rsid w:val="007E5D20"/>
    <w:rsid w:val="007F1533"/>
    <w:rsid w:val="007F34E8"/>
    <w:rsid w:val="007F4786"/>
    <w:rsid w:val="007F6312"/>
    <w:rsid w:val="007F6D7C"/>
    <w:rsid w:val="0080292D"/>
    <w:rsid w:val="008029BB"/>
    <w:rsid w:val="00811F44"/>
    <w:rsid w:val="00813A10"/>
    <w:rsid w:val="00815D16"/>
    <w:rsid w:val="00820C4F"/>
    <w:rsid w:val="00821199"/>
    <w:rsid w:val="0082393F"/>
    <w:rsid w:val="00823E91"/>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A270A"/>
    <w:rsid w:val="008A78A0"/>
    <w:rsid w:val="008A7917"/>
    <w:rsid w:val="008B0E5D"/>
    <w:rsid w:val="008B1B78"/>
    <w:rsid w:val="008B27A2"/>
    <w:rsid w:val="008B3564"/>
    <w:rsid w:val="008B6967"/>
    <w:rsid w:val="008B6B6E"/>
    <w:rsid w:val="008B75C0"/>
    <w:rsid w:val="008C21D7"/>
    <w:rsid w:val="008C2884"/>
    <w:rsid w:val="008C2C1B"/>
    <w:rsid w:val="008C3AA3"/>
    <w:rsid w:val="008C4375"/>
    <w:rsid w:val="008D1407"/>
    <w:rsid w:val="008D7D19"/>
    <w:rsid w:val="008E1C75"/>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C1D"/>
    <w:rsid w:val="00914D2A"/>
    <w:rsid w:val="00921441"/>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41E3"/>
    <w:rsid w:val="00955154"/>
    <w:rsid w:val="00955270"/>
    <w:rsid w:val="009556DF"/>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3486"/>
    <w:rsid w:val="009D59F9"/>
    <w:rsid w:val="009D769D"/>
    <w:rsid w:val="009E045A"/>
    <w:rsid w:val="009E206A"/>
    <w:rsid w:val="009E239B"/>
    <w:rsid w:val="009E2EEE"/>
    <w:rsid w:val="009E3A84"/>
    <w:rsid w:val="009E56D9"/>
    <w:rsid w:val="009E7514"/>
    <w:rsid w:val="009F2AC6"/>
    <w:rsid w:val="009F3C40"/>
    <w:rsid w:val="00A000E5"/>
    <w:rsid w:val="00A02C36"/>
    <w:rsid w:val="00A05166"/>
    <w:rsid w:val="00A059E4"/>
    <w:rsid w:val="00A12725"/>
    <w:rsid w:val="00A169BC"/>
    <w:rsid w:val="00A170A4"/>
    <w:rsid w:val="00A17AA9"/>
    <w:rsid w:val="00A17FD8"/>
    <w:rsid w:val="00A2179B"/>
    <w:rsid w:val="00A219E3"/>
    <w:rsid w:val="00A25792"/>
    <w:rsid w:val="00A31C53"/>
    <w:rsid w:val="00A322CB"/>
    <w:rsid w:val="00A33709"/>
    <w:rsid w:val="00A35612"/>
    <w:rsid w:val="00A3576B"/>
    <w:rsid w:val="00A373B6"/>
    <w:rsid w:val="00A41CF7"/>
    <w:rsid w:val="00A423D7"/>
    <w:rsid w:val="00A43BE9"/>
    <w:rsid w:val="00A45B24"/>
    <w:rsid w:val="00A5077D"/>
    <w:rsid w:val="00A54A55"/>
    <w:rsid w:val="00A55EC6"/>
    <w:rsid w:val="00A56F96"/>
    <w:rsid w:val="00A60C85"/>
    <w:rsid w:val="00A62FE9"/>
    <w:rsid w:val="00A671FC"/>
    <w:rsid w:val="00A70BCC"/>
    <w:rsid w:val="00A74E6C"/>
    <w:rsid w:val="00A75E96"/>
    <w:rsid w:val="00A76221"/>
    <w:rsid w:val="00A775C6"/>
    <w:rsid w:val="00A837F4"/>
    <w:rsid w:val="00A83E32"/>
    <w:rsid w:val="00A87FB5"/>
    <w:rsid w:val="00A95CCF"/>
    <w:rsid w:val="00A96EC9"/>
    <w:rsid w:val="00A973E6"/>
    <w:rsid w:val="00A97E17"/>
    <w:rsid w:val="00AA1A41"/>
    <w:rsid w:val="00AA2D21"/>
    <w:rsid w:val="00AA71EF"/>
    <w:rsid w:val="00AB02FC"/>
    <w:rsid w:val="00AB08CE"/>
    <w:rsid w:val="00AB3542"/>
    <w:rsid w:val="00AB38A9"/>
    <w:rsid w:val="00AB462F"/>
    <w:rsid w:val="00AB71E2"/>
    <w:rsid w:val="00AB74FF"/>
    <w:rsid w:val="00AB790B"/>
    <w:rsid w:val="00AC3F98"/>
    <w:rsid w:val="00AC4F67"/>
    <w:rsid w:val="00AD08F8"/>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16444"/>
    <w:rsid w:val="00B2141D"/>
    <w:rsid w:val="00B240B4"/>
    <w:rsid w:val="00B242B5"/>
    <w:rsid w:val="00B24E6A"/>
    <w:rsid w:val="00B314AA"/>
    <w:rsid w:val="00B3354C"/>
    <w:rsid w:val="00B3557D"/>
    <w:rsid w:val="00B35E9C"/>
    <w:rsid w:val="00B36338"/>
    <w:rsid w:val="00B36E1F"/>
    <w:rsid w:val="00B373E9"/>
    <w:rsid w:val="00B376EF"/>
    <w:rsid w:val="00B40CDB"/>
    <w:rsid w:val="00B40E54"/>
    <w:rsid w:val="00B41FC1"/>
    <w:rsid w:val="00B42A70"/>
    <w:rsid w:val="00B42D5C"/>
    <w:rsid w:val="00B43971"/>
    <w:rsid w:val="00B463AD"/>
    <w:rsid w:val="00B46407"/>
    <w:rsid w:val="00B47863"/>
    <w:rsid w:val="00B53566"/>
    <w:rsid w:val="00B54314"/>
    <w:rsid w:val="00B60EF4"/>
    <w:rsid w:val="00B632C4"/>
    <w:rsid w:val="00B645F0"/>
    <w:rsid w:val="00B7090B"/>
    <w:rsid w:val="00B711DC"/>
    <w:rsid w:val="00B72B47"/>
    <w:rsid w:val="00B74ABC"/>
    <w:rsid w:val="00B80B32"/>
    <w:rsid w:val="00B82088"/>
    <w:rsid w:val="00B86D0F"/>
    <w:rsid w:val="00B87903"/>
    <w:rsid w:val="00B944F7"/>
    <w:rsid w:val="00B965D8"/>
    <w:rsid w:val="00B97F91"/>
    <w:rsid w:val="00BA4DEE"/>
    <w:rsid w:val="00BB12CC"/>
    <w:rsid w:val="00BB4E7E"/>
    <w:rsid w:val="00BB5D3D"/>
    <w:rsid w:val="00BB7C8E"/>
    <w:rsid w:val="00BC36F1"/>
    <w:rsid w:val="00BC3784"/>
    <w:rsid w:val="00BC3D65"/>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D2D"/>
    <w:rsid w:val="00BF6441"/>
    <w:rsid w:val="00BF79FB"/>
    <w:rsid w:val="00C04645"/>
    <w:rsid w:val="00C06940"/>
    <w:rsid w:val="00C10399"/>
    <w:rsid w:val="00C1071B"/>
    <w:rsid w:val="00C13E17"/>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80B55"/>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E2F"/>
    <w:rsid w:val="00CD231D"/>
    <w:rsid w:val="00CD533E"/>
    <w:rsid w:val="00CD6B7A"/>
    <w:rsid w:val="00CD7474"/>
    <w:rsid w:val="00CE02BB"/>
    <w:rsid w:val="00CE1DC0"/>
    <w:rsid w:val="00CE22CC"/>
    <w:rsid w:val="00CE3857"/>
    <w:rsid w:val="00CE51CB"/>
    <w:rsid w:val="00CE5759"/>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0B91"/>
    <w:rsid w:val="00D31E6A"/>
    <w:rsid w:val="00D33037"/>
    <w:rsid w:val="00D3406D"/>
    <w:rsid w:val="00D37E67"/>
    <w:rsid w:val="00D409F6"/>
    <w:rsid w:val="00D44950"/>
    <w:rsid w:val="00D4676D"/>
    <w:rsid w:val="00D467CC"/>
    <w:rsid w:val="00D4790B"/>
    <w:rsid w:val="00D51BD4"/>
    <w:rsid w:val="00D55690"/>
    <w:rsid w:val="00D56978"/>
    <w:rsid w:val="00D633C8"/>
    <w:rsid w:val="00D64041"/>
    <w:rsid w:val="00D72FA7"/>
    <w:rsid w:val="00D73447"/>
    <w:rsid w:val="00D74508"/>
    <w:rsid w:val="00D74988"/>
    <w:rsid w:val="00D75B25"/>
    <w:rsid w:val="00D77F3C"/>
    <w:rsid w:val="00D82163"/>
    <w:rsid w:val="00D831C7"/>
    <w:rsid w:val="00D91EB1"/>
    <w:rsid w:val="00D9242A"/>
    <w:rsid w:val="00D9270E"/>
    <w:rsid w:val="00D955B0"/>
    <w:rsid w:val="00DA0329"/>
    <w:rsid w:val="00DA064C"/>
    <w:rsid w:val="00DA106C"/>
    <w:rsid w:val="00DA358A"/>
    <w:rsid w:val="00DA406D"/>
    <w:rsid w:val="00DB0545"/>
    <w:rsid w:val="00DB130E"/>
    <w:rsid w:val="00DB37DC"/>
    <w:rsid w:val="00DB43D1"/>
    <w:rsid w:val="00DB49FA"/>
    <w:rsid w:val="00DB51B6"/>
    <w:rsid w:val="00DC258F"/>
    <w:rsid w:val="00DC4C00"/>
    <w:rsid w:val="00DD3314"/>
    <w:rsid w:val="00DD76A7"/>
    <w:rsid w:val="00DE0023"/>
    <w:rsid w:val="00DF24FE"/>
    <w:rsid w:val="00DF5702"/>
    <w:rsid w:val="00DF7323"/>
    <w:rsid w:val="00E01FEB"/>
    <w:rsid w:val="00E023BA"/>
    <w:rsid w:val="00E0428D"/>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4D18"/>
    <w:rsid w:val="00E362E8"/>
    <w:rsid w:val="00E40D90"/>
    <w:rsid w:val="00E51E87"/>
    <w:rsid w:val="00E54CD5"/>
    <w:rsid w:val="00E60022"/>
    <w:rsid w:val="00E61296"/>
    <w:rsid w:val="00E612CC"/>
    <w:rsid w:val="00E628A4"/>
    <w:rsid w:val="00E63683"/>
    <w:rsid w:val="00E64778"/>
    <w:rsid w:val="00E667F2"/>
    <w:rsid w:val="00E66C46"/>
    <w:rsid w:val="00E679B2"/>
    <w:rsid w:val="00E712BA"/>
    <w:rsid w:val="00E74CA4"/>
    <w:rsid w:val="00E82764"/>
    <w:rsid w:val="00E8755E"/>
    <w:rsid w:val="00E8768D"/>
    <w:rsid w:val="00E90BE8"/>
    <w:rsid w:val="00E91D02"/>
    <w:rsid w:val="00E92E45"/>
    <w:rsid w:val="00E9449B"/>
    <w:rsid w:val="00E95731"/>
    <w:rsid w:val="00E963BF"/>
    <w:rsid w:val="00EA2540"/>
    <w:rsid w:val="00EA327E"/>
    <w:rsid w:val="00EB23C2"/>
    <w:rsid w:val="00EB47AD"/>
    <w:rsid w:val="00EC2BBC"/>
    <w:rsid w:val="00EC338F"/>
    <w:rsid w:val="00EC34C8"/>
    <w:rsid w:val="00EC48CB"/>
    <w:rsid w:val="00EC4BC5"/>
    <w:rsid w:val="00EC4E3B"/>
    <w:rsid w:val="00EC5BBC"/>
    <w:rsid w:val="00EC5E99"/>
    <w:rsid w:val="00EC78B1"/>
    <w:rsid w:val="00ED2428"/>
    <w:rsid w:val="00ED2751"/>
    <w:rsid w:val="00ED348F"/>
    <w:rsid w:val="00ED372E"/>
    <w:rsid w:val="00ED4FFA"/>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EBA"/>
    <w:rsid w:val="00F51923"/>
    <w:rsid w:val="00F5539A"/>
    <w:rsid w:val="00F60A71"/>
    <w:rsid w:val="00F60F7E"/>
    <w:rsid w:val="00F63232"/>
    <w:rsid w:val="00F64BC1"/>
    <w:rsid w:val="00F70D6C"/>
    <w:rsid w:val="00F72AD5"/>
    <w:rsid w:val="00F768C9"/>
    <w:rsid w:val="00F7793F"/>
    <w:rsid w:val="00F77EF9"/>
    <w:rsid w:val="00F814BB"/>
    <w:rsid w:val="00F8290E"/>
    <w:rsid w:val="00F82B96"/>
    <w:rsid w:val="00F851DB"/>
    <w:rsid w:val="00F912D1"/>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tarjomefa.com/wp-content/uploads/2017/10/7793-English-TarjomeFa.pdf"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Prim%27s_algorith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ipcor.fatcow.com/hipc2009/documents/HIPCSS09Papers/1569250351.pdf" TargetMode="External"/><Relationship Id="rId20" Type="http://schemas.openxmlformats.org/officeDocument/2006/relationships/hyperlink" Target="https://en.wikipedia.org/wiki/Kruskal%27s_algorith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en.wikipedia.org/wiki/Spanning_tree" TargetMode="External"/><Relationship Id="rId23"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algo2.iti.kit.edu/documents/fkruskal.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lk53529</XMLData>
</file>

<file path=customXml/item2.xml><?xml version="1.0" encoding="utf-8"?>
<XMLData TextToDisplay="%HOSTNAME%">H21LAFI12PS0178.nam.nsroot.net</XMLData>
</file>

<file path=customXml/item3.xml><?xml version="1.0" encoding="utf-8"?>
<XMLData TextToDisplay="RightsWATCHMark">7|CITI-No PII-Public|{00000000-0000-0000-0000-000000000000}</XMLData>
</file>

<file path=customXml/item4.xml><?xml version="1.0" encoding="utf-8"?>
<XMLData TextToDisplay="%CLASSIFICATIONDATETIME%">19:16 22/07/2019</XMLData>
</file>

<file path=customXml/item5.xml><?xml version="1.0" encoding="utf-8"?>
<XMLData TextToDisplay="%DOCUMENTGUID%">{00000000-0000-0000-0000-000000000000}</XMLData>
</file>

<file path=customXml/item6.xml><?xml version="1.0" encoding="utf-8"?>
<XMLData TextToDisplay="%EMAILADDRESS%">lk53529@imcnam.ssmb.com</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67C0-745A-42DB-87E2-4FC6ACE84BE5}">
  <ds:schemaRefs/>
</ds:datastoreItem>
</file>

<file path=customXml/itemProps2.xml><?xml version="1.0" encoding="utf-8"?>
<ds:datastoreItem xmlns:ds="http://schemas.openxmlformats.org/officeDocument/2006/customXml" ds:itemID="{6FE55CAF-FDA5-4C4D-B455-8459ED156138}">
  <ds:schemaRefs/>
</ds:datastoreItem>
</file>

<file path=customXml/itemProps3.xml><?xml version="1.0" encoding="utf-8"?>
<ds:datastoreItem xmlns:ds="http://schemas.openxmlformats.org/officeDocument/2006/customXml" ds:itemID="{E95F3607-1DAD-4464-85D9-36CB84C3EAE5}">
  <ds:schemaRefs/>
</ds:datastoreItem>
</file>

<file path=customXml/itemProps4.xml><?xml version="1.0" encoding="utf-8"?>
<ds:datastoreItem xmlns:ds="http://schemas.openxmlformats.org/officeDocument/2006/customXml" ds:itemID="{86BEFCB3-AC3C-4533-A619-F04B6E1A099A}">
  <ds:schemaRefs/>
</ds:datastoreItem>
</file>

<file path=customXml/itemProps5.xml><?xml version="1.0" encoding="utf-8"?>
<ds:datastoreItem xmlns:ds="http://schemas.openxmlformats.org/officeDocument/2006/customXml" ds:itemID="{89EE081C-C298-470B-8C1C-7F2FBDB4C21F}">
  <ds:schemaRefs/>
</ds:datastoreItem>
</file>

<file path=customXml/itemProps6.xml><?xml version="1.0" encoding="utf-8"?>
<ds:datastoreItem xmlns:ds="http://schemas.openxmlformats.org/officeDocument/2006/customXml" ds:itemID="{3B0B4C6A-7586-4653-B40E-2900C2AA6817}">
  <ds:schemaRefs/>
</ds:datastoreItem>
</file>

<file path=customXml/itemProps7.xml><?xml version="1.0" encoding="utf-8"?>
<ds:datastoreItem xmlns:ds="http://schemas.openxmlformats.org/officeDocument/2006/customXml" ds:itemID="{8AA36BFD-8311-4FC7-B046-9E275276F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23</Pages>
  <Words>4960</Words>
  <Characters>28276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33170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8</cp:revision>
  <cp:lastPrinted>2019-12-30T10:20:00Z</cp:lastPrinted>
  <dcterms:created xsi:type="dcterms:W3CDTF">2020-03-14T14:01:00Z</dcterms:created>
  <dcterms:modified xsi:type="dcterms:W3CDTF">2020-03-14T16:29:00Z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