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6CB3B58" w:rsidR="00493320" w:rsidRDefault="00EC5BBC">
      <w:pPr>
        <w:spacing w:line="360" w:lineRule="auto"/>
        <w:ind w:left="360"/>
        <w:jc w:val="center"/>
      </w:pPr>
      <w:r>
        <w:rPr>
          <w:b/>
          <w:bCs/>
        </w:rPr>
        <w:t>v4.</w:t>
      </w:r>
      <w:r w:rsidR="00597EF7">
        <w:rPr>
          <w:b/>
          <w:bCs/>
        </w:rPr>
        <w:t>7</w:t>
      </w:r>
      <w:r w:rsidR="005F48E8">
        <w:rPr>
          <w:b/>
          <w:bCs/>
        </w:rPr>
        <w:t>7</w:t>
      </w:r>
      <w:r w:rsidR="00991306">
        <w:t xml:space="preserve"> </w:t>
      </w:r>
      <w:r w:rsidR="005F48E8">
        <w:t>5</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825BF59" w14:textId="2C77892A"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68BE0FE7"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pointer 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w:t>
      </w:r>
      <w:proofErr w:type="spellStart"/>
      <w:r w:rsidR="001511BD">
        <w:rPr>
          <w:rStyle w:val="citationjournal"/>
          <w:lang w:val="en"/>
        </w:rPr>
        <w:t>iginal</w:t>
      </w:r>
      <w:proofErr w:type="spellEnd"/>
      <w:r w:rsidR="001511BD">
        <w:rPr>
          <w:rStyle w:val="citationjournal"/>
          <w:lang w:val="en"/>
        </w:rPr>
        <w:t xml:space="preserve">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w:t>
      </w:r>
      <w:proofErr w:type="spellStart"/>
      <w:r>
        <w:rPr>
          <w:rStyle w:val="citationjournal"/>
          <w:lang w:val="en"/>
        </w:rPr>
        <w:t>inct</w:t>
      </w:r>
      <w:proofErr w:type="spellEnd"/>
      <w:r>
        <w:rPr>
          <w:rStyle w:val="citationjournal"/>
          <w:lang w:val="en"/>
        </w:rPr>
        <w:t xml:space="preserve">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23466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234660"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A0095C"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m:t>
          </m:r>
          <m:r>
            <w:rPr>
              <w:rStyle w:val="citationjournal"/>
              <w:rFonts w:ascii="Cambria Math" w:hAnsi="Cambria Math"/>
              <w:lang w:val="en"/>
            </w:rPr>
            <m:t>εn</m:t>
          </m:r>
          <m:r>
            <w:rPr>
              <w:rStyle w:val="citationjournal"/>
              <w:rFonts w:ascii="Cambria Math" w:hAnsi="Cambria Math"/>
              <w:lang w:val="en"/>
            </w:rPr>
            <m:t>≥</m:t>
          </m:r>
          <m:r>
            <w:rPr>
              <w:rStyle w:val="citationjournal"/>
              <w:rFonts w:ascii="Cambria Math" w:hAnsi="Cambria Math"/>
              <w:lang w:val="en"/>
            </w:rPr>
            <m:t>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r>
                  <w:rPr>
                    <w:rStyle w:val="citationjournal"/>
                    <w:rFonts w:ascii="Cambria Math" w:hAnsi="Cambria Math"/>
                    <w:lang w:val="en"/>
                  </w:rPr>
                  <m:t>+1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r>
              <w:rPr>
                <w:rStyle w:val="citationjournal"/>
                <w:rFonts w:ascii="Cambria Math" w:hAnsi="Cambria Math"/>
                <w:lang w:val="en"/>
              </w:rPr>
              <m:t>+1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4827CF"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m:t>
        </m:r>
        <m:r>
          <w:rPr>
            <w:rStyle w:val="citationjournal"/>
            <w:rFonts w:ascii="Cambria Math" w:hAnsi="Cambria Math"/>
            <w:lang w:val="en"/>
          </w:rPr>
          <m:t>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4827CF"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m:t>
          </m:r>
          <m:r>
            <w:rPr>
              <w:rStyle w:val="citationjournal"/>
              <w:rFonts w:ascii="Cambria Math" w:hAnsi="Cambria Math"/>
              <w:lang w:val="en"/>
            </w:rPr>
            <m:t>εn</m:t>
          </m:r>
          <m:r>
            <w:rPr>
              <w:rStyle w:val="citationjournal"/>
              <w:rFonts w:ascii="Cambria Math" w:hAnsi="Cambria Math"/>
              <w:lang w:val="en"/>
            </w:rPr>
            <m:t>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m:t>
        </m:r>
        <m:r>
          <w:rPr>
            <w:rStyle w:val="citationjournal"/>
            <w:rFonts w:ascii="Cambria Math" w:hAnsi="Cambria Math"/>
            <w:lang w:val="en"/>
          </w:rPr>
          <m:t>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r>
              <w:rPr>
                <w:rStyle w:val="citationjournal"/>
                <w:rFonts w:ascii="Cambria Math" w:hAnsi="Cambria Math"/>
                <w:lang w:val="en"/>
              </w:rPr>
              <m:t>+1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r>
              <w:rPr>
                <w:rStyle w:val="citationjournal"/>
                <w:rFonts w:ascii="Cambria Math" w:hAnsi="Cambria Math"/>
                <w:lang w:val="en"/>
              </w:rPr>
              <m:t>+1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m:t>
              </m:r>
              <m:r>
                <w:rPr>
                  <w:rStyle w:val="citationjournal"/>
                  <w:rFonts w:ascii="Cambria Math" w:hAnsi="Cambria Math"/>
                  <w:lang w:val="en"/>
                </w:rPr>
                <m:t>εn</m:t>
              </m:r>
            </m:e>
          </m:d>
          <m:r>
            <w:rPr>
              <w:rStyle w:val="citationjournal"/>
              <w:rFonts w:ascii="Cambria Math" w:hAnsi="Cambria Math"/>
              <w:lang w:val="en"/>
            </w:rPr>
            <m:t>+</m:t>
          </m:r>
          <m:r>
            <w:rPr>
              <w:rStyle w:val="citationjournal"/>
              <w:rFonts w:ascii="Cambria Math" w:hAnsi="Cambria Math"/>
              <w:lang w:val="en"/>
            </w:rPr>
            <m:t>εn</m:t>
          </m:r>
          <m:r>
            <w:rPr>
              <w:rStyle w:val="citationjournal"/>
              <w:rFonts w:ascii="Cambria Math" w:hAnsi="Cambria Math"/>
              <w:lang w:val="en"/>
            </w:rPr>
            <m:t>&lt;6</m:t>
          </m:r>
          <m:r>
            <w:rPr>
              <w:rStyle w:val="citationjournal"/>
              <w:rFonts w:ascii="Cambria Math" w:hAnsi="Cambria Math"/>
              <w:lang w:val="en"/>
            </w:rPr>
            <m:t>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bookmarkStart w:id="0" w:name="_GoBack"/>
      <w:bookmarkEnd w:id="0"/>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m:t>
        </m:r>
        <m:r>
          <w:rPr>
            <w:rStyle w:val="citationjournal"/>
            <w:rFonts w:ascii="Cambria Math" w:hAnsi="Cambria Math"/>
            <w:lang w:val="en"/>
          </w:rPr>
          <m:t>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m:t>
        </m:r>
        <m:r>
          <w:rPr>
            <w:rStyle w:val="citationjournal"/>
            <w:rFonts w:ascii="Cambria Math" w:hAnsi="Cambria Math"/>
            <w:lang w:val="en"/>
          </w:rPr>
          <m:t>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6148D701" w:rsidR="002F341A" w:rsidRP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m:t>
        </m:r>
        <m:r>
          <w:rPr>
            <w:rStyle w:val="citationjournal"/>
            <w:rFonts w:ascii="Cambria Math" w:hAnsi="Cambria Math"/>
            <w:lang w:val="en"/>
          </w:rPr>
          <m:t>-1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17905615" w14:textId="77777777" w:rsidR="00DC339E" w:rsidRDefault="00DC339E" w:rsidP="00DC339E">
      <w:pPr>
        <w:spacing w:line="360" w:lineRule="auto"/>
        <w:rPr>
          <w:rStyle w:val="citationjournal"/>
          <w:lang w:val="en"/>
        </w:rPr>
      </w:pPr>
    </w:p>
    <w:p w14:paraId="1743274B" w14:textId="77777777" w:rsidR="00DC339E" w:rsidRDefault="00DC339E"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3A41A87F"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Jordan Sequences in Linear-Time using Level-linked Search Trees </w:t>
      </w:r>
      <w:r>
        <w:rPr>
          <w:rStyle w:val="citationjournal"/>
          <w:i/>
          <w:iCs/>
          <w:lang w:val="en"/>
        </w:rPr>
        <w:t>Information and Control</w:t>
      </w:r>
      <w:r>
        <w:rPr>
          <w:rStyle w:val="citationjournal"/>
          <w:lang w:val="en"/>
        </w:rPr>
        <w:t xml:space="preserve"> </w:t>
      </w:r>
      <w:r>
        <w:rPr>
          <w:rStyle w:val="citationjournal"/>
          <w:b/>
          <w:bCs/>
          <w:lang w:val="en"/>
        </w:rPr>
        <w:t>68 (1-3)</w:t>
      </w:r>
      <w:r>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A60C28"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A60C28"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A60C28"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A60C28"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A60C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A60C28"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A60C28"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A60C28"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A60C28"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A60C28"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0" w:history="1">
        <w:r>
          <w:rPr>
            <w:rStyle w:val="Hyperlink"/>
          </w:rPr>
          <w:t>Reverse-delete Algorithm</w:t>
        </w:r>
      </w:hyperlink>
    </w:p>
    <w:p w14:paraId="643AE699" w14:textId="3064D7EB" w:rsidR="009221B3" w:rsidRDefault="009221B3">
      <w:pPr>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A60C28"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A60C28"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1"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2"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A60C28"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A60C28"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33"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34"/>
      <w:footerReference w:type="even" r:id="rId35"/>
      <w:footerReference w:type="default" r:id="rId3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A47CB" w14:textId="77777777" w:rsidR="004D7434" w:rsidRDefault="004D7434">
      <w:r>
        <w:separator/>
      </w:r>
    </w:p>
  </w:endnote>
  <w:endnote w:type="continuationSeparator" w:id="0">
    <w:p w14:paraId="35AAD6D9" w14:textId="77777777" w:rsidR="004D7434" w:rsidRDefault="004D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234660" w:rsidRDefault="002346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234660" w:rsidRDefault="002346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234660" w:rsidRDefault="002346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234660" w:rsidRDefault="002346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716D" w14:textId="77777777" w:rsidR="004D7434" w:rsidRDefault="004D7434">
      <w:r>
        <w:separator/>
      </w:r>
    </w:p>
  </w:footnote>
  <w:footnote w:type="continuationSeparator" w:id="0">
    <w:p w14:paraId="1E5AD339" w14:textId="77777777" w:rsidR="004D7434" w:rsidRDefault="004D7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234660" w:rsidRDefault="00234660">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234660" w:rsidRDefault="0023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0"/>
  </w:num>
  <w:num w:numId="2">
    <w:abstractNumId w:val="20"/>
  </w:num>
  <w:num w:numId="3">
    <w:abstractNumId w:val="13"/>
  </w:num>
  <w:num w:numId="4">
    <w:abstractNumId w:val="55"/>
  </w:num>
  <w:num w:numId="5">
    <w:abstractNumId w:val="61"/>
  </w:num>
  <w:num w:numId="6">
    <w:abstractNumId w:val="45"/>
  </w:num>
  <w:num w:numId="7">
    <w:abstractNumId w:val="19"/>
  </w:num>
  <w:num w:numId="8">
    <w:abstractNumId w:val="15"/>
  </w:num>
  <w:num w:numId="9">
    <w:abstractNumId w:val="37"/>
  </w:num>
  <w:num w:numId="10">
    <w:abstractNumId w:val="24"/>
  </w:num>
  <w:num w:numId="11">
    <w:abstractNumId w:val="44"/>
  </w:num>
  <w:num w:numId="12">
    <w:abstractNumId w:val="16"/>
  </w:num>
  <w:num w:numId="13">
    <w:abstractNumId w:val="2"/>
  </w:num>
  <w:num w:numId="14">
    <w:abstractNumId w:val="53"/>
  </w:num>
  <w:num w:numId="15">
    <w:abstractNumId w:val="36"/>
  </w:num>
  <w:num w:numId="16">
    <w:abstractNumId w:val="6"/>
  </w:num>
  <w:num w:numId="17">
    <w:abstractNumId w:val="48"/>
  </w:num>
  <w:num w:numId="18">
    <w:abstractNumId w:val="43"/>
  </w:num>
  <w:num w:numId="19">
    <w:abstractNumId w:val="31"/>
  </w:num>
  <w:num w:numId="20">
    <w:abstractNumId w:val="40"/>
  </w:num>
  <w:num w:numId="21">
    <w:abstractNumId w:val="51"/>
  </w:num>
  <w:num w:numId="22">
    <w:abstractNumId w:val="47"/>
  </w:num>
  <w:num w:numId="23">
    <w:abstractNumId w:val="58"/>
  </w:num>
  <w:num w:numId="24">
    <w:abstractNumId w:val="32"/>
  </w:num>
  <w:num w:numId="25">
    <w:abstractNumId w:val="52"/>
  </w:num>
  <w:num w:numId="26">
    <w:abstractNumId w:val="10"/>
  </w:num>
  <w:num w:numId="27">
    <w:abstractNumId w:val="7"/>
  </w:num>
  <w:num w:numId="28">
    <w:abstractNumId w:val="1"/>
  </w:num>
  <w:num w:numId="29">
    <w:abstractNumId w:val="14"/>
  </w:num>
  <w:num w:numId="30">
    <w:abstractNumId w:val="49"/>
  </w:num>
  <w:num w:numId="31">
    <w:abstractNumId w:val="59"/>
  </w:num>
  <w:num w:numId="32">
    <w:abstractNumId w:val="22"/>
  </w:num>
  <w:num w:numId="33">
    <w:abstractNumId w:val="60"/>
  </w:num>
  <w:num w:numId="34">
    <w:abstractNumId w:val="56"/>
  </w:num>
  <w:num w:numId="35">
    <w:abstractNumId w:val="42"/>
  </w:num>
  <w:num w:numId="36">
    <w:abstractNumId w:val="21"/>
  </w:num>
  <w:num w:numId="37">
    <w:abstractNumId w:val="18"/>
  </w:num>
  <w:num w:numId="38">
    <w:abstractNumId w:val="30"/>
  </w:num>
  <w:num w:numId="39">
    <w:abstractNumId w:val="12"/>
  </w:num>
  <w:num w:numId="40">
    <w:abstractNumId w:val="41"/>
  </w:num>
  <w:num w:numId="41">
    <w:abstractNumId w:val="29"/>
  </w:num>
  <w:num w:numId="42">
    <w:abstractNumId w:val="8"/>
  </w:num>
  <w:num w:numId="43">
    <w:abstractNumId w:val="9"/>
  </w:num>
  <w:num w:numId="44">
    <w:abstractNumId w:val="54"/>
  </w:num>
  <w:num w:numId="45">
    <w:abstractNumId w:val="11"/>
  </w:num>
  <w:num w:numId="46">
    <w:abstractNumId w:val="28"/>
  </w:num>
  <w:num w:numId="47">
    <w:abstractNumId w:val="33"/>
  </w:num>
  <w:num w:numId="48">
    <w:abstractNumId w:val="3"/>
  </w:num>
  <w:num w:numId="49">
    <w:abstractNumId w:val="38"/>
  </w:num>
  <w:num w:numId="50">
    <w:abstractNumId w:val="46"/>
  </w:num>
  <w:num w:numId="51">
    <w:abstractNumId w:val="57"/>
  </w:num>
  <w:num w:numId="52">
    <w:abstractNumId w:val="0"/>
  </w:num>
  <w:num w:numId="53">
    <w:abstractNumId w:val="25"/>
  </w:num>
  <w:num w:numId="54">
    <w:abstractNumId w:val="34"/>
  </w:num>
  <w:num w:numId="55">
    <w:abstractNumId w:val="27"/>
  </w:num>
  <w:num w:numId="56">
    <w:abstractNumId w:val="17"/>
  </w:num>
  <w:num w:numId="57">
    <w:abstractNumId w:val="5"/>
  </w:num>
  <w:num w:numId="58">
    <w:abstractNumId w:val="35"/>
  </w:num>
  <w:num w:numId="59">
    <w:abstractNumId w:val="23"/>
  </w:num>
  <w:num w:numId="60">
    <w:abstractNumId w:val="26"/>
  </w:num>
  <w:num w:numId="61">
    <w:abstractNumId w:val="39"/>
  </w:num>
  <w:num w:numId="62">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5363"/>
    <w:rsid w:val="00015EC2"/>
    <w:rsid w:val="00015FDE"/>
    <w:rsid w:val="00017942"/>
    <w:rsid w:val="0002067F"/>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2515"/>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E7550"/>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44F4"/>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6C1D"/>
    <w:rsid w:val="00167320"/>
    <w:rsid w:val="00167DBD"/>
    <w:rsid w:val="001748A6"/>
    <w:rsid w:val="001801FF"/>
    <w:rsid w:val="00180573"/>
    <w:rsid w:val="00180904"/>
    <w:rsid w:val="00181B56"/>
    <w:rsid w:val="00183333"/>
    <w:rsid w:val="001843E4"/>
    <w:rsid w:val="00186D65"/>
    <w:rsid w:val="00190259"/>
    <w:rsid w:val="001925A1"/>
    <w:rsid w:val="00192693"/>
    <w:rsid w:val="00192860"/>
    <w:rsid w:val="00197573"/>
    <w:rsid w:val="001A06DE"/>
    <w:rsid w:val="001A2837"/>
    <w:rsid w:val="001A2F4D"/>
    <w:rsid w:val="001A6422"/>
    <w:rsid w:val="001A6639"/>
    <w:rsid w:val="001B2EF0"/>
    <w:rsid w:val="001B61EC"/>
    <w:rsid w:val="001C1038"/>
    <w:rsid w:val="001C130A"/>
    <w:rsid w:val="001C1956"/>
    <w:rsid w:val="001C1D20"/>
    <w:rsid w:val="001C2AC1"/>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E7DBA"/>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12AC"/>
    <w:rsid w:val="00342959"/>
    <w:rsid w:val="003443EE"/>
    <w:rsid w:val="00346216"/>
    <w:rsid w:val="003532DF"/>
    <w:rsid w:val="003551A7"/>
    <w:rsid w:val="00355C77"/>
    <w:rsid w:val="0035627D"/>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4E81"/>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7CF"/>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F7A"/>
    <w:rsid w:val="004C7BE2"/>
    <w:rsid w:val="004D56D0"/>
    <w:rsid w:val="004D7434"/>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253BF"/>
    <w:rsid w:val="006300E2"/>
    <w:rsid w:val="006300F6"/>
    <w:rsid w:val="00633F0B"/>
    <w:rsid w:val="00635CBE"/>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91DB4"/>
    <w:rsid w:val="006934EB"/>
    <w:rsid w:val="00693AB3"/>
    <w:rsid w:val="00694E6A"/>
    <w:rsid w:val="00697E14"/>
    <w:rsid w:val="006A0BC9"/>
    <w:rsid w:val="006A30DD"/>
    <w:rsid w:val="006A3736"/>
    <w:rsid w:val="006B0647"/>
    <w:rsid w:val="006B0AE6"/>
    <w:rsid w:val="006B5B10"/>
    <w:rsid w:val="006C1A8F"/>
    <w:rsid w:val="006C716B"/>
    <w:rsid w:val="006D0BE0"/>
    <w:rsid w:val="006D318D"/>
    <w:rsid w:val="006D5BE3"/>
    <w:rsid w:val="006D5C9A"/>
    <w:rsid w:val="006D6BBA"/>
    <w:rsid w:val="006D7D4F"/>
    <w:rsid w:val="006E0595"/>
    <w:rsid w:val="006E095A"/>
    <w:rsid w:val="006E3EF9"/>
    <w:rsid w:val="006E4D9D"/>
    <w:rsid w:val="006E5E80"/>
    <w:rsid w:val="006F180D"/>
    <w:rsid w:val="006F1FE3"/>
    <w:rsid w:val="006F3287"/>
    <w:rsid w:val="006F3F2B"/>
    <w:rsid w:val="006F4AFE"/>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20D0"/>
    <w:rsid w:val="007E385B"/>
    <w:rsid w:val="007E5D20"/>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3DCE"/>
    <w:rsid w:val="00897C37"/>
    <w:rsid w:val="008A2338"/>
    <w:rsid w:val="008A270A"/>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551F"/>
    <w:rsid w:val="009072A2"/>
    <w:rsid w:val="00911A16"/>
    <w:rsid w:val="009121D8"/>
    <w:rsid w:val="009122D2"/>
    <w:rsid w:val="0091244F"/>
    <w:rsid w:val="00914C1D"/>
    <w:rsid w:val="00914D2A"/>
    <w:rsid w:val="00921441"/>
    <w:rsid w:val="009221B3"/>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5AD8"/>
    <w:rsid w:val="009A7838"/>
    <w:rsid w:val="009B0C8E"/>
    <w:rsid w:val="009B15AC"/>
    <w:rsid w:val="009B1DE0"/>
    <w:rsid w:val="009B1E2C"/>
    <w:rsid w:val="009B24FC"/>
    <w:rsid w:val="009B655A"/>
    <w:rsid w:val="009C092A"/>
    <w:rsid w:val="009C1ACB"/>
    <w:rsid w:val="009C3347"/>
    <w:rsid w:val="009C605C"/>
    <w:rsid w:val="009C62DF"/>
    <w:rsid w:val="009C69CB"/>
    <w:rsid w:val="009C7F85"/>
    <w:rsid w:val="009D03FA"/>
    <w:rsid w:val="009D164E"/>
    <w:rsid w:val="009D3486"/>
    <w:rsid w:val="009D59F9"/>
    <w:rsid w:val="009D769D"/>
    <w:rsid w:val="009E045A"/>
    <w:rsid w:val="009E206A"/>
    <w:rsid w:val="009E239B"/>
    <w:rsid w:val="009E2EEE"/>
    <w:rsid w:val="009E3A84"/>
    <w:rsid w:val="009E4C3E"/>
    <w:rsid w:val="009E56D9"/>
    <w:rsid w:val="009E7514"/>
    <w:rsid w:val="009F2AC6"/>
    <w:rsid w:val="009F3C40"/>
    <w:rsid w:val="00A000E5"/>
    <w:rsid w:val="00A0095C"/>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37CA0"/>
    <w:rsid w:val="00A41CF7"/>
    <w:rsid w:val="00A423D7"/>
    <w:rsid w:val="00A43BE9"/>
    <w:rsid w:val="00A45B24"/>
    <w:rsid w:val="00A5077D"/>
    <w:rsid w:val="00A54A55"/>
    <w:rsid w:val="00A55EC6"/>
    <w:rsid w:val="00A56F96"/>
    <w:rsid w:val="00A57328"/>
    <w:rsid w:val="00A60C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535"/>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40E5"/>
    <w:rsid w:val="00C84632"/>
    <w:rsid w:val="00C84734"/>
    <w:rsid w:val="00C84B82"/>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0A9B"/>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339E"/>
    <w:rsid w:val="00DC4C00"/>
    <w:rsid w:val="00DD3314"/>
    <w:rsid w:val="00DD76A7"/>
    <w:rsid w:val="00DE0023"/>
    <w:rsid w:val="00DE6B5C"/>
    <w:rsid w:val="00DF24FE"/>
    <w:rsid w:val="00DF5702"/>
    <w:rsid w:val="00DF7323"/>
    <w:rsid w:val="00DF7503"/>
    <w:rsid w:val="00E01FEB"/>
    <w:rsid w:val="00E023BA"/>
    <w:rsid w:val="00E03C49"/>
    <w:rsid w:val="00E0428D"/>
    <w:rsid w:val="00E0484A"/>
    <w:rsid w:val="00E049A2"/>
    <w:rsid w:val="00E05299"/>
    <w:rsid w:val="00E054CC"/>
    <w:rsid w:val="00E07F35"/>
    <w:rsid w:val="00E10FE6"/>
    <w:rsid w:val="00E113AB"/>
    <w:rsid w:val="00E141DE"/>
    <w:rsid w:val="00E166BD"/>
    <w:rsid w:val="00E200FC"/>
    <w:rsid w:val="00E23CF5"/>
    <w:rsid w:val="00E23E6F"/>
    <w:rsid w:val="00E24060"/>
    <w:rsid w:val="00E30AB0"/>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40F1"/>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B5712"/>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21" Type="http://schemas.openxmlformats.org/officeDocument/2006/relationships/hyperlink" Target="http://page.mi.fu-berlin.de/rojas/2003/grec03.pdf" TargetMode="Externa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hyperlink" Target="https://en.wikipedia.org/wiki/Depth-first_search"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hyperlink" Target="https://en.wikipedia.org/wiki/Breadth-first_search"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36"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hyperlink" Target="http://users.ece.utexas.edu/~adnan/afi-samples-new.pdf"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yperlink" Target="https://en.wikipedia.org/wiki/Reverse-delete_algorithm" TargetMode="External"/><Relationship Id="rId35" Type="http://schemas.openxmlformats.org/officeDocument/2006/relationships/footer" Target="footer1.xml"/><Relationship Id="rId8" Type="http://schemas.openxmlformats.org/officeDocument/2006/relationships/numbering" Target="numbering.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DE039516-6B7E-4319-B3D1-2D2C5642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78</Pages>
  <Words>16252</Words>
  <Characters>92643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108678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15</cp:revision>
  <cp:lastPrinted>2020-03-26T12:10:00Z</cp:lastPrinted>
  <dcterms:created xsi:type="dcterms:W3CDTF">2020-04-05T07:34:00Z</dcterms:created>
  <dcterms:modified xsi:type="dcterms:W3CDTF">2020-04-05T17:33:00Z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