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2C911E69" w:rsidR="00816933" w:rsidRDefault="00A65E15" w:rsidP="00816933">
      <w:pPr>
        <w:spacing w:line="360" w:lineRule="auto"/>
        <w:ind w:left="360"/>
        <w:jc w:val="center"/>
      </w:pPr>
      <w:r>
        <w:rPr>
          <w:b/>
          <w:bCs/>
        </w:rPr>
        <w:t>v4.</w:t>
      </w:r>
      <w:r w:rsidR="00B63A61">
        <w:rPr>
          <w:b/>
          <w:bCs/>
        </w:rPr>
        <w:t>1</w:t>
      </w:r>
      <w:r w:rsidR="00B151F1">
        <w:rPr>
          <w:b/>
          <w:bCs/>
        </w:rPr>
        <w:t>2</w:t>
      </w:r>
      <w:r w:rsidR="00451A26">
        <w:rPr>
          <w:b/>
          <w:bCs/>
        </w:rPr>
        <w:t xml:space="preserve"> </w:t>
      </w:r>
      <w:r w:rsidR="00B151F1">
        <w:rPr>
          <w:b/>
          <w:bCs/>
        </w:rPr>
        <w:t>1</w:t>
      </w:r>
      <w:r w:rsidR="00BC498B">
        <w:t>7</w:t>
      </w:r>
      <w:r w:rsidR="00816933">
        <w:t xml:space="preserve"> </w:t>
      </w:r>
      <w:r w:rsidR="00B63A61">
        <w:t>March</w:t>
      </w:r>
      <w:r w:rsidR="00816933">
        <w:t xml:space="preserve"> 201</w:t>
      </w:r>
      <w:r w:rsidR="00862584">
        <w:t>9</w:t>
      </w: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3BC58416" w:rsidR="00B151F1" w:rsidRDefault="00B151F1" w:rsidP="00B151F1">
      <w:pPr>
        <w:spacing w:after="200" w:line="360" w:lineRule="auto"/>
      </w:pPr>
    </w:p>
    <w:p w14:paraId="361F8057" w14:textId="77777777"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8C3037"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8C3037"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8C303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8C303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8C303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8C3037"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8C3037"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8C3037"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8C3037"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8C3037"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8C3037"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8C303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6FE9BDC9" w14:textId="77777777" w:rsidR="00CD0320" w:rsidRDefault="00CD0320">
      <w:pPr>
        <w:spacing w:after="200" w:line="276" w:lineRule="auto"/>
      </w:pPr>
      <w:r>
        <w:br w:type="page"/>
      </w:r>
    </w:p>
    <w:p w14:paraId="27EA42E2" w14:textId="77777777" w:rsidR="005C2228" w:rsidRDefault="005C2228" w:rsidP="005C2228">
      <w:pPr>
        <w:spacing w:after="200" w:line="360" w:lineRule="auto"/>
      </w:pPr>
      <w:bookmarkStart w:id="1" w:name="_GoBack"/>
      <w:bookmarkEnd w:id="1"/>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8C3037"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8C3037"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8C3037"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8C3037"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8C3037"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8C3037"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0"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1"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2"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8C3037"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8C3037"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8C3037"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8C3037"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8C3037"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8C3037"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8C3037"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8C3037"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8C3037"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8C3037"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8C303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8C303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8C303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8C3037"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3"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4"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5"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6"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7"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8"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9"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0"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1"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34E5" w14:textId="77777777" w:rsidR="008C3037" w:rsidRDefault="008C3037" w:rsidP="008F462D">
      <w:r>
        <w:separator/>
      </w:r>
    </w:p>
  </w:endnote>
  <w:endnote w:type="continuationSeparator" w:id="0">
    <w:p w14:paraId="1E88D2ED" w14:textId="77777777" w:rsidR="008C3037" w:rsidRDefault="008C303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5F3AB2" w:rsidRDefault="005F3AB2">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5F3AB2" w:rsidRDefault="005F3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0E9C8" w14:textId="77777777" w:rsidR="008C3037" w:rsidRDefault="008C3037" w:rsidP="008F462D">
      <w:r>
        <w:separator/>
      </w:r>
    </w:p>
  </w:footnote>
  <w:footnote w:type="continuationSeparator" w:id="0">
    <w:p w14:paraId="0C460EA9" w14:textId="77777777" w:rsidR="008C3037" w:rsidRDefault="008C3037"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F3AB2" w:rsidRDefault="005F3AB2">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F3AB2" w:rsidRDefault="005F3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3"/>
  </w:num>
  <w:num w:numId="2">
    <w:abstractNumId w:val="32"/>
  </w:num>
  <w:num w:numId="3">
    <w:abstractNumId w:val="91"/>
  </w:num>
  <w:num w:numId="4">
    <w:abstractNumId w:val="34"/>
  </w:num>
  <w:num w:numId="5">
    <w:abstractNumId w:val="60"/>
  </w:num>
  <w:num w:numId="6">
    <w:abstractNumId w:val="114"/>
  </w:num>
  <w:num w:numId="7">
    <w:abstractNumId w:val="0"/>
  </w:num>
  <w:num w:numId="8">
    <w:abstractNumId w:val="105"/>
  </w:num>
  <w:num w:numId="9">
    <w:abstractNumId w:val="99"/>
  </w:num>
  <w:num w:numId="10">
    <w:abstractNumId w:val="56"/>
  </w:num>
  <w:num w:numId="11">
    <w:abstractNumId w:val="117"/>
  </w:num>
  <w:num w:numId="12">
    <w:abstractNumId w:val="57"/>
  </w:num>
  <w:num w:numId="13">
    <w:abstractNumId w:val="69"/>
  </w:num>
  <w:num w:numId="14">
    <w:abstractNumId w:val="77"/>
  </w:num>
  <w:num w:numId="15">
    <w:abstractNumId w:val="33"/>
  </w:num>
  <w:num w:numId="16">
    <w:abstractNumId w:val="42"/>
  </w:num>
  <w:num w:numId="17">
    <w:abstractNumId w:val="67"/>
  </w:num>
  <w:num w:numId="18">
    <w:abstractNumId w:val="10"/>
  </w:num>
  <w:num w:numId="19">
    <w:abstractNumId w:val="22"/>
  </w:num>
  <w:num w:numId="20">
    <w:abstractNumId w:val="103"/>
  </w:num>
  <w:num w:numId="21">
    <w:abstractNumId w:val="101"/>
  </w:num>
  <w:num w:numId="22">
    <w:abstractNumId w:val="29"/>
  </w:num>
  <w:num w:numId="23">
    <w:abstractNumId w:val="84"/>
  </w:num>
  <w:num w:numId="24">
    <w:abstractNumId w:val="76"/>
  </w:num>
  <w:num w:numId="25">
    <w:abstractNumId w:val="39"/>
  </w:num>
  <w:num w:numId="26">
    <w:abstractNumId w:val="31"/>
  </w:num>
  <w:num w:numId="27">
    <w:abstractNumId w:val="87"/>
  </w:num>
  <w:num w:numId="28">
    <w:abstractNumId w:val="92"/>
  </w:num>
  <w:num w:numId="29">
    <w:abstractNumId w:val="94"/>
  </w:num>
  <w:num w:numId="30">
    <w:abstractNumId w:val="43"/>
  </w:num>
  <w:num w:numId="31">
    <w:abstractNumId w:val="70"/>
  </w:num>
  <w:num w:numId="32">
    <w:abstractNumId w:val="26"/>
  </w:num>
  <w:num w:numId="33">
    <w:abstractNumId w:val="79"/>
  </w:num>
  <w:num w:numId="34">
    <w:abstractNumId w:val="40"/>
  </w:num>
  <w:num w:numId="35">
    <w:abstractNumId w:val="5"/>
  </w:num>
  <w:num w:numId="36">
    <w:abstractNumId w:val="36"/>
  </w:num>
  <w:num w:numId="37">
    <w:abstractNumId w:val="24"/>
  </w:num>
  <w:num w:numId="38">
    <w:abstractNumId w:val="14"/>
  </w:num>
  <w:num w:numId="39">
    <w:abstractNumId w:val="104"/>
  </w:num>
  <w:num w:numId="40">
    <w:abstractNumId w:val="49"/>
  </w:num>
  <w:num w:numId="41">
    <w:abstractNumId w:val="107"/>
  </w:num>
  <w:num w:numId="42">
    <w:abstractNumId w:val="16"/>
  </w:num>
  <w:num w:numId="43">
    <w:abstractNumId w:val="19"/>
  </w:num>
  <w:num w:numId="44">
    <w:abstractNumId w:val="110"/>
  </w:num>
  <w:num w:numId="45">
    <w:abstractNumId w:val="28"/>
  </w:num>
  <w:num w:numId="46">
    <w:abstractNumId w:val="86"/>
  </w:num>
  <w:num w:numId="47">
    <w:abstractNumId w:val="96"/>
  </w:num>
  <w:num w:numId="48">
    <w:abstractNumId w:val="52"/>
  </w:num>
  <w:num w:numId="49">
    <w:abstractNumId w:val="97"/>
  </w:num>
  <w:num w:numId="50">
    <w:abstractNumId w:val="13"/>
  </w:num>
  <w:num w:numId="51">
    <w:abstractNumId w:val="53"/>
  </w:num>
  <w:num w:numId="52">
    <w:abstractNumId w:val="1"/>
  </w:num>
  <w:num w:numId="53">
    <w:abstractNumId w:val="9"/>
  </w:num>
  <w:num w:numId="54">
    <w:abstractNumId w:val="3"/>
  </w:num>
  <w:num w:numId="55">
    <w:abstractNumId w:val="21"/>
  </w:num>
  <w:num w:numId="56">
    <w:abstractNumId w:val="27"/>
  </w:num>
  <w:num w:numId="57">
    <w:abstractNumId w:val="68"/>
  </w:num>
  <w:num w:numId="58">
    <w:abstractNumId w:val="8"/>
  </w:num>
  <w:num w:numId="59">
    <w:abstractNumId w:val="58"/>
  </w:num>
  <w:num w:numId="60">
    <w:abstractNumId w:val="18"/>
  </w:num>
  <w:num w:numId="61">
    <w:abstractNumId w:val="88"/>
  </w:num>
  <w:num w:numId="62">
    <w:abstractNumId w:val="106"/>
  </w:num>
  <w:num w:numId="63">
    <w:abstractNumId w:val="25"/>
  </w:num>
  <w:num w:numId="64">
    <w:abstractNumId w:val="6"/>
  </w:num>
  <w:num w:numId="65">
    <w:abstractNumId w:val="95"/>
  </w:num>
  <w:num w:numId="66">
    <w:abstractNumId w:val="61"/>
  </w:num>
  <w:num w:numId="67">
    <w:abstractNumId w:val="55"/>
  </w:num>
  <w:num w:numId="68">
    <w:abstractNumId w:val="23"/>
  </w:num>
  <w:num w:numId="69">
    <w:abstractNumId w:val="116"/>
  </w:num>
  <w:num w:numId="70">
    <w:abstractNumId w:val="109"/>
  </w:num>
  <w:num w:numId="71">
    <w:abstractNumId w:val="85"/>
  </w:num>
  <w:num w:numId="72">
    <w:abstractNumId w:val="74"/>
  </w:num>
  <w:num w:numId="73">
    <w:abstractNumId w:val="45"/>
  </w:num>
  <w:num w:numId="74">
    <w:abstractNumId w:val="54"/>
  </w:num>
  <w:num w:numId="75">
    <w:abstractNumId w:val="118"/>
  </w:num>
  <w:num w:numId="76">
    <w:abstractNumId w:val="90"/>
  </w:num>
  <w:num w:numId="77">
    <w:abstractNumId w:val="75"/>
  </w:num>
  <w:num w:numId="78">
    <w:abstractNumId w:val="113"/>
  </w:num>
  <w:num w:numId="79">
    <w:abstractNumId w:val="44"/>
  </w:num>
  <w:num w:numId="80">
    <w:abstractNumId w:val="20"/>
  </w:num>
  <w:num w:numId="81">
    <w:abstractNumId w:val="98"/>
  </w:num>
  <w:num w:numId="82">
    <w:abstractNumId w:val="108"/>
  </w:num>
  <w:num w:numId="83">
    <w:abstractNumId w:val="51"/>
  </w:num>
  <w:num w:numId="84">
    <w:abstractNumId w:val="66"/>
  </w:num>
  <w:num w:numId="85">
    <w:abstractNumId w:val="7"/>
  </w:num>
  <w:num w:numId="86">
    <w:abstractNumId w:val="93"/>
  </w:num>
  <w:num w:numId="87">
    <w:abstractNumId w:val="46"/>
  </w:num>
  <w:num w:numId="88">
    <w:abstractNumId w:val="47"/>
  </w:num>
  <w:num w:numId="89">
    <w:abstractNumId w:val="48"/>
  </w:num>
  <w:num w:numId="90">
    <w:abstractNumId w:val="64"/>
  </w:num>
  <w:num w:numId="91">
    <w:abstractNumId w:val="100"/>
  </w:num>
  <w:num w:numId="92">
    <w:abstractNumId w:val="72"/>
  </w:num>
  <w:num w:numId="93">
    <w:abstractNumId w:val="112"/>
  </w:num>
  <w:num w:numId="94">
    <w:abstractNumId w:val="82"/>
  </w:num>
  <w:num w:numId="95">
    <w:abstractNumId w:val="111"/>
  </w:num>
  <w:num w:numId="96">
    <w:abstractNumId w:val="35"/>
  </w:num>
  <w:num w:numId="97">
    <w:abstractNumId w:val="115"/>
  </w:num>
  <w:num w:numId="98">
    <w:abstractNumId w:val="83"/>
  </w:num>
  <w:num w:numId="99">
    <w:abstractNumId w:val="12"/>
  </w:num>
  <w:num w:numId="100">
    <w:abstractNumId w:val="78"/>
  </w:num>
  <w:num w:numId="101">
    <w:abstractNumId w:val="59"/>
  </w:num>
  <w:num w:numId="102">
    <w:abstractNumId w:val="71"/>
  </w:num>
  <w:num w:numId="103">
    <w:abstractNumId w:val="80"/>
  </w:num>
  <w:num w:numId="104">
    <w:abstractNumId w:val="17"/>
  </w:num>
  <w:num w:numId="105">
    <w:abstractNumId w:val="37"/>
  </w:num>
  <w:num w:numId="106">
    <w:abstractNumId w:val="73"/>
  </w:num>
  <w:num w:numId="107">
    <w:abstractNumId w:val="30"/>
  </w:num>
  <w:num w:numId="108">
    <w:abstractNumId w:val="65"/>
  </w:num>
  <w:num w:numId="109">
    <w:abstractNumId w:val="11"/>
  </w:num>
  <w:num w:numId="110">
    <w:abstractNumId w:val="2"/>
  </w:num>
  <w:num w:numId="111">
    <w:abstractNumId w:val="89"/>
  </w:num>
  <w:num w:numId="112">
    <w:abstractNumId w:val="62"/>
  </w:num>
  <w:num w:numId="113">
    <w:abstractNumId w:val="4"/>
  </w:num>
  <w:num w:numId="114">
    <w:abstractNumId w:val="102"/>
  </w:num>
  <w:num w:numId="115">
    <w:abstractNumId w:val="81"/>
  </w:num>
  <w:num w:numId="116">
    <w:abstractNumId w:val="15"/>
  </w:num>
  <w:num w:numId="117">
    <w:abstractNumId w:val="38"/>
  </w:num>
  <w:num w:numId="118">
    <w:abstractNumId w:val="41"/>
  </w:num>
  <w:num w:numId="119">
    <w:abstractNumId w:val="5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642"/>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E30"/>
    <w:rsid w:val="00033145"/>
    <w:rsid w:val="0003412A"/>
    <w:rsid w:val="00034F32"/>
    <w:rsid w:val="00035C7B"/>
    <w:rsid w:val="00036249"/>
    <w:rsid w:val="00040E7D"/>
    <w:rsid w:val="00040E92"/>
    <w:rsid w:val="00042400"/>
    <w:rsid w:val="00042B98"/>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879"/>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4963"/>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1712D"/>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2F8D"/>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8C8"/>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45F6"/>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B15"/>
    <w:rsid w:val="00332DC5"/>
    <w:rsid w:val="00333B3E"/>
    <w:rsid w:val="00334671"/>
    <w:rsid w:val="00335E14"/>
    <w:rsid w:val="003369FB"/>
    <w:rsid w:val="00336C9F"/>
    <w:rsid w:val="00337424"/>
    <w:rsid w:val="0033758E"/>
    <w:rsid w:val="00337B9B"/>
    <w:rsid w:val="00337FA0"/>
    <w:rsid w:val="00341EF1"/>
    <w:rsid w:val="0034393C"/>
    <w:rsid w:val="00343ED8"/>
    <w:rsid w:val="00344E44"/>
    <w:rsid w:val="00345A7B"/>
    <w:rsid w:val="00345E0C"/>
    <w:rsid w:val="00345FBD"/>
    <w:rsid w:val="00346640"/>
    <w:rsid w:val="00350497"/>
    <w:rsid w:val="00350904"/>
    <w:rsid w:val="003509F2"/>
    <w:rsid w:val="00351301"/>
    <w:rsid w:val="00352DC8"/>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C03"/>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0966"/>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3FDD"/>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68D"/>
    <w:rsid w:val="00437EF6"/>
    <w:rsid w:val="00440108"/>
    <w:rsid w:val="0044057C"/>
    <w:rsid w:val="004421AF"/>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366"/>
    <w:rsid w:val="004738E4"/>
    <w:rsid w:val="00473CA5"/>
    <w:rsid w:val="00473DCF"/>
    <w:rsid w:val="0047659F"/>
    <w:rsid w:val="004778D0"/>
    <w:rsid w:val="00477F9B"/>
    <w:rsid w:val="00480B64"/>
    <w:rsid w:val="004819AB"/>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0CE3"/>
    <w:rsid w:val="004A2296"/>
    <w:rsid w:val="004A243C"/>
    <w:rsid w:val="004A2A5E"/>
    <w:rsid w:val="004A2DA2"/>
    <w:rsid w:val="004A31C1"/>
    <w:rsid w:val="004A3416"/>
    <w:rsid w:val="004A351E"/>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7DF"/>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28A7"/>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1A53"/>
    <w:rsid w:val="005C206F"/>
    <w:rsid w:val="005C2228"/>
    <w:rsid w:val="005C396A"/>
    <w:rsid w:val="005C3FAC"/>
    <w:rsid w:val="005C41B3"/>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3AB2"/>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0EC3"/>
    <w:rsid w:val="006D2C1C"/>
    <w:rsid w:val="006D305B"/>
    <w:rsid w:val="006D4263"/>
    <w:rsid w:val="006D56A9"/>
    <w:rsid w:val="006D6285"/>
    <w:rsid w:val="006D678D"/>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A7A7E"/>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762"/>
    <w:rsid w:val="00800909"/>
    <w:rsid w:val="00802407"/>
    <w:rsid w:val="008027BC"/>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308F"/>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03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376"/>
    <w:rsid w:val="00A05B69"/>
    <w:rsid w:val="00A06DD6"/>
    <w:rsid w:val="00A073C2"/>
    <w:rsid w:val="00A07AFF"/>
    <w:rsid w:val="00A110A1"/>
    <w:rsid w:val="00A11701"/>
    <w:rsid w:val="00A12C48"/>
    <w:rsid w:val="00A13B22"/>
    <w:rsid w:val="00A148EE"/>
    <w:rsid w:val="00A15876"/>
    <w:rsid w:val="00A1678C"/>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3D61"/>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238"/>
    <w:rsid w:val="00A77A9F"/>
    <w:rsid w:val="00A8044A"/>
    <w:rsid w:val="00A80BCF"/>
    <w:rsid w:val="00A8283C"/>
    <w:rsid w:val="00A832AA"/>
    <w:rsid w:val="00A8354E"/>
    <w:rsid w:val="00A8391A"/>
    <w:rsid w:val="00A85D6B"/>
    <w:rsid w:val="00A860EC"/>
    <w:rsid w:val="00A867A3"/>
    <w:rsid w:val="00A869A3"/>
    <w:rsid w:val="00A86B55"/>
    <w:rsid w:val="00A87282"/>
    <w:rsid w:val="00A90A15"/>
    <w:rsid w:val="00A92665"/>
    <w:rsid w:val="00A93A83"/>
    <w:rsid w:val="00A958DE"/>
    <w:rsid w:val="00AA126B"/>
    <w:rsid w:val="00AA1C2E"/>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585"/>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6D2"/>
    <w:rsid w:val="00AF1CE6"/>
    <w:rsid w:val="00AF3739"/>
    <w:rsid w:val="00AF3CA4"/>
    <w:rsid w:val="00AF3D3D"/>
    <w:rsid w:val="00AF406A"/>
    <w:rsid w:val="00AF4C25"/>
    <w:rsid w:val="00AF5414"/>
    <w:rsid w:val="00AF57DF"/>
    <w:rsid w:val="00AF621C"/>
    <w:rsid w:val="00AF7288"/>
    <w:rsid w:val="00B01C10"/>
    <w:rsid w:val="00B02005"/>
    <w:rsid w:val="00B0240D"/>
    <w:rsid w:val="00B025B0"/>
    <w:rsid w:val="00B031BC"/>
    <w:rsid w:val="00B03485"/>
    <w:rsid w:val="00B0463C"/>
    <w:rsid w:val="00B05B80"/>
    <w:rsid w:val="00B060C3"/>
    <w:rsid w:val="00B06AA0"/>
    <w:rsid w:val="00B12868"/>
    <w:rsid w:val="00B130B4"/>
    <w:rsid w:val="00B13775"/>
    <w:rsid w:val="00B139FC"/>
    <w:rsid w:val="00B151F1"/>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5BC"/>
    <w:rsid w:val="00B94B67"/>
    <w:rsid w:val="00B96643"/>
    <w:rsid w:val="00B975E6"/>
    <w:rsid w:val="00B97DD9"/>
    <w:rsid w:val="00BA0325"/>
    <w:rsid w:val="00BA04DE"/>
    <w:rsid w:val="00BA1C91"/>
    <w:rsid w:val="00BA3747"/>
    <w:rsid w:val="00BA3C50"/>
    <w:rsid w:val="00BA458D"/>
    <w:rsid w:val="00BA4886"/>
    <w:rsid w:val="00BA4B35"/>
    <w:rsid w:val="00BA5C30"/>
    <w:rsid w:val="00BA65FC"/>
    <w:rsid w:val="00BA69D1"/>
    <w:rsid w:val="00BA6CE1"/>
    <w:rsid w:val="00BA739B"/>
    <w:rsid w:val="00BA7B37"/>
    <w:rsid w:val="00BB0175"/>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98B"/>
    <w:rsid w:val="00BC4AAD"/>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5FCF"/>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5D1"/>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3E0"/>
    <w:rsid w:val="00D07A67"/>
    <w:rsid w:val="00D10F47"/>
    <w:rsid w:val="00D116BF"/>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3DD"/>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DC0"/>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02F"/>
    <w:rsid w:val="00DA0D19"/>
    <w:rsid w:val="00DA100D"/>
    <w:rsid w:val="00DA35A3"/>
    <w:rsid w:val="00DA48B2"/>
    <w:rsid w:val="00DA4B1E"/>
    <w:rsid w:val="00DA5175"/>
    <w:rsid w:val="00DA544A"/>
    <w:rsid w:val="00DA60A3"/>
    <w:rsid w:val="00DB17BF"/>
    <w:rsid w:val="00DB3082"/>
    <w:rsid w:val="00DB3334"/>
    <w:rsid w:val="00DB37ED"/>
    <w:rsid w:val="00DB3D19"/>
    <w:rsid w:val="00DB54D3"/>
    <w:rsid w:val="00DB5DC9"/>
    <w:rsid w:val="00DB6011"/>
    <w:rsid w:val="00DB7DF0"/>
    <w:rsid w:val="00DC000F"/>
    <w:rsid w:val="00DC16C5"/>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BD0"/>
    <w:rsid w:val="00EC3D8C"/>
    <w:rsid w:val="00EC66B6"/>
    <w:rsid w:val="00EC6BEF"/>
    <w:rsid w:val="00EC6D51"/>
    <w:rsid w:val="00EC7CE4"/>
    <w:rsid w:val="00ED06D2"/>
    <w:rsid w:val="00ED114F"/>
    <w:rsid w:val="00ED1B5D"/>
    <w:rsid w:val="00ED2270"/>
    <w:rsid w:val="00ED2EC2"/>
    <w:rsid w:val="00ED2FBA"/>
    <w:rsid w:val="00ED3B27"/>
    <w:rsid w:val="00ED4344"/>
    <w:rsid w:val="00ED51E8"/>
    <w:rsid w:val="00EE051C"/>
    <w:rsid w:val="00EE1210"/>
    <w:rsid w:val="00EE1958"/>
    <w:rsid w:val="00EE1AF1"/>
    <w:rsid w:val="00EE1EB4"/>
    <w:rsid w:val="00EE3A11"/>
    <w:rsid w:val="00EE3EE3"/>
    <w:rsid w:val="00EE4518"/>
    <w:rsid w:val="00EE4975"/>
    <w:rsid w:val="00EE5890"/>
    <w:rsid w:val="00EE62C9"/>
    <w:rsid w:val="00EE7261"/>
    <w:rsid w:val="00EF13E9"/>
    <w:rsid w:val="00EF1586"/>
    <w:rsid w:val="00EF25AE"/>
    <w:rsid w:val="00EF3C5D"/>
    <w:rsid w:val="00EF4C95"/>
    <w:rsid w:val="00F019DC"/>
    <w:rsid w:val="00F036C5"/>
    <w:rsid w:val="00F04667"/>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papers.ssrn.com/sol3/papers.cfm?abstract_id=2716279https://papers.ssrn.com/sol3/papers.cfm?abstract_id=2264620" TargetMode="External"/><Relationship Id="rId3" Type="http://schemas.openxmlformats.org/officeDocument/2006/relationships/styles" Target="styles.xml"/><Relationship Id="rId21" Type="http://schemas.openxmlformats.org/officeDocument/2006/relationships/hyperlink" Target="https://www.bis.org/publ/bcbs171.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papers.ssrn.com/sol3/papers.cfm?abstract_id=271627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264620" TargetMode="External"/><Relationship Id="rId29" Type="http://schemas.openxmlformats.org/officeDocument/2006/relationships/hyperlink" Target="https://arxiv.org/pdf/1405.05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papers.ssrn.com/sol3/papers.cfm?abstract_id=2806156"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9964" TargetMode="External"/><Relationship Id="rId28" Type="http://schemas.openxmlformats.org/officeDocument/2006/relationships/hyperlink" Target="https://www.bis.org/bcbs/publ/d317.pdf"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www.federalreserve.gov/supervisionreg/srletters/sr1107a1.pdf" TargetMode="Externa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425515" TargetMode="External"/><Relationship Id="rId27" Type="http://schemas.openxmlformats.org/officeDocument/2006/relationships/hyperlink" Target="https://www.bis.org/publ/bcbs238.htm" TargetMode="External"/><Relationship Id="rId30" Type="http://schemas.openxmlformats.org/officeDocument/2006/relationships/hyperlink" Target="https://www.isda.org/a/IAiDE/ISDA-SIMM-Methodology-version-R1.0.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B48DA-C5FF-49A0-B285-28682F6F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135</Pages>
  <Words>33070</Words>
  <Characters>188503</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11</cp:revision>
  <cp:lastPrinted>2019-01-01T20:07:00Z</cp:lastPrinted>
  <dcterms:created xsi:type="dcterms:W3CDTF">2019-03-17T15:44:00Z</dcterms:created>
  <dcterms:modified xsi:type="dcterms:W3CDTF">2019-03-17T21:57:00Z</dcterms:modified>
</cp:coreProperties>
</file>