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C295EF8" w:rsidR="00493320" w:rsidRDefault="00EC5BBC">
      <w:pPr>
        <w:spacing w:line="360" w:lineRule="auto"/>
        <w:ind w:left="360"/>
        <w:jc w:val="center"/>
      </w:pPr>
      <w:r>
        <w:rPr>
          <w:b/>
          <w:bCs/>
        </w:rPr>
        <w:t>v4.</w:t>
      </w:r>
      <w:r w:rsidR="00B15BFA">
        <w:rPr>
          <w:b/>
          <w:bCs/>
        </w:rPr>
        <w:t>6</w:t>
      </w:r>
      <w:r w:rsidR="00AA1A41">
        <w:rPr>
          <w:b/>
          <w:bCs/>
        </w:rPr>
        <w:t>8</w:t>
      </w:r>
      <w:r w:rsidR="00991306">
        <w:t xml:space="preserve"> </w:t>
      </w:r>
      <w:r w:rsidR="00AA1A41">
        <w:t>1</w:t>
      </w:r>
      <w:r w:rsidR="00B15BFA">
        <w:t>9</w:t>
      </w:r>
      <w:r w:rsidR="00991306">
        <w:t xml:space="preserve"> </w:t>
      </w:r>
      <w:r w:rsidR="00AA1A41">
        <w:t>January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68340F"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68340F"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68340F"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68340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68340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68340F"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68340F"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w:t>
      </w:r>
      <w:proofErr w:type="spellStart"/>
      <w:r>
        <w:rPr>
          <w:rStyle w:val="citationjournal"/>
          <w:lang w:val="en"/>
        </w:rPr>
        <w:t>roblem</w:t>
      </w:r>
      <w:proofErr w:type="spellEnd"/>
      <w:r>
        <w:rPr>
          <w:rStyle w:val="citationjournal"/>
          <w:lang w:val="en"/>
        </w:rPr>
        <w:t xml:space="preserve">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68340F"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68340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68340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68340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68340F"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68340F"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68340F"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68340F"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w:t>
      </w:r>
      <w:proofErr w:type="gramStart"/>
      <w:r>
        <w:rPr>
          <w:rStyle w:val="citationjournal"/>
          <w:lang w:val="en"/>
        </w:rPr>
        <w:t>guess</w:t>
      </w:r>
      <w:proofErr w:type="gramEnd"/>
    </w:p>
    <w:p w14:paraId="4EC83C5B" w14:textId="77777777" w:rsidR="00A05166" w:rsidRPr="00FD7DF8" w:rsidRDefault="00A05166" w:rsidP="00FD7DF8">
      <w:pPr>
        <w:spacing w:line="360" w:lineRule="auto"/>
        <w:rPr>
          <w:rStyle w:val="citationjournal"/>
          <w:lang w:val="en"/>
        </w:rPr>
      </w:pPr>
    </w:p>
    <w:p w14:paraId="72C04513" w14:textId="77777777" w:rsidR="00A05166" w:rsidRDefault="0068340F"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 xml:space="preserve">is a search direction, </w:t>
      </w:r>
      <w:proofErr w:type="gramStart"/>
      <w:r>
        <w:rPr>
          <w:rStyle w:val="citationjournal"/>
          <w:lang w:val="en"/>
        </w:rPr>
        <w:t>and</w:t>
      </w:r>
      <w:proofErr w:type="gramEnd"/>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68340F"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68340F"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68340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68340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68340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68340F"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68340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68340F"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68340F"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68340F"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68340F"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68340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68340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68340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68340F"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68340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68340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68340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68340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68340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68340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68340F"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68340F"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68340F"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68340F"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68340F"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68340F"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68340F"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68340F"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68340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68340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68340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68340F"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68340F"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68340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68340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68340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68340F"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68340F"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w:t>
      </w:r>
      <w:proofErr w:type="gramStart"/>
      <w:r w:rsidRPr="00717997">
        <w:rPr>
          <w:rStyle w:val="citationjournal"/>
          <w:lang w:val="en"/>
        </w:rPr>
        <w:t>that</w:t>
      </w:r>
      <w:proofErr w:type="gramEnd"/>
    </w:p>
    <w:p w14:paraId="0B9DA66B" w14:textId="77777777" w:rsidR="00046268" w:rsidRPr="00BB7C8E" w:rsidRDefault="00046268" w:rsidP="00BB7C8E">
      <w:pPr>
        <w:spacing w:line="360" w:lineRule="auto"/>
        <w:rPr>
          <w:rStyle w:val="citationjournal"/>
          <w:lang w:val="en"/>
        </w:rPr>
      </w:pPr>
    </w:p>
    <w:p w14:paraId="3A06081A" w14:textId="77777777" w:rsidR="00046268" w:rsidRDefault="0068340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68340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w:t>
      </w:r>
      <w:proofErr w:type="gramStart"/>
      <w:r w:rsidRPr="00717997">
        <w:rPr>
          <w:rStyle w:val="citationjournal"/>
          <w:lang w:val="en"/>
        </w:rPr>
        <w:t>difficult.</w:t>
      </w:r>
      <w:proofErr w:type="gramEnd"/>
      <w:r w:rsidRPr="00717997">
        <w:rPr>
          <w:rStyle w:val="citationjournal"/>
          <w:lang w:val="en"/>
        </w:rPr>
        <w:t xml:space="preserve">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 xml:space="preserve">is a smooth function such </w:t>
      </w:r>
      <w:proofErr w:type="gramStart"/>
      <w:r>
        <w:rPr>
          <w:rStyle w:val="citationjournal"/>
          <w:lang w:val="en"/>
        </w:rPr>
        <w:t>that</w:t>
      </w:r>
      <w:proofErr w:type="gramEnd"/>
    </w:p>
    <w:p w14:paraId="40B40522" w14:textId="77777777" w:rsidR="00046268" w:rsidRPr="00BB7C8E" w:rsidRDefault="00046268" w:rsidP="00BB7C8E">
      <w:pPr>
        <w:spacing w:line="360" w:lineRule="auto"/>
        <w:rPr>
          <w:rStyle w:val="citationjournal"/>
          <w:lang w:val="en"/>
        </w:rPr>
      </w:pPr>
    </w:p>
    <w:p w14:paraId="5535CD9B" w14:textId="77777777" w:rsidR="00046268" w:rsidRDefault="0068340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68340F"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68340F"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68340F"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68340F"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68340F"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68340F"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68340F"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68340F"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w:t>
      </w:r>
      <w:proofErr w:type="gramStart"/>
      <w:r>
        <w:rPr>
          <w:rStyle w:val="citationjournal"/>
          <w:lang w:val="en"/>
        </w:rPr>
        <w:t>indices</w:t>
      </w:r>
      <w:proofErr w:type="gramEnd"/>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68340F"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68340F"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68340F"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68340F"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68340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68340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68340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68340F"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w:t>
      </w:r>
      <w:proofErr w:type="gramStart"/>
      <w:r>
        <w:rPr>
          <w:rStyle w:val="citationjournal"/>
          <w:lang w:val="en"/>
        </w:rPr>
        <w:t>value.</w:t>
      </w:r>
      <w:proofErr w:type="gramEnd"/>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68340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68340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68340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68340F"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68340F"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68340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68340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68340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68340F"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68340F"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68340F"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68340F"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68340F"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68340F"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68340F"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w:t>
      </w:r>
      <w:proofErr w:type="gramStart"/>
      <w:r w:rsidRPr="00120DCA">
        <w:rPr>
          <w:rStyle w:val="citationjournal"/>
          <w:lang w:val="en"/>
        </w:rPr>
        <w:t>functions.</w:t>
      </w:r>
      <w:proofErr w:type="gramEnd"/>
      <w:r w:rsidRPr="00120DCA">
        <w:rPr>
          <w:rStyle w:val="citationjournal"/>
          <w:lang w:val="en"/>
        </w:rPr>
        <w:t xml:space="preserve">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68340F"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68340F"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68340F"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68340F"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68340F"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68340F"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68340F"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68340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68340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68340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68340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68340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68340F"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68340F"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68340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68340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68340F"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68340F"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68340F"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68340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68340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68340F"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68340F"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68340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68340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68340F"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68340F"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68340F"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68340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68340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68340F"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68340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68340F"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68340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68340F"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68340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68340F"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68340F"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68340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68340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68340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68340F"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68340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68340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68340F"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68340F"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68340F"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68340F"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68340F"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68340F"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68340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68340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68340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68340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68340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68340F"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68340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68340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68340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68340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68340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68340F"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68340F"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68340F"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68340F"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 xml:space="preserve">product of two </w:t>
      </w:r>
      <w:proofErr w:type="gramStart"/>
      <w:r w:rsidR="006F729D">
        <w:rPr>
          <w:rStyle w:val="citationjournal"/>
          <w:lang w:val="en"/>
        </w:rPr>
        <w:t>vectors.</w:t>
      </w:r>
      <w:proofErr w:type="gramEnd"/>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68340F"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68340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68340F"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68340F"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68340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68340F"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68340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68340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68340F"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68340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68340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68340F"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68340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68340F"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68340F"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68340F"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68340F"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68340F"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68340F"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68340F"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68340F"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68340F"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68340F"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68340F"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68340F"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68340F"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68340F"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68340F"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region, then it has this value in at least one of the extreme points (Murty (1983)). This in itself reducers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greater and greater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68340F"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68340F"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th</w:t>
      </w:r>
      <w:proofErr w:type="spellStart"/>
      <w:r>
        <w:rPr>
          <w:rStyle w:val="citationjournal"/>
          <w:lang w:val="en"/>
        </w:rPr>
        <w:t>en</w:t>
      </w:r>
      <w:proofErr w:type="spellEnd"/>
      <w:r>
        <w:rPr>
          <w:rStyle w:val="citationjournal"/>
          <w:lang w:val="en"/>
        </w:rPr>
        <w:t xml:space="preserve">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68340F"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make a determination.</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68340F"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68340F"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68340F"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68340F"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In order to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25C7BA66" w:rsidR="00875278" w:rsidRPr="009E3A84"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m:t>
            </m:r>
            <m:r>
              <w:rPr>
                <w:rStyle w:val="citationjournal"/>
                <w:rFonts w:ascii="Cambria Math" w:hAnsi="Cambria Math"/>
                <w:lang w:val="en"/>
              </w:rPr>
              <m:t>+n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bookmarkStart w:id="1" w:name="_GoBack"/>
      <w:bookmarkEnd w:id="1"/>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54A2695B" w14:textId="2B048F6D"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170115DC" w14:textId="4C93E591"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19B5941E" w14:textId="7FA278CC"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7FA3BE55" w14:textId="594FA9B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lastRenderedPageBreak/>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1DE49F5B" w14:textId="5F3CCD0D"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26" w:history="1">
        <w:r w:rsidRPr="00EC34C8">
          <w:rPr>
            <w:rStyle w:val="Hyperlink"/>
            <w:lang w:val="en"/>
          </w:rPr>
          <w:t>Simplex Algorithm</w:t>
        </w:r>
      </w:hyperlink>
    </w:p>
    <w:p w14:paraId="5BF2C674" w14:textId="77777777" w:rsidR="00886B64" w:rsidRPr="00886B64" w:rsidRDefault="00886B64" w:rsidP="00B07D44">
      <w:pPr>
        <w:spacing w:line="360" w:lineRule="auto"/>
        <w:rPr>
          <w:rStyle w:val="citationjournal"/>
          <w:lang w:val="en"/>
        </w:rPr>
      </w:pPr>
    </w:p>
    <w:sectPr w:rsidR="00886B64" w:rsidRPr="00886B64">
      <w:headerReference w:type="default" r:id="rId27"/>
      <w:footerReference w:type="even"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F3A12" w14:textId="77777777" w:rsidR="0068340F" w:rsidRDefault="0068340F">
      <w:r>
        <w:separator/>
      </w:r>
    </w:p>
  </w:endnote>
  <w:endnote w:type="continuationSeparator" w:id="0">
    <w:p w14:paraId="150632F2" w14:textId="77777777" w:rsidR="0068340F" w:rsidRDefault="00683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A30DD" w:rsidRDefault="006A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A30DD" w:rsidRDefault="006A3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A30DD" w:rsidRDefault="006A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A30DD" w:rsidRDefault="006A3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18225" w14:textId="77777777" w:rsidR="0068340F" w:rsidRDefault="0068340F">
      <w:r>
        <w:separator/>
      </w:r>
    </w:p>
  </w:footnote>
  <w:footnote w:type="continuationSeparator" w:id="0">
    <w:p w14:paraId="5E40491A" w14:textId="77777777" w:rsidR="0068340F" w:rsidRDefault="00683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A30DD" w:rsidRDefault="006A30DD">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A30DD" w:rsidRDefault="006A3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1"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0"/>
  </w:num>
  <w:num w:numId="2">
    <w:abstractNumId w:val="38"/>
  </w:num>
  <w:num w:numId="3">
    <w:abstractNumId w:val="48"/>
  </w:num>
  <w:num w:numId="4">
    <w:abstractNumId w:val="2"/>
  </w:num>
  <w:num w:numId="5">
    <w:abstractNumId w:val="53"/>
  </w:num>
  <w:num w:numId="6">
    <w:abstractNumId w:val="26"/>
  </w:num>
  <w:num w:numId="7">
    <w:abstractNumId w:val="11"/>
  </w:num>
  <w:num w:numId="8">
    <w:abstractNumId w:val="59"/>
  </w:num>
  <w:num w:numId="9">
    <w:abstractNumId w:val="34"/>
  </w:num>
  <w:num w:numId="10">
    <w:abstractNumId w:val="42"/>
  </w:num>
  <w:num w:numId="11">
    <w:abstractNumId w:val="25"/>
  </w:num>
  <w:num w:numId="12">
    <w:abstractNumId w:val="12"/>
  </w:num>
  <w:num w:numId="13">
    <w:abstractNumId w:val="23"/>
  </w:num>
  <w:num w:numId="14">
    <w:abstractNumId w:val="44"/>
  </w:num>
  <w:num w:numId="15">
    <w:abstractNumId w:val="49"/>
  </w:num>
  <w:num w:numId="16">
    <w:abstractNumId w:val="13"/>
  </w:num>
  <w:num w:numId="17">
    <w:abstractNumId w:val="32"/>
  </w:num>
  <w:num w:numId="18">
    <w:abstractNumId w:val="14"/>
  </w:num>
  <w:num w:numId="19">
    <w:abstractNumId w:val="31"/>
  </w:num>
  <w:num w:numId="20">
    <w:abstractNumId w:val="27"/>
  </w:num>
  <w:num w:numId="21">
    <w:abstractNumId w:val="28"/>
  </w:num>
  <w:num w:numId="22">
    <w:abstractNumId w:val="46"/>
  </w:num>
  <w:num w:numId="23">
    <w:abstractNumId w:val="57"/>
  </w:num>
  <w:num w:numId="24">
    <w:abstractNumId w:val="8"/>
  </w:num>
  <w:num w:numId="25">
    <w:abstractNumId w:val="55"/>
  </w:num>
  <w:num w:numId="26">
    <w:abstractNumId w:val="17"/>
  </w:num>
  <w:num w:numId="27">
    <w:abstractNumId w:val="65"/>
  </w:num>
  <w:num w:numId="28">
    <w:abstractNumId w:val="21"/>
  </w:num>
  <w:num w:numId="29">
    <w:abstractNumId w:val="30"/>
  </w:num>
  <w:num w:numId="30">
    <w:abstractNumId w:val="39"/>
  </w:num>
  <w:num w:numId="31">
    <w:abstractNumId w:val="1"/>
  </w:num>
  <w:num w:numId="32">
    <w:abstractNumId w:val="15"/>
  </w:num>
  <w:num w:numId="33">
    <w:abstractNumId w:val="19"/>
  </w:num>
  <w:num w:numId="34">
    <w:abstractNumId w:val="4"/>
  </w:num>
  <w:num w:numId="35">
    <w:abstractNumId w:val="3"/>
  </w:num>
  <w:num w:numId="36">
    <w:abstractNumId w:val="58"/>
  </w:num>
  <w:num w:numId="37">
    <w:abstractNumId w:val="5"/>
  </w:num>
  <w:num w:numId="38">
    <w:abstractNumId w:val="40"/>
  </w:num>
  <w:num w:numId="39">
    <w:abstractNumId w:val="45"/>
  </w:num>
  <w:num w:numId="40">
    <w:abstractNumId w:val="61"/>
  </w:num>
  <w:num w:numId="41">
    <w:abstractNumId w:val="47"/>
  </w:num>
  <w:num w:numId="42">
    <w:abstractNumId w:val="33"/>
  </w:num>
  <w:num w:numId="43">
    <w:abstractNumId w:val="62"/>
  </w:num>
  <w:num w:numId="44">
    <w:abstractNumId w:val="51"/>
  </w:num>
  <w:num w:numId="45">
    <w:abstractNumId w:val="60"/>
  </w:num>
  <w:num w:numId="46">
    <w:abstractNumId w:val="10"/>
  </w:num>
  <w:num w:numId="47">
    <w:abstractNumId w:val="29"/>
  </w:num>
  <w:num w:numId="48">
    <w:abstractNumId w:val="64"/>
  </w:num>
  <w:num w:numId="49">
    <w:abstractNumId w:val="36"/>
  </w:num>
  <w:num w:numId="50">
    <w:abstractNumId w:val="20"/>
  </w:num>
  <w:num w:numId="51">
    <w:abstractNumId w:val="22"/>
  </w:num>
  <w:num w:numId="52">
    <w:abstractNumId w:val="35"/>
  </w:num>
  <w:num w:numId="53">
    <w:abstractNumId w:val="54"/>
  </w:num>
  <w:num w:numId="54">
    <w:abstractNumId w:val="7"/>
  </w:num>
  <w:num w:numId="55">
    <w:abstractNumId w:val="41"/>
  </w:num>
  <w:num w:numId="56">
    <w:abstractNumId w:val="9"/>
  </w:num>
  <w:num w:numId="57">
    <w:abstractNumId w:val="0"/>
  </w:num>
  <w:num w:numId="58">
    <w:abstractNumId w:val="24"/>
  </w:num>
  <w:num w:numId="59">
    <w:abstractNumId w:val="56"/>
  </w:num>
  <w:num w:numId="60">
    <w:abstractNumId w:val="18"/>
  </w:num>
  <w:num w:numId="61">
    <w:abstractNumId w:val="52"/>
  </w:num>
  <w:num w:numId="62">
    <w:abstractNumId w:val="43"/>
  </w:num>
  <w:num w:numId="63">
    <w:abstractNumId w:val="6"/>
  </w:num>
  <w:num w:numId="64">
    <w:abstractNumId w:val="37"/>
  </w:num>
  <w:num w:numId="65">
    <w:abstractNumId w:val="63"/>
  </w:num>
  <w:num w:numId="66">
    <w:abstractNumId w:val="66"/>
  </w:num>
  <w:num w:numId="67">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2C6C"/>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F3B"/>
    <w:rsid w:val="001C59D0"/>
    <w:rsid w:val="001C677C"/>
    <w:rsid w:val="001C7538"/>
    <w:rsid w:val="001D36B9"/>
    <w:rsid w:val="001D37F7"/>
    <w:rsid w:val="001E055F"/>
    <w:rsid w:val="001E395A"/>
    <w:rsid w:val="001E676E"/>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3B5A"/>
    <w:rsid w:val="0024798E"/>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03FA"/>
    <w:rsid w:val="002A3D27"/>
    <w:rsid w:val="002A5951"/>
    <w:rsid w:val="002A737E"/>
    <w:rsid w:val="002B110C"/>
    <w:rsid w:val="002B15E6"/>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D50"/>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A55"/>
    <w:rsid w:val="003672FE"/>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5A73"/>
    <w:rsid w:val="003D6684"/>
    <w:rsid w:val="003D6F37"/>
    <w:rsid w:val="003D7637"/>
    <w:rsid w:val="003E2B16"/>
    <w:rsid w:val="003E38F2"/>
    <w:rsid w:val="003E5F2C"/>
    <w:rsid w:val="003E638D"/>
    <w:rsid w:val="003E6557"/>
    <w:rsid w:val="003F22BB"/>
    <w:rsid w:val="003F632C"/>
    <w:rsid w:val="0040000D"/>
    <w:rsid w:val="00400863"/>
    <w:rsid w:val="0040364C"/>
    <w:rsid w:val="004036B3"/>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634"/>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1C4A"/>
    <w:rsid w:val="00622BBB"/>
    <w:rsid w:val="00624F8A"/>
    <w:rsid w:val="006300E2"/>
    <w:rsid w:val="006300F6"/>
    <w:rsid w:val="00637A70"/>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40F"/>
    <w:rsid w:val="006836A9"/>
    <w:rsid w:val="00683D8D"/>
    <w:rsid w:val="00685530"/>
    <w:rsid w:val="00685C8C"/>
    <w:rsid w:val="0068621B"/>
    <w:rsid w:val="0068671C"/>
    <w:rsid w:val="00691DB4"/>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B6E"/>
    <w:rsid w:val="008B75C0"/>
    <w:rsid w:val="008C21D7"/>
    <w:rsid w:val="008C2884"/>
    <w:rsid w:val="008C2C1B"/>
    <w:rsid w:val="008C3AA3"/>
    <w:rsid w:val="008C4375"/>
    <w:rsid w:val="008D1407"/>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5506"/>
    <w:rsid w:val="00937D19"/>
    <w:rsid w:val="00940E18"/>
    <w:rsid w:val="00943CA7"/>
    <w:rsid w:val="009440B4"/>
    <w:rsid w:val="00944F8E"/>
    <w:rsid w:val="00944FB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56F96"/>
    <w:rsid w:val="00A60C85"/>
    <w:rsid w:val="00A62FE9"/>
    <w:rsid w:val="00A70BCC"/>
    <w:rsid w:val="00A74E6C"/>
    <w:rsid w:val="00A75E96"/>
    <w:rsid w:val="00A76221"/>
    <w:rsid w:val="00A837F4"/>
    <w:rsid w:val="00A83E32"/>
    <w:rsid w:val="00A87FB5"/>
    <w:rsid w:val="00A95CCF"/>
    <w:rsid w:val="00A96EC9"/>
    <w:rsid w:val="00A973E6"/>
    <w:rsid w:val="00A97E17"/>
    <w:rsid w:val="00AA1A41"/>
    <w:rsid w:val="00AA2D21"/>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1BD4"/>
    <w:rsid w:val="00D55690"/>
    <w:rsid w:val="00D56978"/>
    <w:rsid w:val="00D633C8"/>
    <w:rsid w:val="00D64041"/>
    <w:rsid w:val="00D72FA7"/>
    <w:rsid w:val="00D73447"/>
    <w:rsid w:val="00D74508"/>
    <w:rsid w:val="00D75B25"/>
    <w:rsid w:val="00D77F3C"/>
    <w:rsid w:val="00D82163"/>
    <w:rsid w:val="00D831C7"/>
    <w:rsid w:val="00D91EB1"/>
    <w:rsid w:val="00D9242A"/>
    <w:rsid w:val="00D9270E"/>
    <w:rsid w:val="00D955B0"/>
    <w:rsid w:val="00DA0329"/>
    <w:rsid w:val="00DA064C"/>
    <w:rsid w:val="00DA358A"/>
    <w:rsid w:val="00DA406D"/>
    <w:rsid w:val="00DB0545"/>
    <w:rsid w:val="00DB130E"/>
    <w:rsid w:val="00DB37DC"/>
    <w:rsid w:val="00DB43D1"/>
    <w:rsid w:val="00DB49FA"/>
    <w:rsid w:val="00DB51B6"/>
    <w:rsid w:val="00DC4C00"/>
    <w:rsid w:val="00DD3314"/>
    <w:rsid w:val="00DD76A7"/>
    <w:rsid w:val="00DE0023"/>
    <w:rsid w:val="00DF24FE"/>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5BBC"/>
    <w:rsid w:val="00EC5E99"/>
    <w:rsid w:val="00EC78B1"/>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en.wikipedia.org/wiki/Simplex_algorithm" TargetMode="Externa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D26A4B51-1E48-4EC0-B978-C4FD0EB05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122</Pages>
  <Words>18611</Words>
  <Characters>106087</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31</cp:revision>
  <cp:lastPrinted>2019-12-30T10:20:00Z</cp:lastPrinted>
  <dcterms:created xsi:type="dcterms:W3CDTF">2020-01-20T03:23:00Z</dcterms:created>
  <dcterms:modified xsi:type="dcterms:W3CDTF">2020-01-20T18:15:00Z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