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947B1E">
        <w:rPr>
          <w:b/>
          <w:bCs/>
        </w:rPr>
        <w:t>5</w:t>
      </w:r>
      <w:r w:rsidR="002653DE">
        <w:rPr>
          <w:b/>
          <w:bCs/>
        </w:rPr>
        <w:t>2</w:t>
      </w:r>
      <w:r w:rsidR="00553B00">
        <w:t xml:space="preserve"> </w:t>
      </w:r>
      <w:r w:rsidR="002B137C">
        <w:t>3</w:t>
      </w:r>
      <w:r w:rsidR="002653DE">
        <w:t>1</w:t>
      </w:r>
      <w:r w:rsidR="00553B00">
        <w:t xml:space="preserve"> </w:t>
      </w:r>
      <w:r w:rsidR="001B4867">
        <w:t>March</w:t>
      </w:r>
      <w:r w:rsidR="00553B00">
        <w:t xml:space="preserve"> 201</w:t>
      </w:r>
      <w:r w:rsidR="00CB782E">
        <w:t>5</w:t>
      </w:r>
    </w:p>
    <w:p w:rsidR="001A58B4" w:rsidRDefault="00553B00" w:rsidP="00D8729B">
      <w:pPr>
        <w:pStyle w:val="Heading1"/>
        <w:ind w:left="1080"/>
        <w:jc w:val="center"/>
        <w:rPr>
          <w:szCs w:val="20"/>
          <w:lang w:val="en"/>
        </w:rPr>
      </w:pPr>
      <w:r>
        <w:rPr>
          <w:b w:val="0"/>
          <w:bCs w:val="0"/>
        </w:rPr>
        <w:br w:type="page"/>
      </w:r>
    </w:p>
    <w:p w:rsidR="009559E1" w:rsidRDefault="006A7145" w:rsidP="009559E1">
      <w:pPr>
        <w:pStyle w:val="Footer"/>
        <w:tabs>
          <w:tab w:val="clear" w:pos="4320"/>
          <w:tab w:val="clear" w:pos="8640"/>
        </w:tabs>
        <w:spacing w:line="360" w:lineRule="auto"/>
        <w:jc w:val="center"/>
        <w:rPr>
          <w:b/>
          <w:bCs/>
          <w:sz w:val="32"/>
        </w:rPr>
      </w:pPr>
      <w:r>
        <w:rPr>
          <w:b/>
          <w:bCs/>
          <w:sz w:val="32"/>
        </w:rPr>
        <w:lastRenderedPageBreak/>
        <w:t>Overview</w:t>
      </w: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rPr>
          <w:b/>
          <w:bCs/>
          <w:sz w:val="28"/>
        </w:rPr>
      </w:pPr>
      <w:r>
        <w:rPr>
          <w:b/>
          <w:bCs/>
          <w:sz w:val="28"/>
        </w:rPr>
        <w:t>Statistical Learning Theory Monographs</w:t>
      </w:r>
    </w:p>
    <w:p w:rsidR="009559E1" w:rsidRDefault="009559E1" w:rsidP="009559E1">
      <w:pPr>
        <w:pStyle w:val="Footer"/>
        <w:tabs>
          <w:tab w:val="clear" w:pos="4320"/>
          <w:tab w:val="clear" w:pos="8640"/>
        </w:tabs>
        <w:spacing w:line="360" w:lineRule="auto"/>
      </w:pPr>
    </w:p>
    <w:p w:rsidR="009559E1" w:rsidRDefault="009559E1" w:rsidP="007F6C3E">
      <w:pPr>
        <w:pStyle w:val="Footer"/>
        <w:numPr>
          <w:ilvl w:val="0"/>
          <w:numId w:val="1"/>
        </w:numPr>
        <w:tabs>
          <w:tab w:val="clear" w:pos="4320"/>
          <w:tab w:val="clear" w:pos="8640"/>
        </w:tabs>
        <w:spacing w:line="360" w:lineRule="auto"/>
      </w:pPr>
      <w:r>
        <w:rPr>
          <w:u w:val="single"/>
        </w:rPr>
        <w:t>Mathematical and Technical Surveys</w:t>
      </w:r>
      <w:r>
        <w:t xml:space="preserve">: </w:t>
      </w:r>
      <w:r w:rsidR="007E7F8F">
        <w:t xml:space="preserve">Fukunaga (1972), </w:t>
      </w:r>
      <w:r w:rsidR="00A86111">
        <w:t xml:space="preserve">Duda and Hart (1973), </w:t>
      </w:r>
      <w:r w:rsidR="00582899">
        <w:t xml:space="preserve">Vapnik and Chervonenkis (1974), Vapnik (1982), </w:t>
      </w:r>
      <w:r w:rsidR="0029737E">
        <w:t>Breiman, Friedman, Olshen, and Stone (1984),</w:t>
      </w:r>
      <w:r w:rsidR="0009163B">
        <w:t xml:space="preserve"> </w:t>
      </w:r>
      <w:r w:rsidR="00582899">
        <w:t xml:space="preserve">Natarajan (1991), </w:t>
      </w:r>
      <w:r w:rsidR="0009163B">
        <w:t>McLachlan (1992),</w:t>
      </w:r>
      <w:r w:rsidR="0029737E">
        <w:t xml:space="preserve"> </w:t>
      </w:r>
      <w:r w:rsidR="000175F6">
        <w:t xml:space="preserve">Kearns and Vazirani (1994), </w:t>
      </w:r>
      <w:r>
        <w:t xml:space="preserve">Vapnik (1995), Devroye, Gyorfi, and Lugosi (1996), </w:t>
      </w:r>
      <w:r w:rsidR="00662A5E">
        <w:t xml:space="preserve">Kulkarni, Lugosi, and Venkatesh (1998), </w:t>
      </w:r>
      <w:r>
        <w:t xml:space="preserve">Vapnik (1998), </w:t>
      </w:r>
      <w:r w:rsidR="0029737E">
        <w:t xml:space="preserve">Anthony and Bartlett (1999), </w:t>
      </w:r>
      <w:r>
        <w:t xml:space="preserve">Herbrich and Williamson (2002), </w:t>
      </w:r>
      <w:r w:rsidR="00D77978">
        <w:t xml:space="preserve">Lugosi (2002), </w:t>
      </w:r>
      <w:r>
        <w:t xml:space="preserve">Scholkopf and Smola (2002), Bosquet, Boucheron, and Lugosi (2003), Mandelson (2003), </w:t>
      </w:r>
      <w:r w:rsidR="00634BB2">
        <w:t>Boucheron, Bousquet, and Lugosi (2005).</w:t>
      </w:r>
    </w:p>
    <w:p w:rsidR="001A58B4" w:rsidRDefault="001A58B4" w:rsidP="00634BB2">
      <w:pPr>
        <w:spacing w:line="360" w:lineRule="auto"/>
      </w:pPr>
    </w:p>
    <w:p w:rsidR="009559E1" w:rsidRDefault="009559E1" w:rsidP="009559E1">
      <w:pPr>
        <w:pStyle w:val="Footer"/>
        <w:tabs>
          <w:tab w:val="clear" w:pos="4320"/>
          <w:tab w:val="clear" w:pos="8640"/>
        </w:tabs>
        <w:spacing w:line="360" w:lineRule="auto"/>
      </w:pPr>
    </w:p>
    <w:p w:rsidR="009559E1" w:rsidRDefault="00634BB2" w:rsidP="009559E1">
      <w:pPr>
        <w:pStyle w:val="Footer"/>
        <w:tabs>
          <w:tab w:val="clear" w:pos="4320"/>
          <w:tab w:val="clear" w:pos="8640"/>
        </w:tabs>
        <w:spacing w:line="360" w:lineRule="auto"/>
        <w:rPr>
          <w:b/>
          <w:bCs/>
          <w:sz w:val="28"/>
        </w:rPr>
      </w:pPr>
      <w:r>
        <w:rPr>
          <w:b/>
          <w:bCs/>
          <w:sz w:val="28"/>
        </w:rPr>
        <w:t>References</w:t>
      </w:r>
    </w:p>
    <w:p w:rsidR="009559E1" w:rsidRDefault="009559E1" w:rsidP="009559E1">
      <w:pPr>
        <w:pStyle w:val="Footer"/>
        <w:tabs>
          <w:tab w:val="clear" w:pos="4320"/>
          <w:tab w:val="clear" w:pos="8640"/>
        </w:tabs>
        <w:spacing w:line="360" w:lineRule="auto"/>
      </w:pPr>
    </w:p>
    <w:p w:rsidR="0029737E" w:rsidRDefault="0029737E" w:rsidP="007F6C3E">
      <w:pPr>
        <w:pStyle w:val="Footer"/>
        <w:numPr>
          <w:ilvl w:val="0"/>
          <w:numId w:val="2"/>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4448B5" w:rsidRDefault="004448B5" w:rsidP="007F6C3E">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rsidR="00F636CD">
        <w:t xml:space="preserve"> </w:t>
      </w:r>
      <w:r w:rsidR="00F636CD" w:rsidRPr="008E0A81">
        <w:rPr>
          <w:b/>
        </w:rPr>
        <w:t>9</w:t>
      </w:r>
      <w:r w:rsidR="00F636CD">
        <w:t xml:space="preserve"> </w:t>
      </w:r>
      <w:r w:rsidR="00F636CD" w:rsidRPr="00F636CD">
        <w:t>323</w:t>
      </w:r>
      <w:r w:rsidR="00F636CD">
        <w:t>-375.</w:t>
      </w:r>
    </w:p>
    <w:p w:rsidR="004448B5" w:rsidRDefault="004448B5" w:rsidP="007F6C3E">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29737E" w:rsidRDefault="0029737E" w:rsidP="0029737E">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634BB2" w:rsidRDefault="00634BB2" w:rsidP="0029737E">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A86111" w:rsidRDefault="00A86111" w:rsidP="00A86111">
      <w:pPr>
        <w:pStyle w:val="Footer"/>
        <w:numPr>
          <w:ilvl w:val="0"/>
          <w:numId w:val="2"/>
        </w:numPr>
        <w:tabs>
          <w:tab w:val="clear" w:pos="4320"/>
          <w:tab w:val="clear" w:pos="8640"/>
        </w:tabs>
        <w:spacing w:line="360" w:lineRule="auto"/>
      </w:pPr>
      <w:r>
        <w:t>Duda, R., and P. Hart (197</w:t>
      </w:r>
      <w:r w:rsidR="00510DF2">
        <w:t>3</w:t>
      </w:r>
      <w:r>
        <w:t xml:space="preserve">): </w:t>
      </w:r>
      <w:r>
        <w:rPr>
          <w:i/>
        </w:rPr>
        <w:t>Pattern Classification and Scene Analysis</w:t>
      </w:r>
      <w:r>
        <w:t xml:space="preserve"> </w:t>
      </w:r>
      <w:r>
        <w:rPr>
          <w:b/>
        </w:rPr>
        <w:t>John Wiley</w:t>
      </w:r>
      <w:r>
        <w:t xml:space="preserve"> New York.</w:t>
      </w:r>
    </w:p>
    <w:p w:rsidR="00510DF2" w:rsidRDefault="00510DF2" w:rsidP="00510DF2">
      <w:pPr>
        <w:pStyle w:val="Footer"/>
        <w:numPr>
          <w:ilvl w:val="0"/>
          <w:numId w:val="2"/>
        </w:numPr>
        <w:tabs>
          <w:tab w:val="clear" w:pos="4320"/>
          <w:tab w:val="clear" w:pos="8640"/>
        </w:tabs>
        <w:spacing w:line="360" w:lineRule="auto"/>
      </w:pPr>
      <w:r>
        <w:lastRenderedPageBreak/>
        <w:t xml:space="preserve">Fukunaga, K. (1972): </w:t>
      </w:r>
      <w:r>
        <w:rPr>
          <w:i/>
        </w:rPr>
        <w:t>Introduction to Statistical Pattern Recognition</w:t>
      </w:r>
      <w:r>
        <w:t xml:space="preserve"> </w:t>
      </w:r>
      <w:r>
        <w:rPr>
          <w:b/>
        </w:rPr>
        <w:t>Academic Press</w:t>
      </w:r>
      <w:r>
        <w:t xml:space="preserve"> New York.</w:t>
      </w:r>
    </w:p>
    <w:p w:rsidR="002C57CF" w:rsidRDefault="002C57CF" w:rsidP="007F6C3E">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0175F6" w:rsidRDefault="000175F6" w:rsidP="000175F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62A5E" w:rsidRDefault="00662A5E" w:rsidP="000175F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D77978" w:rsidRDefault="00D77978" w:rsidP="000175F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F636CD" w:rsidRDefault="00F636CD" w:rsidP="007F6C3E">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09163B" w:rsidRDefault="0009163B" w:rsidP="007F6C3E">
      <w:pPr>
        <w:pStyle w:val="Footer"/>
        <w:numPr>
          <w:ilvl w:val="0"/>
          <w:numId w:val="2"/>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82899" w:rsidRDefault="00582899" w:rsidP="007F6C3E">
      <w:pPr>
        <w:pStyle w:val="Footer"/>
        <w:numPr>
          <w:ilvl w:val="0"/>
          <w:numId w:val="2"/>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2C57CF" w:rsidRDefault="002C57CF" w:rsidP="007F6C3E">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82899" w:rsidRDefault="00582899" w:rsidP="00582899">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582899" w:rsidRDefault="00582899" w:rsidP="007F6C3E">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9559E1" w:rsidRDefault="00634BB2" w:rsidP="007F6C3E">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634BB2" w:rsidRDefault="00634BB2" w:rsidP="007F6C3E">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sidR="002C57CF">
        <w:rPr>
          <w:b/>
        </w:rPr>
        <w:t>Springer</w:t>
      </w:r>
      <w:r w:rsidR="002C57CF">
        <w:t xml:space="preserve"> New York.</w:t>
      </w:r>
    </w:p>
    <w:p w:rsidR="00EE3E9C" w:rsidRDefault="00EE3E9C">
      <w:pPr>
        <w:spacing w:after="160" w:line="259" w:lineRule="auto"/>
        <w:rPr>
          <w:b/>
          <w:bCs/>
          <w:sz w:val="32"/>
        </w:rPr>
      </w:pPr>
      <w:r>
        <w:rPr>
          <w:b/>
          <w:bCs/>
          <w:sz w:val="32"/>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r>
        <w:t xml:space="preserve">: </w:t>
      </w:r>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r>
        <w:t xml:space="preserve">: </w:t>
      </w: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(or </w:t>
      </w:r>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Then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get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Here </w:t>
      </w:r>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Here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for </w:t>
      </w:r>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and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Let </w:t>
      </w:r>
      <m:oMath>
        <m:r>
          <w:rPr>
            <w:rFonts w:ascii="Cambria Math" w:hAnsi="Cambria Math"/>
          </w:rPr>
          <m:t>t≥0</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 xml:space="preserve">Proof =&gt; Re-cast </w:t>
      </w:r>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for </w:t>
      </w:r>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that </w:t>
      </w:r>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As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for </w:t>
      </w:r>
      <m:oMath>
        <m:r>
          <w:rPr>
            <w:rFonts w:ascii="Cambria Math" w:hAnsi="Cambria Math"/>
          </w:rPr>
          <m:t>m&lt;n</m:t>
        </m:r>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 </w:t>
      </w:r>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integers </w:t>
      </w:r>
      <m:oMath>
        <m:r>
          <w:rPr>
            <w:rFonts w:ascii="Cambria Math" w:hAnsi="Cambria Math"/>
          </w:rPr>
          <m:t>q</m:t>
        </m:r>
      </m:oMath>
      <w:r>
        <w:t xml:space="preserve">. The best Chernoff bound is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that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all </w:t>
      </w:r>
      <m:oMath>
        <m:r>
          <w:rPr>
            <w:rFonts w:ascii="Cambria Math" w:hAnsi="Cambria Math"/>
          </w:rPr>
          <m:t>&gt;0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If  is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imply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r>
        <w:lastRenderedPageBreak/>
        <w:t xml:space="preserve">Writing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like </w:t>
      </w:r>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 </w:t>
      </w:r>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Then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and </w:t>
      </w:r>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or </w:t>
      </w:r>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Applying expectation to both sides,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Using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if </w:t>
      </w:r>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xml:space="preserve">. Thus,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that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that </w:t>
      </w:r>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 xml:space="preserve">Bring it together =&gt;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Set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For </w:t>
      </w:r>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xml:space="preserve">. Defining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 </w:t>
      </w:r>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each </w:t>
      </w:r>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Thus,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obtained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get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of </w:t>
      </w:r>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Let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If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C56064"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xml:space="preserve">. Denoting </w:t>
      </w:r>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taking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017184" w:rsidRPr="00732B06" w:rsidRDefault="00017184" w:rsidP="00017184">
      <w:pPr>
        <w:spacing w:after="160" w:line="259" w:lineRule="auto"/>
        <w:jc w:val="center"/>
        <w:rPr>
          <w:b/>
          <w:sz w:val="32"/>
          <w:szCs w:val="32"/>
        </w:rPr>
      </w:pPr>
      <w:r w:rsidRPr="00732B06">
        <w:rPr>
          <w:b/>
          <w:sz w:val="32"/>
          <w:szCs w:val="32"/>
        </w:rPr>
        <w:lastRenderedPageBreak/>
        <w:t>Binomial Tails</w:t>
      </w:r>
    </w:p>
    <w:p w:rsidR="00017184" w:rsidRDefault="00017184" w:rsidP="00017184">
      <w:pPr>
        <w:spacing w:after="160" w:line="360" w:lineRule="auto"/>
      </w:pPr>
    </w:p>
    <w:p w:rsidR="00017184" w:rsidRDefault="00017184" w:rsidP="00017184">
      <w:pPr>
        <w:spacing w:after="160" w:line="360" w:lineRule="auto"/>
      </w:pPr>
    </w:p>
    <w:p w:rsidR="00017184" w:rsidRDefault="00017184" w:rsidP="00BB4A85">
      <w:pPr>
        <w:pStyle w:val="ListParagraph"/>
        <w:numPr>
          <w:ilvl w:val="0"/>
          <w:numId w:val="54"/>
        </w:numPr>
        <w:spacing w:after="160" w:line="360" w:lineRule="auto"/>
      </w:pPr>
      <w:r w:rsidRPr="00732B06">
        <w:rPr>
          <w:u w:val="single"/>
        </w:rPr>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017184" w:rsidRDefault="00017184" w:rsidP="00BB4A85">
      <w:pPr>
        <w:pStyle w:val="ListParagraph"/>
        <w:numPr>
          <w:ilvl w:val="0"/>
          <w:numId w:val="54"/>
        </w:numPr>
        <w:spacing w:after="160" w:line="360" w:lineRule="auto"/>
      </w:pPr>
      <w:r>
        <w:rPr>
          <w:u w:val="single"/>
        </w:rPr>
        <w:t>Formulation</w:t>
      </w:r>
      <w:r w:rsidRPr="0001301B">
        <w:t>:</w:t>
      </w:r>
      <w:r>
        <w:t xml:space="preserve"> Denoting </w:t>
      </w:r>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017184" w:rsidRDefault="00017184" w:rsidP="00BB4A85">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017184" w:rsidRDefault="00017184" w:rsidP="00BB4A85">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017184" w:rsidRDefault="00017184" w:rsidP="00BB4A85">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017184" w:rsidRDefault="00017184" w:rsidP="00BB4A85">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017184" w:rsidRDefault="00017184" w:rsidP="00BB4A85">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017184" w:rsidRDefault="00017184" w:rsidP="00BB4A85">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017184" w:rsidRDefault="00017184" w:rsidP="00BB4A85">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017184" w:rsidRDefault="00017184" w:rsidP="00BB4A85">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 </w:t>
      </w:r>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017184" w:rsidRDefault="00017184" w:rsidP="00BB4A85">
      <w:pPr>
        <w:pStyle w:val="ListParagraph"/>
        <w:numPr>
          <w:ilvl w:val="0"/>
          <w:numId w:val="54"/>
        </w:numPr>
        <w:spacing w:after="160" w:line="360" w:lineRule="auto"/>
      </w:pPr>
      <w:r>
        <w:rPr>
          <w:u w:val="single"/>
        </w:rPr>
        <w:lastRenderedPageBreak/>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Thus, Talagrand’s inequality strives to combine Bernstein’s inequality with the union bound and symmetrization.</w:t>
      </w:r>
    </w:p>
    <w:p w:rsidR="00017184" w:rsidRDefault="00017184"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r>
        <w:t xml:space="preser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r>
        <w:t xml:space="preserve">Clearly </w:t>
      </w:r>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r>
        <w:t xml:space="preserve">Now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 </w:t>
      </w:r>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every </w:t>
      </w:r>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 </w:t>
      </w:r>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 </w:t>
      </w: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is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as </w:t>
      </w: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of </w:t>
      </w:r>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therefore </w:t>
      </w: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in </w:t>
      </w:r>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In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loss </w:t>
      </w: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The convenient form of the Efron-Stein inequality to use is the following: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that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have </w:t>
      </w: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with </w:t>
      </w:r>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error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that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C56064"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all </w:t>
      </w:r>
      <m:oMath>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with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which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Here we have assumed that the supremum is always achieved. The modification of the argument for the general case is straightforward. This by the variance bound,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therefore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defining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with </w:t>
      </w:r>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that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that </w:t>
      </w: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write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 </w:t>
      </w: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and </w:t>
      </w:r>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r w:rsidRPr="00D70D48">
        <w:t>:</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Thus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Since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Then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that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Thus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that </w:t>
      </w:r>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any </w:t>
      </w:r>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get </w:t>
      </w:r>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get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stating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and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have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clearly,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r>
        <w:lastRenderedPageBreak/>
        <w:t xml:space="preserve">variable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 </w:t>
      </w:r>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any </w:t>
      </w:r>
      <m:oMath>
        <m:r>
          <w:rPr>
            <w:rFonts w:ascii="Cambria Math" w:hAnsi="Cambria Math"/>
          </w:rPr>
          <m:t>&gt;0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Denote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denote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all </w:t>
      </w:r>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write </w:t>
      </w:r>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have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that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that </w:t>
      </w:r>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inequality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inequality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 </w:t>
      </w:r>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f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all </w:t>
      </w:r>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xml:space="preserve">. The proof is completed by observing that, by independence,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by </w:t>
      </w:r>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 </w:t>
      </w:r>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xml:space="preserve">. Therefore, </w:t>
      </w:r>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have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for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functions </w:t>
      </w:r>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 </w:t>
      </w:r>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every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any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since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any </w:t>
      </w:r>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becomes </w:t>
      </w:r>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ODE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if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defining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 </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as </w:t>
      </w:r>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C56064"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xml:space="preserve">. The VC entropy is defined as the log of the shatter coefficient, that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C56064"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vector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clearly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all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if </w:t>
      </w:r>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number </w:t>
      </w:r>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for </w:t>
      </w:r>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Let </w:t>
      </w:r>
      <m:oMath>
        <m:r>
          <w:rPr>
            <w:rFonts w:ascii="Cambria Math" w:hAnsi="Cambria Math"/>
          </w:rPr>
          <m:t>s&gt;0</m:t>
        </m:r>
      </m:oMath>
      <w:r>
        <w:t xml:space="preserve">. Just as in the first step of the proof for the Bounded Square Differences Exponential Bounds, we use the fact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w:t>
      </w:r>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function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with </w:t>
      </w:r>
      <m:oMath>
        <m:r>
          <w:rPr>
            <w:rFonts w:ascii="Cambria Math" w:hAnsi="Cambria Math"/>
          </w:rPr>
          <m:t>s&lt;0</m:t>
        </m:r>
      </m:oMath>
      <w:r>
        <w:t xml:space="preserve">. By the third inequality of the symmetrized logarithmic Sobolev inequality,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for </w:t>
      </w:r>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all </w:t>
      </w:r>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if </w:t>
      </w:r>
      <m:oMath>
        <m:r>
          <w:rPr>
            <w:rFonts w:ascii="Cambria Math" w:hAnsi="Cambria Math"/>
          </w:rPr>
          <m:t>x&gt;0</m:t>
        </m:r>
      </m:oMath>
      <w:r>
        <w:t xml:space="preserve">. Choose </w:t>
      </w:r>
      <m:oMath>
        <m:r>
          <w:rPr>
            <w:rFonts w:ascii="Cambria Math" w:hAnsi="Cambria Math"/>
          </w:rPr>
          <m:t>κ&gt;0</m:t>
        </m:r>
      </m:oMath>
      <w:r>
        <w:t xml:space="preserve">. Thus, for </w:t>
      </w:r>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taken </w:t>
      </w:r>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write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 xml:space="preserve">the bounded square differences inequality, with the optimal constants provided by the McDiarmid’s inequality, </w:t>
      </w:r>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with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variable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clearly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denoting </w:t>
      </w:r>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if </w:t>
      </w:r>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for </w:t>
      </w:r>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all </w:t>
      </w:r>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 </w:t>
      </w:r>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variable </w:t>
      </w:r>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have </w:t>
      </w:r>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get </w:t>
      </w:r>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means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if </w:t>
      </w:r>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if </w:t>
      </w:r>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each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 </w:t>
      </w:r>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that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taking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8430D6" w:rsidRDefault="008430D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045527">
      <w:pPr>
        <w:pStyle w:val="ListParagraph"/>
        <w:numPr>
          <w:ilvl w:val="0"/>
          <w:numId w:val="115"/>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E63527" w:rsidRDefault="008430D6" w:rsidP="00E63527">
      <w:pPr>
        <w:pStyle w:val="ListParagraph"/>
        <w:numPr>
          <w:ilvl w:val="1"/>
          <w:numId w:val="88"/>
        </w:numPr>
        <w:spacing w:line="360" w:lineRule="auto"/>
      </w:pPr>
      <w:r>
        <w:t>Probabilistic Learning Framework and Viability</w:t>
      </w:r>
    </w:p>
    <w:p w:rsidR="008430D6" w:rsidRDefault="008430D6" w:rsidP="00E63527">
      <w:pPr>
        <w:pStyle w:val="ListParagraph"/>
        <w:numPr>
          <w:ilvl w:val="0"/>
          <w:numId w:val="88"/>
        </w:numPr>
        <w:spacing w:line="360" w:lineRule="auto"/>
      </w:pPr>
      <w:r w:rsidRPr="00E63527">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lastRenderedPageBreak/>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(mis-classified samples).</w:t>
      </w:r>
    </w:p>
    <w:p w:rsidR="00475BB7" w:rsidRDefault="00475BB7" w:rsidP="00BB4A85">
      <w:pPr>
        <w:pStyle w:val="ListParagraph"/>
        <w:numPr>
          <w:ilvl w:val="1"/>
          <w:numId w:val="89"/>
        </w:numPr>
        <w:spacing w:line="360" w:lineRule="auto"/>
      </w:pPr>
      <w:r w:rsidRPr="00417460">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subset </w:t>
      </w:r>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concept </w:t>
      </w:r>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lastRenderedPageBreak/>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as </w:t>
      </w:r>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r w:rsidRPr="00A551D4">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risk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lastRenderedPageBreak/>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lastRenderedPageBreak/>
        <w:t xml:space="preserve">MAP as the Regularization Process =&gt; If we maximize </w:t>
      </w:r>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46B36" w:rsidRDefault="00E46B36" w:rsidP="00E46B36">
      <w:pPr>
        <w:pStyle w:val="Footer"/>
        <w:numPr>
          <w:ilvl w:val="0"/>
          <w:numId w:val="2"/>
        </w:numPr>
        <w:tabs>
          <w:tab w:val="clear" w:pos="4320"/>
          <w:tab w:val="clear" w:pos="8640"/>
        </w:tabs>
        <w:spacing w:line="360" w:lineRule="auto"/>
        <w:rPr>
          <w:szCs w:val="20"/>
          <w:lang w:val="en"/>
        </w:rPr>
      </w:pPr>
      <w:r>
        <w:t xml:space="preserve">Kearns, M., and U. Vazirani (1994): </w:t>
      </w:r>
      <w:r>
        <w:rPr>
          <w:i/>
        </w:rPr>
        <w:t>An Introduction to Computational Learning</w:t>
      </w:r>
      <w:r>
        <w:t xml:space="preserve"> </w:t>
      </w:r>
      <w:r>
        <w:rPr>
          <w:b/>
        </w:rPr>
        <w:t>MIT Press</w:t>
      </w:r>
      <w:r>
        <w:t>.</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lastRenderedPageBreak/>
        <w:t xml:space="preserve">Probably Approximately Correct Learning (Wiki): </w:t>
      </w:r>
      <w:hyperlink r:id="rId12" w:history="1">
        <w:r>
          <w:rPr>
            <w:rStyle w:val="Hyperlink"/>
            <w:i/>
            <w:iCs/>
          </w:rPr>
          <w:t>Wikipedia Entry for Probably Approximately Correct Learning</w:t>
        </w:r>
      </w:hyperlink>
      <w:r>
        <w:t>.</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5A0D6B" w:rsidRDefault="00F4357F" w:rsidP="007F6C3E">
      <w:pPr>
        <w:pStyle w:val="Footer"/>
        <w:numPr>
          <w:ilvl w:val="0"/>
          <w:numId w:val="2"/>
        </w:numPr>
        <w:tabs>
          <w:tab w:val="clear" w:pos="4320"/>
          <w:tab w:val="clear" w:pos="8640"/>
        </w:tabs>
        <w:spacing w:line="360" w:lineRule="auto"/>
      </w:pPr>
      <w:r>
        <w:t>von Luxburg, U., and B. Scholkopf</w:t>
      </w:r>
      <w:r w:rsidR="005A0D6B">
        <w:t xml:space="preserve"> (2005): </w:t>
      </w:r>
      <w:r>
        <w:t xml:space="preserve">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 </w:t>
      </w:r>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 </w:t>
      </w:r>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is called the Bias or the Approximation Error.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with </w:t>
      </w:r>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r w:rsidRPr="00493751">
        <w:rPr>
          <w:sz w:val="28"/>
          <w:szCs w:val="28"/>
        </w:rPr>
        <w:t>:</w:t>
      </w:r>
      <w:r>
        <w:rPr>
          <w:sz w:val="28"/>
          <w:szCs w:val="28"/>
        </w:rPr>
        <w:t xml:space="preserve">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that </w:t>
      </w:r>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Therefore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Here </w:t>
      </w:r>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r w:rsidRPr="00493751">
        <w:rPr>
          <w:sz w:val="28"/>
          <w:szCs w:val="28"/>
        </w:rPr>
        <w:t>:</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is the model variance term. Cast in another manner,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quiet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that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with </w:t>
      </w:r>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of </w:t>
      </w:r>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but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given </w:t>
      </w:r>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as </w:t>
      </w:r>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as </w:t>
      </w:r>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xml:space="preserve">, and is quiet conservative). Applied to ERM, it is: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 </w:t>
      </w:r>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as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C56064"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For </w:t>
      </w:r>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inequality </w:t>
      </w:r>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For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seek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from </w:t>
      </w: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Further </w:t>
      </w:r>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Thus </w:t>
      </w:r>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as </w:t>
      </w:r>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each </w:t>
      </w:r>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set </w:t>
      </w:r>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Choosing </w:t>
      </w:r>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xml:space="preserve">. Expressing this in terms of probabilities using LLN produces the following: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as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If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as </w:t>
      </w:r>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 xml:space="preserve">is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as </w:t>
      </w:r>
      <m:oMath>
        <m:r>
          <w:rPr>
            <w:rFonts w:ascii="Cambria Math" w:hAnsi="Cambria Math"/>
          </w:rPr>
          <m:t>n→∞</m:t>
        </m:r>
      </m:oMath>
      <w:r>
        <w:t xml:space="preserve">, therefore it converges. However, for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all </w:t>
      </w:r>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margin </w:t>
      </w:r>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C56064"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least </w:t>
      </w:r>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Theory of consistency of the learning process =&gt; What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Non-asymptotic theory of the rate of convergence of a learning process =&gt; How fast is the rate of convergence of the learning process?</w:t>
      </w:r>
    </w:p>
    <w:p w:rsidR="00853532" w:rsidRDefault="00853532" w:rsidP="00BB4A85">
      <w:pPr>
        <w:pStyle w:val="ListParagraph"/>
        <w:numPr>
          <w:ilvl w:val="1"/>
          <w:numId w:val="94"/>
        </w:numPr>
        <w:spacing w:line="360" w:lineRule="auto"/>
      </w:pPr>
      <w:r>
        <w:t>Theory of control of the generalization ability of a learning process =&gt; How can one control the rate of convergence (i.e., the generalization ability) of the learning process?</w:t>
      </w:r>
    </w:p>
    <w:p w:rsidR="00853532" w:rsidRDefault="00853532" w:rsidP="00BB4A85">
      <w:pPr>
        <w:pStyle w:val="ListParagraph"/>
        <w:numPr>
          <w:ilvl w:val="1"/>
          <w:numId w:val="94"/>
        </w:numPr>
        <w:spacing w:line="360" w:lineRule="auto"/>
      </w:pPr>
      <w:r>
        <w:t>Theory of construction learning machines =&gt; How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Vaart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measure </w:t>
      </w:r>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functions </w:t>
      </w:r>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by </w:t>
      </w:r>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C56064"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C56064"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every </w:t>
      </w:r>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process </w:t>
      </w:r>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functions </w:t>
      </w:r>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to </w:t>
      </w:r>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Therefore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=&gt;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get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be a concept class over an infinite space</w:t>
      </w:r>
      <w:r>
        <w:t xml:space="preserve"> </w:t>
      </w:r>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any </w:t>
      </w:r>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number </w:t>
      </w:r>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has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xml:space="preserve">. The trick here is to note that for any collection of 5 points, at least one of them must be interior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all </w:t>
      </w:r>
      <m:oMath>
        <m:r>
          <w:rPr>
            <w:rFonts w:ascii="Cambria Math" w:hAnsi="Cambria Math"/>
          </w:rPr>
          <m:t>n ϵ</m:t>
        </m:r>
        <m:r>
          <m:rPr>
            <m:scr m:val="double-struck"/>
          </m:rPr>
          <w:rPr>
            <w:rFonts w:ascii="Cambria Math" w:hAnsi="Cambria Math"/>
          </w:rPr>
          <m:t xml:space="preserve"> N</m:t>
        </m:r>
      </m:oMath>
      <w:r>
        <w:t xml:space="preserve">. In particular, for all </w:t>
      </w:r>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for </w:t>
      </w:r>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If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xml:space="preserve">. Note that </w:t>
      </w:r>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have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get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that </w:t>
      </w:r>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For </w:t>
      </w:r>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xml:space="preserve">. Then, for all </w:t>
      </w:r>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of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 </w:t>
      </w:r>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from </w:t>
      </w:r>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function </w:t>
      </w:r>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 </w:t>
      </w:r>
      <m:oMath>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if </w:t>
      </w:r>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and </w:t>
      </w:r>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in </w:t>
      </w:r>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function </w:t>
      </w:r>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set </w:t>
      </w:r>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r>
        <w:t xml:space="preserve"> is the number of data points.</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and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define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for </w:t>
      </w:r>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of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For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xml:space="preserve">. In other words, to compute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 </w:t>
      </w:r>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points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xml:space="preserve">. Thus,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xml:space="preserve">). Thus, in this case,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Then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xml:space="preserve">. By Sauer’s lemma, </w:t>
      </w:r>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into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r w:rsidRPr="00856269">
        <w:t>:</w:t>
      </w:r>
      <w:r>
        <w:t xml:space="preserv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Using the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notation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as </w:t>
      </w:r>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any </w:t>
      </w:r>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get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that </w:t>
      </w:r>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xml:space="preserve">: Although the Rademacher bounding produces bounds that are comparable to the traditional VC theory (i.e.,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xml:space="preserve">. As a consequence, along with the Haussler’s upper bound, we get the following result: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non-decreasing</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 </w:t>
      </w:r>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as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 </w:t>
      </w:r>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satisfy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 </w:t>
      </w:r>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obtain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#6 - Relation Between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least </w:t>
      </w:r>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and </w:t>
      </w:r>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For </w:t>
      </w:r>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xml:space="preserve">: In this step we use randomization using Rademacher variables, i.e.,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and </w:t>
      </w:r>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when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that </w:t>
      </w:r>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as </w:t>
      </w:r>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involve </w:t>
      </w:r>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is </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corresponding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that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Let </w:t>
      </w:r>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where </w:t>
      </w:r>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write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gives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as </w:t>
      </w:r>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has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for </w:t>
      </w:r>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with </w:t>
      </w:r>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 </w:t>
      </w:r>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E50AB9" w:rsidRDefault="00E50AB9" w:rsidP="00E50AB9">
      <w:pPr>
        <w:pStyle w:val="Footer"/>
        <w:tabs>
          <w:tab w:val="clear" w:pos="4320"/>
          <w:tab w:val="clear" w:pos="8640"/>
        </w:tabs>
        <w:spacing w:line="360" w:lineRule="auto"/>
        <w:jc w:val="center"/>
        <w:rPr>
          <w:b/>
          <w:bCs/>
          <w:sz w:val="32"/>
        </w:rPr>
      </w:pPr>
      <w:r>
        <w:rPr>
          <w:b/>
          <w:bCs/>
          <w:sz w:val="32"/>
        </w:rPr>
        <w:lastRenderedPageBreak/>
        <w:t>Alternate Generalization Bounds and Capacity Measures</w:t>
      </w: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rPr>
          <w:b/>
          <w:bCs/>
          <w:sz w:val="28"/>
        </w:rPr>
      </w:pPr>
      <w:r>
        <w:rPr>
          <w:b/>
          <w:bCs/>
          <w:sz w:val="28"/>
        </w:rPr>
        <w:t>Motivation</w:t>
      </w:r>
    </w:p>
    <w:p w:rsidR="00E50AB9" w:rsidRDefault="00E50AB9" w:rsidP="00E50AB9">
      <w:pPr>
        <w:pStyle w:val="Footer"/>
        <w:tabs>
          <w:tab w:val="clear" w:pos="4320"/>
          <w:tab w:val="clear" w:pos="8640"/>
        </w:tabs>
        <w:spacing w:line="360" w:lineRule="auto"/>
      </w:pPr>
    </w:p>
    <w:p w:rsidR="00E50AB9" w:rsidRDefault="00E50AB9" w:rsidP="00BB4A85">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E50AB9" w:rsidRPr="00715FF0" w:rsidRDefault="00E50AB9" w:rsidP="00BB4A85">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E50AB9" w:rsidRDefault="00E50AB9" w:rsidP="00BB4A85">
      <w:pPr>
        <w:pStyle w:val="Footer"/>
        <w:numPr>
          <w:ilvl w:val="0"/>
          <w:numId w:val="29"/>
        </w:numPr>
        <w:tabs>
          <w:tab w:val="clear" w:pos="4320"/>
          <w:tab w:val="clear" w:pos="8640"/>
        </w:tabs>
        <w:spacing w:line="360" w:lineRule="auto"/>
      </w:pPr>
      <w:r>
        <w:rPr>
          <w:u w:val="single"/>
        </w:rPr>
        <w:t>Alternate Capacity/Complexity Measures</w:t>
      </w:r>
      <w:r>
        <w:t>: Some alternate capacity/complexity measures are:</w:t>
      </w:r>
    </w:p>
    <w:p w:rsidR="00E50AB9" w:rsidRDefault="00E50AB9" w:rsidP="00BB4A85">
      <w:pPr>
        <w:pStyle w:val="Footer"/>
        <w:numPr>
          <w:ilvl w:val="1"/>
          <w:numId w:val="29"/>
        </w:numPr>
        <w:tabs>
          <w:tab w:val="clear" w:pos="4320"/>
          <w:tab w:val="clear" w:pos="8640"/>
        </w:tabs>
        <w:spacing w:line="360" w:lineRule="auto"/>
      </w:pPr>
      <w:r>
        <w:t>Covering Numbers (all variants)</w:t>
      </w:r>
    </w:p>
    <w:p w:rsidR="00E50AB9" w:rsidRDefault="00E50AB9" w:rsidP="00BB4A85">
      <w:pPr>
        <w:pStyle w:val="Footer"/>
        <w:numPr>
          <w:ilvl w:val="1"/>
          <w:numId w:val="29"/>
        </w:numPr>
        <w:tabs>
          <w:tab w:val="clear" w:pos="4320"/>
          <w:tab w:val="clear" w:pos="8640"/>
        </w:tabs>
        <w:spacing w:line="360" w:lineRule="auto"/>
      </w:pPr>
      <w:r>
        <w:t>VC Dimension</w:t>
      </w:r>
    </w:p>
    <w:p w:rsidR="00E50AB9" w:rsidRDefault="00E50AB9" w:rsidP="00BB4A85">
      <w:pPr>
        <w:pStyle w:val="Footer"/>
        <w:numPr>
          <w:ilvl w:val="1"/>
          <w:numId w:val="29"/>
        </w:numPr>
        <w:tabs>
          <w:tab w:val="clear" w:pos="4320"/>
          <w:tab w:val="clear" w:pos="8640"/>
        </w:tabs>
        <w:spacing w:line="360" w:lineRule="auto"/>
      </w:pPr>
      <w:r>
        <w:t>Rademacher Complexity</w:t>
      </w:r>
    </w:p>
    <w:p w:rsidR="00E50AB9" w:rsidRDefault="00E50AB9" w:rsidP="00BB4A85">
      <w:pPr>
        <w:pStyle w:val="Footer"/>
        <w:numPr>
          <w:ilvl w:val="1"/>
          <w:numId w:val="29"/>
        </w:numPr>
        <w:tabs>
          <w:tab w:val="clear" w:pos="4320"/>
          <w:tab w:val="clear" w:pos="8640"/>
        </w:tabs>
        <w:spacing w:line="360" w:lineRule="auto"/>
      </w:pPr>
      <w:r>
        <w:t>MDL Coded Size</w:t>
      </w:r>
    </w:p>
    <w:p w:rsidR="00E50AB9" w:rsidRDefault="00E50AB9" w:rsidP="00BB4A85">
      <w:pPr>
        <w:pStyle w:val="Footer"/>
        <w:numPr>
          <w:ilvl w:val="1"/>
          <w:numId w:val="29"/>
        </w:numPr>
        <w:tabs>
          <w:tab w:val="clear" w:pos="4320"/>
          <w:tab w:val="clear" w:pos="8640"/>
        </w:tabs>
        <w:spacing w:line="360" w:lineRule="auto"/>
      </w:pPr>
      <w:r>
        <w:t>Parametrized Bayesian Priors/Posteriors</w:t>
      </w:r>
    </w:p>
    <w:p w:rsidR="00B37CC6" w:rsidRDefault="00B37CC6">
      <w:pPr>
        <w:spacing w:after="160" w:line="259" w:lineRule="auto"/>
        <w:rPr>
          <w:b/>
          <w:bCs/>
          <w:sz w:val="28"/>
        </w:rPr>
      </w:pPr>
      <w:r>
        <w:rPr>
          <w:b/>
          <w:bCs/>
          <w:sz w:val="28"/>
        </w:rP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FF662F" w:rsidRDefault="00C56064"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xml:space="preserve">: For </w:t>
      </w:r>
      <m:oMath>
        <m:r>
          <w:rPr>
            <w:rFonts w:ascii="Cambria Math" w:hAnsi="Cambria Math"/>
          </w:rPr>
          <m:t>d</m:t>
        </m:r>
        <m:r>
          <m:rPr>
            <m:scr m:val="double-struck"/>
          </m:rPr>
          <w:rPr>
            <w:rFonts w:ascii="Cambria Math" w:hAnsi="Cambria Math"/>
          </w:rPr>
          <m:t>∈N</m:t>
        </m:r>
      </m:oMath>
      <w:r w:rsidR="00AB4E32">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rsidR="00AB4E32">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used in some papers in learning theory (e.g., Talagrand (1996)). For </w:t>
      </w:r>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C56064"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FF662F">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FF662F">
        <w:t>.</w:t>
      </w:r>
      <w:r w:rsidR="006462C2">
        <w:t xml:space="preserve"> Suppose </w:t>
      </w:r>
      <m:oMath>
        <m:r>
          <m:rPr>
            <m:scr m:val="script"/>
          </m:rPr>
          <w:rPr>
            <w:rFonts w:ascii="Cambria Math" w:hAnsi="Cambria Math"/>
          </w:rPr>
          <m:t>F</m:t>
        </m:r>
      </m:oMath>
      <w:r w:rsidR="006462C2">
        <w:t xml:space="preserve"> is a class of functions </w:t>
      </w:r>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of </w:t>
      </w:r>
      <m:oMath>
        <m:r>
          <w:rPr>
            <w:rFonts w:ascii="Cambria Math" w:hAnsi="Cambria Math"/>
          </w:rPr>
          <m:t>f</m:t>
        </m:r>
        <m:r>
          <m:rPr>
            <m:scr m:val="script"/>
          </m:rPr>
          <w:rPr>
            <w:rFonts w:ascii="Cambria Math" w:hAnsi="Cambria Math"/>
          </w:rPr>
          <m:t>∈F</m:t>
        </m:r>
      </m:oMath>
      <w:r w:rsidR="006462C2">
        <w:t xml:space="preserve"> is defined as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xml:space="preserve">. Likewise,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FF662F">
      <w:pPr>
        <w:pStyle w:val="Footer"/>
        <w:numPr>
          <w:ilvl w:val="0"/>
          <w:numId w:val="50"/>
        </w:numPr>
        <w:tabs>
          <w:tab w:val="clear" w:pos="4320"/>
          <w:tab w:val="clear" w:pos="8640"/>
        </w:tabs>
        <w:spacing w:line="360" w:lineRule="auto"/>
      </w:pPr>
      <w:r w:rsidRPr="00B32FE9">
        <w:rPr>
          <w:u w:val="single"/>
        </w:rPr>
        <w:t xml:space="preserve">Integral Norm over a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on </w:t>
      </w:r>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For </w:t>
      </w:r>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xml:space="preserve">. We also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w:r w:rsidR="00F305EE">
        <w:t>.</w:t>
      </w: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F421A8" w:rsidRDefault="003D64ED" w:rsidP="003462C9">
      <w:pPr>
        <w:pStyle w:val="Footer"/>
        <w:numPr>
          <w:ilvl w:val="0"/>
          <w:numId w:val="124"/>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on </w:t>
      </w:r>
      <m:oMath>
        <m:r>
          <m:rPr>
            <m:scr m:val="script"/>
          </m:rPr>
          <w:rPr>
            <w:rFonts w:ascii="Cambria Math" w:hAnsi="Cambria Math"/>
          </w:rPr>
          <m:t>S</m:t>
        </m:r>
      </m:oMath>
      <w:r>
        <w:t xml:space="preserve">, then the </w:t>
      </w:r>
      <m:oMath>
        <m:r>
          <w:rPr>
            <w:rFonts w:ascii="Cambria Math" w:hAnsi="Cambria Math"/>
          </w:rPr>
          <m:t>ϵ</m:t>
        </m:r>
      </m:oMath>
      <w:r>
        <w:t xml:space="preserve">-covering number of </w:t>
      </w:r>
      <m:oMath>
        <m:r>
          <w:rPr>
            <w:rFonts w:ascii="Cambria Math" w:hAnsi="Cambria Math"/>
          </w:rPr>
          <m:t>M⊂</m:t>
        </m:r>
        <m:r>
          <m:rPr>
            <m:scr m:val="script"/>
          </m:rPr>
          <w:rPr>
            <w:rFonts w:ascii="Cambria Math" w:hAnsi="Cambria Math"/>
          </w:rPr>
          <m:t>S</m:t>
        </m:r>
      </m:oMath>
      <w:r>
        <w:t xml:space="preserve"> 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556484" w:rsidRDefault="00F421A8" w:rsidP="003462C9">
      <w:pPr>
        <w:pStyle w:val="Footer"/>
        <w:numPr>
          <w:ilvl w:val="0"/>
          <w:numId w:val="124"/>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Pr="00F421A8">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t xml:space="preserve">: Given a metric space </w:t>
      </w:r>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w:r>
        <w:t xml:space="preserve"> 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entropy number of a set </w:t>
      </w:r>
      <m:oMath>
        <m:r>
          <w:rPr>
            <w:rFonts w:ascii="Cambria Math" w:hAnsi="Cambria Math"/>
          </w:rPr>
          <m:t>M⊂</m:t>
        </m:r>
        <m:r>
          <m:rPr>
            <m:scr m:val="script"/>
          </m:rPr>
          <w:rPr>
            <w:rFonts w:ascii="Cambria Math" w:hAnsi="Cambria Math"/>
          </w:rPr>
          <m:t>E</m:t>
        </m:r>
      </m:oMath>
      <w:r>
        <w:t xml:space="preserve">, for </w:t>
      </w:r>
      <m:oMath>
        <m:r>
          <w:rPr>
            <w:rFonts w:ascii="Cambria Math" w:hAnsi="Cambria Math"/>
          </w:rPr>
          <m:t>n</m:t>
        </m:r>
        <m:r>
          <m:rPr>
            <m:scr m:val="double-struck"/>
          </m:rPr>
          <w:rPr>
            <w:rFonts w:ascii="Cambria Math" w:hAnsi="Cambria Math"/>
          </w:rPr>
          <m:t>∈N</m:t>
        </m:r>
      </m:oMath>
      <w:r>
        <w:t xml:space="preserve">, is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w:r>
        <w:t>.</w:t>
      </w:r>
    </w:p>
    <w:p w:rsidR="003D64ED" w:rsidRDefault="00556484" w:rsidP="003462C9">
      <w:pPr>
        <w:pStyle w:val="Footer"/>
        <w:numPr>
          <w:ilvl w:val="0"/>
          <w:numId w:val="124"/>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xml:space="preserve">, i.e., operators such that the image of the closed unit ball </w:t>
      </w:r>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w:rPr>
                <w:rFonts w:ascii="Cambria Math" w:hAnsi="Cambria Math"/>
              </w:rPr>
              <m:t>∈</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w:r>
        <w:t xml:space="preserve"> is bounded.</w:t>
      </w:r>
      <w:r w:rsidR="002653DE">
        <w:t xml:space="preserve"> The smallest such bound is called the </w:t>
      </w:r>
      <w:r w:rsidR="002653DE">
        <w:rPr>
          <w:i/>
        </w:rPr>
        <w:t>Operator Norm</w:t>
      </w:r>
      <w:r w:rsidR="002653DE">
        <w:t>.</w:t>
      </w:r>
    </w:p>
    <w:p w:rsidR="00A32653" w:rsidRDefault="00A32653" w:rsidP="003462C9">
      <w:pPr>
        <w:pStyle w:val="Footer"/>
        <w:numPr>
          <w:ilvl w:val="0"/>
          <w:numId w:val="124"/>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r>
        <w:t xml:space="preserve"> </w:t>
      </w:r>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are defined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w:r>
        <w:t xml:space="preserve">. Note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w:r>
        <w:t xml:space="preserve">, 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 </w:t>
      </w:r>
      <m:oMath>
        <m:r>
          <w:rPr>
            <w:rFonts w:ascii="Cambria Math" w:hAnsi="Cambria Math"/>
          </w:rPr>
          <m:t>n</m:t>
        </m:r>
        <m:r>
          <m:rPr>
            <m:scr m:val="double-struck"/>
          </m:rPr>
          <w:rPr>
            <w:rFonts w:ascii="Cambria Math" w:hAnsi="Cambria Math"/>
          </w:rPr>
          <m:t>∈N</m:t>
        </m:r>
      </m:oMath>
      <w:r>
        <w:t xml:space="preserve"> if </w:t>
      </w:r>
      <m:oMath>
        <m:r>
          <m:rPr>
            <m:scr m:val="script"/>
          </m:rPr>
          <w:rPr>
            <w:rFonts w:ascii="Cambria Math" w:hAnsi="Cambria Math"/>
          </w:rPr>
          <m:t>T</m:t>
        </m:r>
      </m:oMath>
      <w:r>
        <w:t xml:space="preserve"> is a compact operator, i.e., for any </w:t>
      </w:r>
      <m:oMath>
        <m:r>
          <w:rPr>
            <w:rFonts w:ascii="Cambria Math" w:hAnsi="Cambria Math"/>
          </w:rPr>
          <m:t>ϵ&gt;0</m:t>
        </m:r>
      </m:oMath>
      <w:r w:rsidR="00B354B9">
        <w:t xml:space="preserve"> 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00B354B9">
        <w:t xml:space="preserve"> with open </w:t>
      </w:r>
      <m:oMath>
        <m:r>
          <w:rPr>
            <w:rFonts w:ascii="Cambria Math" w:hAnsi="Cambria Math"/>
          </w:rPr>
          <m:t>ϵ</m:t>
        </m:r>
      </m:oMath>
      <w:r w:rsidR="00B354B9">
        <w:t xml:space="preserve"> balls over </w:t>
      </w:r>
      <m:oMath>
        <m:r>
          <m:rPr>
            <m:scr m:val="script"/>
          </m:rPr>
          <w:rPr>
            <w:rFonts w:ascii="Cambria Math" w:hAnsi="Cambria Math"/>
          </w:rPr>
          <m:t>X</m:t>
        </m:r>
      </m:oMath>
      <w:r w:rsidR="00B354B9">
        <w:t>.</w:t>
      </w:r>
    </w:p>
    <w:p w:rsidR="00B354B9" w:rsidRDefault="00B354B9" w:rsidP="003462C9">
      <w:pPr>
        <w:pStyle w:val="Footer"/>
        <w:numPr>
          <w:ilvl w:val="0"/>
          <w:numId w:val="124"/>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by </w:t>
      </w:r>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w:r>
        <w:t xml:space="preserve">, </w:t>
      </w:r>
      <m:oMath>
        <m:r>
          <w:rPr>
            <w:rFonts w:ascii="Cambria Math" w:hAnsi="Cambria Math"/>
          </w:rPr>
          <m:t>n</m:t>
        </m:r>
        <m:r>
          <m:rPr>
            <m:scr m:val="double-struck"/>
          </m:rPr>
          <w:rPr>
            <w:rFonts w:ascii="Cambria Math" w:hAnsi="Cambria Math"/>
          </w:rPr>
          <m:t>∈N</m:t>
        </m:r>
      </m:oMath>
      <w:r>
        <w:t>. Similarly, the dyadic entropy numbers of a set are defined from its entropy numbers. A very nice introduction to entropy numbers of operators is found in Carl and Stephani (1990).</w:t>
      </w:r>
    </w:p>
    <w:p w:rsidR="006428CE" w:rsidRDefault="006428CE" w:rsidP="003462C9">
      <w:pPr>
        <w:pStyle w:val="Footer"/>
        <w:numPr>
          <w:ilvl w:val="0"/>
          <w:numId w:val="124"/>
        </w:numPr>
        <w:tabs>
          <w:tab w:val="clear" w:pos="4320"/>
          <w:tab w:val="clear" w:pos="8640"/>
        </w:tabs>
        <w:spacing w:line="360" w:lineRule="auto"/>
      </w:pPr>
      <w:r>
        <w:rPr>
          <w:u w:val="single"/>
        </w:rPr>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t xml:space="preserve"> will always be Banach spaces (for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with </w:t>
      </w:r>
      <m:oMath>
        <m:r>
          <w:rPr>
            <w:rFonts w:ascii="Cambria Math" w:hAnsi="Cambria Math"/>
          </w:rPr>
          <m:t>p≤1</m:t>
        </m:r>
      </m:oMath>
      <w:r>
        <w:t xml:space="preserve">). In some cases they may be </w:t>
      </w:r>
      <w:r>
        <w:rPr>
          <w:i/>
        </w:rPr>
        <w:t>Hilbert Spaces</w:t>
      </w:r>
      <w:r>
        <w:t xml:space="preserve"> </w:t>
      </w:r>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w:r>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Background and Overview of Results</w:t>
      </w:r>
    </w:p>
    <w:p w:rsidR="00B37CC6" w:rsidRDefault="00B37CC6" w:rsidP="00903394">
      <w:pPr>
        <w:pStyle w:val="Footer"/>
        <w:tabs>
          <w:tab w:val="clear" w:pos="4320"/>
          <w:tab w:val="clear" w:pos="8640"/>
        </w:tabs>
        <w:spacing w:line="360" w:lineRule="auto"/>
      </w:pPr>
    </w:p>
    <w:p w:rsidR="00207766" w:rsidRDefault="00B37CC6" w:rsidP="003462C9">
      <w:pPr>
        <w:pStyle w:val="Footer"/>
        <w:numPr>
          <w:ilvl w:val="0"/>
          <w:numId w:val="123"/>
        </w:numPr>
        <w:tabs>
          <w:tab w:val="clear" w:pos="4320"/>
          <w:tab w:val="clear" w:pos="8640"/>
        </w:tabs>
        <w:spacing w:line="360" w:lineRule="auto"/>
      </w:pPr>
      <w:r>
        <w:rPr>
          <w:u w:val="single"/>
        </w:rPr>
        <w:t>Introduction</w:t>
      </w:r>
      <w:r>
        <w:t>: Covering numbers have been extensively studied in a variety of literature dating way back to Kolmogor</w:t>
      </w:r>
      <w:r w:rsidR="009E6668">
        <w:t>ov (1956), Kolmogorov and Tihomi</w:t>
      </w:r>
      <w:r>
        <w:t>rov (1961)). They play a central role in a number of areas of information theory and statistics, including density estimation, empirical processes, and machine learning (Pollard (1984), Birge (1987), Haussler (1992)).</w:t>
      </w:r>
    </w:p>
    <w:p w:rsidR="00207766" w:rsidRDefault="00903394" w:rsidP="003462C9">
      <w:pPr>
        <w:pStyle w:val="Footer"/>
        <w:numPr>
          <w:ilvl w:val="0"/>
          <w:numId w:val="123"/>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 </w:t>
      </w:r>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sidRPr="0020776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if </w:t>
      </w:r>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sidRPr="00207766">
        <w:rPr>
          <w:i/>
        </w:rPr>
        <w:t>cover</w:t>
      </w:r>
      <w:r w:rsidR="007E3456">
        <w:t xml:space="preserve"> is used analogous to the term </w:t>
      </w:r>
      <w:r w:rsidR="007E3456" w:rsidRPr="00207766">
        <w:rPr>
          <w:i/>
        </w:rPr>
        <w:t>space</w:t>
      </w:r>
      <w:r w:rsidR="007E3456">
        <w:t xml:space="preserve"> in function space.</w:t>
      </w:r>
    </w:p>
    <w:p w:rsidR="007E3456" w:rsidRDefault="007E3456" w:rsidP="003462C9">
      <w:pPr>
        <w:pStyle w:val="Footer"/>
        <w:numPr>
          <w:ilvl w:val="0"/>
          <w:numId w:val="123"/>
        </w:numPr>
        <w:tabs>
          <w:tab w:val="clear" w:pos="4320"/>
          <w:tab w:val="clear" w:pos="8640"/>
        </w:tabs>
        <w:spacing w:line="360" w:lineRule="auto"/>
      </w:pPr>
      <w:r w:rsidRPr="00207766">
        <w:rPr>
          <w:u w:val="single"/>
        </w:rPr>
        <w:lastRenderedPageBreak/>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 xml:space="preserve">-dimensional Euclidean space,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r w:rsidRPr="00AF295C">
        <w:t>:</w:t>
      </w: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BB4A85">
      <w:pPr>
        <w:pStyle w:val="Footer"/>
        <w:numPr>
          <w:ilvl w:val="0"/>
          <w:numId w:val="50"/>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all </w:t>
      </w:r>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implies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xml:space="preserve">. Then for all </w:t>
      </w:r>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size </w:t>
      </w:r>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Covering Number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numPr>
          <w:ilvl w:val="0"/>
          <w:numId w:val="105"/>
        </w:numPr>
        <w:tabs>
          <w:tab w:val="clear" w:pos="4320"/>
          <w:tab w:val="clear" w:pos="8640"/>
        </w:tabs>
        <w:spacing w:line="360" w:lineRule="auto"/>
      </w:pPr>
      <w:r>
        <w:rPr>
          <w:u w:val="single"/>
        </w:rPr>
        <w:lastRenderedPageBreak/>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 </w:t>
      </w:r>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B37CC6">
      <w:pPr>
        <w:pStyle w:val="Footer"/>
        <w:numPr>
          <w:ilvl w:val="0"/>
          <w:numId w:val="105"/>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 </w:t>
      </w:r>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B37CC6">
      <w:pPr>
        <w:pStyle w:val="Footer"/>
        <w:numPr>
          <w:ilvl w:val="0"/>
          <w:numId w:val="105"/>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B37CC6">
      <w:pPr>
        <w:pStyle w:val="Footer"/>
        <w:numPr>
          <w:ilvl w:val="0"/>
          <w:numId w:val="105"/>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B37CC6">
      <w:pPr>
        <w:pStyle w:val="Footer"/>
        <w:numPr>
          <w:ilvl w:val="0"/>
          <w:numId w:val="105"/>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B37CC6">
      <w:pPr>
        <w:pStyle w:val="Footer"/>
        <w:numPr>
          <w:ilvl w:val="0"/>
          <w:numId w:val="105"/>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w:t>
      </w:r>
      <w:r>
        <w:lastRenderedPageBreak/>
        <w:t>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4E0B97">
      <w:pPr>
        <w:pStyle w:val="Footer"/>
        <w:numPr>
          <w:ilvl w:val="0"/>
          <w:numId w:val="107"/>
        </w:numPr>
        <w:tabs>
          <w:tab w:val="clear" w:pos="4320"/>
          <w:tab w:val="clear" w:pos="8640"/>
        </w:tabs>
        <w:spacing w:line="360" w:lineRule="auto"/>
      </w:pPr>
      <w:r>
        <w:rPr>
          <w:u w:val="single"/>
        </w:rPr>
        <w:t>Upper/Lower Bounds - Statement</w:t>
      </w:r>
      <w:r w:rsidRPr="00B37CC6">
        <w:t>:</w:t>
      </w:r>
      <w:r>
        <w:t xml:space="preserve"> For all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4E0B97">
      <w:pPr>
        <w:pStyle w:val="Footer"/>
        <w:numPr>
          <w:ilvl w:val="0"/>
          <w:numId w:val="107"/>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4E0B97">
      <w:pPr>
        <w:pStyle w:val="Footer"/>
        <w:numPr>
          <w:ilvl w:val="0"/>
          <w:numId w:val="107"/>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 </w:t>
      </w:r>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4E0B97">
      <w:pPr>
        <w:pStyle w:val="Footer"/>
        <w:numPr>
          <w:ilvl w:val="0"/>
          <w:numId w:val="107"/>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C56064" w:rsidP="004E0B97">
      <w:pPr>
        <w:pStyle w:val="Footer"/>
        <w:numPr>
          <w:ilvl w:val="0"/>
          <w:numId w:val="108"/>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4E0B97">
      <w:pPr>
        <w:pStyle w:val="Footer"/>
        <w:numPr>
          <w:ilvl w:val="0"/>
          <w:numId w:val="108"/>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4E0B97">
      <w:pPr>
        <w:pStyle w:val="Footer"/>
        <w:numPr>
          <w:ilvl w:val="0"/>
          <w:numId w:val="108"/>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xml:space="preserve">.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4E0B97">
      <w:pPr>
        <w:pStyle w:val="Footer"/>
        <w:numPr>
          <w:ilvl w:val="0"/>
          <w:numId w:val="108"/>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where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4E0B97">
      <w:pPr>
        <w:pStyle w:val="Footer"/>
        <w:numPr>
          <w:ilvl w:val="0"/>
          <w:numId w:val="108"/>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for </w:t>
      </w:r>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4E0B97">
      <w:pPr>
        <w:pStyle w:val="Footer"/>
        <w:numPr>
          <w:ilvl w:val="0"/>
          <w:numId w:val="109"/>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 </w:t>
      </w:r>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4E0B97">
      <w:pPr>
        <w:pStyle w:val="Footer"/>
        <w:numPr>
          <w:ilvl w:val="0"/>
          <w:numId w:val="109"/>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4E0B97">
      <w:pPr>
        <w:pStyle w:val="Footer"/>
        <w:numPr>
          <w:ilvl w:val="0"/>
          <w:numId w:val="109"/>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if </w:t>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arbitrary </w:t>
      </w:r>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than </w:t>
      </w:r>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and </w:t>
      </w:r>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that </w:t>
      </w:r>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4E0B97">
      <w:pPr>
        <w:pStyle w:val="Footer"/>
        <w:numPr>
          <w:ilvl w:val="0"/>
          <w:numId w:val="109"/>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to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If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is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4E0B97">
      <w:pPr>
        <w:pStyle w:val="Footer"/>
        <w:numPr>
          <w:ilvl w:val="0"/>
          <w:numId w:val="110"/>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4E0B97">
      <w:pPr>
        <w:pStyle w:val="Footer"/>
        <w:numPr>
          <w:ilvl w:val="0"/>
          <w:numId w:val="110"/>
        </w:numPr>
        <w:tabs>
          <w:tab w:val="clear" w:pos="4320"/>
          <w:tab w:val="clear" w:pos="8640"/>
        </w:tabs>
        <w:spacing w:line="360" w:lineRule="auto"/>
      </w:pPr>
      <w:r>
        <w:rPr>
          <w:u w:val="single"/>
        </w:rPr>
        <w:t>Fat-Shattering Coefficient</w:t>
      </w:r>
      <w:r w:rsidRPr="00014580">
        <w:t>:</w:t>
      </w:r>
      <w:r>
        <w:t xml:space="preserve"> Define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have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sequence </w:t>
      </w:r>
      <m:oMath>
        <m:r>
          <w:rPr>
            <w:rFonts w:ascii="Cambria Math" w:hAnsi="Cambria Math"/>
          </w:rPr>
          <m:t>r</m:t>
        </m:r>
      </m:oMath>
      <w:r w:rsidR="00A11F9E">
        <w:t xml:space="preserve">, find 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4E0B97">
      <w:pPr>
        <w:pStyle w:val="Footer"/>
        <w:numPr>
          <w:ilvl w:val="0"/>
          <w:numId w:val="110"/>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set </w:t>
      </w:r>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4E0B97">
      <w:pPr>
        <w:pStyle w:val="Footer"/>
        <w:numPr>
          <w:ilvl w:val="0"/>
          <w:numId w:val="110"/>
        </w:numPr>
        <w:tabs>
          <w:tab w:val="clear" w:pos="4320"/>
          <w:tab w:val="clear" w:pos="8640"/>
        </w:tabs>
        <w:spacing w:line="360" w:lineRule="auto"/>
      </w:pPr>
      <w:r>
        <w:rPr>
          <w:u w:val="single"/>
        </w:rPr>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4E0B97">
      <w:pPr>
        <w:pStyle w:val="Footer"/>
        <w:numPr>
          <w:ilvl w:val="0"/>
          <w:numId w:val="110"/>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4E0B97">
      <w:pPr>
        <w:pStyle w:val="Footer"/>
        <w:numPr>
          <w:ilvl w:val="0"/>
          <w:numId w:val="110"/>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w:t>
      </w:r>
      <w:r>
        <w:lastRenderedPageBreak/>
        <w:t>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4E0B97">
      <w:pPr>
        <w:pStyle w:val="Footer"/>
        <w:numPr>
          <w:ilvl w:val="0"/>
          <w:numId w:val="111"/>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to </w:t>
      </w:r>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4E0B97">
      <w:pPr>
        <w:pStyle w:val="Footer"/>
        <w:numPr>
          <w:ilvl w:val="0"/>
          <w:numId w:val="111"/>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4E0B97">
      <w:pPr>
        <w:pStyle w:val="Footer"/>
        <w:numPr>
          <w:ilvl w:val="0"/>
          <w:numId w:val="111"/>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4E0B97">
      <w:pPr>
        <w:pStyle w:val="Footer"/>
        <w:numPr>
          <w:ilvl w:val="0"/>
          <w:numId w:val="112"/>
        </w:numPr>
        <w:tabs>
          <w:tab w:val="clear" w:pos="4320"/>
          <w:tab w:val="clear" w:pos="8640"/>
        </w:tabs>
        <w:spacing w:line="360" w:lineRule="auto"/>
      </w:pPr>
      <w:r>
        <w:rPr>
          <w:u w:val="single"/>
        </w:rPr>
        <w:t>Lemma #1 - Statement</w:t>
      </w:r>
      <w:r>
        <w:t xml:space="preserve">: Suppose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Let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If </w:t>
      </w:r>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4E0B97">
      <w:pPr>
        <w:pStyle w:val="Footer"/>
        <w:numPr>
          <w:ilvl w:val="0"/>
          <w:numId w:val="112"/>
        </w:numPr>
        <w:tabs>
          <w:tab w:val="clear" w:pos="4320"/>
          <w:tab w:val="clear" w:pos="8640"/>
        </w:tabs>
        <w:spacing w:line="360" w:lineRule="auto"/>
      </w:pPr>
      <w:r>
        <w:rPr>
          <w:u w:val="single"/>
        </w:rPr>
        <w:lastRenderedPageBreak/>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4E0B97">
      <w:pPr>
        <w:pStyle w:val="Footer"/>
        <w:numPr>
          <w:ilvl w:val="0"/>
          <w:numId w:val="112"/>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let </w:t>
      </w:r>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4E0B97">
      <w:pPr>
        <w:pStyle w:val="Footer"/>
        <w:numPr>
          <w:ilvl w:val="0"/>
          <w:numId w:val="112"/>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xml:space="preserve">. Then for all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have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for </w:t>
      </w:r>
      <m:oMath>
        <m:r>
          <m:rPr>
            <m:scr m:val="script"/>
          </m:rPr>
          <w:rPr>
            <w:rFonts w:ascii="Cambria Math" w:hAnsi="Cambria Math"/>
          </w:rPr>
          <m:t>F</m:t>
        </m:r>
      </m:oMath>
      <w:r w:rsidR="002D20A9">
        <w:t>.</w:t>
      </w:r>
    </w:p>
    <w:p w:rsidR="002D20A9" w:rsidRDefault="002D20A9" w:rsidP="004E0B97">
      <w:pPr>
        <w:pStyle w:val="Footer"/>
        <w:numPr>
          <w:ilvl w:val="0"/>
          <w:numId w:val="112"/>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4E0B97">
      <w:pPr>
        <w:pStyle w:val="Footer"/>
        <w:numPr>
          <w:ilvl w:val="0"/>
          <w:numId w:val="112"/>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045527">
      <w:pPr>
        <w:pStyle w:val="Footer"/>
        <w:numPr>
          <w:ilvl w:val="0"/>
          <w:numId w:val="113"/>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C56064" w:rsidP="00045527">
      <w:pPr>
        <w:pStyle w:val="Footer"/>
        <w:numPr>
          <w:ilvl w:val="1"/>
          <w:numId w:val="113"/>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045527">
      <w:pPr>
        <w:pStyle w:val="Footer"/>
        <w:numPr>
          <w:ilvl w:val="1"/>
          <w:numId w:val="113"/>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045527">
      <w:pPr>
        <w:pStyle w:val="Footer"/>
        <w:numPr>
          <w:ilvl w:val="1"/>
          <w:numId w:val="113"/>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045527">
      <w:pPr>
        <w:pStyle w:val="Footer"/>
        <w:numPr>
          <w:ilvl w:val="1"/>
          <w:numId w:val="113"/>
        </w:numPr>
        <w:tabs>
          <w:tab w:val="clear" w:pos="4320"/>
          <w:tab w:val="clear" w:pos="8640"/>
        </w:tabs>
        <w:spacing w:line="360" w:lineRule="auto"/>
      </w:pPr>
      <w:r>
        <w:lastRenderedPageBreak/>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045527">
      <w:pPr>
        <w:pStyle w:val="Footer"/>
        <w:numPr>
          <w:ilvl w:val="0"/>
          <w:numId w:val="113"/>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045527">
      <w:pPr>
        <w:pStyle w:val="Footer"/>
        <w:numPr>
          <w:ilvl w:val="0"/>
          <w:numId w:val="113"/>
        </w:numPr>
        <w:tabs>
          <w:tab w:val="clear" w:pos="4320"/>
          <w:tab w:val="clear" w:pos="8640"/>
        </w:tabs>
        <w:spacing w:line="360" w:lineRule="auto"/>
      </w:pPr>
      <w:r>
        <w:rPr>
          <w:u w:val="single"/>
        </w:rPr>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with </w:t>
      </w:r>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large </w:t>
      </w:r>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045527">
      <w:pPr>
        <w:pStyle w:val="Footer"/>
        <w:numPr>
          <w:ilvl w:val="0"/>
          <w:numId w:val="113"/>
        </w:numPr>
        <w:tabs>
          <w:tab w:val="clear" w:pos="4320"/>
          <w:tab w:val="clear" w:pos="8640"/>
        </w:tabs>
        <w:spacing w:line="360" w:lineRule="auto"/>
      </w:pPr>
      <w:r>
        <w:rPr>
          <w:u w:val="single"/>
        </w:rPr>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satisfies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045527">
      <w:pPr>
        <w:pStyle w:val="Footer"/>
        <w:numPr>
          <w:ilvl w:val="0"/>
          <w:numId w:val="114"/>
        </w:numPr>
        <w:tabs>
          <w:tab w:val="clear" w:pos="4320"/>
          <w:tab w:val="clear" w:pos="8640"/>
        </w:tabs>
        <w:spacing w:line="360" w:lineRule="auto"/>
      </w:pPr>
      <w:r>
        <w:rPr>
          <w:u w:val="single"/>
        </w:rPr>
        <w:t>The Lower Bound</w:t>
      </w:r>
      <w:r>
        <w:t xml:space="preserve">: </w:t>
      </w:r>
      <w:r w:rsidR="00582B18">
        <w:t xml:space="preserve">Suppose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size </w:t>
      </w:r>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gives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lastRenderedPageBreak/>
        <w:t>Operator Theory Methods for Entropy Numbers</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5"/>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functions </w:t>
      </w:r>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8D671E" w:rsidRDefault="008D671E" w:rsidP="003462C9">
      <w:pPr>
        <w:pStyle w:val="Footer"/>
        <w:numPr>
          <w:ilvl w:val="0"/>
          <w:numId w:val="125"/>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w:r>
        <w:t xml:space="preserve"> for </w:t>
      </w:r>
      <m:oMath>
        <m:r>
          <w:rPr>
            <w:rFonts w:ascii="Cambria Math" w:hAnsi="Cambria Math"/>
          </w:rPr>
          <m:t>i=1, …, m</m:t>
        </m:r>
      </m:oMath>
      <w:r>
        <w:t xml:space="preserve">, 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w:r>
        <w:t xml:space="preserve"> where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xml:space="preserve">. Recall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 xml:space="preserve">. Many generalization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3462C9">
      <w:pPr>
        <w:pStyle w:val="Footer"/>
        <w:numPr>
          <w:ilvl w:val="0"/>
          <w:numId w:val="125"/>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3462C9">
      <w:pPr>
        <w:pStyle w:val="Footer"/>
        <w:numPr>
          <w:ilvl w:val="0"/>
          <w:numId w:val="125"/>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of </w:t>
      </w:r>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3462C9">
      <w:pPr>
        <w:pStyle w:val="Footer"/>
        <w:numPr>
          <w:ilvl w:val="0"/>
          <w:numId w:val="125"/>
        </w:numPr>
        <w:tabs>
          <w:tab w:val="clear" w:pos="4320"/>
          <w:tab w:val="clear" w:pos="8640"/>
        </w:tabs>
        <w:spacing w:line="360" w:lineRule="auto"/>
      </w:pPr>
      <w:r>
        <w:rPr>
          <w:u w:val="single"/>
        </w:rPr>
        <w:t>Information Theory Viewpoint</w:t>
      </w:r>
      <w:r w:rsidRPr="00793EEF">
        <w:t>:</w:t>
      </w:r>
    </w:p>
    <w:p w:rsidR="008D671E" w:rsidRDefault="008D671E" w:rsidP="003462C9">
      <w:pPr>
        <w:pStyle w:val="Footer"/>
        <w:numPr>
          <w:ilvl w:val="1"/>
          <w:numId w:val="125"/>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3462C9">
      <w:pPr>
        <w:pStyle w:val="Footer"/>
        <w:numPr>
          <w:ilvl w:val="1"/>
          <w:numId w:val="125"/>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and hence the difficulty of the learning task (Smola, Williamson, Mika, and Scholkopf (1999), Williamson, Shawe-Taylor, Scholkopf, and Smola (1999), Smola, Elisseff, Scholkopf, and Williamson (2000),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Operator Theory Methods for Entropy Numbers - Literature</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6"/>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3462C9">
      <w:pPr>
        <w:pStyle w:val="Footer"/>
        <w:numPr>
          <w:ilvl w:val="0"/>
          <w:numId w:val="126"/>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3462C9">
      <w:pPr>
        <w:pStyle w:val="Footer"/>
        <w:numPr>
          <w:ilvl w:val="0"/>
          <w:numId w:val="126"/>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3462C9">
      <w:pPr>
        <w:pStyle w:val="Footer"/>
        <w:numPr>
          <w:ilvl w:val="0"/>
          <w:numId w:val="126"/>
        </w:numPr>
        <w:tabs>
          <w:tab w:val="clear" w:pos="4320"/>
          <w:tab w:val="clear" w:pos="8640"/>
        </w:tabs>
        <w:spacing w:line="360" w:lineRule="auto"/>
      </w:pPr>
      <m:oMath>
        <m:r>
          <w:rPr>
            <w:rFonts w:ascii="Cambria Math" w:hAnsi="Cambria Math"/>
            <w:u w:val="single"/>
          </w:rPr>
          <m:t>ϵ</m:t>
        </m:r>
      </m:oMath>
      <w:r w:rsidRPr="0011102D">
        <w:rPr>
          <w:u w:val="single"/>
        </w:rPr>
        <w:t>-</w:t>
      </w:r>
      <w:r w:rsidRPr="0011102D">
        <w:rPr>
          <w:u w:val="single"/>
        </w:rPr>
        <w:t>entropies of Linear Operators and Stochastic Processes</w:t>
      </w:r>
      <w:r>
        <w:t xml:space="preserve">: The connection between Prosser’s </w:t>
      </w:r>
      <m:oMath>
        <m:r>
          <w:rPr>
            <w:rFonts w:ascii="Cambria Math" w:hAnsi="Cambria Math"/>
          </w:rPr>
          <m:t>ϵ</m:t>
        </m:r>
      </m:oMath>
      <w:r>
        <w:t>-entropy</w:t>
      </w:r>
      <w:r>
        <w:t xml:space="preserve"> of an operator and Kolmogorov’s </w:t>
      </w:r>
      <m:oMath>
        <m:r>
          <w:rPr>
            <w:rFonts w:ascii="Cambria Math" w:hAnsi="Cambria Math"/>
          </w:rPr>
          <m:t>ϵ</m:t>
        </m:r>
      </m:oMath>
      <w:r>
        <w:t>-entropy</w:t>
      </w:r>
      <w:r>
        <w:t xml:space="preserve"> of stochastic processes was established in Akashi (1986). Additional work studied covering numbers (Triebel (1970), Carl and Stephani (1990)) and entropy numbers in the context of operator ideals (Pietsch (1980)), Carl (1981)).</w:t>
      </w:r>
    </w:p>
    <w:p w:rsidR="0011102D" w:rsidRDefault="00D904BC" w:rsidP="003462C9">
      <w:pPr>
        <w:pStyle w:val="Footer"/>
        <w:numPr>
          <w:ilvl w:val="0"/>
          <w:numId w:val="126"/>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Ben-David, Cesa-Bianchi, and Haussler (1997) to the covering number of the induced class (Williamson, Scholkopf, and Smola (1999)).</w:t>
      </w:r>
    </w:p>
    <w:p w:rsidR="00CB189D" w:rsidRDefault="00CB189D" w:rsidP="003462C9">
      <w:pPr>
        <w:pStyle w:val="Footer"/>
        <w:numPr>
          <w:ilvl w:val="0"/>
          <w:numId w:val="126"/>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w:t>
      </w:r>
      <w:r>
        <w:lastRenderedPageBreak/>
        <w:t>independently by Koltchinskii (1988, 1991), Defant and Junge (1993), and Junge and Defant (1993) (albeit under different formulations – Koltchinskii’s work is motivated by probabilistic considerations).</w:t>
      </w: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rPr>
          <w:b/>
          <w:bCs/>
          <w:sz w:val="28"/>
        </w:rPr>
      </w:pPr>
      <w:r>
        <w:rPr>
          <w:b/>
          <w:bCs/>
          <w:sz w:val="28"/>
        </w:rPr>
        <w:t>References</w:t>
      </w:r>
    </w:p>
    <w:p w:rsidR="009E6668" w:rsidRDefault="009E6668" w:rsidP="009E6668">
      <w:pPr>
        <w:pStyle w:val="Footer"/>
        <w:tabs>
          <w:tab w:val="clear" w:pos="4320"/>
          <w:tab w:val="clear" w:pos="8640"/>
        </w:tabs>
        <w:spacing w:line="360" w:lineRule="auto"/>
      </w:pPr>
    </w:p>
    <w:p w:rsidR="005F04A3" w:rsidRDefault="005F04A3" w:rsidP="00077BFF">
      <w:pPr>
        <w:pStyle w:val="Footer"/>
        <w:numPr>
          <w:ilvl w:val="0"/>
          <w:numId w:val="106"/>
        </w:numPr>
        <w:tabs>
          <w:tab w:val="clear" w:pos="4320"/>
          <w:tab w:val="clear" w:pos="8640"/>
        </w:tabs>
        <w:spacing w:line="360" w:lineRule="auto"/>
      </w:pPr>
      <w:r>
        <w:t xml:space="preserve">Akashi, S. (1986): Characterization of </w:t>
      </w:r>
      <m:oMath>
        <m:r>
          <w:rPr>
            <w:rFonts w:ascii="Cambria Math" w:hAnsi="Cambria Math"/>
          </w:rPr>
          <m:t>ϵ</m:t>
        </m:r>
      </m:oMath>
      <w:r>
        <w:t>-entropy</w:t>
      </w:r>
      <w:r>
        <w:t xml:space="preserve"> in Gaussian Processes </w:t>
      </w:r>
      <w:r>
        <w:rPr>
          <w:i/>
        </w:rPr>
        <w:t>Kodai Mathematical Journal</w:t>
      </w:r>
      <w:r>
        <w:t xml:space="preserve"> </w:t>
      </w:r>
      <w:r>
        <w:rPr>
          <w:b/>
        </w:rPr>
        <w:t>9</w:t>
      </w:r>
      <w:r>
        <w:t xml:space="preserve"> 58-67.</w:t>
      </w:r>
    </w:p>
    <w:p w:rsidR="00E301DA" w:rsidRDefault="00E301DA" w:rsidP="00077BFF">
      <w:pPr>
        <w:pStyle w:val="Footer"/>
        <w:numPr>
          <w:ilvl w:val="0"/>
          <w:numId w:val="106"/>
        </w:numPr>
        <w:tabs>
          <w:tab w:val="clear" w:pos="4320"/>
          <w:tab w:val="clear" w:pos="8640"/>
        </w:tabs>
        <w:spacing w:line="360" w:lineRule="auto"/>
      </w:pPr>
      <w:r>
        <w:t xml:space="preserve">Akashi, S. (1990): The Asymptotic Behavior of </w:t>
      </w:r>
      <m:oMath>
        <m:r>
          <w:rPr>
            <w:rFonts w:ascii="Cambria Math" w:hAnsi="Cambria Math"/>
          </w:rPr>
          <m:t>ϵ</m:t>
        </m:r>
      </m:oMath>
      <w:r>
        <w:t>-entropy</w:t>
      </w:r>
      <w:r>
        <w:t xml:space="preserve"> of a Compact Positive Operator </w:t>
      </w:r>
      <w:r>
        <w:rPr>
          <w:i/>
        </w:rPr>
        <w:t>Journal of Mathematical Analysis and Applications</w:t>
      </w:r>
      <w:r>
        <w:t xml:space="preserve"> </w:t>
      </w:r>
      <w:r>
        <w:rPr>
          <w:b/>
        </w:rPr>
        <w:t>153</w:t>
      </w:r>
      <w:r>
        <w:t xml:space="preserve"> 250-257.</w:t>
      </w:r>
    </w:p>
    <w:p w:rsidR="001F2474" w:rsidRDefault="001F2474" w:rsidP="00077BFF">
      <w:pPr>
        <w:pStyle w:val="Footer"/>
        <w:numPr>
          <w:ilvl w:val="0"/>
          <w:numId w:val="106"/>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AF5735" w:rsidRDefault="00AF5735" w:rsidP="00077BFF">
      <w:pPr>
        <w:pStyle w:val="Footer"/>
        <w:numPr>
          <w:ilvl w:val="0"/>
          <w:numId w:val="106"/>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5D57EE" w:rsidRDefault="005D57EE" w:rsidP="00077BFF">
      <w:pPr>
        <w:pStyle w:val="Footer"/>
        <w:numPr>
          <w:ilvl w:val="0"/>
          <w:numId w:val="106"/>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5D57EE" w:rsidRDefault="005D57EE" w:rsidP="00077BFF">
      <w:pPr>
        <w:pStyle w:val="Footer"/>
        <w:numPr>
          <w:ilvl w:val="0"/>
          <w:numId w:val="106"/>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1F2474" w:rsidRDefault="001F2474" w:rsidP="00077BFF">
      <w:pPr>
        <w:pStyle w:val="Footer"/>
        <w:numPr>
          <w:ilvl w:val="0"/>
          <w:numId w:val="106"/>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077BFF" w:rsidRDefault="00077BFF" w:rsidP="00077BFF">
      <w:pPr>
        <w:pStyle w:val="Footer"/>
        <w:numPr>
          <w:ilvl w:val="0"/>
          <w:numId w:val="106"/>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9E6668" w:rsidRDefault="009E6668" w:rsidP="009E6668">
      <w:pPr>
        <w:pStyle w:val="Footer"/>
        <w:numPr>
          <w:ilvl w:val="0"/>
          <w:numId w:val="106"/>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5F04A3" w:rsidRDefault="005F04A3" w:rsidP="009E6668">
      <w:pPr>
        <w:pStyle w:val="Footer"/>
        <w:numPr>
          <w:ilvl w:val="0"/>
          <w:numId w:val="106"/>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B354B9" w:rsidRDefault="00B354B9" w:rsidP="009E6668">
      <w:pPr>
        <w:pStyle w:val="Footer"/>
        <w:numPr>
          <w:ilvl w:val="0"/>
          <w:numId w:val="106"/>
        </w:numPr>
        <w:tabs>
          <w:tab w:val="clear" w:pos="4320"/>
          <w:tab w:val="clear" w:pos="8640"/>
        </w:tabs>
        <w:spacing w:line="360" w:lineRule="auto"/>
      </w:pPr>
      <w:r>
        <w:lastRenderedPageBreak/>
        <w:t xml:space="preserve">Carl, B., and I. Stephani (1990): </w:t>
      </w:r>
      <w:r>
        <w:rPr>
          <w:i/>
        </w:rPr>
        <w:t>Entropy, Compactness, and the Approximation of Operators</w:t>
      </w:r>
      <w:r>
        <w:t xml:space="preserve"> </w:t>
      </w:r>
      <w:r>
        <w:rPr>
          <w:b/>
        </w:rPr>
        <w:t>Cambridge University Press</w:t>
      </w:r>
      <w:r>
        <w:t xml:space="preserve"> Cambridge UK.</w:t>
      </w:r>
    </w:p>
    <w:p w:rsidR="00AF5735" w:rsidRDefault="00AF5735" w:rsidP="009E6668">
      <w:pPr>
        <w:pStyle w:val="Footer"/>
        <w:numPr>
          <w:ilvl w:val="0"/>
          <w:numId w:val="106"/>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0566A4" w:rsidRDefault="000566A4" w:rsidP="009E6668">
      <w:pPr>
        <w:pStyle w:val="Footer"/>
        <w:numPr>
          <w:ilvl w:val="0"/>
          <w:numId w:val="106"/>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bookmarkStart w:id="0" w:name="_GoBack"/>
      <w:bookmarkEnd w:id="0"/>
    </w:p>
    <w:p w:rsidR="003B5989" w:rsidRDefault="003B5989" w:rsidP="009E6668">
      <w:pPr>
        <w:pStyle w:val="Footer"/>
        <w:numPr>
          <w:ilvl w:val="0"/>
          <w:numId w:val="106"/>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7D676B" w:rsidRDefault="007D676B" w:rsidP="009E6668">
      <w:pPr>
        <w:pStyle w:val="Footer"/>
        <w:numPr>
          <w:ilvl w:val="0"/>
          <w:numId w:val="106"/>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D904BC" w:rsidRDefault="00D904BC" w:rsidP="009E6668">
      <w:pPr>
        <w:pStyle w:val="Footer"/>
        <w:numPr>
          <w:ilvl w:val="0"/>
          <w:numId w:val="106"/>
        </w:numPr>
        <w:tabs>
          <w:tab w:val="clear" w:pos="4320"/>
          <w:tab w:val="clear" w:pos="8640"/>
        </w:tabs>
        <w:spacing w:line="360" w:lineRule="auto"/>
      </w:pPr>
      <w:r>
        <w:t xml:space="preserve">Gurvits, L. (1997): A Note on Scale-sensitive Dimension of Linear Bounded Functionals in Banach Spaces, in: </w:t>
      </w:r>
      <w:r>
        <w:rPr>
          <w:i/>
        </w:rPr>
        <w:t>Algorithmic Learning Theory ALT-97 (Lecture Notes in Artificial Intelligence)</w:t>
      </w:r>
      <w:r>
        <w:t xml:space="preserve"> (M. Li and A. Marouka, editors</w:t>
      </w:r>
      <w:r w:rsidR="00CB189D">
        <w:t>)</w:t>
      </w:r>
      <w:r>
        <w:t xml:space="preserve"> </w:t>
      </w:r>
      <w:r>
        <w:rPr>
          <w:b/>
        </w:rPr>
        <w:t>1316</w:t>
      </w:r>
      <w:r>
        <w:t xml:space="preserve"> 352-363</w:t>
      </w:r>
      <w:r w:rsidR="00CB189D">
        <w:t xml:space="preserve"> </w:t>
      </w:r>
      <w:r w:rsidR="00CB189D">
        <w:rPr>
          <w:b/>
        </w:rPr>
        <w:t>Springer-Verlag</w:t>
      </w:r>
      <w:r w:rsidR="00CB189D">
        <w:t xml:space="preserve"> Berlin, Germany</w:t>
      </w:r>
      <w:r w:rsidR="00CB189D">
        <w:t>.</w:t>
      </w:r>
    </w:p>
    <w:p w:rsidR="009E6668" w:rsidRDefault="009E6668" w:rsidP="009E6668">
      <w:pPr>
        <w:pStyle w:val="Footer"/>
        <w:numPr>
          <w:ilvl w:val="0"/>
          <w:numId w:val="106"/>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rsidR="001B4867">
        <w:t xml:space="preserve"> </w:t>
      </w:r>
      <w:r w:rsidR="001B4867">
        <w:rPr>
          <w:b/>
        </w:rPr>
        <w:t>100</w:t>
      </w:r>
      <w:r w:rsidR="001B4867">
        <w:t xml:space="preserve"> 78-150.</w:t>
      </w:r>
    </w:p>
    <w:p w:rsidR="003B5989" w:rsidRDefault="003B5989" w:rsidP="009E6668">
      <w:pPr>
        <w:pStyle w:val="Footer"/>
        <w:numPr>
          <w:ilvl w:val="0"/>
          <w:numId w:val="106"/>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6E49C3" w:rsidRDefault="006E49C3" w:rsidP="009E6668">
      <w:pPr>
        <w:pStyle w:val="Footer"/>
        <w:numPr>
          <w:ilvl w:val="0"/>
          <w:numId w:val="106"/>
        </w:numPr>
        <w:tabs>
          <w:tab w:val="clear" w:pos="4320"/>
          <w:tab w:val="clear" w:pos="8640"/>
        </w:tabs>
        <w:spacing w:line="360" w:lineRule="auto"/>
      </w:pPr>
      <w:r>
        <w:t xml:space="preserve">Jagerman, D. (1969): </w:t>
      </w:r>
      <m:oMath>
        <m:r>
          <w:rPr>
            <w:rFonts w:ascii="Cambria Math" w:hAnsi="Cambria Math"/>
          </w:rPr>
          <m:t>ϵ</m:t>
        </m:r>
      </m:oMath>
      <w:r>
        <w:t>-entropy</w:t>
      </w:r>
      <w:r>
        <w:t xml:space="preserve"> and Approximation of Band-limited Functions </w:t>
      </w:r>
      <w:r>
        <w:rPr>
          <w:i/>
        </w:rPr>
        <w:t>SIAM Journal of Applied Mathematics</w:t>
      </w:r>
      <w:r>
        <w:t xml:space="preserve"> </w:t>
      </w:r>
      <w:r>
        <w:rPr>
          <w:b/>
        </w:rPr>
        <w:t>17 (2)</w:t>
      </w:r>
      <w:r>
        <w:t xml:space="preserve"> 362-377.</w:t>
      </w:r>
    </w:p>
    <w:p w:rsidR="00CB189D" w:rsidRDefault="00CB189D" w:rsidP="009E6668">
      <w:pPr>
        <w:pStyle w:val="Footer"/>
        <w:numPr>
          <w:ilvl w:val="0"/>
          <w:numId w:val="106"/>
        </w:numPr>
        <w:tabs>
          <w:tab w:val="clear" w:pos="4320"/>
          <w:tab w:val="clear" w:pos="8640"/>
        </w:tabs>
        <w:spacing w:line="360" w:lineRule="auto"/>
      </w:pPr>
      <w:r>
        <w:t>Junge, M., and M. Defant (1993): Some Estimates of Entropy Numbers</w:t>
      </w:r>
      <w:r w:rsidR="000566A4">
        <w:t xml:space="preserve"> </w:t>
      </w:r>
      <w:r w:rsidR="000566A4">
        <w:rPr>
          <w:i/>
        </w:rPr>
        <w:t>Israeli Journal of Mathematics</w:t>
      </w:r>
      <w:r w:rsidR="000566A4">
        <w:t xml:space="preserve"> </w:t>
      </w:r>
      <w:r w:rsidR="000566A4">
        <w:rPr>
          <w:b/>
        </w:rPr>
        <w:t>84</w:t>
      </w:r>
      <w:r w:rsidR="000566A4">
        <w:t xml:space="preserve"> 417-433.</w:t>
      </w:r>
    </w:p>
    <w:p w:rsidR="009E6668" w:rsidRDefault="009E6668" w:rsidP="009E6668">
      <w:pPr>
        <w:pStyle w:val="Footer"/>
        <w:numPr>
          <w:ilvl w:val="0"/>
          <w:numId w:val="106"/>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9E6668" w:rsidRDefault="009E6668" w:rsidP="009E6668">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A81F44" w:rsidRDefault="00A81F44" w:rsidP="009E6668">
      <w:pPr>
        <w:pStyle w:val="Footer"/>
        <w:numPr>
          <w:ilvl w:val="0"/>
          <w:numId w:val="106"/>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CB189D" w:rsidRDefault="00CB189D" w:rsidP="009E6668">
      <w:pPr>
        <w:pStyle w:val="Footer"/>
        <w:numPr>
          <w:ilvl w:val="0"/>
          <w:numId w:val="106"/>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CB189D" w:rsidRDefault="00CB189D" w:rsidP="009E6668">
      <w:pPr>
        <w:pStyle w:val="Footer"/>
        <w:numPr>
          <w:ilvl w:val="0"/>
          <w:numId w:val="106"/>
        </w:numPr>
        <w:tabs>
          <w:tab w:val="clear" w:pos="4320"/>
          <w:tab w:val="clear" w:pos="8640"/>
        </w:tabs>
        <w:spacing w:line="360" w:lineRule="auto"/>
      </w:pPr>
      <w:r>
        <w:lastRenderedPageBreak/>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6E49C3" w:rsidRDefault="006E49C3" w:rsidP="009E6668">
      <w:pPr>
        <w:pStyle w:val="Footer"/>
        <w:numPr>
          <w:ilvl w:val="0"/>
          <w:numId w:val="106"/>
        </w:numPr>
        <w:tabs>
          <w:tab w:val="clear" w:pos="4320"/>
          <w:tab w:val="clear" w:pos="8640"/>
        </w:tabs>
        <w:spacing w:line="360" w:lineRule="auto"/>
      </w:pPr>
      <w:r>
        <w:t xml:space="preserve">Koski, T., L. E. Persson, and J. Peetre (1994): </w:t>
      </w:r>
      <m:oMath>
        <m:r>
          <w:rPr>
            <w:rFonts w:ascii="Cambria Math" w:hAnsi="Cambria Math"/>
          </w:rPr>
          <m:t>ϵ</m:t>
        </m:r>
      </m:oMath>
      <w:r>
        <w:t>-entropy</w:t>
      </w:r>
      <w:r>
        <w:t xml:space="preserve">, </w:t>
      </w:r>
      <m:oMath>
        <m:r>
          <w:rPr>
            <w:rFonts w:ascii="Cambria Math" w:hAnsi="Cambria Math"/>
          </w:rPr>
          <m:t>ϵ</m:t>
        </m:r>
      </m:oMath>
      <w:r>
        <w:t>-</w:t>
      </w:r>
      <w:r>
        <w:t xml:space="preserve">rate, and Interpolation Spaces revisited with an Application to Linear Communication Channels </w:t>
      </w:r>
      <w:r>
        <w:rPr>
          <w:i/>
        </w:rPr>
        <w:t>Journal of Mathematic</w:t>
      </w:r>
      <w:r w:rsidR="00E301DA">
        <w:rPr>
          <w:i/>
        </w:rPr>
        <w:t>a</w:t>
      </w:r>
      <w:r>
        <w:rPr>
          <w:i/>
        </w:rPr>
        <w:t>l Analysis and Applications</w:t>
      </w:r>
      <w:r>
        <w:t xml:space="preserve"> </w:t>
      </w:r>
      <w:r w:rsidR="00E301DA">
        <w:rPr>
          <w:b/>
        </w:rPr>
        <w:t>186</w:t>
      </w:r>
      <w:r w:rsidR="00E301DA">
        <w:t xml:space="preserve"> 265-276.</w:t>
      </w:r>
    </w:p>
    <w:p w:rsidR="003B5989" w:rsidRDefault="003B5989" w:rsidP="009E6668">
      <w:pPr>
        <w:pStyle w:val="Footer"/>
        <w:numPr>
          <w:ilvl w:val="0"/>
          <w:numId w:val="106"/>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1F2474" w:rsidRDefault="001F2474" w:rsidP="009E6668">
      <w:pPr>
        <w:pStyle w:val="Footer"/>
        <w:numPr>
          <w:ilvl w:val="0"/>
          <w:numId w:val="106"/>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70364E" w:rsidRDefault="0070364E" w:rsidP="009E6668">
      <w:pPr>
        <w:pStyle w:val="Footer"/>
        <w:numPr>
          <w:ilvl w:val="0"/>
          <w:numId w:val="106"/>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8D671E" w:rsidRDefault="008D671E" w:rsidP="009E6668">
      <w:pPr>
        <w:pStyle w:val="Footer"/>
        <w:numPr>
          <w:ilvl w:val="0"/>
          <w:numId w:val="106"/>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D904BC" w:rsidRDefault="00D904BC" w:rsidP="009E6668">
      <w:pPr>
        <w:pStyle w:val="Footer"/>
        <w:numPr>
          <w:ilvl w:val="0"/>
          <w:numId w:val="106"/>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5F04A3" w:rsidRDefault="005F04A3" w:rsidP="009E6668">
      <w:pPr>
        <w:pStyle w:val="Footer"/>
        <w:numPr>
          <w:ilvl w:val="0"/>
          <w:numId w:val="106"/>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1B4867" w:rsidRDefault="001B4867" w:rsidP="009E6668">
      <w:pPr>
        <w:pStyle w:val="Footer"/>
        <w:numPr>
          <w:ilvl w:val="0"/>
          <w:numId w:val="106"/>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D671E" w:rsidRDefault="008D671E" w:rsidP="009E6668">
      <w:pPr>
        <w:pStyle w:val="Footer"/>
        <w:numPr>
          <w:ilvl w:val="0"/>
          <w:numId w:val="106"/>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8D671E" w:rsidRDefault="008D671E" w:rsidP="009E6668">
      <w:pPr>
        <w:pStyle w:val="Footer"/>
        <w:numPr>
          <w:ilvl w:val="0"/>
          <w:numId w:val="106"/>
        </w:numPr>
        <w:tabs>
          <w:tab w:val="clear" w:pos="4320"/>
          <w:tab w:val="clear" w:pos="8640"/>
        </w:tabs>
        <w:spacing w:line="360" w:lineRule="auto"/>
      </w:pPr>
      <w:r>
        <w:t xml:space="preserve">Prosser, R. T. (1966): The </w:t>
      </w:r>
      <m:oMath>
        <m:r>
          <w:rPr>
            <w:rFonts w:ascii="Cambria Math" w:hAnsi="Cambria Math"/>
          </w:rPr>
          <m:t>ϵ</m:t>
        </m:r>
      </m:oMath>
      <w:r w:rsidR="003945B5">
        <w:t>-</w:t>
      </w:r>
      <w:r>
        <w:t xml:space="preserve">entropy and </w:t>
      </w:r>
      <m:oMath>
        <m:r>
          <w:rPr>
            <w:rFonts w:ascii="Cambria Math" w:hAnsi="Cambria Math"/>
          </w:rPr>
          <m:t>ϵ</m:t>
        </m:r>
      </m:oMath>
      <w:r w:rsidR="003945B5">
        <w:t>-</w:t>
      </w:r>
      <w:r>
        <w:t>capacity of certain Time Varying Channels</w:t>
      </w:r>
      <w:r w:rsidR="003945B5">
        <w:t xml:space="preserve"> </w:t>
      </w:r>
      <w:r w:rsidR="003945B5">
        <w:rPr>
          <w:i/>
        </w:rPr>
        <w:t>Journal of Mathematical Analysis and Applications</w:t>
      </w:r>
      <w:r w:rsidR="003945B5">
        <w:t xml:space="preserve"> </w:t>
      </w:r>
      <w:r w:rsidR="003945B5">
        <w:rPr>
          <w:b/>
        </w:rPr>
        <w:t>16</w:t>
      </w:r>
      <w:r w:rsidR="003945B5">
        <w:t xml:space="preserve"> 553-573.</w:t>
      </w:r>
    </w:p>
    <w:p w:rsidR="006E49C3" w:rsidRDefault="006E49C3" w:rsidP="006E49C3">
      <w:pPr>
        <w:pStyle w:val="Footer"/>
        <w:numPr>
          <w:ilvl w:val="0"/>
          <w:numId w:val="106"/>
        </w:numPr>
        <w:tabs>
          <w:tab w:val="clear" w:pos="4320"/>
          <w:tab w:val="clear" w:pos="8640"/>
        </w:tabs>
        <w:spacing w:line="360" w:lineRule="auto"/>
      </w:pPr>
      <w:r>
        <w:t>Prosser, R. T.</w:t>
      </w:r>
      <w:r>
        <w:t>, and W. L. Root</w:t>
      </w:r>
      <w:r>
        <w:t xml:space="preserve"> (196</w:t>
      </w:r>
      <w:r>
        <w:t>8</w:t>
      </w:r>
      <w:r>
        <w:t xml:space="preserve">): The </w:t>
      </w:r>
      <m:oMath>
        <m:r>
          <w:rPr>
            <w:rFonts w:ascii="Cambria Math" w:hAnsi="Cambria Math"/>
          </w:rPr>
          <m:t>ϵ</m:t>
        </m:r>
      </m:oMath>
      <w:r>
        <w:t xml:space="preserve">-entropy and </w:t>
      </w:r>
      <m:oMath>
        <m:r>
          <w:rPr>
            <w:rFonts w:ascii="Cambria Math" w:hAnsi="Cambria Math"/>
          </w:rPr>
          <m:t>ϵ</m:t>
        </m:r>
      </m:oMath>
      <w:r>
        <w:t xml:space="preserve">-capacity of certain Time </w:t>
      </w:r>
      <w:r>
        <w:t>Invariant</w:t>
      </w:r>
      <w:r>
        <w:t xml:space="preserve"> Channels </w:t>
      </w:r>
      <w:r>
        <w:rPr>
          <w:i/>
        </w:rPr>
        <w:t>Journal of Mathematical Analysis and Applications</w:t>
      </w:r>
      <w:r>
        <w:t xml:space="preserve"> </w:t>
      </w:r>
      <w:r>
        <w:rPr>
          <w:b/>
        </w:rPr>
        <w:t>21</w:t>
      </w:r>
      <w:r>
        <w:t xml:space="preserve"> </w:t>
      </w:r>
      <w:r>
        <w:t>23</w:t>
      </w:r>
      <w:r>
        <w:t>3-</w:t>
      </w:r>
      <w:r>
        <w:t>241</w:t>
      </w:r>
      <w:r>
        <w:t>.</w:t>
      </w:r>
    </w:p>
    <w:p w:rsidR="006E49C3" w:rsidRDefault="006E49C3" w:rsidP="009E6668">
      <w:pPr>
        <w:pStyle w:val="Footer"/>
        <w:numPr>
          <w:ilvl w:val="0"/>
          <w:numId w:val="106"/>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D34380" w:rsidRDefault="00D34380" w:rsidP="009E6668">
      <w:pPr>
        <w:pStyle w:val="Footer"/>
        <w:numPr>
          <w:ilvl w:val="0"/>
          <w:numId w:val="106"/>
        </w:numPr>
        <w:tabs>
          <w:tab w:val="clear" w:pos="4320"/>
          <w:tab w:val="clear" w:pos="8640"/>
        </w:tabs>
        <w:spacing w:line="360" w:lineRule="auto"/>
      </w:pPr>
      <w:r>
        <w:t xml:space="preserve">Smola, A. J., R. C. Williamson, S. Mika, and B. Scholkopf (1999): Regularized Principal Manifolds, in: </w:t>
      </w:r>
      <w:r>
        <w:rPr>
          <w:i/>
        </w:rPr>
        <w:t>Proceedings of the 4</w:t>
      </w:r>
      <w:r w:rsidRPr="00D34380">
        <w:rPr>
          <w:i/>
          <w:vertAlign w:val="superscript"/>
        </w:rPr>
        <w:t>th</w:t>
      </w:r>
      <w:r>
        <w:rPr>
          <w:i/>
        </w:rPr>
        <w:t xml:space="preserve"> European Workshop on Computational Learning Theory (EUROCOLT ’99)</w:t>
      </w:r>
      <w:r>
        <w:t xml:space="preserve"> 214-229.</w:t>
      </w:r>
    </w:p>
    <w:p w:rsidR="00D70437" w:rsidRDefault="00D70437" w:rsidP="009E6668">
      <w:pPr>
        <w:pStyle w:val="Footer"/>
        <w:numPr>
          <w:ilvl w:val="0"/>
          <w:numId w:val="106"/>
        </w:numPr>
        <w:tabs>
          <w:tab w:val="clear" w:pos="4320"/>
          <w:tab w:val="clear" w:pos="8640"/>
        </w:tabs>
        <w:spacing w:line="360" w:lineRule="auto"/>
      </w:pPr>
      <w:r>
        <w:lastRenderedPageBreak/>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997A5E" w:rsidRDefault="00997A5E" w:rsidP="009E6668">
      <w:pPr>
        <w:pStyle w:val="Footer"/>
        <w:numPr>
          <w:ilvl w:val="0"/>
          <w:numId w:val="106"/>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5F04A3" w:rsidRDefault="005F04A3" w:rsidP="009E6668">
      <w:pPr>
        <w:pStyle w:val="Footer"/>
        <w:numPr>
          <w:ilvl w:val="0"/>
          <w:numId w:val="106"/>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D34380" w:rsidRDefault="00D34380" w:rsidP="009E6668">
      <w:pPr>
        <w:pStyle w:val="Footer"/>
        <w:numPr>
          <w:ilvl w:val="0"/>
          <w:numId w:val="106"/>
        </w:numPr>
        <w:tabs>
          <w:tab w:val="clear" w:pos="4320"/>
          <w:tab w:val="clear" w:pos="8640"/>
        </w:tabs>
        <w:spacing w:line="360" w:lineRule="auto"/>
      </w:pPr>
      <w:r>
        <w:t>Williamson, R. C., J. Shawe-Taylor, B. Scholkopf, and A. J. Smola (1999): Sample-based Generalization Bounds</w:t>
      </w:r>
      <w:r w:rsidR="00D70437">
        <w:t xml:space="preserve"> </w:t>
      </w:r>
      <w:r w:rsidR="00D70437">
        <w:rPr>
          <w:i/>
        </w:rPr>
        <w:t>NeuroCOLT2 Technical Report Series</w:t>
      </w:r>
      <w:r w:rsidR="00D70437">
        <w:t xml:space="preserve"> </w:t>
      </w:r>
      <w:r w:rsidR="00D70437">
        <w:rPr>
          <w:b/>
        </w:rPr>
        <w:t>NC-TR-1999-055</w:t>
      </w:r>
      <w:r w:rsidR="00D70437">
        <w:t>.</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(N. Cesa-Bianchi and S. Goldman, editors) </w:t>
      </w:r>
      <w:r>
        <w:rPr>
          <w:b/>
        </w:rPr>
        <w:t>ACM</w:t>
      </w:r>
      <w:r>
        <w:t xml:space="preserve"> New York.</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sidR="001B6B23">
        <w:rPr>
          <w:i/>
        </w:rPr>
        <w:t>IEEE Transactions on Information Theory</w:t>
      </w:r>
      <w:r w:rsidR="001B6B23">
        <w:t xml:space="preserve"> </w:t>
      </w:r>
      <w:r w:rsidR="001B6B23">
        <w:rPr>
          <w:b/>
        </w:rPr>
        <w:t>47 (6)</w:t>
      </w:r>
      <w:r w:rsidR="001B6B23">
        <w:t xml:space="preserve"> 2516-2532.</w:t>
      </w:r>
    </w:p>
    <w:p w:rsidR="00E63527" w:rsidRDefault="00E63527">
      <w:pPr>
        <w:spacing w:after="160" w:line="259" w:lineRule="auto"/>
      </w:pPr>
      <w:r>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E63527" w:rsidRDefault="00E63527" w:rsidP="00E63527">
      <w:pPr>
        <w:pStyle w:val="Footer"/>
        <w:numPr>
          <w:ilvl w:val="0"/>
          <w:numId w:val="31"/>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B72DD0" w:rsidRDefault="00B72DD0" w:rsidP="00E63527">
      <w:pPr>
        <w:pStyle w:val="Footer"/>
        <w:numPr>
          <w:ilvl w:val="0"/>
          <w:numId w:val="31"/>
        </w:numPr>
        <w:tabs>
          <w:tab w:val="clear" w:pos="4320"/>
          <w:tab w:val="clear" w:pos="8640"/>
        </w:tabs>
        <w:spacing w:line="360" w:lineRule="auto"/>
      </w:pPr>
      <w:r>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B72DD0" w:rsidRDefault="00B72DD0" w:rsidP="00E63527">
      <w:pPr>
        <w:pStyle w:val="Footer"/>
        <w:numPr>
          <w:ilvl w:val="0"/>
          <w:numId w:val="31"/>
        </w:numPr>
        <w:tabs>
          <w:tab w:val="clear" w:pos="4320"/>
          <w:tab w:val="clear" w:pos="8640"/>
        </w:tabs>
        <w:spacing w:line="360" w:lineRule="auto"/>
      </w:pPr>
      <w:r>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E63527">
      <w:pPr>
        <w:pStyle w:val="Footer"/>
        <w:numPr>
          <w:ilvl w:val="0"/>
          <w:numId w:val="31"/>
        </w:numPr>
        <w:tabs>
          <w:tab w:val="clear" w:pos="4320"/>
          <w:tab w:val="clear" w:pos="8640"/>
        </w:tabs>
        <w:spacing w:line="360" w:lineRule="auto"/>
      </w:pPr>
      <w:r>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045527">
      <w:pPr>
        <w:pStyle w:val="Footer"/>
        <w:numPr>
          <w:ilvl w:val="0"/>
          <w:numId w:val="118"/>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045527">
      <w:pPr>
        <w:pStyle w:val="Footer"/>
        <w:numPr>
          <w:ilvl w:val="0"/>
          <w:numId w:val="118"/>
        </w:numPr>
        <w:tabs>
          <w:tab w:val="clear" w:pos="4320"/>
          <w:tab w:val="clear" w:pos="8640"/>
        </w:tabs>
        <w:spacing w:line="360" w:lineRule="auto"/>
      </w:pPr>
      <w:r>
        <w:rPr>
          <w:u w:val="single"/>
        </w:rPr>
        <w:t>Maximum Margin Classification</w:t>
      </w:r>
      <w:r w:rsidRPr="000E60C6">
        <w:t>:</w:t>
      </w:r>
      <w:r>
        <w:t xml:space="preserve"> It can be shown that for a separable training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045527">
      <w:pPr>
        <w:pStyle w:val="Footer"/>
        <w:numPr>
          <w:ilvl w:val="0"/>
          <w:numId w:val="119"/>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045527">
      <w:pPr>
        <w:pStyle w:val="Footer"/>
        <w:numPr>
          <w:ilvl w:val="0"/>
          <w:numId w:val="119"/>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045527">
      <w:pPr>
        <w:pStyle w:val="Footer"/>
        <w:numPr>
          <w:ilvl w:val="0"/>
          <w:numId w:val="119"/>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045527">
      <w:pPr>
        <w:pStyle w:val="Footer"/>
        <w:numPr>
          <w:ilvl w:val="0"/>
          <w:numId w:val="119"/>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045527">
      <w:pPr>
        <w:pStyle w:val="Footer"/>
        <w:numPr>
          <w:ilvl w:val="0"/>
          <w:numId w:val="119"/>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parameter </w:t>
      </w:r>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of </w:t>
      </w:r>
      <m:oMath>
        <m:r>
          <m:rPr>
            <m:scr m:val="script"/>
          </m:rPr>
          <w:rPr>
            <w:rFonts w:ascii="Cambria Math" w:hAnsi="Cambria Math"/>
          </w:rPr>
          <m:t>P</m:t>
        </m:r>
      </m:oMath>
      <w:r w:rsidR="004918CC">
        <w:t>.</w:t>
      </w:r>
    </w:p>
    <w:p w:rsidR="004918CC" w:rsidRDefault="004918CC" w:rsidP="00045527">
      <w:pPr>
        <w:pStyle w:val="Footer"/>
        <w:numPr>
          <w:ilvl w:val="0"/>
          <w:numId w:val="119"/>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3462C9">
      <w:pPr>
        <w:pStyle w:val="Footer"/>
        <w:numPr>
          <w:ilvl w:val="0"/>
          <w:numId w:val="120"/>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3462C9">
      <w:pPr>
        <w:pStyle w:val="Footer"/>
        <w:numPr>
          <w:ilvl w:val="0"/>
          <w:numId w:val="120"/>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3462C9">
      <w:pPr>
        <w:pStyle w:val="Footer"/>
        <w:numPr>
          <w:ilvl w:val="0"/>
          <w:numId w:val="120"/>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3462C9">
      <w:pPr>
        <w:pStyle w:val="Footer"/>
        <w:numPr>
          <w:ilvl w:val="0"/>
          <w:numId w:val="120"/>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3462C9">
      <w:pPr>
        <w:pStyle w:val="Footer"/>
        <w:numPr>
          <w:ilvl w:val="0"/>
          <w:numId w:val="121"/>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3462C9">
      <w:pPr>
        <w:pStyle w:val="Footer"/>
        <w:numPr>
          <w:ilvl w:val="0"/>
          <w:numId w:val="121"/>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3462C9">
      <w:pPr>
        <w:pStyle w:val="Footer"/>
        <w:numPr>
          <w:ilvl w:val="0"/>
          <w:numId w:val="121"/>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3462C9">
      <w:pPr>
        <w:pStyle w:val="Footer"/>
        <w:numPr>
          <w:ilvl w:val="0"/>
          <w:numId w:val="121"/>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3462C9">
      <w:pPr>
        <w:pStyle w:val="Footer"/>
        <w:numPr>
          <w:ilvl w:val="0"/>
          <w:numId w:val="122"/>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3462C9">
      <w:pPr>
        <w:pStyle w:val="Footer"/>
        <w:numPr>
          <w:ilvl w:val="0"/>
          <w:numId w:val="122"/>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 xml:space="preserve">while quite amenable to ready computation on a computer, do not provide much </w:t>
      </w:r>
      <w:r w:rsidR="008540A3">
        <w:lastRenderedPageBreak/>
        <w:t>observational insight, except in an asymptotic sense. More explicit formulas suitable for SRM have been developed in Guo, Bartlett, Shawe-Taylor, and Williamson (1999).</w:t>
      </w:r>
    </w:p>
    <w:p w:rsidR="008540A3" w:rsidRDefault="008540A3" w:rsidP="003462C9">
      <w:pPr>
        <w:pStyle w:val="Footer"/>
        <w:numPr>
          <w:ilvl w:val="0"/>
          <w:numId w:val="122"/>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045527">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045527">
      <w:pPr>
        <w:pStyle w:val="Footer"/>
        <w:numPr>
          <w:ilvl w:val="0"/>
          <w:numId w:val="117"/>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045527">
      <w:pPr>
        <w:pStyle w:val="Footer"/>
        <w:numPr>
          <w:ilvl w:val="0"/>
          <w:numId w:val="117"/>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045527">
      <w:pPr>
        <w:pStyle w:val="Footer"/>
        <w:numPr>
          <w:ilvl w:val="0"/>
          <w:numId w:val="117"/>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045527">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045527">
      <w:pPr>
        <w:pStyle w:val="Footer"/>
        <w:numPr>
          <w:ilvl w:val="0"/>
          <w:numId w:val="117"/>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045527">
      <w:pPr>
        <w:pStyle w:val="Footer"/>
        <w:numPr>
          <w:ilvl w:val="0"/>
          <w:numId w:val="117"/>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045527">
      <w:pPr>
        <w:pStyle w:val="Footer"/>
        <w:numPr>
          <w:ilvl w:val="0"/>
          <w:numId w:val="117"/>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045527">
      <w:pPr>
        <w:pStyle w:val="Footer"/>
        <w:numPr>
          <w:ilvl w:val="0"/>
          <w:numId w:val="117"/>
        </w:numPr>
        <w:tabs>
          <w:tab w:val="clear" w:pos="4320"/>
          <w:tab w:val="clear" w:pos="8640"/>
        </w:tabs>
        <w:spacing w:line="360" w:lineRule="auto"/>
      </w:pPr>
      <w:r>
        <w:lastRenderedPageBreak/>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045527">
      <w:pPr>
        <w:pStyle w:val="Footer"/>
        <w:numPr>
          <w:ilvl w:val="0"/>
          <w:numId w:val="117"/>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045527">
      <w:pPr>
        <w:pStyle w:val="Footer"/>
        <w:numPr>
          <w:ilvl w:val="0"/>
          <w:numId w:val="117"/>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045527">
      <w:pPr>
        <w:pStyle w:val="Footer"/>
        <w:numPr>
          <w:ilvl w:val="0"/>
          <w:numId w:val="117"/>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8540A3">
      <w:pPr>
        <w:pStyle w:val="Footer"/>
        <w:numPr>
          <w:ilvl w:val="0"/>
          <w:numId w:val="11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045527">
      <w:pPr>
        <w:pStyle w:val="Footer"/>
        <w:numPr>
          <w:ilvl w:val="0"/>
          <w:numId w:val="117"/>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045527">
      <w:pPr>
        <w:pStyle w:val="Footer"/>
        <w:numPr>
          <w:ilvl w:val="0"/>
          <w:numId w:val="117"/>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404E03" w:rsidRDefault="00404E03" w:rsidP="00E63527">
      <w:p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404E03" w:rsidRDefault="00404E03" w:rsidP="00045527">
      <w:pPr>
        <w:pStyle w:val="Footer"/>
        <w:numPr>
          <w:ilvl w:val="0"/>
          <w:numId w:val="116"/>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BB4A85">
      <w:pPr>
        <w:pStyle w:val="Footer"/>
        <w:numPr>
          <w:ilvl w:val="0"/>
          <w:numId w:val="31"/>
        </w:numPr>
        <w:tabs>
          <w:tab w:val="clear" w:pos="4320"/>
          <w:tab w:val="clear" w:pos="8640"/>
        </w:tabs>
        <w:spacing w:line="360" w:lineRule="auto"/>
      </w:pPr>
      <w:r>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 </w:t>
      </w:r>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function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xml:space="preserve">. This probability class is described by one/more parameters, i.e., it is of the form </w:t>
      </w:r>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xml:space="preserve">. The MLE computes the parameter that maximizes this likelihood, i.e., </w:t>
      </w:r>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 </w:t>
      </w:r>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r w:rsidRPr="00965B7C">
        <w:t>:</w:t>
      </w:r>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 </w:t>
      </w:r>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as </w:t>
      </w:r>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as </w:t>
      </w:r>
      <m:oMath>
        <m:r>
          <w:rPr>
            <w:rFonts w:ascii="Cambria Math" w:hAnsi="Cambria Math"/>
          </w:rPr>
          <m:t>n→∞</m:t>
        </m:r>
      </m:oMath>
      <w:r>
        <w:t xml:space="preserve">. 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by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some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as </w:t>
      </w:r>
      <m:oMath>
        <m:r>
          <w:rPr>
            <w:rFonts w:ascii="Cambria Math" w:hAnsi="Cambria Math"/>
          </w:rPr>
          <m:t>n→∞</m:t>
        </m:r>
      </m:oMath>
      <w:r>
        <w:t xml:space="preserve">. However, if </w:t>
      </w:r>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at </w:t>
      </w:r>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 </w:t>
      </w:r>
      <m:oMath>
        <m:r>
          <w:rPr>
            <w:rFonts w:ascii="Cambria Math" w:hAnsi="Cambria Math"/>
          </w:rPr>
          <m:t>ε&gt;0</m:t>
        </m:r>
      </m:oMath>
      <w:r>
        <w:t xml:space="preserve">. For every </w:t>
      </w:r>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 </w:t>
      </w:r>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2C9" w:rsidRDefault="003462C9" w:rsidP="00240A74">
      <w:r>
        <w:separator/>
      </w:r>
    </w:p>
  </w:endnote>
  <w:endnote w:type="continuationSeparator" w:id="0">
    <w:p w:rsidR="003462C9" w:rsidRDefault="003462C9"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C157AB" w:rsidRDefault="00C157AB">
        <w:pPr>
          <w:pStyle w:val="Footer"/>
          <w:jc w:val="center"/>
        </w:pPr>
        <w:r>
          <w:fldChar w:fldCharType="begin"/>
        </w:r>
        <w:r>
          <w:instrText xml:space="preserve"> PAGE   \* MERGEFORMAT </w:instrText>
        </w:r>
        <w:r>
          <w:fldChar w:fldCharType="separate"/>
        </w:r>
        <w:r w:rsidR="000566A4">
          <w:rPr>
            <w:noProof/>
          </w:rPr>
          <w:t>154</w:t>
        </w:r>
        <w:r>
          <w:rPr>
            <w:noProof/>
          </w:rPr>
          <w:fldChar w:fldCharType="end"/>
        </w:r>
      </w:p>
    </w:sdtContent>
  </w:sdt>
  <w:p w:rsidR="00C157AB" w:rsidRDefault="00C157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2C9" w:rsidRDefault="003462C9" w:rsidP="00240A74">
      <w:r>
        <w:separator/>
      </w:r>
    </w:p>
  </w:footnote>
  <w:footnote w:type="continuationSeparator" w:id="0">
    <w:p w:rsidR="003462C9" w:rsidRDefault="003462C9"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0612A74"/>
    <w:multiLevelType w:val="hybridMultilevel"/>
    <w:tmpl w:val="CC6AB5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3E95B27"/>
    <w:multiLevelType w:val="hybridMultilevel"/>
    <w:tmpl w:val="57CA3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6212270D"/>
    <w:multiLevelType w:val="hybridMultilevel"/>
    <w:tmpl w:val="BF362C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8"/>
  </w:num>
  <w:num w:numId="2">
    <w:abstractNumId w:val="95"/>
  </w:num>
  <w:num w:numId="3">
    <w:abstractNumId w:val="94"/>
  </w:num>
  <w:num w:numId="4">
    <w:abstractNumId w:val="6"/>
  </w:num>
  <w:num w:numId="5">
    <w:abstractNumId w:val="105"/>
  </w:num>
  <w:num w:numId="6">
    <w:abstractNumId w:val="10"/>
  </w:num>
  <w:num w:numId="7">
    <w:abstractNumId w:val="89"/>
  </w:num>
  <w:num w:numId="8">
    <w:abstractNumId w:val="50"/>
  </w:num>
  <w:num w:numId="9">
    <w:abstractNumId w:val="78"/>
  </w:num>
  <w:num w:numId="10">
    <w:abstractNumId w:val="122"/>
  </w:num>
  <w:num w:numId="11">
    <w:abstractNumId w:val="2"/>
  </w:num>
  <w:num w:numId="12">
    <w:abstractNumId w:val="103"/>
  </w:num>
  <w:num w:numId="13">
    <w:abstractNumId w:val="15"/>
  </w:num>
  <w:num w:numId="14">
    <w:abstractNumId w:val="49"/>
  </w:num>
  <w:num w:numId="15">
    <w:abstractNumId w:val="111"/>
  </w:num>
  <w:num w:numId="16">
    <w:abstractNumId w:val="25"/>
  </w:num>
  <w:num w:numId="17">
    <w:abstractNumId w:val="24"/>
  </w:num>
  <w:num w:numId="18">
    <w:abstractNumId w:val="65"/>
  </w:num>
  <w:num w:numId="19">
    <w:abstractNumId w:val="63"/>
  </w:num>
  <w:num w:numId="20">
    <w:abstractNumId w:val="75"/>
  </w:num>
  <w:num w:numId="21">
    <w:abstractNumId w:val="39"/>
  </w:num>
  <w:num w:numId="22">
    <w:abstractNumId w:val="21"/>
  </w:num>
  <w:num w:numId="23">
    <w:abstractNumId w:val="66"/>
  </w:num>
  <w:num w:numId="24">
    <w:abstractNumId w:val="55"/>
  </w:num>
  <w:num w:numId="25">
    <w:abstractNumId w:val="86"/>
  </w:num>
  <w:num w:numId="26">
    <w:abstractNumId w:val="17"/>
  </w:num>
  <w:num w:numId="27">
    <w:abstractNumId w:val="16"/>
  </w:num>
  <w:num w:numId="28">
    <w:abstractNumId w:val="60"/>
  </w:num>
  <w:num w:numId="29">
    <w:abstractNumId w:val="37"/>
  </w:num>
  <w:num w:numId="30">
    <w:abstractNumId w:val="3"/>
  </w:num>
  <w:num w:numId="31">
    <w:abstractNumId w:val="13"/>
  </w:num>
  <w:num w:numId="32">
    <w:abstractNumId w:val="109"/>
  </w:num>
  <w:num w:numId="33">
    <w:abstractNumId w:val="88"/>
  </w:num>
  <w:num w:numId="34">
    <w:abstractNumId w:val="9"/>
  </w:num>
  <w:num w:numId="35">
    <w:abstractNumId w:val="30"/>
  </w:num>
  <w:num w:numId="36">
    <w:abstractNumId w:val="5"/>
  </w:num>
  <w:num w:numId="37">
    <w:abstractNumId w:val="116"/>
  </w:num>
  <w:num w:numId="38">
    <w:abstractNumId w:val="18"/>
  </w:num>
  <w:num w:numId="39">
    <w:abstractNumId w:val="61"/>
  </w:num>
  <w:num w:numId="40">
    <w:abstractNumId w:val="67"/>
  </w:num>
  <w:num w:numId="41">
    <w:abstractNumId w:val="34"/>
  </w:num>
  <w:num w:numId="42">
    <w:abstractNumId w:val="56"/>
  </w:num>
  <w:num w:numId="43">
    <w:abstractNumId w:val="124"/>
  </w:num>
  <w:num w:numId="44">
    <w:abstractNumId w:val="101"/>
  </w:num>
  <w:num w:numId="45">
    <w:abstractNumId w:val="29"/>
  </w:num>
  <w:num w:numId="46">
    <w:abstractNumId w:val="4"/>
  </w:num>
  <w:num w:numId="47">
    <w:abstractNumId w:val="82"/>
  </w:num>
  <w:num w:numId="48">
    <w:abstractNumId w:val="12"/>
  </w:num>
  <w:num w:numId="49">
    <w:abstractNumId w:val="113"/>
  </w:num>
  <w:num w:numId="50">
    <w:abstractNumId w:val="27"/>
  </w:num>
  <w:num w:numId="51">
    <w:abstractNumId w:val="57"/>
  </w:num>
  <w:num w:numId="52">
    <w:abstractNumId w:val="121"/>
  </w:num>
  <w:num w:numId="53">
    <w:abstractNumId w:val="11"/>
  </w:num>
  <w:num w:numId="54">
    <w:abstractNumId w:val="0"/>
  </w:num>
  <w:num w:numId="55">
    <w:abstractNumId w:val="73"/>
  </w:num>
  <w:num w:numId="56">
    <w:abstractNumId w:val="96"/>
  </w:num>
  <w:num w:numId="57">
    <w:abstractNumId w:val="93"/>
  </w:num>
  <w:num w:numId="58">
    <w:abstractNumId w:val="90"/>
  </w:num>
  <w:num w:numId="59">
    <w:abstractNumId w:val="31"/>
  </w:num>
  <w:num w:numId="60">
    <w:abstractNumId w:val="84"/>
  </w:num>
  <w:num w:numId="61">
    <w:abstractNumId w:val="69"/>
  </w:num>
  <w:num w:numId="62">
    <w:abstractNumId w:val="79"/>
  </w:num>
  <w:num w:numId="63">
    <w:abstractNumId w:val="83"/>
  </w:num>
  <w:num w:numId="64">
    <w:abstractNumId w:val="68"/>
  </w:num>
  <w:num w:numId="65">
    <w:abstractNumId w:val="62"/>
  </w:num>
  <w:num w:numId="66">
    <w:abstractNumId w:val="42"/>
  </w:num>
  <w:num w:numId="67">
    <w:abstractNumId w:val="92"/>
  </w:num>
  <w:num w:numId="68">
    <w:abstractNumId w:val="19"/>
  </w:num>
  <w:num w:numId="69">
    <w:abstractNumId w:val="47"/>
  </w:num>
  <w:num w:numId="70">
    <w:abstractNumId w:val="71"/>
  </w:num>
  <w:num w:numId="71">
    <w:abstractNumId w:val="46"/>
  </w:num>
  <w:num w:numId="72">
    <w:abstractNumId w:val="28"/>
  </w:num>
  <w:num w:numId="73">
    <w:abstractNumId w:val="1"/>
  </w:num>
  <w:num w:numId="74">
    <w:abstractNumId w:val="8"/>
  </w:num>
  <w:num w:numId="75">
    <w:abstractNumId w:val="119"/>
  </w:num>
  <w:num w:numId="76">
    <w:abstractNumId w:val="26"/>
  </w:num>
  <w:num w:numId="77">
    <w:abstractNumId w:val="99"/>
  </w:num>
  <w:num w:numId="78">
    <w:abstractNumId w:val="77"/>
  </w:num>
  <w:num w:numId="79">
    <w:abstractNumId w:val="54"/>
  </w:num>
  <w:num w:numId="80">
    <w:abstractNumId w:val="117"/>
  </w:num>
  <w:num w:numId="81">
    <w:abstractNumId w:val="43"/>
  </w:num>
  <w:num w:numId="82">
    <w:abstractNumId w:val="106"/>
  </w:num>
  <w:num w:numId="83">
    <w:abstractNumId w:val="85"/>
  </w:num>
  <w:num w:numId="84">
    <w:abstractNumId w:val="53"/>
  </w:num>
  <w:num w:numId="85">
    <w:abstractNumId w:val="32"/>
  </w:num>
  <w:num w:numId="86">
    <w:abstractNumId w:val="115"/>
  </w:num>
  <w:num w:numId="87">
    <w:abstractNumId w:val="91"/>
  </w:num>
  <w:num w:numId="88">
    <w:abstractNumId w:val="97"/>
  </w:num>
  <w:num w:numId="89">
    <w:abstractNumId w:val="114"/>
  </w:num>
  <w:num w:numId="90">
    <w:abstractNumId w:val="44"/>
  </w:num>
  <w:num w:numId="91">
    <w:abstractNumId w:val="70"/>
  </w:num>
  <w:num w:numId="92">
    <w:abstractNumId w:val="14"/>
  </w:num>
  <w:num w:numId="93">
    <w:abstractNumId w:val="76"/>
  </w:num>
  <w:num w:numId="94">
    <w:abstractNumId w:val="40"/>
  </w:num>
  <w:num w:numId="95">
    <w:abstractNumId w:val="118"/>
  </w:num>
  <w:num w:numId="96">
    <w:abstractNumId w:val="125"/>
  </w:num>
  <w:num w:numId="97">
    <w:abstractNumId w:val="74"/>
  </w:num>
  <w:num w:numId="98">
    <w:abstractNumId w:val="123"/>
  </w:num>
  <w:num w:numId="99">
    <w:abstractNumId w:val="7"/>
  </w:num>
  <w:num w:numId="100">
    <w:abstractNumId w:val="51"/>
  </w:num>
  <w:num w:numId="101">
    <w:abstractNumId w:val="48"/>
  </w:num>
  <w:num w:numId="102">
    <w:abstractNumId w:val="104"/>
  </w:num>
  <w:num w:numId="103">
    <w:abstractNumId w:val="59"/>
  </w:num>
  <w:num w:numId="104">
    <w:abstractNumId w:val="120"/>
  </w:num>
  <w:num w:numId="105">
    <w:abstractNumId w:val="22"/>
  </w:num>
  <w:num w:numId="106">
    <w:abstractNumId w:val="107"/>
  </w:num>
  <w:num w:numId="107">
    <w:abstractNumId w:val="58"/>
  </w:num>
  <w:num w:numId="108">
    <w:abstractNumId w:val="41"/>
  </w:num>
  <w:num w:numId="109">
    <w:abstractNumId w:val="35"/>
  </w:num>
  <w:num w:numId="110">
    <w:abstractNumId w:val="102"/>
  </w:num>
  <w:num w:numId="111">
    <w:abstractNumId w:val="64"/>
  </w:num>
  <w:num w:numId="112">
    <w:abstractNumId w:val="20"/>
  </w:num>
  <w:num w:numId="113">
    <w:abstractNumId w:val="81"/>
  </w:num>
  <w:num w:numId="114">
    <w:abstractNumId w:val="38"/>
  </w:num>
  <w:num w:numId="115">
    <w:abstractNumId w:val="72"/>
  </w:num>
  <w:num w:numId="116">
    <w:abstractNumId w:val="45"/>
  </w:num>
  <w:num w:numId="117">
    <w:abstractNumId w:val="80"/>
  </w:num>
  <w:num w:numId="118">
    <w:abstractNumId w:val="98"/>
  </w:num>
  <w:num w:numId="119">
    <w:abstractNumId w:val="36"/>
  </w:num>
  <w:num w:numId="120">
    <w:abstractNumId w:val="87"/>
  </w:num>
  <w:num w:numId="121">
    <w:abstractNumId w:val="100"/>
  </w:num>
  <w:num w:numId="122">
    <w:abstractNumId w:val="52"/>
  </w:num>
  <w:num w:numId="123">
    <w:abstractNumId w:val="112"/>
  </w:num>
  <w:num w:numId="124">
    <w:abstractNumId w:val="23"/>
  </w:num>
  <w:num w:numId="125">
    <w:abstractNumId w:val="110"/>
  </w:num>
  <w:num w:numId="126">
    <w:abstractNumId w:val="33"/>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4580"/>
    <w:rsid w:val="000156D8"/>
    <w:rsid w:val="00016DC5"/>
    <w:rsid w:val="00017184"/>
    <w:rsid w:val="000175F6"/>
    <w:rsid w:val="00020F09"/>
    <w:rsid w:val="000244B3"/>
    <w:rsid w:val="00024F02"/>
    <w:rsid w:val="000273BC"/>
    <w:rsid w:val="000276AF"/>
    <w:rsid w:val="0003208A"/>
    <w:rsid w:val="000342A1"/>
    <w:rsid w:val="000348E8"/>
    <w:rsid w:val="00041799"/>
    <w:rsid w:val="00044775"/>
    <w:rsid w:val="00045527"/>
    <w:rsid w:val="00051424"/>
    <w:rsid w:val="0005643B"/>
    <w:rsid w:val="000564BB"/>
    <w:rsid w:val="000566A4"/>
    <w:rsid w:val="000603CC"/>
    <w:rsid w:val="0006049E"/>
    <w:rsid w:val="00060E4A"/>
    <w:rsid w:val="000623A6"/>
    <w:rsid w:val="00062A98"/>
    <w:rsid w:val="00063980"/>
    <w:rsid w:val="00063B59"/>
    <w:rsid w:val="000659D6"/>
    <w:rsid w:val="0007091C"/>
    <w:rsid w:val="00070E63"/>
    <w:rsid w:val="00077BFF"/>
    <w:rsid w:val="000804DF"/>
    <w:rsid w:val="00085E17"/>
    <w:rsid w:val="00090A76"/>
    <w:rsid w:val="0009163B"/>
    <w:rsid w:val="00095194"/>
    <w:rsid w:val="00096AE5"/>
    <w:rsid w:val="000A3FDE"/>
    <w:rsid w:val="000A5FE3"/>
    <w:rsid w:val="000A6A64"/>
    <w:rsid w:val="000A74AD"/>
    <w:rsid w:val="000B3A58"/>
    <w:rsid w:val="000B68D2"/>
    <w:rsid w:val="000C5394"/>
    <w:rsid w:val="000D2D20"/>
    <w:rsid w:val="000D40D8"/>
    <w:rsid w:val="000E0C3B"/>
    <w:rsid w:val="000E3B80"/>
    <w:rsid w:val="000E4D4F"/>
    <w:rsid w:val="000E60C6"/>
    <w:rsid w:val="000E7EF3"/>
    <w:rsid w:val="000F0058"/>
    <w:rsid w:val="000F1181"/>
    <w:rsid w:val="000F4A7E"/>
    <w:rsid w:val="000F6CC0"/>
    <w:rsid w:val="00100186"/>
    <w:rsid w:val="001030C2"/>
    <w:rsid w:val="0011102D"/>
    <w:rsid w:val="00113037"/>
    <w:rsid w:val="0011309D"/>
    <w:rsid w:val="00113BFB"/>
    <w:rsid w:val="0011616E"/>
    <w:rsid w:val="00116CD1"/>
    <w:rsid w:val="00117043"/>
    <w:rsid w:val="00121A6C"/>
    <w:rsid w:val="00123C0F"/>
    <w:rsid w:val="00123F72"/>
    <w:rsid w:val="00124AE9"/>
    <w:rsid w:val="001251D1"/>
    <w:rsid w:val="0013208D"/>
    <w:rsid w:val="001321A1"/>
    <w:rsid w:val="00136BD3"/>
    <w:rsid w:val="00143741"/>
    <w:rsid w:val="00144221"/>
    <w:rsid w:val="001502BF"/>
    <w:rsid w:val="00150DEC"/>
    <w:rsid w:val="00150FD8"/>
    <w:rsid w:val="0016176A"/>
    <w:rsid w:val="001618CB"/>
    <w:rsid w:val="00164402"/>
    <w:rsid w:val="001716B0"/>
    <w:rsid w:val="00172746"/>
    <w:rsid w:val="00177E18"/>
    <w:rsid w:val="001A27C8"/>
    <w:rsid w:val="001A58B4"/>
    <w:rsid w:val="001B1DDC"/>
    <w:rsid w:val="001B2378"/>
    <w:rsid w:val="001B441D"/>
    <w:rsid w:val="001B4867"/>
    <w:rsid w:val="001B49EF"/>
    <w:rsid w:val="001B6B23"/>
    <w:rsid w:val="001B6DF4"/>
    <w:rsid w:val="001D1530"/>
    <w:rsid w:val="001D53AD"/>
    <w:rsid w:val="001D70FA"/>
    <w:rsid w:val="001D7212"/>
    <w:rsid w:val="001E126E"/>
    <w:rsid w:val="001E2AE7"/>
    <w:rsid w:val="001E5151"/>
    <w:rsid w:val="001F2474"/>
    <w:rsid w:val="001F49BA"/>
    <w:rsid w:val="0020270E"/>
    <w:rsid w:val="002030B9"/>
    <w:rsid w:val="0020353A"/>
    <w:rsid w:val="00206998"/>
    <w:rsid w:val="00207766"/>
    <w:rsid w:val="00211038"/>
    <w:rsid w:val="002119A6"/>
    <w:rsid w:val="00213868"/>
    <w:rsid w:val="002236C6"/>
    <w:rsid w:val="00225CE8"/>
    <w:rsid w:val="0023112A"/>
    <w:rsid w:val="00234FE2"/>
    <w:rsid w:val="002353BC"/>
    <w:rsid w:val="0023694F"/>
    <w:rsid w:val="002406AE"/>
    <w:rsid w:val="00240A74"/>
    <w:rsid w:val="0024208D"/>
    <w:rsid w:val="00250152"/>
    <w:rsid w:val="00260368"/>
    <w:rsid w:val="002620B7"/>
    <w:rsid w:val="002648BF"/>
    <w:rsid w:val="002653DE"/>
    <w:rsid w:val="00266505"/>
    <w:rsid w:val="00272B05"/>
    <w:rsid w:val="00273012"/>
    <w:rsid w:val="00273106"/>
    <w:rsid w:val="0027562A"/>
    <w:rsid w:val="002809A1"/>
    <w:rsid w:val="00281E3E"/>
    <w:rsid w:val="00281F09"/>
    <w:rsid w:val="00282079"/>
    <w:rsid w:val="00290E33"/>
    <w:rsid w:val="00293D70"/>
    <w:rsid w:val="0029737E"/>
    <w:rsid w:val="002A3875"/>
    <w:rsid w:val="002A5385"/>
    <w:rsid w:val="002A5CB9"/>
    <w:rsid w:val="002B137C"/>
    <w:rsid w:val="002B3380"/>
    <w:rsid w:val="002B51BE"/>
    <w:rsid w:val="002B5338"/>
    <w:rsid w:val="002B6BCB"/>
    <w:rsid w:val="002C57CF"/>
    <w:rsid w:val="002D20A9"/>
    <w:rsid w:val="002D4474"/>
    <w:rsid w:val="002D56F8"/>
    <w:rsid w:val="002D5976"/>
    <w:rsid w:val="002D60BD"/>
    <w:rsid w:val="002D7F1C"/>
    <w:rsid w:val="002E1603"/>
    <w:rsid w:val="002E236E"/>
    <w:rsid w:val="002E3ABE"/>
    <w:rsid w:val="002E4EF6"/>
    <w:rsid w:val="002F25DB"/>
    <w:rsid w:val="002F6F07"/>
    <w:rsid w:val="00300CD1"/>
    <w:rsid w:val="00301ABF"/>
    <w:rsid w:val="0030478C"/>
    <w:rsid w:val="00310758"/>
    <w:rsid w:val="00310F1A"/>
    <w:rsid w:val="0031293C"/>
    <w:rsid w:val="00324481"/>
    <w:rsid w:val="00327B82"/>
    <w:rsid w:val="003303F4"/>
    <w:rsid w:val="003313D0"/>
    <w:rsid w:val="003314F7"/>
    <w:rsid w:val="00342696"/>
    <w:rsid w:val="00344244"/>
    <w:rsid w:val="003462C9"/>
    <w:rsid w:val="0035014E"/>
    <w:rsid w:val="00351951"/>
    <w:rsid w:val="00351DEA"/>
    <w:rsid w:val="00361DD6"/>
    <w:rsid w:val="00363609"/>
    <w:rsid w:val="0036701D"/>
    <w:rsid w:val="00367629"/>
    <w:rsid w:val="003676F6"/>
    <w:rsid w:val="0037307D"/>
    <w:rsid w:val="00374E6C"/>
    <w:rsid w:val="00377B00"/>
    <w:rsid w:val="00381045"/>
    <w:rsid w:val="00393893"/>
    <w:rsid w:val="003945B5"/>
    <w:rsid w:val="003A2BC0"/>
    <w:rsid w:val="003A4B04"/>
    <w:rsid w:val="003B121C"/>
    <w:rsid w:val="003B12CC"/>
    <w:rsid w:val="003B3878"/>
    <w:rsid w:val="003B5989"/>
    <w:rsid w:val="003C4C12"/>
    <w:rsid w:val="003C4CC1"/>
    <w:rsid w:val="003D5D98"/>
    <w:rsid w:val="003D64ED"/>
    <w:rsid w:val="003E2C87"/>
    <w:rsid w:val="003E3E05"/>
    <w:rsid w:val="003E440A"/>
    <w:rsid w:val="003E615B"/>
    <w:rsid w:val="003F628E"/>
    <w:rsid w:val="003F782B"/>
    <w:rsid w:val="00402095"/>
    <w:rsid w:val="00403FDC"/>
    <w:rsid w:val="00404BAE"/>
    <w:rsid w:val="00404E03"/>
    <w:rsid w:val="0040573A"/>
    <w:rsid w:val="00410127"/>
    <w:rsid w:val="00411E14"/>
    <w:rsid w:val="004146AC"/>
    <w:rsid w:val="0041768F"/>
    <w:rsid w:val="0042322B"/>
    <w:rsid w:val="004265D8"/>
    <w:rsid w:val="0043385A"/>
    <w:rsid w:val="00435DEE"/>
    <w:rsid w:val="004363E6"/>
    <w:rsid w:val="004448B5"/>
    <w:rsid w:val="0044640D"/>
    <w:rsid w:val="0044684D"/>
    <w:rsid w:val="0045467C"/>
    <w:rsid w:val="00461C2C"/>
    <w:rsid w:val="00462794"/>
    <w:rsid w:val="00462AC0"/>
    <w:rsid w:val="00464E4C"/>
    <w:rsid w:val="004707DA"/>
    <w:rsid w:val="00475BB7"/>
    <w:rsid w:val="00476609"/>
    <w:rsid w:val="004837FD"/>
    <w:rsid w:val="00486695"/>
    <w:rsid w:val="00486C01"/>
    <w:rsid w:val="00487818"/>
    <w:rsid w:val="004918CC"/>
    <w:rsid w:val="00491CEF"/>
    <w:rsid w:val="0049448B"/>
    <w:rsid w:val="004A0238"/>
    <w:rsid w:val="004A12F9"/>
    <w:rsid w:val="004A4100"/>
    <w:rsid w:val="004A6B95"/>
    <w:rsid w:val="004B14D3"/>
    <w:rsid w:val="004B2517"/>
    <w:rsid w:val="004B2B75"/>
    <w:rsid w:val="004B6930"/>
    <w:rsid w:val="004C1DB2"/>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4802"/>
    <w:rsid w:val="0052510D"/>
    <w:rsid w:val="00532AB2"/>
    <w:rsid w:val="00532BB3"/>
    <w:rsid w:val="005350B6"/>
    <w:rsid w:val="00535751"/>
    <w:rsid w:val="005359EF"/>
    <w:rsid w:val="005360AD"/>
    <w:rsid w:val="005440A3"/>
    <w:rsid w:val="00545F2E"/>
    <w:rsid w:val="00553788"/>
    <w:rsid w:val="00553B00"/>
    <w:rsid w:val="00556484"/>
    <w:rsid w:val="00556CAF"/>
    <w:rsid w:val="005652FE"/>
    <w:rsid w:val="00572EEB"/>
    <w:rsid w:val="005762E6"/>
    <w:rsid w:val="00576E25"/>
    <w:rsid w:val="0058146D"/>
    <w:rsid w:val="005825A1"/>
    <w:rsid w:val="00582776"/>
    <w:rsid w:val="00582899"/>
    <w:rsid w:val="00582B18"/>
    <w:rsid w:val="00583DCF"/>
    <w:rsid w:val="0058515A"/>
    <w:rsid w:val="0059334D"/>
    <w:rsid w:val="00594572"/>
    <w:rsid w:val="00594E31"/>
    <w:rsid w:val="005953ED"/>
    <w:rsid w:val="005979FA"/>
    <w:rsid w:val="005A0232"/>
    <w:rsid w:val="005A0484"/>
    <w:rsid w:val="005A0D6B"/>
    <w:rsid w:val="005A0FD1"/>
    <w:rsid w:val="005A1112"/>
    <w:rsid w:val="005A2F38"/>
    <w:rsid w:val="005A4332"/>
    <w:rsid w:val="005A65FA"/>
    <w:rsid w:val="005B06A7"/>
    <w:rsid w:val="005B2648"/>
    <w:rsid w:val="005B3226"/>
    <w:rsid w:val="005B3ECC"/>
    <w:rsid w:val="005B5DF8"/>
    <w:rsid w:val="005C04C2"/>
    <w:rsid w:val="005C094A"/>
    <w:rsid w:val="005C109F"/>
    <w:rsid w:val="005C7308"/>
    <w:rsid w:val="005D0B6D"/>
    <w:rsid w:val="005D57EE"/>
    <w:rsid w:val="005D60CB"/>
    <w:rsid w:val="005E12C3"/>
    <w:rsid w:val="005E66BF"/>
    <w:rsid w:val="005E75E4"/>
    <w:rsid w:val="005F0312"/>
    <w:rsid w:val="005F04A3"/>
    <w:rsid w:val="005F11FD"/>
    <w:rsid w:val="005F6023"/>
    <w:rsid w:val="005F6042"/>
    <w:rsid w:val="00605277"/>
    <w:rsid w:val="0061290A"/>
    <w:rsid w:val="0061466F"/>
    <w:rsid w:val="006155DE"/>
    <w:rsid w:val="00616A32"/>
    <w:rsid w:val="00623315"/>
    <w:rsid w:val="006247D3"/>
    <w:rsid w:val="00624B60"/>
    <w:rsid w:val="00634BB2"/>
    <w:rsid w:val="00634D27"/>
    <w:rsid w:val="006428CE"/>
    <w:rsid w:val="006434D3"/>
    <w:rsid w:val="006435DC"/>
    <w:rsid w:val="006462C2"/>
    <w:rsid w:val="00647473"/>
    <w:rsid w:val="00652ED5"/>
    <w:rsid w:val="00657802"/>
    <w:rsid w:val="00657A97"/>
    <w:rsid w:val="00662175"/>
    <w:rsid w:val="00662A5E"/>
    <w:rsid w:val="00662E57"/>
    <w:rsid w:val="00667E20"/>
    <w:rsid w:val="00672127"/>
    <w:rsid w:val="00675A8B"/>
    <w:rsid w:val="006764A8"/>
    <w:rsid w:val="0068361F"/>
    <w:rsid w:val="00690DCA"/>
    <w:rsid w:val="006919B5"/>
    <w:rsid w:val="0069255C"/>
    <w:rsid w:val="00694E92"/>
    <w:rsid w:val="006978C8"/>
    <w:rsid w:val="006A5BE6"/>
    <w:rsid w:val="006A6222"/>
    <w:rsid w:val="006A63C0"/>
    <w:rsid w:val="006A7145"/>
    <w:rsid w:val="006A71F5"/>
    <w:rsid w:val="006B0C76"/>
    <w:rsid w:val="006B21A8"/>
    <w:rsid w:val="006C485D"/>
    <w:rsid w:val="006C4AE1"/>
    <w:rsid w:val="006D08DF"/>
    <w:rsid w:val="006D2872"/>
    <w:rsid w:val="006D515B"/>
    <w:rsid w:val="006D589D"/>
    <w:rsid w:val="006E03F9"/>
    <w:rsid w:val="006E2336"/>
    <w:rsid w:val="006E3A0B"/>
    <w:rsid w:val="006E49C3"/>
    <w:rsid w:val="006E6C5D"/>
    <w:rsid w:val="006E7B7E"/>
    <w:rsid w:val="006F1A3E"/>
    <w:rsid w:val="0070059F"/>
    <w:rsid w:val="0070364E"/>
    <w:rsid w:val="00703B50"/>
    <w:rsid w:val="0071143C"/>
    <w:rsid w:val="00711E87"/>
    <w:rsid w:val="0071577D"/>
    <w:rsid w:val="00715FF0"/>
    <w:rsid w:val="0072221E"/>
    <w:rsid w:val="00723B06"/>
    <w:rsid w:val="00725958"/>
    <w:rsid w:val="007267C3"/>
    <w:rsid w:val="00726907"/>
    <w:rsid w:val="007277B1"/>
    <w:rsid w:val="00730452"/>
    <w:rsid w:val="00731234"/>
    <w:rsid w:val="00732B06"/>
    <w:rsid w:val="00735776"/>
    <w:rsid w:val="00737474"/>
    <w:rsid w:val="0074235F"/>
    <w:rsid w:val="00742AA8"/>
    <w:rsid w:val="00744EEA"/>
    <w:rsid w:val="007456F0"/>
    <w:rsid w:val="00756025"/>
    <w:rsid w:val="00757634"/>
    <w:rsid w:val="00757EC1"/>
    <w:rsid w:val="007612CC"/>
    <w:rsid w:val="00761D93"/>
    <w:rsid w:val="007644D9"/>
    <w:rsid w:val="007667D8"/>
    <w:rsid w:val="0077082A"/>
    <w:rsid w:val="0077095B"/>
    <w:rsid w:val="00770E45"/>
    <w:rsid w:val="00774757"/>
    <w:rsid w:val="0078233E"/>
    <w:rsid w:val="00784447"/>
    <w:rsid w:val="00786D3A"/>
    <w:rsid w:val="00792C97"/>
    <w:rsid w:val="00793EEF"/>
    <w:rsid w:val="00796BD9"/>
    <w:rsid w:val="00797D20"/>
    <w:rsid w:val="007A0591"/>
    <w:rsid w:val="007A3C64"/>
    <w:rsid w:val="007A4373"/>
    <w:rsid w:val="007A5071"/>
    <w:rsid w:val="007A50CD"/>
    <w:rsid w:val="007A6062"/>
    <w:rsid w:val="007B09FD"/>
    <w:rsid w:val="007B5B55"/>
    <w:rsid w:val="007B6B30"/>
    <w:rsid w:val="007C5C65"/>
    <w:rsid w:val="007C5F9C"/>
    <w:rsid w:val="007D3B40"/>
    <w:rsid w:val="007D4C04"/>
    <w:rsid w:val="007D676B"/>
    <w:rsid w:val="007D7D85"/>
    <w:rsid w:val="007E09D5"/>
    <w:rsid w:val="007E0A0C"/>
    <w:rsid w:val="007E13CD"/>
    <w:rsid w:val="007E3456"/>
    <w:rsid w:val="007E4E39"/>
    <w:rsid w:val="007E6A4D"/>
    <w:rsid w:val="007E7F8F"/>
    <w:rsid w:val="007F059D"/>
    <w:rsid w:val="007F201B"/>
    <w:rsid w:val="007F59F4"/>
    <w:rsid w:val="007F6C3E"/>
    <w:rsid w:val="007F77EC"/>
    <w:rsid w:val="00801398"/>
    <w:rsid w:val="008019DB"/>
    <w:rsid w:val="00802CB4"/>
    <w:rsid w:val="00805DA1"/>
    <w:rsid w:val="008072E1"/>
    <w:rsid w:val="0081212C"/>
    <w:rsid w:val="008267E6"/>
    <w:rsid w:val="00832F8E"/>
    <w:rsid w:val="008368D1"/>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7D51"/>
    <w:rsid w:val="00873EFD"/>
    <w:rsid w:val="0088181C"/>
    <w:rsid w:val="00884E05"/>
    <w:rsid w:val="008872FF"/>
    <w:rsid w:val="008930BF"/>
    <w:rsid w:val="008952DA"/>
    <w:rsid w:val="0089680D"/>
    <w:rsid w:val="008A06D8"/>
    <w:rsid w:val="008A23E2"/>
    <w:rsid w:val="008A3DAB"/>
    <w:rsid w:val="008B21F2"/>
    <w:rsid w:val="008B29FD"/>
    <w:rsid w:val="008C22BE"/>
    <w:rsid w:val="008C6FE9"/>
    <w:rsid w:val="008D054A"/>
    <w:rsid w:val="008D52F8"/>
    <w:rsid w:val="008D5DA8"/>
    <w:rsid w:val="008D671E"/>
    <w:rsid w:val="008D7B94"/>
    <w:rsid w:val="008E0A81"/>
    <w:rsid w:val="008E66A8"/>
    <w:rsid w:val="008F2107"/>
    <w:rsid w:val="008F2EBE"/>
    <w:rsid w:val="00903394"/>
    <w:rsid w:val="00906310"/>
    <w:rsid w:val="00907224"/>
    <w:rsid w:val="009111A5"/>
    <w:rsid w:val="00912338"/>
    <w:rsid w:val="00915118"/>
    <w:rsid w:val="00915FAA"/>
    <w:rsid w:val="00915FE4"/>
    <w:rsid w:val="00916337"/>
    <w:rsid w:val="00916BDB"/>
    <w:rsid w:val="00924FE7"/>
    <w:rsid w:val="009327A5"/>
    <w:rsid w:val="00932C29"/>
    <w:rsid w:val="00934360"/>
    <w:rsid w:val="00936B86"/>
    <w:rsid w:val="00940FF0"/>
    <w:rsid w:val="00941048"/>
    <w:rsid w:val="0094123A"/>
    <w:rsid w:val="00942289"/>
    <w:rsid w:val="009451E2"/>
    <w:rsid w:val="0094665E"/>
    <w:rsid w:val="00947B1E"/>
    <w:rsid w:val="0095094A"/>
    <w:rsid w:val="009513F5"/>
    <w:rsid w:val="009517CF"/>
    <w:rsid w:val="00952E9D"/>
    <w:rsid w:val="00953985"/>
    <w:rsid w:val="009559E1"/>
    <w:rsid w:val="00960450"/>
    <w:rsid w:val="00962D33"/>
    <w:rsid w:val="0096326E"/>
    <w:rsid w:val="00964B5C"/>
    <w:rsid w:val="009651B6"/>
    <w:rsid w:val="00965B7C"/>
    <w:rsid w:val="0096667F"/>
    <w:rsid w:val="00973C39"/>
    <w:rsid w:val="00974187"/>
    <w:rsid w:val="00976717"/>
    <w:rsid w:val="00977E8A"/>
    <w:rsid w:val="0098229E"/>
    <w:rsid w:val="00986D64"/>
    <w:rsid w:val="00994326"/>
    <w:rsid w:val="00997A5E"/>
    <w:rsid w:val="009A5283"/>
    <w:rsid w:val="009B18E6"/>
    <w:rsid w:val="009B1E70"/>
    <w:rsid w:val="009B2228"/>
    <w:rsid w:val="009B49E7"/>
    <w:rsid w:val="009B70BF"/>
    <w:rsid w:val="009B7C08"/>
    <w:rsid w:val="009B7F77"/>
    <w:rsid w:val="009C0BA5"/>
    <w:rsid w:val="009C109E"/>
    <w:rsid w:val="009C551D"/>
    <w:rsid w:val="009C5955"/>
    <w:rsid w:val="009D0767"/>
    <w:rsid w:val="009D1705"/>
    <w:rsid w:val="009E023E"/>
    <w:rsid w:val="009E1FCB"/>
    <w:rsid w:val="009E3162"/>
    <w:rsid w:val="009E3781"/>
    <w:rsid w:val="009E6668"/>
    <w:rsid w:val="009F18BB"/>
    <w:rsid w:val="009F22D8"/>
    <w:rsid w:val="009F3BC0"/>
    <w:rsid w:val="009F589B"/>
    <w:rsid w:val="009F5E5A"/>
    <w:rsid w:val="009F6A52"/>
    <w:rsid w:val="009F7E51"/>
    <w:rsid w:val="00A042E3"/>
    <w:rsid w:val="00A06779"/>
    <w:rsid w:val="00A07AA1"/>
    <w:rsid w:val="00A07CFD"/>
    <w:rsid w:val="00A11F9E"/>
    <w:rsid w:val="00A12B98"/>
    <w:rsid w:val="00A13F0D"/>
    <w:rsid w:val="00A16E2F"/>
    <w:rsid w:val="00A16F5C"/>
    <w:rsid w:val="00A2261A"/>
    <w:rsid w:val="00A27E2E"/>
    <w:rsid w:val="00A30861"/>
    <w:rsid w:val="00A320EB"/>
    <w:rsid w:val="00A32653"/>
    <w:rsid w:val="00A4003D"/>
    <w:rsid w:val="00A400DE"/>
    <w:rsid w:val="00A40C54"/>
    <w:rsid w:val="00A41BF3"/>
    <w:rsid w:val="00A50BB6"/>
    <w:rsid w:val="00A50F73"/>
    <w:rsid w:val="00A53105"/>
    <w:rsid w:val="00A551D4"/>
    <w:rsid w:val="00A5541D"/>
    <w:rsid w:val="00A61205"/>
    <w:rsid w:val="00A64400"/>
    <w:rsid w:val="00A71AD7"/>
    <w:rsid w:val="00A76444"/>
    <w:rsid w:val="00A77B8F"/>
    <w:rsid w:val="00A8134D"/>
    <w:rsid w:val="00A81F44"/>
    <w:rsid w:val="00A8291A"/>
    <w:rsid w:val="00A84F34"/>
    <w:rsid w:val="00A86111"/>
    <w:rsid w:val="00A86B99"/>
    <w:rsid w:val="00A87CD7"/>
    <w:rsid w:val="00A92CCB"/>
    <w:rsid w:val="00A96129"/>
    <w:rsid w:val="00A9745D"/>
    <w:rsid w:val="00A97952"/>
    <w:rsid w:val="00A979DE"/>
    <w:rsid w:val="00AA51AB"/>
    <w:rsid w:val="00AA5781"/>
    <w:rsid w:val="00AB4E32"/>
    <w:rsid w:val="00AB5C0F"/>
    <w:rsid w:val="00AB6217"/>
    <w:rsid w:val="00AB6DF0"/>
    <w:rsid w:val="00AC1EC8"/>
    <w:rsid w:val="00AC37F5"/>
    <w:rsid w:val="00AC516E"/>
    <w:rsid w:val="00AD03FE"/>
    <w:rsid w:val="00AD3FD0"/>
    <w:rsid w:val="00AD43F4"/>
    <w:rsid w:val="00AD790E"/>
    <w:rsid w:val="00AE10B3"/>
    <w:rsid w:val="00AE3036"/>
    <w:rsid w:val="00AF0115"/>
    <w:rsid w:val="00AF046E"/>
    <w:rsid w:val="00AF295C"/>
    <w:rsid w:val="00AF3A40"/>
    <w:rsid w:val="00AF537F"/>
    <w:rsid w:val="00AF5735"/>
    <w:rsid w:val="00B016ED"/>
    <w:rsid w:val="00B02955"/>
    <w:rsid w:val="00B02F9F"/>
    <w:rsid w:val="00B07A1C"/>
    <w:rsid w:val="00B103EB"/>
    <w:rsid w:val="00B1318A"/>
    <w:rsid w:val="00B14063"/>
    <w:rsid w:val="00B16C25"/>
    <w:rsid w:val="00B25BFD"/>
    <w:rsid w:val="00B312BF"/>
    <w:rsid w:val="00B32FE9"/>
    <w:rsid w:val="00B34085"/>
    <w:rsid w:val="00B354B9"/>
    <w:rsid w:val="00B35A9E"/>
    <w:rsid w:val="00B35CDC"/>
    <w:rsid w:val="00B37C1F"/>
    <w:rsid w:val="00B37CC6"/>
    <w:rsid w:val="00B50C19"/>
    <w:rsid w:val="00B54D59"/>
    <w:rsid w:val="00B57535"/>
    <w:rsid w:val="00B639CF"/>
    <w:rsid w:val="00B64EC3"/>
    <w:rsid w:val="00B66C6A"/>
    <w:rsid w:val="00B72DD0"/>
    <w:rsid w:val="00B82304"/>
    <w:rsid w:val="00B82CBD"/>
    <w:rsid w:val="00B836FB"/>
    <w:rsid w:val="00B83EE1"/>
    <w:rsid w:val="00B9588C"/>
    <w:rsid w:val="00B95BFB"/>
    <w:rsid w:val="00BA3483"/>
    <w:rsid w:val="00BB0AB8"/>
    <w:rsid w:val="00BB4A85"/>
    <w:rsid w:val="00BB7DCC"/>
    <w:rsid w:val="00BC4062"/>
    <w:rsid w:val="00BD1FC3"/>
    <w:rsid w:val="00BD26AD"/>
    <w:rsid w:val="00BD32E0"/>
    <w:rsid w:val="00BD36A1"/>
    <w:rsid w:val="00BE0F56"/>
    <w:rsid w:val="00BE5F51"/>
    <w:rsid w:val="00BE7A8A"/>
    <w:rsid w:val="00BF5938"/>
    <w:rsid w:val="00BF68FA"/>
    <w:rsid w:val="00BF741D"/>
    <w:rsid w:val="00C00F51"/>
    <w:rsid w:val="00C10B73"/>
    <w:rsid w:val="00C14E3E"/>
    <w:rsid w:val="00C157AB"/>
    <w:rsid w:val="00C1782C"/>
    <w:rsid w:val="00C2311A"/>
    <w:rsid w:val="00C25F9D"/>
    <w:rsid w:val="00C26062"/>
    <w:rsid w:val="00C27E1C"/>
    <w:rsid w:val="00C304E4"/>
    <w:rsid w:val="00C32461"/>
    <w:rsid w:val="00C32F7B"/>
    <w:rsid w:val="00C336BF"/>
    <w:rsid w:val="00C34018"/>
    <w:rsid w:val="00C345A2"/>
    <w:rsid w:val="00C400A2"/>
    <w:rsid w:val="00C41494"/>
    <w:rsid w:val="00C416FB"/>
    <w:rsid w:val="00C460FB"/>
    <w:rsid w:val="00C46227"/>
    <w:rsid w:val="00C46C7C"/>
    <w:rsid w:val="00C475A0"/>
    <w:rsid w:val="00C51490"/>
    <w:rsid w:val="00C53BFE"/>
    <w:rsid w:val="00C56064"/>
    <w:rsid w:val="00C565ED"/>
    <w:rsid w:val="00C60705"/>
    <w:rsid w:val="00C62E52"/>
    <w:rsid w:val="00C64B19"/>
    <w:rsid w:val="00C65148"/>
    <w:rsid w:val="00C66978"/>
    <w:rsid w:val="00C71204"/>
    <w:rsid w:val="00C7237F"/>
    <w:rsid w:val="00C73DED"/>
    <w:rsid w:val="00C8342B"/>
    <w:rsid w:val="00C83BD0"/>
    <w:rsid w:val="00C84B56"/>
    <w:rsid w:val="00C857B3"/>
    <w:rsid w:val="00C91682"/>
    <w:rsid w:val="00C92020"/>
    <w:rsid w:val="00C95AB5"/>
    <w:rsid w:val="00C962D0"/>
    <w:rsid w:val="00C96672"/>
    <w:rsid w:val="00CA091E"/>
    <w:rsid w:val="00CA1F91"/>
    <w:rsid w:val="00CA28E2"/>
    <w:rsid w:val="00CA63E7"/>
    <w:rsid w:val="00CA6D5A"/>
    <w:rsid w:val="00CB189D"/>
    <w:rsid w:val="00CB56C8"/>
    <w:rsid w:val="00CB782E"/>
    <w:rsid w:val="00CC31FF"/>
    <w:rsid w:val="00CC3F19"/>
    <w:rsid w:val="00CD2D26"/>
    <w:rsid w:val="00CD575A"/>
    <w:rsid w:val="00CD580C"/>
    <w:rsid w:val="00CD76FA"/>
    <w:rsid w:val="00CE1989"/>
    <w:rsid w:val="00CE22D4"/>
    <w:rsid w:val="00CE2D59"/>
    <w:rsid w:val="00CE3403"/>
    <w:rsid w:val="00CF10F5"/>
    <w:rsid w:val="00CF1FB5"/>
    <w:rsid w:val="00CF3064"/>
    <w:rsid w:val="00CF7886"/>
    <w:rsid w:val="00D00BFB"/>
    <w:rsid w:val="00D0118F"/>
    <w:rsid w:val="00D0232E"/>
    <w:rsid w:val="00D02956"/>
    <w:rsid w:val="00D037A7"/>
    <w:rsid w:val="00D03E5C"/>
    <w:rsid w:val="00D03F8E"/>
    <w:rsid w:val="00D057A6"/>
    <w:rsid w:val="00D0581F"/>
    <w:rsid w:val="00D15AA6"/>
    <w:rsid w:val="00D24238"/>
    <w:rsid w:val="00D26B6C"/>
    <w:rsid w:val="00D33DCB"/>
    <w:rsid w:val="00D34380"/>
    <w:rsid w:val="00D34D87"/>
    <w:rsid w:val="00D359A0"/>
    <w:rsid w:val="00D35C04"/>
    <w:rsid w:val="00D3767D"/>
    <w:rsid w:val="00D4503D"/>
    <w:rsid w:val="00D450DE"/>
    <w:rsid w:val="00D462C9"/>
    <w:rsid w:val="00D470C3"/>
    <w:rsid w:val="00D54372"/>
    <w:rsid w:val="00D557CE"/>
    <w:rsid w:val="00D560B5"/>
    <w:rsid w:val="00D5632E"/>
    <w:rsid w:val="00D5771E"/>
    <w:rsid w:val="00D62783"/>
    <w:rsid w:val="00D62A2A"/>
    <w:rsid w:val="00D637FE"/>
    <w:rsid w:val="00D70437"/>
    <w:rsid w:val="00D706F5"/>
    <w:rsid w:val="00D70D48"/>
    <w:rsid w:val="00D7411A"/>
    <w:rsid w:val="00D7419E"/>
    <w:rsid w:val="00D751BD"/>
    <w:rsid w:val="00D77978"/>
    <w:rsid w:val="00D85772"/>
    <w:rsid w:val="00D869CA"/>
    <w:rsid w:val="00D8729B"/>
    <w:rsid w:val="00D904BC"/>
    <w:rsid w:val="00D91A3A"/>
    <w:rsid w:val="00D93EC7"/>
    <w:rsid w:val="00D94A9F"/>
    <w:rsid w:val="00D96521"/>
    <w:rsid w:val="00DA27B4"/>
    <w:rsid w:val="00DA5139"/>
    <w:rsid w:val="00DA7D45"/>
    <w:rsid w:val="00DB39E6"/>
    <w:rsid w:val="00DB42A9"/>
    <w:rsid w:val="00DB5E7C"/>
    <w:rsid w:val="00DC54CD"/>
    <w:rsid w:val="00DE1F6D"/>
    <w:rsid w:val="00DF3C0C"/>
    <w:rsid w:val="00DF3E90"/>
    <w:rsid w:val="00DF526F"/>
    <w:rsid w:val="00DF79A3"/>
    <w:rsid w:val="00E024AC"/>
    <w:rsid w:val="00E02FA0"/>
    <w:rsid w:val="00E044F8"/>
    <w:rsid w:val="00E04C4F"/>
    <w:rsid w:val="00E11D86"/>
    <w:rsid w:val="00E1385F"/>
    <w:rsid w:val="00E15A08"/>
    <w:rsid w:val="00E162A9"/>
    <w:rsid w:val="00E17A05"/>
    <w:rsid w:val="00E20A00"/>
    <w:rsid w:val="00E20D0A"/>
    <w:rsid w:val="00E268D0"/>
    <w:rsid w:val="00E2733F"/>
    <w:rsid w:val="00E301DA"/>
    <w:rsid w:val="00E36BA7"/>
    <w:rsid w:val="00E43C58"/>
    <w:rsid w:val="00E44967"/>
    <w:rsid w:val="00E4686F"/>
    <w:rsid w:val="00E46B36"/>
    <w:rsid w:val="00E50AB9"/>
    <w:rsid w:val="00E535FD"/>
    <w:rsid w:val="00E62F17"/>
    <w:rsid w:val="00E63527"/>
    <w:rsid w:val="00E65E0A"/>
    <w:rsid w:val="00E66984"/>
    <w:rsid w:val="00E67661"/>
    <w:rsid w:val="00E718E7"/>
    <w:rsid w:val="00E75A85"/>
    <w:rsid w:val="00E779DC"/>
    <w:rsid w:val="00E816C0"/>
    <w:rsid w:val="00E817D0"/>
    <w:rsid w:val="00E855CA"/>
    <w:rsid w:val="00E85852"/>
    <w:rsid w:val="00E85BC8"/>
    <w:rsid w:val="00E8747A"/>
    <w:rsid w:val="00E91536"/>
    <w:rsid w:val="00EA08D5"/>
    <w:rsid w:val="00EA2150"/>
    <w:rsid w:val="00EA498E"/>
    <w:rsid w:val="00EA61A6"/>
    <w:rsid w:val="00EB6568"/>
    <w:rsid w:val="00EC1345"/>
    <w:rsid w:val="00ED287A"/>
    <w:rsid w:val="00ED4237"/>
    <w:rsid w:val="00ED4644"/>
    <w:rsid w:val="00EE1672"/>
    <w:rsid w:val="00EE2357"/>
    <w:rsid w:val="00EE3E9C"/>
    <w:rsid w:val="00EE4A4A"/>
    <w:rsid w:val="00EF4C70"/>
    <w:rsid w:val="00EF5032"/>
    <w:rsid w:val="00F0343D"/>
    <w:rsid w:val="00F04E8A"/>
    <w:rsid w:val="00F052CA"/>
    <w:rsid w:val="00F06D3C"/>
    <w:rsid w:val="00F13B52"/>
    <w:rsid w:val="00F16A33"/>
    <w:rsid w:val="00F16AD9"/>
    <w:rsid w:val="00F1728A"/>
    <w:rsid w:val="00F2018A"/>
    <w:rsid w:val="00F26175"/>
    <w:rsid w:val="00F305EE"/>
    <w:rsid w:val="00F31B3D"/>
    <w:rsid w:val="00F328E0"/>
    <w:rsid w:val="00F33FF5"/>
    <w:rsid w:val="00F36916"/>
    <w:rsid w:val="00F421A8"/>
    <w:rsid w:val="00F4344D"/>
    <w:rsid w:val="00F4357F"/>
    <w:rsid w:val="00F441B5"/>
    <w:rsid w:val="00F450A6"/>
    <w:rsid w:val="00F479BC"/>
    <w:rsid w:val="00F5196C"/>
    <w:rsid w:val="00F52BC3"/>
    <w:rsid w:val="00F636CD"/>
    <w:rsid w:val="00F64B07"/>
    <w:rsid w:val="00F658A7"/>
    <w:rsid w:val="00F67CA1"/>
    <w:rsid w:val="00F71E52"/>
    <w:rsid w:val="00F84BC7"/>
    <w:rsid w:val="00F86D52"/>
    <w:rsid w:val="00F93181"/>
    <w:rsid w:val="00F93FC8"/>
    <w:rsid w:val="00F9422C"/>
    <w:rsid w:val="00FA2B4B"/>
    <w:rsid w:val="00FA4615"/>
    <w:rsid w:val="00FA5727"/>
    <w:rsid w:val="00FA7E8C"/>
    <w:rsid w:val="00FB39B7"/>
    <w:rsid w:val="00FB50B0"/>
    <w:rsid w:val="00FB6528"/>
    <w:rsid w:val="00FB7AB9"/>
    <w:rsid w:val="00FC6D83"/>
    <w:rsid w:val="00FC6E63"/>
    <w:rsid w:val="00FD01FD"/>
    <w:rsid w:val="00FD2F4A"/>
    <w:rsid w:val="00FD3880"/>
    <w:rsid w:val="00FD51F4"/>
    <w:rsid w:val="00FD7070"/>
    <w:rsid w:val="00FD7C01"/>
    <w:rsid w:val="00FE071D"/>
    <w:rsid w:val="00FE14FC"/>
    <w:rsid w:val="00FE2E9E"/>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glossaryDocument" Target="glossary/document.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5B6"/>
    <w:rsid w:val="00012678"/>
    <w:rsid w:val="000B2F64"/>
    <w:rsid w:val="003F36B9"/>
    <w:rsid w:val="005F7202"/>
    <w:rsid w:val="008665B6"/>
    <w:rsid w:val="0087740D"/>
    <w:rsid w:val="00904FAE"/>
    <w:rsid w:val="00994BF9"/>
    <w:rsid w:val="009D490D"/>
    <w:rsid w:val="00A245C5"/>
    <w:rsid w:val="00C97341"/>
    <w:rsid w:val="00CB32A5"/>
    <w:rsid w:val="00E30360"/>
    <w:rsid w:val="00E333E5"/>
    <w:rsid w:val="00E54213"/>
    <w:rsid w:val="00F25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26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170</Pages>
  <Words>45795</Words>
  <Characters>261032</Characters>
  <Application>Microsoft Office Word</Application>
  <DocSecurity>0</DocSecurity>
  <Lines>2175</Lines>
  <Paragraphs>612</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306215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10</cp:revision>
  <dcterms:created xsi:type="dcterms:W3CDTF">2015-03-31T22:04:00Z</dcterms:created>
  <dcterms:modified xsi:type="dcterms:W3CDTF">2015-04-01T02:45:00Z</dcterms:modified>
</cp:coreProperties>
</file>