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B83A7E">
        <w:rPr>
          <w:b/>
          <w:bCs/>
        </w:rPr>
        <w:t>7</w:t>
      </w:r>
      <w:r w:rsidR="00553B00">
        <w:t xml:space="preserve"> </w:t>
      </w:r>
      <w:r w:rsidR="00222999">
        <w:t>2</w:t>
      </w:r>
      <w:r w:rsidR="00B83A7E">
        <w:t>2</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C7707"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C7707"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C7707"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C7707"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C7707"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C7707"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DC7707"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DC7707"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C7707"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C7707"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C7707"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C7707"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C7707"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C7707"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C7707"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C7707"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C7707"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C7707"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C7707"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C7707"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C7707"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C7707"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C7707"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C7707"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 xml:space="preserve">-dimensional Eucliedean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2A87">
      <w:pPr>
        <w:pStyle w:val="Footer"/>
        <w:numPr>
          <w:ilvl w:val="0"/>
          <w:numId w:val="153"/>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2A87">
      <w:pPr>
        <w:pStyle w:val="Footer"/>
        <w:numPr>
          <w:ilvl w:val="0"/>
          <w:numId w:val="153"/>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2A87">
      <w:pPr>
        <w:pStyle w:val="Footer"/>
        <w:numPr>
          <w:ilvl w:val="0"/>
          <w:numId w:val="153"/>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2A87">
      <w:pPr>
        <w:pStyle w:val="Footer"/>
        <w:numPr>
          <w:ilvl w:val="0"/>
          <w:numId w:val="153"/>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2A87">
      <w:pPr>
        <w:pStyle w:val="Footer"/>
        <w:numPr>
          <w:ilvl w:val="0"/>
          <w:numId w:val="153"/>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2A87">
      <w:pPr>
        <w:pStyle w:val="Footer"/>
        <w:numPr>
          <w:ilvl w:val="0"/>
          <w:numId w:val="153"/>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2A87">
      <w:pPr>
        <w:pStyle w:val="Footer"/>
        <w:numPr>
          <w:ilvl w:val="0"/>
          <w:numId w:val="153"/>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602A87">
      <w:pPr>
        <w:pStyle w:val="Footer"/>
        <w:numPr>
          <w:ilvl w:val="0"/>
          <w:numId w:val="154"/>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602A87">
      <w:pPr>
        <w:pStyle w:val="Footer"/>
        <w:numPr>
          <w:ilvl w:val="0"/>
          <w:numId w:val="154"/>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602A87">
      <w:pPr>
        <w:pStyle w:val="Footer"/>
        <w:numPr>
          <w:ilvl w:val="0"/>
          <w:numId w:val="154"/>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602A87">
      <w:pPr>
        <w:pStyle w:val="Footer"/>
        <w:numPr>
          <w:ilvl w:val="1"/>
          <w:numId w:val="154"/>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602A87">
      <w:pPr>
        <w:pStyle w:val="Footer"/>
        <w:numPr>
          <w:ilvl w:val="0"/>
          <w:numId w:val="154"/>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602A87">
      <w:pPr>
        <w:pStyle w:val="Footer"/>
        <w:numPr>
          <w:ilvl w:val="1"/>
          <w:numId w:val="154"/>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602A87">
      <w:pPr>
        <w:pStyle w:val="Footer"/>
        <w:numPr>
          <w:ilvl w:val="0"/>
          <w:numId w:val="154"/>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602A87">
      <w:pPr>
        <w:pStyle w:val="Footer"/>
        <w:numPr>
          <w:ilvl w:val="0"/>
          <w:numId w:val="154"/>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602A87">
      <w:pPr>
        <w:pStyle w:val="Footer"/>
        <w:numPr>
          <w:ilvl w:val="0"/>
          <w:numId w:val="154"/>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02A87">
      <w:pPr>
        <w:pStyle w:val="Footer"/>
        <w:numPr>
          <w:ilvl w:val="0"/>
          <w:numId w:val="155"/>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02A87">
      <w:pPr>
        <w:pStyle w:val="Footer"/>
        <w:numPr>
          <w:ilvl w:val="0"/>
          <w:numId w:val="155"/>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02A87">
      <w:pPr>
        <w:pStyle w:val="Footer"/>
        <w:numPr>
          <w:ilvl w:val="0"/>
          <w:numId w:val="155"/>
        </w:numPr>
        <w:tabs>
          <w:tab w:val="clear" w:pos="4320"/>
          <w:tab w:val="clear" w:pos="8640"/>
        </w:tabs>
        <w:spacing w:line="360" w:lineRule="auto"/>
      </w:pPr>
      <w:r>
        <w:rPr>
          <w:u w:val="single"/>
        </w:rPr>
        <w:t>Proof</w:t>
      </w:r>
      <w:r w:rsidRPr="002C7B55">
        <w:t>:</w:t>
      </w:r>
    </w:p>
    <w:p w:rsidR="002C7B55" w:rsidRDefault="002C7B55" w:rsidP="00602A87">
      <w:pPr>
        <w:pStyle w:val="Footer"/>
        <w:numPr>
          <w:ilvl w:val="1"/>
          <w:numId w:val="155"/>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602A87">
      <w:pPr>
        <w:pStyle w:val="Footer"/>
        <w:numPr>
          <w:ilvl w:val="1"/>
          <w:numId w:val="155"/>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602A87">
      <w:pPr>
        <w:pStyle w:val="Footer"/>
        <w:numPr>
          <w:ilvl w:val="1"/>
          <w:numId w:val="155"/>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602A87">
      <w:pPr>
        <w:pStyle w:val="Footer"/>
        <w:numPr>
          <w:ilvl w:val="1"/>
          <w:numId w:val="155"/>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602A87">
      <w:pPr>
        <w:pStyle w:val="Footer"/>
        <w:numPr>
          <w:ilvl w:val="1"/>
          <w:numId w:val="155"/>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602A87">
      <w:pPr>
        <w:pStyle w:val="Footer"/>
        <w:numPr>
          <w:ilvl w:val="1"/>
          <w:numId w:val="155"/>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C7707">
      <w:pPr>
        <w:pStyle w:val="Footer"/>
        <w:numPr>
          <w:ilvl w:val="0"/>
          <w:numId w:val="150"/>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C7707">
      <w:pPr>
        <w:pStyle w:val="Footer"/>
        <w:numPr>
          <w:ilvl w:val="0"/>
          <w:numId w:val="150"/>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602A87">
      <w:pPr>
        <w:pStyle w:val="Footer"/>
        <w:numPr>
          <w:ilvl w:val="0"/>
          <w:numId w:val="157"/>
        </w:numPr>
        <w:tabs>
          <w:tab w:val="clear" w:pos="4320"/>
          <w:tab w:val="clear" w:pos="8640"/>
        </w:tabs>
        <w:spacing w:line="360" w:lineRule="auto"/>
      </w:pPr>
      <w:r>
        <w:rPr>
          <w:u w:val="single"/>
        </w:rPr>
        <w:t>Choosing the Kernel and the Bandwidth</w:t>
      </w:r>
      <w:r>
        <w:t xml:space="preserve">: </w:t>
      </w:r>
      <w:r>
        <w:t>While the results do not aid in the selection of the kernel machines per se, they offer suggestions on the choice of bandwidth</w:t>
      </w:r>
      <w:r>
        <w:t>.</w:t>
      </w:r>
      <w:r>
        <w:t xml:space="preserve">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602A87">
      <w:pPr>
        <w:pStyle w:val="Footer"/>
        <w:numPr>
          <w:ilvl w:val="0"/>
          <w:numId w:val="157"/>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w:rPr>
            <w:rFonts w:ascii="Cambria Math" w:hAnsi="Cambria Math"/>
          </w:rPr>
          <m:t>=</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602A87">
      <w:pPr>
        <w:pStyle w:val="Footer"/>
        <w:numPr>
          <w:ilvl w:val="0"/>
          <w:numId w:val="157"/>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r>
              <m:rPr>
                <m:scr m:val="script"/>
              </m:rPr>
              <w:rPr>
                <w:rFonts w:ascii="Cambria Math" w:hAnsi="Cambria Math"/>
              </w:rPr>
              <m:t>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w:rPr>
                <w:rFonts w:ascii="Cambria Math" w:hAnsi="Cambria Math"/>
              </w:rPr>
              <m:t>∈</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r>
              <m:rPr>
                <m:scr m:val="script"/>
              </m:rPr>
              <w:rPr>
                <w:rFonts w:ascii="Cambria Math" w:hAnsi="Cambria Math"/>
              </w:rPr>
              <m:t>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602A87">
      <w:pPr>
        <w:pStyle w:val="Footer"/>
        <w:numPr>
          <w:ilvl w:val="0"/>
          <w:numId w:val="157"/>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602A87">
      <w:pPr>
        <w:pStyle w:val="Footer"/>
        <w:numPr>
          <w:ilvl w:val="0"/>
          <w:numId w:val="158"/>
        </w:numPr>
        <w:tabs>
          <w:tab w:val="clear" w:pos="4320"/>
          <w:tab w:val="clear" w:pos="8640"/>
        </w:tabs>
        <w:spacing w:line="360" w:lineRule="auto"/>
      </w:pPr>
      <w:r>
        <w:rPr>
          <w:u w:val="single"/>
        </w:rPr>
        <w:t>Overall Bounds of Learning Machines</w:t>
      </w:r>
      <w:r>
        <w:t xml:space="preserve">: </w:t>
      </w:r>
      <w:r>
        <w:t>The overall bounds for SV classes, via a more involved argument, can be somewhat simplified (Guo, Bartlett, Shawe-Taylor, and Williamson (1999))</w:t>
      </w:r>
      <w:r>
        <w:t>.</w:t>
      </w:r>
      <w:r>
        <w:t xml:space="preserve"> The general approach can be applied to various other learning machines such as convex combinations of basis functions and multi-layer networks (Smola, Elisseff, Scholkopf, and Williamson (2000)).</w:t>
      </w:r>
    </w:p>
    <w:p w:rsidR="003B7990" w:rsidRDefault="003B7990" w:rsidP="00602A87">
      <w:pPr>
        <w:pStyle w:val="Footer"/>
        <w:numPr>
          <w:ilvl w:val="0"/>
          <w:numId w:val="158"/>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602A87">
      <w:pPr>
        <w:pStyle w:val="Footer"/>
        <w:numPr>
          <w:ilvl w:val="0"/>
          <w:numId w:val="158"/>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581198">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581198">
      <w:pPr>
        <w:pStyle w:val="Footer"/>
        <w:numPr>
          <w:ilvl w:val="0"/>
          <w:numId w:val="117"/>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581198">
      <w:pPr>
        <w:pStyle w:val="Footer"/>
        <w:numPr>
          <w:ilvl w:val="0"/>
          <w:numId w:val="117"/>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3B7990">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797293">
      <w:pPr>
        <w:pStyle w:val="Footer"/>
        <w:numPr>
          <w:ilvl w:val="0"/>
          <w:numId w:val="117"/>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FA1B54">
      <w:pPr>
        <w:pStyle w:val="Footer"/>
        <w:numPr>
          <w:ilvl w:val="0"/>
          <w:numId w:val="117"/>
        </w:numPr>
        <w:tabs>
          <w:tab w:val="clear" w:pos="4320"/>
          <w:tab w:val="clear" w:pos="8640"/>
        </w:tabs>
        <w:spacing w:line="360" w:lineRule="auto"/>
      </w:pPr>
      <w:r>
        <w:t xml:space="preserve">Williamson, R. C., A. J. Smola, and B. Scholkopf </w:t>
      </w:r>
      <w:r>
        <w:t>(2000</w:t>
      </w:r>
      <w:r>
        <w:t xml:space="preserve">): </w:t>
      </w:r>
      <w:r>
        <w:t xml:space="preserve">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bookmarkStart w:id="0" w:name="_GoBack"/>
      <w:bookmarkEnd w:id="0"/>
    </w:p>
    <w:p w:rsidR="00581198" w:rsidRDefault="00581198" w:rsidP="00581198">
      <w:pPr>
        <w:pStyle w:val="Footer"/>
        <w:numPr>
          <w:ilvl w:val="0"/>
          <w:numId w:val="117"/>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602A87">
      <w:pPr>
        <w:pStyle w:val="Footer"/>
        <w:numPr>
          <w:ilvl w:val="0"/>
          <w:numId w:val="15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02A87">
      <w:pPr>
        <w:pStyle w:val="Footer"/>
        <w:numPr>
          <w:ilvl w:val="0"/>
          <w:numId w:val="156"/>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87" w:rsidRDefault="00602A87" w:rsidP="00240A74">
      <w:r>
        <w:separator/>
      </w:r>
    </w:p>
  </w:endnote>
  <w:endnote w:type="continuationSeparator" w:id="0">
    <w:p w:rsidR="00602A87" w:rsidRDefault="00602A87"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DC7707" w:rsidRDefault="00DC7707">
        <w:pPr>
          <w:pStyle w:val="Footer"/>
          <w:jc w:val="center"/>
        </w:pPr>
        <w:r>
          <w:fldChar w:fldCharType="begin"/>
        </w:r>
        <w:r>
          <w:instrText xml:space="preserve"> PAGE   \* MERGEFORMAT </w:instrText>
        </w:r>
        <w:r>
          <w:fldChar w:fldCharType="separate"/>
        </w:r>
        <w:r w:rsidR="00FA1B54">
          <w:rPr>
            <w:noProof/>
          </w:rPr>
          <w:t>201</w:t>
        </w:r>
        <w:r>
          <w:rPr>
            <w:noProof/>
          </w:rPr>
          <w:fldChar w:fldCharType="end"/>
        </w:r>
      </w:p>
    </w:sdtContent>
  </w:sdt>
  <w:p w:rsidR="00DC7707" w:rsidRDefault="00DC7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87" w:rsidRDefault="00602A87" w:rsidP="00240A74">
      <w:r>
        <w:separator/>
      </w:r>
    </w:p>
  </w:footnote>
  <w:footnote w:type="continuationSeparator" w:id="0">
    <w:p w:rsidR="00602A87" w:rsidRDefault="00602A87"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7"/>
  </w:num>
  <w:num w:numId="2">
    <w:abstractNumId w:val="124"/>
  </w:num>
  <w:num w:numId="3">
    <w:abstractNumId w:val="123"/>
  </w:num>
  <w:num w:numId="4">
    <w:abstractNumId w:val="8"/>
  </w:num>
  <w:num w:numId="5">
    <w:abstractNumId w:val="134"/>
  </w:num>
  <w:num w:numId="6">
    <w:abstractNumId w:val="13"/>
  </w:num>
  <w:num w:numId="7">
    <w:abstractNumId w:val="114"/>
  </w:num>
  <w:num w:numId="8">
    <w:abstractNumId w:val="65"/>
  </w:num>
  <w:num w:numId="9">
    <w:abstractNumId w:val="99"/>
  </w:num>
  <w:num w:numId="10">
    <w:abstractNumId w:val="154"/>
  </w:num>
  <w:num w:numId="11">
    <w:abstractNumId w:val="4"/>
  </w:num>
  <w:num w:numId="12">
    <w:abstractNumId w:val="132"/>
  </w:num>
  <w:num w:numId="13">
    <w:abstractNumId w:val="23"/>
  </w:num>
  <w:num w:numId="14">
    <w:abstractNumId w:val="64"/>
  </w:num>
  <w:num w:numId="15">
    <w:abstractNumId w:val="140"/>
  </w:num>
  <w:num w:numId="16">
    <w:abstractNumId w:val="35"/>
  </w:num>
  <w:num w:numId="17">
    <w:abstractNumId w:val="34"/>
  </w:num>
  <w:num w:numId="18">
    <w:abstractNumId w:val="83"/>
  </w:num>
  <w:num w:numId="19">
    <w:abstractNumId w:val="81"/>
  </w:num>
  <w:num w:numId="20">
    <w:abstractNumId w:val="94"/>
  </w:num>
  <w:num w:numId="21">
    <w:abstractNumId w:val="51"/>
  </w:num>
  <w:num w:numId="22">
    <w:abstractNumId w:val="31"/>
  </w:num>
  <w:num w:numId="23">
    <w:abstractNumId w:val="84"/>
  </w:num>
  <w:num w:numId="24">
    <w:abstractNumId w:val="71"/>
  </w:num>
  <w:num w:numId="25">
    <w:abstractNumId w:val="109"/>
  </w:num>
  <w:num w:numId="26">
    <w:abstractNumId w:val="26"/>
  </w:num>
  <w:num w:numId="27">
    <w:abstractNumId w:val="24"/>
  </w:num>
  <w:num w:numId="28">
    <w:abstractNumId w:val="78"/>
  </w:num>
  <w:num w:numId="29">
    <w:abstractNumId w:val="48"/>
  </w:num>
  <w:num w:numId="30">
    <w:abstractNumId w:val="5"/>
  </w:num>
  <w:num w:numId="31">
    <w:abstractNumId w:val="21"/>
  </w:num>
  <w:num w:numId="32">
    <w:abstractNumId w:val="138"/>
  </w:num>
  <w:num w:numId="33">
    <w:abstractNumId w:val="113"/>
  </w:num>
  <w:num w:numId="34">
    <w:abstractNumId w:val="12"/>
  </w:num>
  <w:num w:numId="35">
    <w:abstractNumId w:val="41"/>
  </w:num>
  <w:num w:numId="36">
    <w:abstractNumId w:val="7"/>
  </w:num>
  <w:num w:numId="37">
    <w:abstractNumId w:val="146"/>
  </w:num>
  <w:num w:numId="38">
    <w:abstractNumId w:val="27"/>
  </w:num>
  <w:num w:numId="39">
    <w:abstractNumId w:val="79"/>
  </w:num>
  <w:num w:numId="40">
    <w:abstractNumId w:val="85"/>
  </w:num>
  <w:num w:numId="41">
    <w:abstractNumId w:val="45"/>
  </w:num>
  <w:num w:numId="42">
    <w:abstractNumId w:val="72"/>
  </w:num>
  <w:num w:numId="43">
    <w:abstractNumId w:val="156"/>
  </w:num>
  <w:num w:numId="44">
    <w:abstractNumId w:val="130"/>
  </w:num>
  <w:num w:numId="45">
    <w:abstractNumId w:val="40"/>
  </w:num>
  <w:num w:numId="46">
    <w:abstractNumId w:val="6"/>
  </w:num>
  <w:num w:numId="47">
    <w:abstractNumId w:val="104"/>
  </w:num>
  <w:num w:numId="48">
    <w:abstractNumId w:val="20"/>
  </w:num>
  <w:num w:numId="49">
    <w:abstractNumId w:val="143"/>
  </w:num>
  <w:num w:numId="50">
    <w:abstractNumId w:val="38"/>
  </w:num>
  <w:num w:numId="51">
    <w:abstractNumId w:val="73"/>
  </w:num>
  <w:num w:numId="52">
    <w:abstractNumId w:val="153"/>
  </w:num>
  <w:num w:numId="53">
    <w:abstractNumId w:val="18"/>
  </w:num>
  <w:num w:numId="54">
    <w:abstractNumId w:val="1"/>
  </w:num>
  <w:num w:numId="55">
    <w:abstractNumId w:val="92"/>
  </w:num>
  <w:num w:numId="56">
    <w:abstractNumId w:val="125"/>
  </w:num>
  <w:num w:numId="57">
    <w:abstractNumId w:val="119"/>
  </w:num>
  <w:num w:numId="58">
    <w:abstractNumId w:val="115"/>
  </w:num>
  <w:num w:numId="59">
    <w:abstractNumId w:val="42"/>
  </w:num>
  <w:num w:numId="60">
    <w:abstractNumId w:val="106"/>
  </w:num>
  <w:num w:numId="61">
    <w:abstractNumId w:val="87"/>
  </w:num>
  <w:num w:numId="62">
    <w:abstractNumId w:val="100"/>
  </w:num>
  <w:num w:numId="63">
    <w:abstractNumId w:val="105"/>
  </w:num>
  <w:num w:numId="64">
    <w:abstractNumId w:val="86"/>
  </w:num>
  <w:num w:numId="65">
    <w:abstractNumId w:val="80"/>
  </w:num>
  <w:num w:numId="66">
    <w:abstractNumId w:val="55"/>
  </w:num>
  <w:num w:numId="67">
    <w:abstractNumId w:val="117"/>
  </w:num>
  <w:num w:numId="68">
    <w:abstractNumId w:val="28"/>
  </w:num>
  <w:num w:numId="69">
    <w:abstractNumId w:val="60"/>
  </w:num>
  <w:num w:numId="70">
    <w:abstractNumId w:val="89"/>
  </w:num>
  <w:num w:numId="71">
    <w:abstractNumId w:val="59"/>
  </w:num>
  <w:num w:numId="72">
    <w:abstractNumId w:val="39"/>
  </w:num>
  <w:num w:numId="73">
    <w:abstractNumId w:val="3"/>
  </w:num>
  <w:num w:numId="74">
    <w:abstractNumId w:val="11"/>
  </w:num>
  <w:num w:numId="75">
    <w:abstractNumId w:val="150"/>
  </w:num>
  <w:num w:numId="76">
    <w:abstractNumId w:val="36"/>
  </w:num>
  <w:num w:numId="77">
    <w:abstractNumId w:val="128"/>
  </w:num>
  <w:num w:numId="78">
    <w:abstractNumId w:val="97"/>
  </w:num>
  <w:num w:numId="79">
    <w:abstractNumId w:val="70"/>
  </w:num>
  <w:num w:numId="80">
    <w:abstractNumId w:val="147"/>
  </w:num>
  <w:num w:numId="81">
    <w:abstractNumId w:val="56"/>
  </w:num>
  <w:num w:numId="82">
    <w:abstractNumId w:val="135"/>
  </w:num>
  <w:num w:numId="83">
    <w:abstractNumId w:val="107"/>
  </w:num>
  <w:num w:numId="84">
    <w:abstractNumId w:val="68"/>
  </w:num>
  <w:num w:numId="85">
    <w:abstractNumId w:val="43"/>
  </w:num>
  <w:num w:numId="86">
    <w:abstractNumId w:val="145"/>
  </w:num>
  <w:num w:numId="87">
    <w:abstractNumId w:val="116"/>
  </w:num>
  <w:num w:numId="88">
    <w:abstractNumId w:val="126"/>
  </w:num>
  <w:num w:numId="89">
    <w:abstractNumId w:val="144"/>
  </w:num>
  <w:num w:numId="90">
    <w:abstractNumId w:val="57"/>
  </w:num>
  <w:num w:numId="91">
    <w:abstractNumId w:val="88"/>
  </w:num>
  <w:num w:numId="92">
    <w:abstractNumId w:val="22"/>
  </w:num>
  <w:num w:numId="93">
    <w:abstractNumId w:val="96"/>
  </w:num>
  <w:num w:numId="94">
    <w:abstractNumId w:val="53"/>
  </w:num>
  <w:num w:numId="95">
    <w:abstractNumId w:val="149"/>
  </w:num>
  <w:num w:numId="96">
    <w:abstractNumId w:val="157"/>
  </w:num>
  <w:num w:numId="97">
    <w:abstractNumId w:val="93"/>
  </w:num>
  <w:num w:numId="98">
    <w:abstractNumId w:val="155"/>
  </w:num>
  <w:num w:numId="99">
    <w:abstractNumId w:val="9"/>
  </w:num>
  <w:num w:numId="100">
    <w:abstractNumId w:val="66"/>
  </w:num>
  <w:num w:numId="101">
    <w:abstractNumId w:val="63"/>
  </w:num>
  <w:num w:numId="102">
    <w:abstractNumId w:val="133"/>
  </w:num>
  <w:num w:numId="103">
    <w:abstractNumId w:val="76"/>
  </w:num>
  <w:num w:numId="104">
    <w:abstractNumId w:val="152"/>
  </w:num>
  <w:num w:numId="105">
    <w:abstractNumId w:val="32"/>
  </w:num>
  <w:num w:numId="106">
    <w:abstractNumId w:val="136"/>
  </w:num>
  <w:num w:numId="107">
    <w:abstractNumId w:val="75"/>
  </w:num>
  <w:num w:numId="108">
    <w:abstractNumId w:val="54"/>
  </w:num>
  <w:num w:numId="109">
    <w:abstractNumId w:val="46"/>
  </w:num>
  <w:num w:numId="110">
    <w:abstractNumId w:val="131"/>
  </w:num>
  <w:num w:numId="111">
    <w:abstractNumId w:val="82"/>
  </w:num>
  <w:num w:numId="112">
    <w:abstractNumId w:val="29"/>
  </w:num>
  <w:num w:numId="113">
    <w:abstractNumId w:val="103"/>
  </w:num>
  <w:num w:numId="114">
    <w:abstractNumId w:val="50"/>
  </w:num>
  <w:num w:numId="115">
    <w:abstractNumId w:val="90"/>
  </w:num>
  <w:num w:numId="116">
    <w:abstractNumId w:val="58"/>
  </w:num>
  <w:num w:numId="117">
    <w:abstractNumId w:val="102"/>
  </w:num>
  <w:num w:numId="118">
    <w:abstractNumId w:val="127"/>
  </w:num>
  <w:num w:numId="119">
    <w:abstractNumId w:val="47"/>
  </w:num>
  <w:num w:numId="120">
    <w:abstractNumId w:val="111"/>
  </w:num>
  <w:num w:numId="121">
    <w:abstractNumId w:val="129"/>
  </w:num>
  <w:num w:numId="122">
    <w:abstractNumId w:val="67"/>
  </w:num>
  <w:num w:numId="123">
    <w:abstractNumId w:val="142"/>
  </w:num>
  <w:num w:numId="124">
    <w:abstractNumId w:val="33"/>
  </w:num>
  <w:num w:numId="125">
    <w:abstractNumId w:val="139"/>
  </w:num>
  <w:num w:numId="126">
    <w:abstractNumId w:val="44"/>
  </w:num>
  <w:num w:numId="127">
    <w:abstractNumId w:val="62"/>
  </w:num>
  <w:num w:numId="128">
    <w:abstractNumId w:val="151"/>
  </w:num>
  <w:num w:numId="129">
    <w:abstractNumId w:val="10"/>
  </w:num>
  <w:num w:numId="130">
    <w:abstractNumId w:val="148"/>
  </w:num>
  <w:num w:numId="131">
    <w:abstractNumId w:val="52"/>
  </w:num>
  <w:num w:numId="132">
    <w:abstractNumId w:val="77"/>
  </w:num>
  <w:num w:numId="133">
    <w:abstractNumId w:val="98"/>
  </w:num>
  <w:num w:numId="134">
    <w:abstractNumId w:val="120"/>
  </w:num>
  <w:num w:numId="135">
    <w:abstractNumId w:val="61"/>
  </w:num>
  <w:num w:numId="136">
    <w:abstractNumId w:val="0"/>
  </w:num>
  <w:num w:numId="137">
    <w:abstractNumId w:val="37"/>
  </w:num>
  <w:num w:numId="138">
    <w:abstractNumId w:val="121"/>
  </w:num>
  <w:num w:numId="139">
    <w:abstractNumId w:val="95"/>
  </w:num>
  <w:num w:numId="140">
    <w:abstractNumId w:val="74"/>
  </w:num>
  <w:num w:numId="141">
    <w:abstractNumId w:val="30"/>
  </w:num>
  <w:num w:numId="142">
    <w:abstractNumId w:val="17"/>
  </w:num>
  <w:num w:numId="143">
    <w:abstractNumId w:val="118"/>
  </w:num>
  <w:num w:numId="144">
    <w:abstractNumId w:val="14"/>
  </w:num>
  <w:num w:numId="145">
    <w:abstractNumId w:val="112"/>
  </w:num>
  <w:num w:numId="146">
    <w:abstractNumId w:val="110"/>
  </w:num>
  <w:num w:numId="147">
    <w:abstractNumId w:val="2"/>
  </w:num>
  <w:num w:numId="148">
    <w:abstractNumId w:val="122"/>
  </w:num>
  <w:num w:numId="149">
    <w:abstractNumId w:val="108"/>
  </w:num>
  <w:num w:numId="150">
    <w:abstractNumId w:val="15"/>
  </w:num>
  <w:num w:numId="151">
    <w:abstractNumId w:val="49"/>
  </w:num>
  <w:num w:numId="152">
    <w:abstractNumId w:val="69"/>
  </w:num>
  <w:num w:numId="153">
    <w:abstractNumId w:val="91"/>
  </w:num>
  <w:num w:numId="154">
    <w:abstractNumId w:val="141"/>
  </w:num>
  <w:num w:numId="155">
    <w:abstractNumId w:val="25"/>
  </w:num>
  <w:num w:numId="156">
    <w:abstractNumId w:val="16"/>
  </w:num>
  <w:num w:numId="157">
    <w:abstractNumId w:val="101"/>
  </w:num>
  <w:num w:numId="158">
    <w:abstractNumId w:val="19"/>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03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2999"/>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C7B55"/>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B7990"/>
    <w:rsid w:val="003C3F04"/>
    <w:rsid w:val="003C4C12"/>
    <w:rsid w:val="003C4CC1"/>
    <w:rsid w:val="003D13A9"/>
    <w:rsid w:val="003D5D98"/>
    <w:rsid w:val="003D64ED"/>
    <w:rsid w:val="003E2C87"/>
    <w:rsid w:val="003E3E05"/>
    <w:rsid w:val="003E440A"/>
    <w:rsid w:val="003E593B"/>
    <w:rsid w:val="003E615B"/>
    <w:rsid w:val="003E63AC"/>
    <w:rsid w:val="003F3FB4"/>
    <w:rsid w:val="003F628E"/>
    <w:rsid w:val="003F782B"/>
    <w:rsid w:val="004011ED"/>
    <w:rsid w:val="00401DAE"/>
    <w:rsid w:val="00402095"/>
    <w:rsid w:val="00403FDC"/>
    <w:rsid w:val="00404BAE"/>
    <w:rsid w:val="00404E03"/>
    <w:rsid w:val="0040573A"/>
    <w:rsid w:val="004071D5"/>
    <w:rsid w:val="00410127"/>
    <w:rsid w:val="00411E14"/>
    <w:rsid w:val="00413826"/>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064C"/>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4770"/>
    <w:rsid w:val="00796BD9"/>
    <w:rsid w:val="00797293"/>
    <w:rsid w:val="00797572"/>
    <w:rsid w:val="00797D20"/>
    <w:rsid w:val="007A0591"/>
    <w:rsid w:val="007A3C64"/>
    <w:rsid w:val="007A4373"/>
    <w:rsid w:val="007A5071"/>
    <w:rsid w:val="007A50CD"/>
    <w:rsid w:val="007A6062"/>
    <w:rsid w:val="007B09FD"/>
    <w:rsid w:val="007B0F08"/>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A7E"/>
    <w:rsid w:val="00B83EE1"/>
    <w:rsid w:val="00B92C32"/>
    <w:rsid w:val="00B9588C"/>
    <w:rsid w:val="00B95BFB"/>
    <w:rsid w:val="00BA3483"/>
    <w:rsid w:val="00BA7FCC"/>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D772D"/>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5AA6"/>
    <w:rsid w:val="00D24238"/>
    <w:rsid w:val="00D26B6C"/>
    <w:rsid w:val="00D2740D"/>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39E6"/>
    <w:rsid w:val="00DB3C53"/>
    <w:rsid w:val="00DB42A9"/>
    <w:rsid w:val="00DB5E7C"/>
    <w:rsid w:val="00DC54CD"/>
    <w:rsid w:val="00DC7707"/>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52D"/>
    <w:rsid w:val="00F93FC8"/>
    <w:rsid w:val="00F9422C"/>
    <w:rsid w:val="00FA1B54"/>
    <w:rsid w:val="00FA2B4B"/>
    <w:rsid w:val="00FA4615"/>
    <w:rsid w:val="00FA5727"/>
    <w:rsid w:val="00FA7E8C"/>
    <w:rsid w:val="00FB39B7"/>
    <w:rsid w:val="00FB50B0"/>
    <w:rsid w:val="00FB6528"/>
    <w:rsid w:val="00FB7AB9"/>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0A005D"/>
    <w:rsid w:val="00166E11"/>
    <w:rsid w:val="003D7CEE"/>
    <w:rsid w:val="006419E8"/>
    <w:rsid w:val="007B65D0"/>
    <w:rsid w:val="0080465A"/>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9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209</Pages>
  <Words>56256</Words>
  <Characters>320661</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6</cp:revision>
  <dcterms:created xsi:type="dcterms:W3CDTF">2015-04-22T17:20:00Z</dcterms:created>
  <dcterms:modified xsi:type="dcterms:W3CDTF">2015-04-22T18:26:00Z</dcterms:modified>
</cp:coreProperties>
</file>