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772B52">
        <w:rPr>
          <w:b/>
          <w:bCs/>
        </w:rPr>
        <w:t>8</w:t>
      </w:r>
      <w:r w:rsidR="00553B00">
        <w:t xml:space="preserve"> </w:t>
      </w:r>
      <w:r w:rsidR="00772B52">
        <w:t>9</w:t>
      </w:r>
      <w:r w:rsidR="00553B00">
        <w:t xml:space="preserve"> </w:t>
      </w:r>
      <w:r w:rsidR="00772B52">
        <w:t>May</w:t>
      </w:r>
      <w:r w:rsidR="0087705E">
        <w:t xml:space="preserve">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w:t>
      </w:r>
      <w:proofErr w:type="spellStart"/>
      <w:r>
        <w:t>hev’s</w:t>
      </w:r>
      <w:proofErr w:type="spellEnd"/>
      <w:r>
        <w:t xml:space="preserve">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w:t>
      </w:r>
      <w:proofErr w:type="spellStart"/>
      <w:r>
        <w:t>ernoff</w:t>
      </w:r>
      <w:proofErr w:type="spellEnd"/>
      <w:r>
        <w:t xml:space="preserve">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T</w:t>
      </w:r>
      <w:proofErr w:type="spellStart"/>
      <w:r>
        <w:t>hus</w:t>
      </w:r>
      <w:proofErr w:type="spellEnd"/>
      <w:r>
        <w:t xml:space="preserve">,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w:t>
      </w:r>
      <w:proofErr w:type="spellStart"/>
      <w:r>
        <w:t>tein’s</w:t>
      </w:r>
      <w:proofErr w:type="spellEnd"/>
      <w:r>
        <w:t xml:space="preserve">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w:t>
      </w:r>
      <w:proofErr w:type="spellStart"/>
      <w:r>
        <w:t>ed</w:t>
      </w:r>
      <w:proofErr w:type="spellEnd"/>
      <w:r>
        <w:t xml:space="preserve">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18383C"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772B52" w:rsidRDefault="00772B52" w:rsidP="00EE3E9C">
      <w:pPr>
        <w:spacing w:line="360" w:lineRule="auto"/>
      </w:pPr>
    </w:p>
    <w:p w:rsidR="00772B52" w:rsidRPr="00772B52" w:rsidRDefault="00772B52" w:rsidP="00772B52">
      <w:pPr>
        <w:spacing w:after="160" w:line="259" w:lineRule="auto"/>
        <w:rPr>
          <w:b/>
          <w:sz w:val="28"/>
          <w:szCs w:val="28"/>
        </w:rPr>
      </w:pPr>
      <w:r w:rsidRPr="00772B52">
        <w:rPr>
          <w:b/>
          <w:sz w:val="28"/>
          <w:szCs w:val="28"/>
        </w:rPr>
        <w:t>Binomial Tails</w:t>
      </w:r>
    </w:p>
    <w:p w:rsidR="00772B52" w:rsidRDefault="00772B52" w:rsidP="00772B52">
      <w:pPr>
        <w:spacing w:after="160" w:line="360" w:lineRule="auto"/>
      </w:pPr>
    </w:p>
    <w:p w:rsidR="00772B52" w:rsidRDefault="00772B52" w:rsidP="00772B52">
      <w:pPr>
        <w:spacing w:after="160" w:line="360" w:lineRule="auto"/>
      </w:pPr>
    </w:p>
    <w:p w:rsidR="00772B52" w:rsidRDefault="00772B52" w:rsidP="00772B52">
      <w:pPr>
        <w:pStyle w:val="ListParagraph"/>
        <w:numPr>
          <w:ilvl w:val="0"/>
          <w:numId w:val="54"/>
        </w:numPr>
        <w:spacing w:after="160" w:line="360" w:lineRule="auto"/>
      </w:pPr>
      <w:r w:rsidRPr="00732B06">
        <w:rPr>
          <w:u w:val="single"/>
        </w:rPr>
        <w:lastRenderedPageBreak/>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772B52" w:rsidRDefault="00772B52" w:rsidP="00772B52">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772B52" w:rsidRDefault="00772B52" w:rsidP="00772B52">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772B52" w:rsidRDefault="00772B52" w:rsidP="00772B52">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772B52" w:rsidRDefault="00772B52" w:rsidP="00772B52">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772B52" w:rsidRDefault="00772B52" w:rsidP="00772B52">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772B52" w:rsidRDefault="00772B52" w:rsidP="00772B52">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772B52" w:rsidRDefault="00772B52" w:rsidP="00772B52">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w:t>
      </w:r>
      <w:proofErr w:type="spellStart"/>
      <w:r>
        <w:t>rm</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772B52" w:rsidRDefault="00772B52" w:rsidP="00772B52">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772B52" w:rsidRDefault="00772B52" w:rsidP="00772B52">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772B52" w:rsidRDefault="00772B52" w:rsidP="00772B52">
      <w:pPr>
        <w:pStyle w:val="ListParagraph"/>
        <w:numPr>
          <w:ilvl w:val="0"/>
          <w:numId w:val="54"/>
        </w:numPr>
        <w:spacing w:after="160" w:line="360" w:lineRule="auto"/>
      </w:pPr>
      <w:r>
        <w:rPr>
          <w:u w:val="single"/>
        </w:rPr>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lastRenderedPageBreak/>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lastRenderedPageBreak/>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w:t>
      </w:r>
      <w:proofErr w:type="spellStart"/>
      <w:r>
        <w:t>tein</w:t>
      </w:r>
      <w:proofErr w:type="spellEnd"/>
      <w:r>
        <w:t xml:space="preserve">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w:t>
      </w:r>
      <w:proofErr w:type="spellStart"/>
      <w:r>
        <w:t>lished</w:t>
      </w:r>
      <w:proofErr w:type="spellEnd"/>
      <w:r>
        <w:t xml:space="preserve">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w:t>
      </w:r>
      <w:proofErr w:type="spellStart"/>
      <w:r>
        <w:t>ves</w:t>
      </w:r>
      <w:proofErr w:type="spellEnd"/>
      <w:r>
        <w:t xml:space="preserve">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w:t>
      </w:r>
      <w:proofErr w:type="spellStart"/>
      <w:r>
        <w:t>rnel</w:t>
      </w:r>
      <w:proofErr w:type="spellEnd"/>
      <w:r>
        <w:t xml:space="preserve">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18383C"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Thus, for relative sta</w:t>
      </w:r>
      <w:proofErr w:type="spellStart"/>
      <w:r>
        <w:t>bility</w:t>
      </w:r>
      <w:proofErr w:type="spellEnd"/>
      <w:r>
        <w:t xml:space="preserve">,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which is a significant improvem</w:t>
      </w:r>
      <w:proofErr w:type="spellStart"/>
      <w:r>
        <w:t>ent</w:t>
      </w:r>
      <w:proofErr w:type="spellEnd"/>
      <w:r>
        <w:t xml:space="preserve">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w:t>
      </w:r>
      <w:proofErr w:type="spellStart"/>
      <w:r>
        <w:t>nuous</w:t>
      </w:r>
      <w:proofErr w:type="spellEnd"/>
      <w:r>
        <w:t xml:space="preserve">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w:t>
      </w:r>
      <w:proofErr w:type="spellStart"/>
      <w:r>
        <w:t>riables</w:t>
      </w:r>
      <w:proofErr w:type="spellEnd"/>
      <w:r>
        <w:t xml:space="preserve">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w:t>
      </w:r>
      <w:proofErr w:type="spellStart"/>
      <w:r>
        <w:t>s</w:t>
      </w:r>
      <w:proofErr w:type="spellEnd"/>
      <w:r>
        <w:t xml:space="preserve">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w:t>
      </w:r>
      <w:proofErr w:type="spellStart"/>
      <w:r>
        <w:t>lements</w:t>
      </w:r>
      <w:proofErr w:type="spellEnd"/>
      <w:r>
        <w:t xml:space="preserve">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w:t>
      </w:r>
      <w:proofErr w:type="spellStart"/>
      <w:r>
        <w:t>ll</w:t>
      </w:r>
      <w:proofErr w:type="spellEnd"/>
      <w:r>
        <w:t xml:space="preserve">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 extension to the general case is technical but straightforward. The inequality is a direct consequence of Han’s inequality for relative e</w:t>
      </w:r>
      <w:proofErr w:type="spellStart"/>
      <w:r>
        <w:t>ntropies</w:t>
      </w:r>
      <w:proofErr w:type="spellEnd"/>
      <w:r>
        <w:t xml:space="preserve">.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proofErr w:type="spellStart"/>
      <w:r w:rsidRPr="008C6FE9">
        <w:rPr>
          <w:vertAlign w:val="superscript"/>
        </w:rPr>
        <w:t>nd</w:t>
      </w:r>
      <w:proofErr w:type="spellEnd"/>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proofErr w:type="spellStart"/>
      <w:r w:rsidRPr="008872FF">
        <w:rPr>
          <w:vertAlign w:val="superscript"/>
        </w:rPr>
        <w:t>nd</w:t>
      </w:r>
      <w:proofErr w:type="spellEnd"/>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w:t>
      </w:r>
      <w:proofErr w:type="spellStart"/>
      <w:r>
        <w:t>nequality</w:t>
      </w:r>
      <w:proofErr w:type="spellEnd"/>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w:t>
      </w:r>
      <w:proofErr w:type="spellStart"/>
      <w:r>
        <w:t>lity</w:t>
      </w:r>
      <w:proofErr w:type="spellEnd"/>
      <w:r>
        <w:t>,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(This can be seen by us</w:t>
      </w:r>
      <w:proofErr w:type="spellStart"/>
      <w:r>
        <w:t>ing</w:t>
      </w:r>
      <w:proofErr w:type="spellEnd"/>
      <w:r>
        <w:t xml:space="preserve">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18383C"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18383C"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w:t>
      </w:r>
      <w:proofErr w:type="spellStart"/>
      <w:r>
        <w:t>tropy</w:t>
      </w:r>
      <w:proofErr w:type="spellEnd"/>
      <w:r>
        <w:t xml:space="preserve">),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w:t>
      </w:r>
      <w:proofErr w:type="spellStart"/>
      <w:r>
        <w:t>unding</w:t>
      </w:r>
      <w:proofErr w:type="spellEnd"/>
      <w:r>
        <w:t xml:space="preserve">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w:t>
      </w:r>
      <w:proofErr w:type="spellStart"/>
      <w:r>
        <w:t>onential</w:t>
      </w:r>
      <w:proofErr w:type="spellEnd"/>
      <w:r>
        <w:t xml:space="preserve">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w:t>
      </w:r>
      <w:proofErr w:type="spellStart"/>
      <w:r>
        <w:t>uch</w:t>
      </w:r>
      <w:proofErr w:type="spellEnd"/>
      <w:r>
        <w:t xml:space="preserv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w:t>
      </w:r>
      <w:proofErr w:type="spellStart"/>
      <w:r>
        <w:t>st</w:t>
      </w:r>
      <w:proofErr w:type="spellEnd"/>
      <w:r>
        <w:t xml:space="preserve">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from which we co</w:t>
      </w:r>
      <w:proofErr w:type="spellStart"/>
      <w:r>
        <w:t>nclude</w:t>
      </w:r>
      <w:proofErr w:type="spellEnd"/>
      <w:r>
        <w:t xml:space="preserv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We obtain a similar equal</w:t>
      </w:r>
      <w:proofErr w:type="spellStart"/>
      <w:r w:rsidR="00915118">
        <w:t>ity</w:t>
      </w:r>
      <w:proofErr w:type="spellEnd"/>
      <w:r w:rsidR="00915118">
        <w:t xml:space="preserve">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E63EE6">
      <w:pPr>
        <w:pStyle w:val="Footer"/>
        <w:numPr>
          <w:ilvl w:val="0"/>
          <w:numId w:val="160"/>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EE6" w:rsidRDefault="008430D6" w:rsidP="00E63EE6">
      <w:pPr>
        <w:pStyle w:val="ListParagraph"/>
        <w:numPr>
          <w:ilvl w:val="1"/>
          <w:numId w:val="88"/>
        </w:numPr>
        <w:spacing w:line="360" w:lineRule="auto"/>
      </w:pPr>
      <w:r>
        <w:t>Probabilistic Learning Framework and Viability</w:t>
      </w:r>
    </w:p>
    <w:p w:rsidR="008430D6" w:rsidRDefault="008430D6" w:rsidP="00E63EE6">
      <w:pPr>
        <w:pStyle w:val="ListParagraph"/>
        <w:numPr>
          <w:ilvl w:val="0"/>
          <w:numId w:val="88"/>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lastRenderedPageBreak/>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w:t>
      </w:r>
      <w:proofErr w:type="spellStart"/>
      <w:r>
        <w:t>gth</w:t>
      </w:r>
      <w:proofErr w:type="spellEnd"/>
      <w:r>
        <w:t xml:space="preserve">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w:t>
      </w:r>
      <w:proofErr w:type="spellStart"/>
      <w:r>
        <w:t>xity</w:t>
      </w:r>
      <w:proofErr w:type="spellEnd"/>
      <w:r>
        <w:t>, and tolerance.</w:t>
      </w:r>
    </w:p>
    <w:p w:rsidR="00A551D4" w:rsidRDefault="00A551D4" w:rsidP="007F6C3E">
      <w:pPr>
        <w:pStyle w:val="Footer"/>
        <w:numPr>
          <w:ilvl w:val="0"/>
          <w:numId w:val="5"/>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w:t>
      </w:r>
      <w:proofErr w:type="spellStart"/>
      <w:r>
        <w:t>ough</w:t>
      </w:r>
      <w:proofErr w:type="spellEnd"/>
      <w:r>
        <w:t xml:space="preserve">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E63EE6">
      <w:pPr>
        <w:pStyle w:val="Footer"/>
        <w:numPr>
          <w:ilvl w:val="0"/>
          <w:numId w:val="2"/>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E63EE6">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E63EE6">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E63EE6">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E63EE6" w:rsidRDefault="00E63EE6" w:rsidP="00E63EE6">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E63EE6">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E63EE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E63EE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E63EE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E63EE6">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E63EE6">
      <w:pPr>
        <w:pStyle w:val="Footer"/>
        <w:numPr>
          <w:ilvl w:val="0"/>
          <w:numId w:val="2"/>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t xml:space="preserve">Probably Approximately Correct Learning (Wiki): </w:t>
      </w:r>
      <w:hyperlink r:id="rId12" w:history="1">
        <w:r>
          <w:rPr>
            <w:rStyle w:val="Hyperlink"/>
            <w:i/>
            <w:iCs/>
          </w:rPr>
          <w:t>Wikipedia Entry for Probably Approximately Correct Learning</w:t>
        </w:r>
      </w:hyperlink>
      <w:r>
        <w:t>.</w:t>
      </w:r>
    </w:p>
    <w:p w:rsidR="00E63EE6" w:rsidRDefault="00E63EE6" w:rsidP="00E63EE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E63EE6">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E63EE6">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2D630D">
      <w:pPr>
        <w:pStyle w:val="Footer"/>
        <w:numPr>
          <w:ilvl w:val="0"/>
          <w:numId w:val="2"/>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w:t>
      </w:r>
      <w:proofErr w:type="spellStart"/>
      <w:r>
        <w:t>bability</w:t>
      </w:r>
      <w:proofErr w:type="spellEnd"/>
      <w:r>
        <w:t xml:space="preserve">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and the training set con</w:t>
      </w:r>
      <w:proofErr w:type="spellStart"/>
      <w:r>
        <w:t>sists</w:t>
      </w:r>
      <w:proofErr w:type="spellEnd"/>
      <w:r>
        <w:t xml:space="preserve">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w:t>
      </w:r>
      <w:proofErr w:type="spellStart"/>
      <w:r>
        <w:t>ssociated</w:t>
      </w:r>
      <w:proofErr w:type="spellEnd"/>
      <w:r>
        <w:t xml:space="preserve">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w:t>
      </w:r>
      <w:proofErr w:type="spellStart"/>
      <w:r>
        <w:t>roximation</w:t>
      </w:r>
      <w:proofErr w:type="spellEnd"/>
      <w:r>
        <w:t xml:space="preserve">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w:t>
      </w:r>
      <w:proofErr w:type="spellStart"/>
      <w:r>
        <w:t>ot</w:t>
      </w:r>
      <w:proofErr w:type="spellEnd"/>
      <w:r>
        <w:t xml:space="preserve">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18383C"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w:t>
      </w:r>
      <w:proofErr w:type="spellStart"/>
      <w:r>
        <w:t>ization</w:t>
      </w:r>
      <w:proofErr w:type="spellEnd"/>
      <w:r>
        <w:t xml:space="preserve">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w:t>
      </w:r>
      <w:proofErr w:type="spellStart"/>
      <w:r>
        <w:t>ction</w:t>
      </w:r>
      <w:proofErr w:type="spellEnd"/>
      <w:r>
        <w:t xml:space="preserve">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w:t>
      </w:r>
      <w:proofErr w:type="spellStart"/>
      <w:r>
        <w:t>epresent</w:t>
      </w:r>
      <w:proofErr w:type="spellEnd"/>
      <w:r>
        <w:t xml:space="preserve">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this makes the RHS ab</w:t>
      </w:r>
      <w:proofErr w:type="spellStart"/>
      <w:r>
        <w:t>ove</w:t>
      </w:r>
      <w:proofErr w:type="spellEnd"/>
      <w:r>
        <w:t xml:space="preser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w:t>
      </w:r>
      <w:proofErr w:type="spellStart"/>
      <w:r>
        <w:t>utcome</w:t>
      </w:r>
      <w:proofErr w:type="spellEnd"/>
      <w:r>
        <w:t xml:space="preserv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distingu</w:t>
      </w:r>
      <w:proofErr w:type="spellStart"/>
      <w:r>
        <w:t>ished</w:t>
      </w:r>
      <w:proofErr w:type="spellEnd"/>
      <w:r>
        <w:t xml:space="preserve">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18383C"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w:t>
      </w:r>
      <w:proofErr w:type="spellStart"/>
      <w:r w:rsidR="00A50BB6">
        <w:t>aining</w:t>
      </w:r>
      <w:proofErr w:type="spellEnd"/>
      <w:r w:rsidR="00A50BB6">
        <w:t xml:space="preserve">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w:t>
      </w:r>
      <w:proofErr w:type="spellStart"/>
      <w:r>
        <w:t>tion</w:t>
      </w:r>
      <w:proofErr w:type="spellEnd"/>
      <w:r>
        <w:t xml:space="preserve">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simi</w:t>
      </w:r>
      <w:proofErr w:type="spellStart"/>
      <w:r>
        <w:rPr>
          <w:rFonts w:ascii="Cambria Math" w:hAnsi="Cambria Math"/>
        </w:rPr>
        <w:t>larity</w:t>
      </w:r>
      <w:proofErr w:type="spellEnd"/>
      <w:r>
        <w:rPr>
          <w:rFonts w:ascii="Cambria Math" w:hAnsi="Cambria Math"/>
        </w:rPr>
        <w:t xml:space="preserve">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18383C"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18383C"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w:t>
      </w:r>
      <w:proofErr w:type="spellStart"/>
      <w:r>
        <w:t>dity</w:t>
      </w:r>
      <w:proofErr w:type="spellEnd"/>
      <w:r>
        <w:t xml:space="preserve">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w:t>
      </w:r>
      <w:proofErr w:type="spellStart"/>
      <w:r>
        <w:t>of</w:t>
      </w:r>
      <w:proofErr w:type="spellEnd"/>
      <w:r>
        <w:t xml:space="preserve">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w:t>
      </w:r>
      <w:proofErr w:type="spellStart"/>
      <w:r>
        <w:t>ariables</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w:t>
      </w:r>
      <w:proofErr w:type="spellStart"/>
      <w:r>
        <w:t>tion</w:t>
      </w:r>
      <w:proofErr w:type="spellEnd"/>
      <w:r>
        <w:t xml:space="preserve">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w:t>
      </w:r>
      <w:proofErr w:type="spellStart"/>
      <w:r>
        <w:t>ncept</w:t>
      </w:r>
      <w:proofErr w:type="spellEnd"/>
      <w:r>
        <w:t xml:space="preserve">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w:t>
      </w:r>
      <w:proofErr w:type="spellStart"/>
      <w:r>
        <w:t>egative</w:t>
      </w:r>
      <w:proofErr w:type="spellEnd"/>
      <w:r>
        <w:t xml:space="preser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w:t>
      </w:r>
      <w:proofErr w:type="spellStart"/>
      <w:r>
        <w:t>nterior</w:t>
      </w:r>
      <w:proofErr w:type="spellEnd"/>
      <w:r>
        <w:t xml:space="preserve">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w:t>
      </w:r>
      <w:proofErr w:type="spellStart"/>
      <w:r>
        <w:t>osition</w:t>
      </w:r>
      <w:proofErr w:type="spellEnd"/>
      <w:r>
        <w:t xml:space="preserve">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 xml:space="preserve">n ϵ </m:t>
        </m:r>
        <m:r>
          <m:rPr>
            <m:scr m:val="double-struck"/>
          </m:rPr>
          <w:rPr>
            <w:rFonts w:ascii="Cambria Math" w:hAnsi="Cambria Math"/>
          </w:rPr>
          <m:t>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rather than exponential. Intuitively, this means that finite VC index impl</w:t>
      </w:r>
      <w:proofErr w:type="spellStart"/>
      <w:r>
        <w:t>ies</w:t>
      </w:r>
      <w:proofErr w:type="spellEnd"/>
      <w:r>
        <w:t xml:space="preserve">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w:t>
      </w:r>
      <w:proofErr w:type="spellStart"/>
      <w:r>
        <w:t>ctly</w:t>
      </w:r>
      <w:proofErr w:type="spellEnd"/>
      <w:r>
        <w:t xml:space="preserve">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Further, using Sauer’s lemma, it can be s</w:t>
      </w:r>
      <w:proofErr w:type="spellStart"/>
      <w:r>
        <w:t>hown</w:t>
      </w:r>
      <w:proofErr w:type="spellEnd"/>
      <w:r>
        <w:t xml:space="preserve">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w:t>
      </w:r>
      <w:proofErr w:type="spellStart"/>
      <w:r>
        <w:t>tion</w:t>
      </w:r>
      <w:proofErr w:type="spellEnd"/>
      <w:r>
        <w:t xml:space="preserve">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w:t>
      </w:r>
      <w:proofErr w:type="spellStart"/>
      <w:r>
        <w:t>imension</w:t>
      </w:r>
      <w:proofErr w:type="spellEnd"/>
      <w:r>
        <w:t xml:space="preserve">,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w:t>
      </w:r>
      <w:proofErr w:type="spellStart"/>
      <w:r>
        <w:t>ility</w:t>
      </w:r>
      <w:proofErr w:type="spellEnd"/>
      <w:r>
        <w:t xml:space="preserve">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w:t>
      </w:r>
      <w:proofErr w:type="spellStart"/>
      <w:r>
        <w:t>s</w:t>
      </w:r>
      <w:proofErr w:type="spellEnd"/>
      <w:r>
        <w:t xml:space="preserve">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w:t>
      </w:r>
      <w:proofErr w:type="spellStart"/>
      <w:r>
        <w:t>nsequence</w:t>
      </w:r>
      <w:proofErr w:type="spellEnd"/>
      <w:r>
        <w:t xml:space="preserv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w:t>
      </w:r>
      <w:proofErr w:type="spellStart"/>
      <w:r>
        <w:t>asing</w:t>
      </w:r>
      <w:proofErr w:type="spellEnd"/>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w:t>
      </w:r>
      <w:proofErr w:type="spellStart"/>
      <w:r>
        <w:t>ll</w:t>
      </w:r>
      <w:proofErr w:type="spellEnd"/>
      <w:r>
        <w:t xml:space="preserve">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If, in addition, the func</w:t>
      </w:r>
      <w:proofErr w:type="spellStart"/>
      <w:r>
        <w:t>tions</w:t>
      </w:r>
      <w:proofErr w:type="spellEnd"/>
      <w:r>
        <w:t xml:space="preserve">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Note that althou</w:t>
      </w:r>
      <w:proofErr w:type="spellStart"/>
      <w:r>
        <w:t>gh</w:t>
      </w:r>
      <w:proofErr w:type="spellEnd"/>
      <w:r>
        <w:t xml:space="preserve">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looking at the relative error. These fast rates can be obtained provid</w:t>
      </w:r>
      <w:proofErr w:type="spellStart"/>
      <w:r>
        <w:t>ed</w:t>
      </w:r>
      <w:proofErr w:type="spellEnd"/>
      <w:r>
        <w:t xml:space="preserve">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the rate contains con</w:t>
      </w:r>
      <w:proofErr w:type="spellStart"/>
      <w:r>
        <w:t>tribution</w:t>
      </w:r>
      <w:proofErr w:type="spellEnd"/>
      <w:r>
        <w:t xml:space="preserve">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w:t>
      </w:r>
      <w:proofErr w:type="spellStart"/>
      <w:r>
        <w:t>hich</w:t>
      </w:r>
      <w:proofErr w:type="spellEnd"/>
      <w:r>
        <w:t xml:space="preserve">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w:t>
      </w:r>
      <w:proofErr w:type="spellStart"/>
      <w:r>
        <w:t>aximum</w:t>
      </w:r>
      <w:proofErr w:type="spellEnd"/>
      <w:r>
        <w:t xml:space="preserve">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w:t>
      </w:r>
      <w:proofErr w:type="spellStart"/>
      <w:r>
        <w:t>ities</w:t>
      </w:r>
      <w:proofErr w:type="spellEnd"/>
      <w:r>
        <w:t xml:space="preserve">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w:t>
      </w:r>
      <w:proofErr w:type="spellStart"/>
      <w:r>
        <w:t>bility</w:t>
      </w:r>
      <w:proofErr w:type="spellEnd"/>
      <w:r>
        <w:t xml:space="preserve">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903394" w:rsidRPr="00B37CC6" w:rsidRDefault="00903394" w:rsidP="00B37CC6">
      <w:pPr>
        <w:pStyle w:val="Footer"/>
        <w:tabs>
          <w:tab w:val="clear" w:pos="4320"/>
          <w:tab w:val="clear" w:pos="8640"/>
        </w:tabs>
        <w:spacing w:line="360" w:lineRule="auto"/>
        <w:jc w:val="center"/>
        <w:rPr>
          <w:b/>
          <w:bCs/>
          <w:sz w:val="32"/>
          <w:szCs w:val="32"/>
        </w:rPr>
      </w:pPr>
      <w:bookmarkStart w:id="0" w:name="_GoBack"/>
      <w:bookmarkEnd w:id="0"/>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4040A0">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4040A0">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4040A0">
      <w:pPr>
        <w:pStyle w:val="Footer"/>
        <w:numPr>
          <w:ilvl w:val="0"/>
          <w:numId w:val="29"/>
        </w:numPr>
        <w:tabs>
          <w:tab w:val="clear" w:pos="4320"/>
          <w:tab w:val="clear" w:pos="8640"/>
        </w:tabs>
        <w:spacing w:line="360" w:lineRule="auto"/>
      </w:pPr>
      <w:r>
        <w:rPr>
          <w:u w:val="single"/>
        </w:rPr>
        <w:t>Capacity/Complexity Measures</w:t>
      </w:r>
      <w:r>
        <w:t>: Some capacity/complexity measures are:</w:t>
      </w:r>
    </w:p>
    <w:p w:rsidR="004040A0" w:rsidRDefault="004040A0" w:rsidP="004040A0">
      <w:pPr>
        <w:pStyle w:val="Footer"/>
        <w:numPr>
          <w:ilvl w:val="1"/>
          <w:numId w:val="29"/>
        </w:numPr>
        <w:tabs>
          <w:tab w:val="clear" w:pos="4320"/>
          <w:tab w:val="clear" w:pos="8640"/>
        </w:tabs>
        <w:spacing w:line="360" w:lineRule="auto"/>
      </w:pPr>
      <w:r>
        <w:t>Covering Numbers (all variants)</w:t>
      </w:r>
    </w:p>
    <w:p w:rsidR="004040A0" w:rsidRDefault="004040A0" w:rsidP="004040A0">
      <w:pPr>
        <w:pStyle w:val="Footer"/>
        <w:numPr>
          <w:ilvl w:val="1"/>
          <w:numId w:val="29"/>
        </w:numPr>
        <w:tabs>
          <w:tab w:val="clear" w:pos="4320"/>
          <w:tab w:val="clear" w:pos="8640"/>
        </w:tabs>
        <w:spacing w:line="360" w:lineRule="auto"/>
      </w:pPr>
      <w:r>
        <w:t>VC Dimension</w:t>
      </w:r>
    </w:p>
    <w:p w:rsidR="004040A0" w:rsidRDefault="004040A0" w:rsidP="004040A0">
      <w:pPr>
        <w:pStyle w:val="Footer"/>
        <w:numPr>
          <w:ilvl w:val="1"/>
          <w:numId w:val="29"/>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18383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18383C"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We a</w:t>
      </w:r>
      <w:proofErr w:type="spellStart"/>
      <w:r w:rsidR="00F305EE">
        <w:t>lso</w:t>
      </w:r>
      <w:proofErr w:type="spellEnd"/>
      <w:r w:rsidR="00F305EE">
        <w:t xml:space="preserv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18383C"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t>
      </w:r>
      <w:r>
        <w:lastRenderedPageBreak/>
        <w:t xml:space="preserve">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18383C"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w:t>
      </w:r>
      <w:proofErr w:type="spellStart"/>
      <w:r>
        <w:t>ange</w:t>
      </w:r>
      <w:proofErr w:type="spellEnd"/>
      <w:r>
        <w:t xml:space="preserv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To obtain a large lower bound we want to maximize this expression sub</w:t>
      </w:r>
      <w:proofErr w:type="spellStart"/>
      <w:r>
        <w:t>ject</w:t>
      </w:r>
      <w:proofErr w:type="spellEnd"/>
      <w:r>
        <w:t xml:space="preserve">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proofErr w:type="spellStart"/>
      <w:r w:rsidR="00843A8B">
        <w:t>c</w:t>
      </w:r>
      <w:r>
        <w:t>tions</w:t>
      </w:r>
      <w:proofErr w:type="spellEnd"/>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w:t>
      </w:r>
      <w:proofErr w:type="spellStart"/>
      <w:r>
        <w:t>onstant</w:t>
      </w:r>
      <w:proofErr w:type="spellEnd"/>
      <w:r>
        <w:t xml:space="preserve">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18383C"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lastRenderedPageBreak/>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and consider the restriction o</w:t>
      </w:r>
      <w:proofErr w:type="spellStart"/>
      <w:r w:rsidR="00582B18">
        <w:t>f</w:t>
      </w:r>
      <w:proofErr w:type="spellEnd"/>
      <w:r w:rsidR="00582B18">
        <w:t xml:space="preserve">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r>
        <w:lastRenderedPageBreak/>
        <w:t xml:space="preserve">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w:t>
      </w:r>
      <w:proofErr w:type="spellStart"/>
      <w:r>
        <w:t>lor</w:t>
      </w:r>
      <w:proofErr w:type="spellEnd"/>
      <w:r>
        <w:t>,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lastRenderedPageBreak/>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lastRenderedPageBreak/>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lastRenderedPageBreak/>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lastRenderedPageBreak/>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w:t>
      </w:r>
      <w:proofErr w:type="spellStart"/>
      <w:r>
        <w:t>er</w:t>
      </w:r>
      <w:proofErr w:type="spellEnd"/>
      <w:r>
        <w:t xml:space="preserve">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18383C"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However, in agnostic learning in gen</w:t>
      </w:r>
      <w:proofErr w:type="spellStart"/>
      <w:r>
        <w:t>eral</w:t>
      </w:r>
      <w:proofErr w:type="spellEnd"/>
      <w:r>
        <w:t xml:space="preserve">,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w:t>
      </w:r>
      <w:proofErr w:type="spellStart"/>
      <w:r>
        <w:t>ves</w:t>
      </w:r>
      <w:proofErr w:type="spellEnd"/>
      <w:r>
        <w:t>.</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7B526B">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7B526B">
      <w:pPr>
        <w:pStyle w:val="Footer"/>
        <w:numPr>
          <w:ilvl w:val="0"/>
          <w:numId w:val="127"/>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7B526B">
      <w:pPr>
        <w:pStyle w:val="Footer"/>
        <w:numPr>
          <w:ilvl w:val="0"/>
          <w:numId w:val="127"/>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7B526B">
      <w:pPr>
        <w:pStyle w:val="Footer"/>
        <w:numPr>
          <w:ilvl w:val="0"/>
          <w:numId w:val="127"/>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w:t>
      </w:r>
      <w:proofErr w:type="spellStart"/>
      <w:r>
        <w:t>lliamson</w:t>
      </w:r>
      <w:proofErr w:type="spellEnd"/>
      <w:r>
        <w:t xml:space="preserve">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18383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18383C"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w:t>
      </w:r>
      <w:proofErr w:type="spellStart"/>
      <w:r>
        <w:t>alues</w:t>
      </w:r>
      <w:proofErr w:type="spell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w:t>
      </w:r>
      <w:proofErr w:type="spellStart"/>
      <w:r w:rsidR="00E04B2E">
        <w:t>ue</w:t>
      </w:r>
      <w:proofErr w:type="spellEnd"/>
      <w:r w:rsidR="00E04B2E">
        <w:t xml:space="preserv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18383C"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w:t>
      </w:r>
      <w:proofErr w:type="spellStart"/>
      <w:r>
        <w:t>f</w:t>
      </w:r>
      <w:proofErr w:type="spellEnd"/>
      <w:r>
        <w:t xml:space="preserve">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18383C"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18383C"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w:t>
      </w:r>
      <w:proofErr w:type="spellStart"/>
      <w:r w:rsidR="00F8662D">
        <w:t>ch</w:t>
      </w:r>
      <w:proofErr w:type="spellEnd"/>
      <w:r w:rsidR="00F8662D">
        <w:t xml:space="preserv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w:t>
      </w:r>
      <w:proofErr w:type="spellStart"/>
      <w:r>
        <w:t>asing</w:t>
      </w:r>
      <w:proofErr w:type="spellEnd"/>
      <w:r>
        <w:t xml:space="preserve">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w:t>
      </w:r>
      <w:proofErr w:type="spellStart"/>
      <w:r>
        <w:t>ernel</w:t>
      </w:r>
      <w:proofErr w:type="spellEnd"/>
      <w:r>
        <w:t xml:space="preserve">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18383C"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w:t>
      </w:r>
      <w:proofErr w:type="spellStart"/>
      <w:r>
        <w:t>nd</w:t>
      </w:r>
      <w:proofErr w:type="spellEnd"/>
      <w:r>
        <w:t xml:space="preserve">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u</w:t>
      </w:r>
      <w:proofErr w:type="spellStart"/>
      <w:r>
        <w:t>nder</w:t>
      </w:r>
      <w:proofErr w:type="spellEnd"/>
      <w:r>
        <w:t xml:space="preserve">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18383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18383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18383C"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18383C"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this corresponds to asking h</w:t>
      </w:r>
      <w:proofErr w:type="spellStart"/>
      <w:r>
        <w:t>ow</w:t>
      </w:r>
      <w:proofErr w:type="spellEnd"/>
      <w:r>
        <w:t xml:space="preserv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proofErr w:type="spellStart"/>
      <w:r w:rsidRPr="00A965F4">
        <w:rPr>
          <w:vertAlign w:val="superscript"/>
        </w:rPr>
        <w:t>rd</w:t>
      </w:r>
      <w:proofErr w:type="spellEnd"/>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proofErr w:type="spellStart"/>
      <w:r w:rsidRPr="003B0D91">
        <w:rPr>
          <w:vertAlign w:val="superscript"/>
        </w:rPr>
        <w:t>nd</w:t>
      </w:r>
      <w:proofErr w:type="spellEnd"/>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w:t>
      </w:r>
      <w:proofErr w:type="spellStart"/>
      <w:r>
        <w:t>ll</w:t>
      </w:r>
      <w:proofErr w:type="spellEnd"/>
      <w:r>
        <w:t xml:space="preserve">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w:t>
      </w:r>
      <w:proofErr w:type="spellStart"/>
      <w:r>
        <w:t>te</w:t>
      </w:r>
      <w:proofErr w:type="spellEnd"/>
      <w:r>
        <w:t xml:space="preserv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for example). The above Fourier transform can be applied wh</w:t>
      </w:r>
      <w:proofErr w:type="spellStart"/>
      <w:r>
        <w:t>enever</w:t>
      </w:r>
      <w:proofErr w:type="spellEnd"/>
      <w:r>
        <w:t xml:space="preserve">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First, one could co</w:t>
      </w:r>
      <w:proofErr w:type="spellStart"/>
      <w:r>
        <w:t>nstruct</w:t>
      </w:r>
      <w:proofErr w:type="spellEnd"/>
      <w:r>
        <w:t xml:space="preserve">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w:t>
      </w:r>
      <w:proofErr w:type="spellStart"/>
      <w:r>
        <w:t>lues</w:t>
      </w:r>
      <w:proofErr w:type="spellEnd"/>
      <w:r>
        <w:t>.</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Hence the co</w:t>
      </w:r>
      <w:proofErr w:type="spellStart"/>
      <w:r>
        <w:t>rresponding</w:t>
      </w:r>
      <w:proofErr w:type="spellEnd"/>
      <w:r>
        <w:t xml:space="preserv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which allows us to b</w:t>
      </w:r>
      <w:proofErr w:type="spellStart"/>
      <w:r>
        <w:t>ound</w:t>
      </w:r>
      <w:proofErr w:type="spellEnd"/>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w:t>
      </w:r>
      <w:proofErr w:type="spellStart"/>
      <w:r>
        <w:t>esult</w:t>
      </w:r>
      <w:proofErr w:type="spellEnd"/>
      <w:r>
        <w:t xml:space="preserve">.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-dimensional Euc</w:t>
      </w:r>
      <w:proofErr w:type="spellStart"/>
      <w:r>
        <w:t>liedean</w:t>
      </w:r>
      <w:proofErr w:type="spellEnd"/>
      <w:r>
        <w:t xml:space="preserve">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2A87">
      <w:pPr>
        <w:pStyle w:val="Footer"/>
        <w:numPr>
          <w:ilvl w:val="0"/>
          <w:numId w:val="153"/>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2A87">
      <w:pPr>
        <w:pStyle w:val="Footer"/>
        <w:numPr>
          <w:ilvl w:val="0"/>
          <w:numId w:val="153"/>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2A87">
      <w:pPr>
        <w:pStyle w:val="Footer"/>
        <w:numPr>
          <w:ilvl w:val="0"/>
          <w:numId w:val="153"/>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2A87">
      <w:pPr>
        <w:pStyle w:val="Footer"/>
        <w:numPr>
          <w:ilvl w:val="0"/>
          <w:numId w:val="153"/>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2A87">
      <w:pPr>
        <w:pStyle w:val="Footer"/>
        <w:numPr>
          <w:ilvl w:val="0"/>
          <w:numId w:val="153"/>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2A87">
      <w:pPr>
        <w:pStyle w:val="Footer"/>
        <w:numPr>
          <w:ilvl w:val="0"/>
          <w:numId w:val="153"/>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w:t>
      </w:r>
      <w:proofErr w:type="spellStart"/>
      <w:r>
        <w:t>er</w:t>
      </w:r>
      <w:proofErr w:type="spellEnd"/>
      <w:r>
        <w:t xml:space="preserve">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w:t>
      </w:r>
      <w:proofErr w:type="spellStart"/>
      <w:r>
        <w:t>eneracy</w:t>
      </w:r>
      <w:proofErr w:type="spellEnd"/>
      <w:r>
        <w:t xml:space="preserve">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2A87">
      <w:pPr>
        <w:pStyle w:val="Footer"/>
        <w:numPr>
          <w:ilvl w:val="0"/>
          <w:numId w:val="153"/>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602A87">
      <w:pPr>
        <w:pStyle w:val="Footer"/>
        <w:numPr>
          <w:ilvl w:val="0"/>
          <w:numId w:val="154"/>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602A87">
      <w:pPr>
        <w:pStyle w:val="Footer"/>
        <w:numPr>
          <w:ilvl w:val="0"/>
          <w:numId w:val="154"/>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602A87">
      <w:pPr>
        <w:pStyle w:val="Footer"/>
        <w:numPr>
          <w:ilvl w:val="0"/>
          <w:numId w:val="154"/>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602A87">
      <w:pPr>
        <w:pStyle w:val="Footer"/>
        <w:numPr>
          <w:ilvl w:val="1"/>
          <w:numId w:val="154"/>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602A87">
      <w:pPr>
        <w:pStyle w:val="Footer"/>
        <w:numPr>
          <w:ilvl w:val="0"/>
          <w:numId w:val="154"/>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602A87">
      <w:pPr>
        <w:pStyle w:val="Footer"/>
        <w:numPr>
          <w:ilvl w:val="1"/>
          <w:numId w:val="154"/>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proofErr w:type="spellStart"/>
      <w:r w:rsidRPr="00413826">
        <w:rPr>
          <w:vertAlign w:val="superscript"/>
        </w:rPr>
        <w:t>nd</w:t>
      </w:r>
      <w:proofErr w:type="spellEnd"/>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602A87">
      <w:pPr>
        <w:pStyle w:val="Footer"/>
        <w:numPr>
          <w:ilvl w:val="0"/>
          <w:numId w:val="154"/>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602A87">
      <w:pPr>
        <w:pStyle w:val="Footer"/>
        <w:numPr>
          <w:ilvl w:val="0"/>
          <w:numId w:val="154"/>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602A87">
      <w:pPr>
        <w:pStyle w:val="Footer"/>
        <w:numPr>
          <w:ilvl w:val="0"/>
          <w:numId w:val="154"/>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02A87">
      <w:pPr>
        <w:pStyle w:val="Footer"/>
        <w:numPr>
          <w:ilvl w:val="0"/>
          <w:numId w:val="155"/>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02A87">
      <w:pPr>
        <w:pStyle w:val="Footer"/>
        <w:numPr>
          <w:ilvl w:val="0"/>
          <w:numId w:val="155"/>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02A87">
      <w:pPr>
        <w:pStyle w:val="Footer"/>
        <w:numPr>
          <w:ilvl w:val="0"/>
          <w:numId w:val="155"/>
        </w:numPr>
        <w:tabs>
          <w:tab w:val="clear" w:pos="4320"/>
          <w:tab w:val="clear" w:pos="8640"/>
        </w:tabs>
        <w:spacing w:line="360" w:lineRule="auto"/>
      </w:pPr>
      <w:r>
        <w:rPr>
          <w:u w:val="single"/>
        </w:rPr>
        <w:t>Proof</w:t>
      </w:r>
      <w:r w:rsidRPr="002C7B55">
        <w:t>:</w:t>
      </w:r>
    </w:p>
    <w:p w:rsidR="002C7B55" w:rsidRDefault="002C7B55" w:rsidP="00602A87">
      <w:pPr>
        <w:pStyle w:val="Footer"/>
        <w:numPr>
          <w:ilvl w:val="1"/>
          <w:numId w:val="155"/>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602A87">
      <w:pPr>
        <w:pStyle w:val="Footer"/>
        <w:numPr>
          <w:ilvl w:val="1"/>
          <w:numId w:val="155"/>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602A87">
      <w:pPr>
        <w:pStyle w:val="Footer"/>
        <w:numPr>
          <w:ilvl w:val="1"/>
          <w:numId w:val="155"/>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602A87">
      <w:pPr>
        <w:pStyle w:val="Footer"/>
        <w:numPr>
          <w:ilvl w:val="1"/>
          <w:numId w:val="155"/>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602A87">
      <w:pPr>
        <w:pStyle w:val="Footer"/>
        <w:numPr>
          <w:ilvl w:val="1"/>
          <w:numId w:val="155"/>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602A87">
      <w:pPr>
        <w:pStyle w:val="Footer"/>
        <w:numPr>
          <w:ilvl w:val="1"/>
          <w:numId w:val="155"/>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This can be done by differentiating the final expression wi</w:t>
      </w:r>
      <w:proofErr w:type="spellStart"/>
      <w:r>
        <w:t>th</w:t>
      </w:r>
      <w:proofErr w:type="spellEnd"/>
      <w:r>
        <w:t xml:space="preserve">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C7707">
      <w:pPr>
        <w:pStyle w:val="Footer"/>
        <w:numPr>
          <w:ilvl w:val="0"/>
          <w:numId w:val="150"/>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C7707">
      <w:pPr>
        <w:pStyle w:val="Footer"/>
        <w:numPr>
          <w:ilvl w:val="0"/>
          <w:numId w:val="150"/>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602A87">
      <w:pPr>
        <w:pStyle w:val="Footer"/>
        <w:numPr>
          <w:ilvl w:val="0"/>
          <w:numId w:val="157"/>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602A87">
      <w:pPr>
        <w:pStyle w:val="Footer"/>
        <w:numPr>
          <w:ilvl w:val="0"/>
          <w:numId w:val="157"/>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602A87">
      <w:pPr>
        <w:pStyle w:val="Footer"/>
        <w:numPr>
          <w:ilvl w:val="0"/>
          <w:numId w:val="157"/>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602A87">
      <w:pPr>
        <w:pStyle w:val="Footer"/>
        <w:numPr>
          <w:ilvl w:val="0"/>
          <w:numId w:val="157"/>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602A87">
      <w:pPr>
        <w:pStyle w:val="Footer"/>
        <w:numPr>
          <w:ilvl w:val="0"/>
          <w:numId w:val="158"/>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602A87">
      <w:pPr>
        <w:pStyle w:val="Footer"/>
        <w:numPr>
          <w:ilvl w:val="0"/>
          <w:numId w:val="158"/>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602A87">
      <w:pPr>
        <w:pStyle w:val="Footer"/>
        <w:numPr>
          <w:ilvl w:val="0"/>
          <w:numId w:val="158"/>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581198">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581198">
      <w:pPr>
        <w:pStyle w:val="Footer"/>
        <w:numPr>
          <w:ilvl w:val="0"/>
          <w:numId w:val="117"/>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581198">
      <w:pPr>
        <w:pStyle w:val="Footer"/>
        <w:numPr>
          <w:ilvl w:val="0"/>
          <w:numId w:val="117"/>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3B7990">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797293">
      <w:pPr>
        <w:pStyle w:val="Footer"/>
        <w:numPr>
          <w:ilvl w:val="0"/>
          <w:numId w:val="117"/>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FA1B54">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581198">
      <w:pPr>
        <w:pStyle w:val="Footer"/>
        <w:numPr>
          <w:ilvl w:val="0"/>
          <w:numId w:val="117"/>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602A87">
      <w:pPr>
        <w:pStyle w:val="Footer"/>
        <w:numPr>
          <w:ilvl w:val="0"/>
          <w:numId w:val="15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02A87">
      <w:pPr>
        <w:pStyle w:val="Footer"/>
        <w:numPr>
          <w:ilvl w:val="0"/>
          <w:numId w:val="156"/>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w:t>
      </w:r>
      <w:proofErr w:type="spellStart"/>
      <w:r>
        <w:t>eded</w:t>
      </w:r>
      <w:proofErr w:type="spellEnd"/>
      <w:r>
        <w:t xml:space="preserve">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w:t>
      </w:r>
      <w:proofErr w:type="spellStart"/>
      <w:r>
        <w:t>es</w:t>
      </w:r>
      <w:proofErr w:type="spellEnd"/>
      <w:r>
        <w:t xml:space="preserve">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The estimation error bou</w:t>
      </w:r>
      <w:proofErr w:type="spellStart"/>
      <w:r>
        <w:t>nd</w:t>
      </w:r>
      <w:proofErr w:type="spellEnd"/>
      <w:r>
        <w:t xml:space="preserve">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w:t>
      </w:r>
      <w:proofErr w:type="spellStart"/>
      <w:r>
        <w:t>arization</w:t>
      </w:r>
      <w:proofErr w:type="spellEnd"/>
      <w:r>
        <w:t xml:space="preserve">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Often simple re</w:t>
      </w:r>
      <w:proofErr w:type="spellStart"/>
      <w:r>
        <w:t>sults</w:t>
      </w:r>
      <w:proofErr w:type="spellEnd"/>
      <w:r>
        <w:t xml:space="preserve">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t>
      </w:r>
      <w:proofErr w:type="spellStart"/>
      <w:r>
        <w:t>wly</w:t>
      </w:r>
      <w:proofErr w:type="spellEnd"/>
      <w:r>
        <w:t xml:space="preserve">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w:t>
      </w:r>
      <w:proofErr w:type="spellStart"/>
      <w:r>
        <w:t>fier</w:t>
      </w:r>
      <w:proofErr w:type="spellEnd"/>
      <w:r>
        <w:t xml:space="preserve">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3C" w:rsidRDefault="0018383C" w:rsidP="00240A74">
      <w:r>
        <w:separator/>
      </w:r>
    </w:p>
  </w:endnote>
  <w:endnote w:type="continuationSeparator" w:id="0">
    <w:p w:rsidR="0018383C" w:rsidRDefault="0018383C"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DC7707" w:rsidRDefault="00DC7707">
        <w:pPr>
          <w:pStyle w:val="Footer"/>
          <w:jc w:val="center"/>
        </w:pPr>
        <w:r>
          <w:fldChar w:fldCharType="begin"/>
        </w:r>
        <w:r>
          <w:instrText xml:space="preserve"> PAGE   \* MERGEFORMAT </w:instrText>
        </w:r>
        <w:r>
          <w:fldChar w:fldCharType="separate"/>
        </w:r>
        <w:r w:rsidR="004040A0">
          <w:rPr>
            <w:noProof/>
          </w:rPr>
          <w:t>208</w:t>
        </w:r>
        <w:r>
          <w:rPr>
            <w:noProof/>
          </w:rPr>
          <w:fldChar w:fldCharType="end"/>
        </w:r>
      </w:p>
    </w:sdtContent>
  </w:sdt>
  <w:p w:rsidR="00DC7707" w:rsidRDefault="00DC7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3C" w:rsidRDefault="0018383C" w:rsidP="00240A74">
      <w:r>
        <w:separator/>
      </w:r>
    </w:p>
  </w:footnote>
  <w:footnote w:type="continuationSeparator" w:id="0">
    <w:p w:rsidR="0018383C" w:rsidRDefault="0018383C"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B496B"/>
    <w:multiLevelType w:val="hybridMultilevel"/>
    <w:tmpl w:val="1B82924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D2A62E5"/>
    <w:multiLevelType w:val="hybridMultilevel"/>
    <w:tmpl w:val="7102C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8153B14"/>
    <w:multiLevelType w:val="hybridMultilevel"/>
    <w:tmpl w:val="5AD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3B56853"/>
    <w:multiLevelType w:val="hybridMultilevel"/>
    <w:tmpl w:val="F6F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F7E0D89"/>
    <w:multiLevelType w:val="hybridMultilevel"/>
    <w:tmpl w:val="D7D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2"/>
  </w:num>
  <w:num w:numId="2">
    <w:abstractNumId w:val="128"/>
  </w:num>
  <w:num w:numId="3">
    <w:abstractNumId w:val="127"/>
  </w:num>
  <w:num w:numId="4">
    <w:abstractNumId w:val="8"/>
  </w:num>
  <w:num w:numId="5">
    <w:abstractNumId w:val="139"/>
  </w:num>
  <w:num w:numId="6">
    <w:abstractNumId w:val="13"/>
  </w:num>
  <w:num w:numId="7">
    <w:abstractNumId w:val="118"/>
  </w:num>
  <w:num w:numId="8">
    <w:abstractNumId w:val="68"/>
  </w:num>
  <w:num w:numId="9">
    <w:abstractNumId w:val="103"/>
  </w:num>
  <w:num w:numId="10">
    <w:abstractNumId w:val="160"/>
  </w:num>
  <w:num w:numId="11">
    <w:abstractNumId w:val="4"/>
  </w:num>
  <w:num w:numId="12">
    <w:abstractNumId w:val="137"/>
  </w:num>
  <w:num w:numId="13">
    <w:abstractNumId w:val="23"/>
  </w:num>
  <w:num w:numId="14">
    <w:abstractNumId w:val="67"/>
  </w:num>
  <w:num w:numId="15">
    <w:abstractNumId w:val="145"/>
  </w:num>
  <w:num w:numId="16">
    <w:abstractNumId w:val="36"/>
  </w:num>
  <w:num w:numId="17">
    <w:abstractNumId w:val="35"/>
  </w:num>
  <w:num w:numId="18">
    <w:abstractNumId w:val="87"/>
  </w:num>
  <w:num w:numId="19">
    <w:abstractNumId w:val="85"/>
  </w:num>
  <w:num w:numId="20">
    <w:abstractNumId w:val="98"/>
  </w:num>
  <w:num w:numId="21">
    <w:abstractNumId w:val="53"/>
  </w:num>
  <w:num w:numId="22">
    <w:abstractNumId w:val="32"/>
  </w:num>
  <w:num w:numId="23">
    <w:abstractNumId w:val="88"/>
  </w:num>
  <w:num w:numId="24">
    <w:abstractNumId w:val="75"/>
  </w:num>
  <w:num w:numId="25">
    <w:abstractNumId w:val="113"/>
  </w:num>
  <w:num w:numId="26">
    <w:abstractNumId w:val="26"/>
  </w:num>
  <w:num w:numId="27">
    <w:abstractNumId w:val="24"/>
  </w:num>
  <w:num w:numId="28">
    <w:abstractNumId w:val="82"/>
  </w:num>
  <w:num w:numId="29">
    <w:abstractNumId w:val="49"/>
  </w:num>
  <w:num w:numId="30">
    <w:abstractNumId w:val="5"/>
  </w:num>
  <w:num w:numId="31">
    <w:abstractNumId w:val="21"/>
  </w:num>
  <w:num w:numId="32">
    <w:abstractNumId w:val="143"/>
  </w:num>
  <w:num w:numId="33">
    <w:abstractNumId w:val="117"/>
  </w:num>
  <w:num w:numId="34">
    <w:abstractNumId w:val="12"/>
  </w:num>
  <w:num w:numId="35">
    <w:abstractNumId w:val="42"/>
  </w:num>
  <w:num w:numId="36">
    <w:abstractNumId w:val="7"/>
  </w:num>
  <w:num w:numId="37">
    <w:abstractNumId w:val="152"/>
  </w:num>
  <w:num w:numId="38">
    <w:abstractNumId w:val="27"/>
  </w:num>
  <w:num w:numId="39">
    <w:abstractNumId w:val="83"/>
  </w:num>
  <w:num w:numId="40">
    <w:abstractNumId w:val="89"/>
  </w:num>
  <w:num w:numId="41">
    <w:abstractNumId w:val="46"/>
  </w:num>
  <w:num w:numId="42">
    <w:abstractNumId w:val="76"/>
  </w:num>
  <w:num w:numId="43">
    <w:abstractNumId w:val="162"/>
  </w:num>
  <w:num w:numId="44">
    <w:abstractNumId w:val="135"/>
  </w:num>
  <w:num w:numId="45">
    <w:abstractNumId w:val="41"/>
  </w:num>
  <w:num w:numId="46">
    <w:abstractNumId w:val="6"/>
  </w:num>
  <w:num w:numId="47">
    <w:abstractNumId w:val="108"/>
  </w:num>
  <w:num w:numId="48">
    <w:abstractNumId w:val="20"/>
  </w:num>
  <w:num w:numId="49">
    <w:abstractNumId w:val="149"/>
  </w:num>
  <w:num w:numId="50">
    <w:abstractNumId w:val="39"/>
  </w:num>
  <w:num w:numId="51">
    <w:abstractNumId w:val="77"/>
  </w:num>
  <w:num w:numId="52">
    <w:abstractNumId w:val="159"/>
  </w:num>
  <w:num w:numId="53">
    <w:abstractNumId w:val="18"/>
  </w:num>
  <w:num w:numId="54">
    <w:abstractNumId w:val="1"/>
  </w:num>
  <w:num w:numId="55">
    <w:abstractNumId w:val="96"/>
  </w:num>
  <w:num w:numId="56">
    <w:abstractNumId w:val="129"/>
  </w:num>
  <w:num w:numId="57">
    <w:abstractNumId w:val="123"/>
  </w:num>
  <w:num w:numId="58">
    <w:abstractNumId w:val="119"/>
  </w:num>
  <w:num w:numId="59">
    <w:abstractNumId w:val="43"/>
  </w:num>
  <w:num w:numId="60">
    <w:abstractNumId w:val="110"/>
  </w:num>
  <w:num w:numId="61">
    <w:abstractNumId w:val="91"/>
  </w:num>
  <w:num w:numId="62">
    <w:abstractNumId w:val="104"/>
  </w:num>
  <w:num w:numId="63">
    <w:abstractNumId w:val="109"/>
  </w:num>
  <w:num w:numId="64">
    <w:abstractNumId w:val="90"/>
  </w:num>
  <w:num w:numId="65">
    <w:abstractNumId w:val="84"/>
  </w:num>
  <w:num w:numId="66">
    <w:abstractNumId w:val="58"/>
  </w:num>
  <w:num w:numId="67">
    <w:abstractNumId w:val="121"/>
  </w:num>
  <w:num w:numId="68">
    <w:abstractNumId w:val="28"/>
  </w:num>
  <w:num w:numId="69">
    <w:abstractNumId w:val="63"/>
  </w:num>
  <w:num w:numId="70">
    <w:abstractNumId w:val="93"/>
  </w:num>
  <w:num w:numId="71">
    <w:abstractNumId w:val="62"/>
  </w:num>
  <w:num w:numId="72">
    <w:abstractNumId w:val="40"/>
  </w:num>
  <w:num w:numId="73">
    <w:abstractNumId w:val="3"/>
  </w:num>
  <w:num w:numId="74">
    <w:abstractNumId w:val="11"/>
  </w:num>
  <w:num w:numId="75">
    <w:abstractNumId w:val="156"/>
  </w:num>
  <w:num w:numId="76">
    <w:abstractNumId w:val="37"/>
  </w:num>
  <w:num w:numId="77">
    <w:abstractNumId w:val="133"/>
  </w:num>
  <w:num w:numId="78">
    <w:abstractNumId w:val="101"/>
  </w:num>
  <w:num w:numId="79">
    <w:abstractNumId w:val="74"/>
  </w:num>
  <w:num w:numId="80">
    <w:abstractNumId w:val="153"/>
  </w:num>
  <w:num w:numId="81">
    <w:abstractNumId w:val="59"/>
  </w:num>
  <w:num w:numId="82">
    <w:abstractNumId w:val="140"/>
  </w:num>
  <w:num w:numId="83">
    <w:abstractNumId w:val="111"/>
  </w:num>
  <w:num w:numId="84">
    <w:abstractNumId w:val="72"/>
  </w:num>
  <w:num w:numId="85">
    <w:abstractNumId w:val="44"/>
  </w:num>
  <w:num w:numId="86">
    <w:abstractNumId w:val="151"/>
  </w:num>
  <w:num w:numId="87">
    <w:abstractNumId w:val="120"/>
  </w:num>
  <w:num w:numId="88">
    <w:abstractNumId w:val="130"/>
  </w:num>
  <w:num w:numId="89">
    <w:abstractNumId w:val="150"/>
  </w:num>
  <w:num w:numId="90">
    <w:abstractNumId w:val="60"/>
  </w:num>
  <w:num w:numId="91">
    <w:abstractNumId w:val="92"/>
  </w:num>
  <w:num w:numId="92">
    <w:abstractNumId w:val="22"/>
  </w:num>
  <w:num w:numId="93">
    <w:abstractNumId w:val="100"/>
  </w:num>
  <w:num w:numId="94">
    <w:abstractNumId w:val="55"/>
  </w:num>
  <w:num w:numId="95">
    <w:abstractNumId w:val="155"/>
  </w:num>
  <w:num w:numId="96">
    <w:abstractNumId w:val="163"/>
  </w:num>
  <w:num w:numId="97">
    <w:abstractNumId w:val="97"/>
  </w:num>
  <w:num w:numId="98">
    <w:abstractNumId w:val="161"/>
  </w:num>
  <w:num w:numId="99">
    <w:abstractNumId w:val="9"/>
  </w:num>
  <w:num w:numId="100">
    <w:abstractNumId w:val="69"/>
  </w:num>
  <w:num w:numId="101">
    <w:abstractNumId w:val="66"/>
  </w:num>
  <w:num w:numId="102">
    <w:abstractNumId w:val="138"/>
  </w:num>
  <w:num w:numId="103">
    <w:abstractNumId w:val="80"/>
  </w:num>
  <w:num w:numId="104">
    <w:abstractNumId w:val="158"/>
  </w:num>
  <w:num w:numId="105">
    <w:abstractNumId w:val="33"/>
  </w:num>
  <w:num w:numId="106">
    <w:abstractNumId w:val="141"/>
  </w:num>
  <w:num w:numId="107">
    <w:abstractNumId w:val="79"/>
  </w:num>
  <w:num w:numId="108">
    <w:abstractNumId w:val="56"/>
  </w:num>
  <w:num w:numId="109">
    <w:abstractNumId w:val="47"/>
  </w:num>
  <w:num w:numId="110">
    <w:abstractNumId w:val="136"/>
  </w:num>
  <w:num w:numId="111">
    <w:abstractNumId w:val="86"/>
  </w:num>
  <w:num w:numId="112">
    <w:abstractNumId w:val="29"/>
  </w:num>
  <w:num w:numId="113">
    <w:abstractNumId w:val="107"/>
  </w:num>
  <w:num w:numId="114">
    <w:abstractNumId w:val="51"/>
  </w:num>
  <w:num w:numId="115">
    <w:abstractNumId w:val="94"/>
  </w:num>
  <w:num w:numId="116">
    <w:abstractNumId w:val="61"/>
  </w:num>
  <w:num w:numId="117">
    <w:abstractNumId w:val="106"/>
  </w:num>
  <w:num w:numId="118">
    <w:abstractNumId w:val="131"/>
  </w:num>
  <w:num w:numId="119">
    <w:abstractNumId w:val="48"/>
  </w:num>
  <w:num w:numId="120">
    <w:abstractNumId w:val="115"/>
  </w:num>
  <w:num w:numId="121">
    <w:abstractNumId w:val="134"/>
  </w:num>
  <w:num w:numId="122">
    <w:abstractNumId w:val="71"/>
  </w:num>
  <w:num w:numId="123">
    <w:abstractNumId w:val="148"/>
  </w:num>
  <w:num w:numId="124">
    <w:abstractNumId w:val="34"/>
  </w:num>
  <w:num w:numId="125">
    <w:abstractNumId w:val="144"/>
  </w:num>
  <w:num w:numId="126">
    <w:abstractNumId w:val="45"/>
  </w:num>
  <w:num w:numId="127">
    <w:abstractNumId w:val="65"/>
  </w:num>
  <w:num w:numId="128">
    <w:abstractNumId w:val="157"/>
  </w:num>
  <w:num w:numId="129">
    <w:abstractNumId w:val="10"/>
  </w:num>
  <w:num w:numId="130">
    <w:abstractNumId w:val="154"/>
  </w:num>
  <w:num w:numId="131">
    <w:abstractNumId w:val="54"/>
  </w:num>
  <w:num w:numId="132">
    <w:abstractNumId w:val="81"/>
  </w:num>
  <w:num w:numId="133">
    <w:abstractNumId w:val="102"/>
  </w:num>
  <w:num w:numId="134">
    <w:abstractNumId w:val="124"/>
  </w:num>
  <w:num w:numId="135">
    <w:abstractNumId w:val="64"/>
  </w:num>
  <w:num w:numId="136">
    <w:abstractNumId w:val="0"/>
  </w:num>
  <w:num w:numId="137">
    <w:abstractNumId w:val="38"/>
  </w:num>
  <w:num w:numId="138">
    <w:abstractNumId w:val="125"/>
  </w:num>
  <w:num w:numId="139">
    <w:abstractNumId w:val="99"/>
  </w:num>
  <w:num w:numId="140">
    <w:abstractNumId w:val="78"/>
  </w:num>
  <w:num w:numId="141">
    <w:abstractNumId w:val="31"/>
  </w:num>
  <w:num w:numId="142">
    <w:abstractNumId w:val="17"/>
  </w:num>
  <w:num w:numId="143">
    <w:abstractNumId w:val="122"/>
  </w:num>
  <w:num w:numId="144">
    <w:abstractNumId w:val="14"/>
  </w:num>
  <w:num w:numId="145">
    <w:abstractNumId w:val="116"/>
  </w:num>
  <w:num w:numId="146">
    <w:abstractNumId w:val="114"/>
  </w:num>
  <w:num w:numId="147">
    <w:abstractNumId w:val="2"/>
  </w:num>
  <w:num w:numId="148">
    <w:abstractNumId w:val="126"/>
  </w:num>
  <w:num w:numId="149">
    <w:abstractNumId w:val="112"/>
  </w:num>
  <w:num w:numId="150">
    <w:abstractNumId w:val="15"/>
  </w:num>
  <w:num w:numId="151">
    <w:abstractNumId w:val="50"/>
  </w:num>
  <w:num w:numId="152">
    <w:abstractNumId w:val="73"/>
  </w:num>
  <w:num w:numId="153">
    <w:abstractNumId w:val="95"/>
  </w:num>
  <w:num w:numId="154">
    <w:abstractNumId w:val="147"/>
  </w:num>
  <w:num w:numId="155">
    <w:abstractNumId w:val="25"/>
  </w:num>
  <w:num w:numId="156">
    <w:abstractNumId w:val="16"/>
  </w:num>
  <w:num w:numId="157">
    <w:abstractNumId w:val="105"/>
  </w:num>
  <w:num w:numId="158">
    <w:abstractNumId w:val="19"/>
  </w:num>
  <w:num w:numId="159">
    <w:abstractNumId w:val="70"/>
  </w:num>
  <w:num w:numId="160">
    <w:abstractNumId w:val="52"/>
  </w:num>
  <w:num w:numId="161">
    <w:abstractNumId w:val="132"/>
  </w:num>
  <w:num w:numId="162">
    <w:abstractNumId w:val="57"/>
  </w:num>
  <w:num w:numId="163">
    <w:abstractNumId w:val="146"/>
  </w:num>
  <w:num w:numId="164">
    <w:abstractNumId w:val="30"/>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03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8383C"/>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2999"/>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B7990"/>
    <w:rsid w:val="003C3F04"/>
    <w:rsid w:val="003C4C12"/>
    <w:rsid w:val="003C4CC1"/>
    <w:rsid w:val="003D13A9"/>
    <w:rsid w:val="003D5D98"/>
    <w:rsid w:val="003D64ED"/>
    <w:rsid w:val="003E2C87"/>
    <w:rsid w:val="003E3E05"/>
    <w:rsid w:val="003E440A"/>
    <w:rsid w:val="003E593B"/>
    <w:rsid w:val="003E615B"/>
    <w:rsid w:val="003E63AC"/>
    <w:rsid w:val="003F3FB4"/>
    <w:rsid w:val="003F628E"/>
    <w:rsid w:val="003F782B"/>
    <w:rsid w:val="004011ED"/>
    <w:rsid w:val="00401DAE"/>
    <w:rsid w:val="00402095"/>
    <w:rsid w:val="00403FDC"/>
    <w:rsid w:val="004040A0"/>
    <w:rsid w:val="00404BAE"/>
    <w:rsid w:val="00404E03"/>
    <w:rsid w:val="0040573A"/>
    <w:rsid w:val="004071D5"/>
    <w:rsid w:val="00410127"/>
    <w:rsid w:val="00411E14"/>
    <w:rsid w:val="00413826"/>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064C"/>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2B52"/>
    <w:rsid w:val="00774757"/>
    <w:rsid w:val="007752B6"/>
    <w:rsid w:val="0078233E"/>
    <w:rsid w:val="00784447"/>
    <w:rsid w:val="00786D3A"/>
    <w:rsid w:val="00792C97"/>
    <w:rsid w:val="00793EEF"/>
    <w:rsid w:val="00794770"/>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A7E"/>
    <w:rsid w:val="00B83EE1"/>
    <w:rsid w:val="00B92C32"/>
    <w:rsid w:val="00B9588C"/>
    <w:rsid w:val="00B95BFB"/>
    <w:rsid w:val="00BA3483"/>
    <w:rsid w:val="00BA7FCC"/>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D772D"/>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5AA6"/>
    <w:rsid w:val="00D24238"/>
    <w:rsid w:val="00D26B6C"/>
    <w:rsid w:val="00D2740D"/>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39E6"/>
    <w:rsid w:val="00DB3C53"/>
    <w:rsid w:val="00DB42A9"/>
    <w:rsid w:val="00DB5E7C"/>
    <w:rsid w:val="00DC54CD"/>
    <w:rsid w:val="00DC7707"/>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52D"/>
    <w:rsid w:val="00F93FC8"/>
    <w:rsid w:val="00F9422C"/>
    <w:rsid w:val="00FA1B54"/>
    <w:rsid w:val="00FA2B4B"/>
    <w:rsid w:val="00FA4615"/>
    <w:rsid w:val="00FA5727"/>
    <w:rsid w:val="00FA7E8C"/>
    <w:rsid w:val="00FB39B7"/>
    <w:rsid w:val="00FB50B0"/>
    <w:rsid w:val="00FB6528"/>
    <w:rsid w:val="00FB7AB9"/>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theme" Target="theme/theme1.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208</Pages>
  <Words>56205</Words>
  <Characters>320370</Characters>
  <Application>Microsoft Office Word</Application>
  <DocSecurity>0</DocSecurity>
  <Lines>2669</Lines>
  <Paragraphs>751</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2015-05-09T18:22:00Z</dcterms:created>
  <dcterms:modified xsi:type="dcterms:W3CDTF">2015-05-10T02:18:00Z</dcterms:modified>
</cp:coreProperties>
</file>