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2A5933">
        <w:rPr>
          <w:b/>
          <w:bCs/>
        </w:rPr>
        <w:t>2</w:t>
      </w:r>
      <w:r w:rsidR="009A4486">
        <w:rPr>
          <w:b/>
          <w:bCs/>
        </w:rPr>
        <w:t>4</w:t>
      </w:r>
      <w:r>
        <w:t xml:space="preserve">, </w:t>
      </w:r>
      <w:r w:rsidR="009A4486">
        <w:t>4</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A1581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A1581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A1581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A1581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A1581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A1581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A1581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A1581B"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A1581B"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A1581B"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A1581B"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A1581B"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A1581B"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A1581B"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A1581B"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A1581B"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A1581B"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A1581B"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A1581B"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A1581B"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A1581B"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A1581B"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A1581B"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A1581B"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A1581B"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A1581B"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A1581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A1581B"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A1581B"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A1581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A1581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A1581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A1581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A1581B"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A1581B"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A1581B"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A1581B"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A1581B"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A1581B"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A1581B"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A1581B"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A1581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A1581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A1581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A1581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A1581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A1581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A1581B"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A1581B"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1581B"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A1581B"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A1581B"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A1581B"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A1581B"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A1581B"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A1581B"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A1581B"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A1581B"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A1581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A1581B"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A1581B"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A1581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A1581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A1581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A1581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A1581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A1581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A1581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A1581B"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A1581B"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A1581B"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A1581B"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A1581B"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A1581B"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A1581B"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A1581B"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A1581B"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A1581B"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A1581B"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A1581B"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A1581B"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A1581B"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A1581B"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A1581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A1581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A1581B"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A1581B"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A1581B"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A1581B"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A1581B"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A1581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A1581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A1581B"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A1581B"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A1581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A1581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A1581B"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A1581B"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A1581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A1581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A1581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A1581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A1581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A1581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A1581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A1581B"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A1581B"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A1581B"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A1581B"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A1581B"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A1581B"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A1581B"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A1581B"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A1581B"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A1581B"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A1581B"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A1581B"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A1581B"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A1581B"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A1581B"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A1581B"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A1581B"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A1581B"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A1581B"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A1581B"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A1581B"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A1581B"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A1581B"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A1581B"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A1581B"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A1581B"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A1581B"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A1581B"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A1581B"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A1581B"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A1581B"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A1581B"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A1581B"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A1581B"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A1581B"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A1581B"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A1581B"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A1581B"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A1581B"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A1581B"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A1581B"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A1581B"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A1581B"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A1581B"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A1581B"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A1581B"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A1581B"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A1581B"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A1581B"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A1581B"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A1581B"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A1581B"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A1581B"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A1581B"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A1581B"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A1581B"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A1581B"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A1581B"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A1581B"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A1581B"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A1581B"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A1581B"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A1581B"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A1581B"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A1581B"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A1581B"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A1581B"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A1581B"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A1581B"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A1581B"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A1581B"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A1581B"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A1581B"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A1581B"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A1581B"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A1581B"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A1581B"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A1581B"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A1581B"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A1581B"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A1581B"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A1581B"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w:t>
      </w:r>
      <w:proofErr w:type="gramStart"/>
      <w:r w:rsidRPr="00DF5016">
        <w:rPr>
          <w:bCs/>
        </w:rPr>
        <w:t>If</w:t>
      </w:r>
      <w:proofErr w:type="gramEnd"/>
      <w:r w:rsidRPr="00DF5016">
        <w:rPr>
          <w:bCs/>
        </w:rPr>
        <w:t xml:space="preserve">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A1581B"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A1581B"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w:t>
      </w:r>
      <w:proofErr w:type="spellStart"/>
      <w:r>
        <w:rPr>
          <w:bCs/>
        </w:rPr>
        <w:t>ading</w:t>
      </w:r>
      <w:proofErr w:type="spellEnd"/>
      <w:r>
        <w:rPr>
          <w:bCs/>
        </w:rPr>
        <w:t xml:space="preserve">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A1581B"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A1581B"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A1581B"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AD05D1"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AD05D1"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AD05D1"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AD05D1"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w:t>
      </w:r>
      <w:proofErr w:type="spellStart"/>
      <w:r w:rsidR="00A1581B" w:rsidRPr="00A1581B">
        <w:rPr>
          <w:bCs/>
        </w:rPr>
        <w:t>ger</w:t>
      </w:r>
      <w:proofErr w:type="spellEnd"/>
      <w:r w:rsidR="00A1581B" w:rsidRPr="00A1581B">
        <w:rPr>
          <w:bCs/>
        </w:rPr>
        <w:t xml:space="preserve">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A1581B"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CA7A3D"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8540B8"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8D1F53"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DB0511"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DB0511"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m:t>
          </m:r>
          <m:r>
            <w:rPr>
              <w:rFonts w:ascii="Cambria Math" w:hAnsi="Cambria Math"/>
            </w:rPr>
            <m:t>⟼</m:t>
          </m:r>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D67E0B"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D67E0B"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m:t>
          </m:r>
          <m:r>
            <w:rPr>
              <w:rFonts w:ascii="Cambria Math" w:hAnsi="Cambria Math"/>
            </w:rPr>
            <m:t>→0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1B655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t>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r>
            <w:rPr>
              <w:rFonts w:ascii="Cambria Math" w:hAnsi="Cambria Math"/>
            </w:rPr>
            <m:t>∞</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bookmarkStart w:id="0" w:name="_GoBack"/>
      <w:bookmarkEnd w:id="0"/>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1B6556"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1B655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1B655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Pr="008B38D3"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EE3EF2" w:rsidRDefault="00EE3EF2" w:rsidP="00EE3EF2">
      <w:pPr>
        <w:spacing w:line="360" w:lineRule="auto"/>
        <w:rPr>
          <w:bCs/>
        </w:rPr>
      </w:pPr>
    </w:p>
    <w:p w:rsidR="00CA7A3D" w:rsidRDefault="00CA7A3D"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lastRenderedPageBreak/>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lastRenderedPageBreak/>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4530828"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4530829"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4530830"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4530831"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4530832"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4530833" r:id="rId19"/>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4530834"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4530835"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4530836"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lastRenderedPageBreak/>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4530837" r:id="rId27"/>
        </w:object>
      </w:r>
    </w:p>
    <w:p w:rsidR="005B4B21" w:rsidRDefault="00B17064" w:rsidP="006D25BB">
      <w:pPr>
        <w:numPr>
          <w:ilvl w:val="0"/>
          <w:numId w:val="10"/>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4530838"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lastRenderedPageBreak/>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4530839"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4530840"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4530841"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7DE" w:rsidRDefault="00A837DE">
      <w:r>
        <w:separator/>
      </w:r>
    </w:p>
  </w:endnote>
  <w:endnote w:type="continuationSeparator" w:id="0">
    <w:p w:rsidR="00A837DE" w:rsidRDefault="00A83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0B" w:rsidRDefault="00D67E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E0B" w:rsidRDefault="00D67E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0B" w:rsidRDefault="00D67E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38D3">
      <w:rPr>
        <w:rStyle w:val="PageNumber"/>
        <w:noProof/>
      </w:rPr>
      <w:t>118</w:t>
    </w:r>
    <w:r>
      <w:rPr>
        <w:rStyle w:val="PageNumber"/>
      </w:rPr>
      <w:fldChar w:fldCharType="end"/>
    </w:r>
  </w:p>
  <w:p w:rsidR="00D67E0B" w:rsidRDefault="00D67E0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7DE" w:rsidRDefault="00A837DE">
      <w:r>
        <w:separator/>
      </w:r>
    </w:p>
  </w:footnote>
  <w:footnote w:type="continuationSeparator" w:id="0">
    <w:p w:rsidR="00A837DE" w:rsidRDefault="00A83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0"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0"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41"/>
  </w:num>
  <w:num w:numId="3">
    <w:abstractNumId w:val="20"/>
  </w:num>
  <w:num w:numId="4">
    <w:abstractNumId w:val="39"/>
  </w:num>
  <w:num w:numId="5">
    <w:abstractNumId w:val="1"/>
  </w:num>
  <w:num w:numId="6">
    <w:abstractNumId w:val="31"/>
  </w:num>
  <w:num w:numId="7">
    <w:abstractNumId w:val="37"/>
  </w:num>
  <w:num w:numId="8">
    <w:abstractNumId w:val="10"/>
  </w:num>
  <w:num w:numId="9">
    <w:abstractNumId w:val="33"/>
  </w:num>
  <w:num w:numId="10">
    <w:abstractNumId w:val="19"/>
  </w:num>
  <w:num w:numId="11">
    <w:abstractNumId w:val="7"/>
  </w:num>
  <w:num w:numId="12">
    <w:abstractNumId w:val="29"/>
  </w:num>
  <w:num w:numId="13">
    <w:abstractNumId w:val="25"/>
  </w:num>
  <w:num w:numId="14">
    <w:abstractNumId w:val="8"/>
  </w:num>
  <w:num w:numId="15">
    <w:abstractNumId w:val="27"/>
  </w:num>
  <w:num w:numId="16">
    <w:abstractNumId w:val="23"/>
  </w:num>
  <w:num w:numId="17">
    <w:abstractNumId w:val="40"/>
  </w:num>
  <w:num w:numId="18">
    <w:abstractNumId w:val="43"/>
  </w:num>
  <w:num w:numId="19">
    <w:abstractNumId w:val="24"/>
  </w:num>
  <w:num w:numId="20">
    <w:abstractNumId w:val="14"/>
  </w:num>
  <w:num w:numId="21">
    <w:abstractNumId w:val="18"/>
  </w:num>
  <w:num w:numId="22">
    <w:abstractNumId w:val="0"/>
  </w:num>
  <w:num w:numId="23">
    <w:abstractNumId w:val="15"/>
  </w:num>
  <w:num w:numId="24">
    <w:abstractNumId w:val="30"/>
  </w:num>
  <w:num w:numId="25">
    <w:abstractNumId w:val="36"/>
  </w:num>
  <w:num w:numId="26">
    <w:abstractNumId w:val="34"/>
  </w:num>
  <w:num w:numId="27">
    <w:abstractNumId w:val="35"/>
  </w:num>
  <w:num w:numId="28">
    <w:abstractNumId w:val="38"/>
  </w:num>
  <w:num w:numId="29">
    <w:abstractNumId w:val="16"/>
  </w:num>
  <w:num w:numId="30">
    <w:abstractNumId w:val="2"/>
  </w:num>
  <w:num w:numId="31">
    <w:abstractNumId w:val="28"/>
  </w:num>
  <w:num w:numId="32">
    <w:abstractNumId w:val="44"/>
  </w:num>
  <w:num w:numId="33">
    <w:abstractNumId w:val="12"/>
  </w:num>
  <w:num w:numId="34">
    <w:abstractNumId w:val="22"/>
  </w:num>
  <w:num w:numId="35">
    <w:abstractNumId w:val="32"/>
  </w:num>
  <w:num w:numId="36">
    <w:abstractNumId w:val="4"/>
  </w:num>
  <w:num w:numId="37">
    <w:abstractNumId w:val="17"/>
  </w:num>
  <w:num w:numId="38">
    <w:abstractNumId w:val="13"/>
  </w:num>
  <w:num w:numId="39">
    <w:abstractNumId w:val="6"/>
  </w:num>
  <w:num w:numId="40">
    <w:abstractNumId w:val="5"/>
  </w:num>
  <w:num w:numId="41">
    <w:abstractNumId w:val="45"/>
  </w:num>
  <w:num w:numId="42">
    <w:abstractNumId w:val="46"/>
  </w:num>
  <w:num w:numId="43">
    <w:abstractNumId w:val="9"/>
  </w:num>
  <w:num w:numId="44">
    <w:abstractNumId w:val="11"/>
  </w:num>
  <w:num w:numId="45">
    <w:abstractNumId w:val="3"/>
  </w:num>
  <w:num w:numId="46">
    <w:abstractNumId w:val="21"/>
  </w:num>
  <w:num w:numId="47">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35CB8"/>
    <w:rsid w:val="00040B6C"/>
    <w:rsid w:val="000471D3"/>
    <w:rsid w:val="00057A60"/>
    <w:rsid w:val="000767B7"/>
    <w:rsid w:val="00076CA6"/>
    <w:rsid w:val="00084A0B"/>
    <w:rsid w:val="000A0D36"/>
    <w:rsid w:val="000A1AB4"/>
    <w:rsid w:val="000B43D7"/>
    <w:rsid w:val="000C783C"/>
    <w:rsid w:val="000E5ADC"/>
    <w:rsid w:val="000E62FE"/>
    <w:rsid w:val="000F3CDC"/>
    <w:rsid w:val="001166A0"/>
    <w:rsid w:val="001500D1"/>
    <w:rsid w:val="0015051C"/>
    <w:rsid w:val="001539E9"/>
    <w:rsid w:val="00162E34"/>
    <w:rsid w:val="0016741F"/>
    <w:rsid w:val="00171AE0"/>
    <w:rsid w:val="00171F92"/>
    <w:rsid w:val="00176E3B"/>
    <w:rsid w:val="0018117C"/>
    <w:rsid w:val="00182DAB"/>
    <w:rsid w:val="001840D8"/>
    <w:rsid w:val="00186310"/>
    <w:rsid w:val="00186DC5"/>
    <w:rsid w:val="001875B4"/>
    <w:rsid w:val="001949B4"/>
    <w:rsid w:val="001B578B"/>
    <w:rsid w:val="001B6556"/>
    <w:rsid w:val="001E65FF"/>
    <w:rsid w:val="001E6A18"/>
    <w:rsid w:val="0020100C"/>
    <w:rsid w:val="00206050"/>
    <w:rsid w:val="00222669"/>
    <w:rsid w:val="002235D0"/>
    <w:rsid w:val="00224F7D"/>
    <w:rsid w:val="00230ACF"/>
    <w:rsid w:val="002400B9"/>
    <w:rsid w:val="00275FF5"/>
    <w:rsid w:val="00281ABF"/>
    <w:rsid w:val="0028597D"/>
    <w:rsid w:val="002A5933"/>
    <w:rsid w:val="002B16DC"/>
    <w:rsid w:val="002B4909"/>
    <w:rsid w:val="002D3BF7"/>
    <w:rsid w:val="002D7C96"/>
    <w:rsid w:val="002F08A8"/>
    <w:rsid w:val="002F3086"/>
    <w:rsid w:val="002F4C83"/>
    <w:rsid w:val="002F7651"/>
    <w:rsid w:val="003263DB"/>
    <w:rsid w:val="00326CCF"/>
    <w:rsid w:val="003512BD"/>
    <w:rsid w:val="00352A59"/>
    <w:rsid w:val="0035542B"/>
    <w:rsid w:val="00367B8B"/>
    <w:rsid w:val="0037493C"/>
    <w:rsid w:val="00384990"/>
    <w:rsid w:val="0039350B"/>
    <w:rsid w:val="00394E82"/>
    <w:rsid w:val="003B1431"/>
    <w:rsid w:val="003D3F49"/>
    <w:rsid w:val="003E1B49"/>
    <w:rsid w:val="003F4687"/>
    <w:rsid w:val="004226EB"/>
    <w:rsid w:val="00436C37"/>
    <w:rsid w:val="00467ED8"/>
    <w:rsid w:val="00480759"/>
    <w:rsid w:val="00485EE8"/>
    <w:rsid w:val="004B0340"/>
    <w:rsid w:val="004B5048"/>
    <w:rsid w:val="004F06B5"/>
    <w:rsid w:val="004F5252"/>
    <w:rsid w:val="00510B21"/>
    <w:rsid w:val="005153A2"/>
    <w:rsid w:val="00517DBE"/>
    <w:rsid w:val="00522488"/>
    <w:rsid w:val="00567413"/>
    <w:rsid w:val="00572C92"/>
    <w:rsid w:val="00576FD7"/>
    <w:rsid w:val="0058279C"/>
    <w:rsid w:val="00586C89"/>
    <w:rsid w:val="005906F0"/>
    <w:rsid w:val="005A133A"/>
    <w:rsid w:val="005B4B21"/>
    <w:rsid w:val="005D2F39"/>
    <w:rsid w:val="005E7C5F"/>
    <w:rsid w:val="005F18B3"/>
    <w:rsid w:val="00612D51"/>
    <w:rsid w:val="006362B0"/>
    <w:rsid w:val="00643F79"/>
    <w:rsid w:val="00652E6F"/>
    <w:rsid w:val="0066356C"/>
    <w:rsid w:val="00696D59"/>
    <w:rsid w:val="006B06E2"/>
    <w:rsid w:val="006B5F3C"/>
    <w:rsid w:val="006C12CC"/>
    <w:rsid w:val="006C4CF3"/>
    <w:rsid w:val="006D25BB"/>
    <w:rsid w:val="006F4E4C"/>
    <w:rsid w:val="007000FC"/>
    <w:rsid w:val="00706737"/>
    <w:rsid w:val="007124A8"/>
    <w:rsid w:val="00712DD3"/>
    <w:rsid w:val="007138CB"/>
    <w:rsid w:val="00735E2E"/>
    <w:rsid w:val="00750C16"/>
    <w:rsid w:val="0076027C"/>
    <w:rsid w:val="00784174"/>
    <w:rsid w:val="00787925"/>
    <w:rsid w:val="007B2515"/>
    <w:rsid w:val="007B3CA5"/>
    <w:rsid w:val="007B471F"/>
    <w:rsid w:val="007B6226"/>
    <w:rsid w:val="007C58C5"/>
    <w:rsid w:val="007E7A6D"/>
    <w:rsid w:val="007F03D1"/>
    <w:rsid w:val="0080136F"/>
    <w:rsid w:val="00802CCD"/>
    <w:rsid w:val="00803F6D"/>
    <w:rsid w:val="008327E0"/>
    <w:rsid w:val="0083344E"/>
    <w:rsid w:val="008540B8"/>
    <w:rsid w:val="008814C4"/>
    <w:rsid w:val="008969C8"/>
    <w:rsid w:val="008A731A"/>
    <w:rsid w:val="008B38D3"/>
    <w:rsid w:val="008B478B"/>
    <w:rsid w:val="008C0129"/>
    <w:rsid w:val="008D1F53"/>
    <w:rsid w:val="008F60F3"/>
    <w:rsid w:val="0090318F"/>
    <w:rsid w:val="00905FF1"/>
    <w:rsid w:val="009119F3"/>
    <w:rsid w:val="00917982"/>
    <w:rsid w:val="0092654F"/>
    <w:rsid w:val="009443A5"/>
    <w:rsid w:val="00946B07"/>
    <w:rsid w:val="009547C7"/>
    <w:rsid w:val="009628C2"/>
    <w:rsid w:val="009672DF"/>
    <w:rsid w:val="009720FB"/>
    <w:rsid w:val="009752BE"/>
    <w:rsid w:val="009767B7"/>
    <w:rsid w:val="009801D4"/>
    <w:rsid w:val="009818AF"/>
    <w:rsid w:val="009923CB"/>
    <w:rsid w:val="00994A82"/>
    <w:rsid w:val="00995C25"/>
    <w:rsid w:val="009A4486"/>
    <w:rsid w:val="009B0C29"/>
    <w:rsid w:val="009B38B5"/>
    <w:rsid w:val="009C2E02"/>
    <w:rsid w:val="009D2D86"/>
    <w:rsid w:val="009D4EDE"/>
    <w:rsid w:val="009D708E"/>
    <w:rsid w:val="009E1872"/>
    <w:rsid w:val="00A02D72"/>
    <w:rsid w:val="00A049C2"/>
    <w:rsid w:val="00A07964"/>
    <w:rsid w:val="00A1581B"/>
    <w:rsid w:val="00A21818"/>
    <w:rsid w:val="00A31639"/>
    <w:rsid w:val="00A33315"/>
    <w:rsid w:val="00A3475F"/>
    <w:rsid w:val="00A40FDD"/>
    <w:rsid w:val="00A475C8"/>
    <w:rsid w:val="00A600AD"/>
    <w:rsid w:val="00A837DE"/>
    <w:rsid w:val="00A909D7"/>
    <w:rsid w:val="00A90BC4"/>
    <w:rsid w:val="00A95C04"/>
    <w:rsid w:val="00AA1447"/>
    <w:rsid w:val="00AA1E68"/>
    <w:rsid w:val="00AB4C83"/>
    <w:rsid w:val="00AB6C86"/>
    <w:rsid w:val="00AC386B"/>
    <w:rsid w:val="00AD05D1"/>
    <w:rsid w:val="00AF31B6"/>
    <w:rsid w:val="00B01220"/>
    <w:rsid w:val="00B17064"/>
    <w:rsid w:val="00B2483E"/>
    <w:rsid w:val="00B25EA1"/>
    <w:rsid w:val="00B32B1B"/>
    <w:rsid w:val="00B336E8"/>
    <w:rsid w:val="00B43245"/>
    <w:rsid w:val="00B674A2"/>
    <w:rsid w:val="00B87C51"/>
    <w:rsid w:val="00BA4A41"/>
    <w:rsid w:val="00BB7E2F"/>
    <w:rsid w:val="00BC51F6"/>
    <w:rsid w:val="00BF2343"/>
    <w:rsid w:val="00BF5F26"/>
    <w:rsid w:val="00BF73EA"/>
    <w:rsid w:val="00C04CCB"/>
    <w:rsid w:val="00C304C1"/>
    <w:rsid w:val="00C706DF"/>
    <w:rsid w:val="00C7152E"/>
    <w:rsid w:val="00C93708"/>
    <w:rsid w:val="00CA59B8"/>
    <w:rsid w:val="00CA6F2A"/>
    <w:rsid w:val="00CA725E"/>
    <w:rsid w:val="00CA781C"/>
    <w:rsid w:val="00CA7A3D"/>
    <w:rsid w:val="00CB136B"/>
    <w:rsid w:val="00CC32A2"/>
    <w:rsid w:val="00CF0AEF"/>
    <w:rsid w:val="00CF1461"/>
    <w:rsid w:val="00CF7CFA"/>
    <w:rsid w:val="00D12FD5"/>
    <w:rsid w:val="00D32F9E"/>
    <w:rsid w:val="00D33A2F"/>
    <w:rsid w:val="00D4712D"/>
    <w:rsid w:val="00D47763"/>
    <w:rsid w:val="00D55369"/>
    <w:rsid w:val="00D557A8"/>
    <w:rsid w:val="00D67E0B"/>
    <w:rsid w:val="00D70982"/>
    <w:rsid w:val="00D86DDB"/>
    <w:rsid w:val="00D8753A"/>
    <w:rsid w:val="00D91925"/>
    <w:rsid w:val="00D933F6"/>
    <w:rsid w:val="00DA6EDA"/>
    <w:rsid w:val="00DB044F"/>
    <w:rsid w:val="00DB0511"/>
    <w:rsid w:val="00DC19C7"/>
    <w:rsid w:val="00DD1980"/>
    <w:rsid w:val="00DD4008"/>
    <w:rsid w:val="00DF14AF"/>
    <w:rsid w:val="00DF3A8E"/>
    <w:rsid w:val="00DF5016"/>
    <w:rsid w:val="00E02E94"/>
    <w:rsid w:val="00E13227"/>
    <w:rsid w:val="00E16ECE"/>
    <w:rsid w:val="00E20976"/>
    <w:rsid w:val="00E22497"/>
    <w:rsid w:val="00E27A31"/>
    <w:rsid w:val="00E30ACA"/>
    <w:rsid w:val="00E35FA5"/>
    <w:rsid w:val="00E46B53"/>
    <w:rsid w:val="00E605ED"/>
    <w:rsid w:val="00E656A0"/>
    <w:rsid w:val="00E76709"/>
    <w:rsid w:val="00E8612A"/>
    <w:rsid w:val="00E914D8"/>
    <w:rsid w:val="00EA7920"/>
    <w:rsid w:val="00EB5CA4"/>
    <w:rsid w:val="00EE3EF2"/>
    <w:rsid w:val="00EE7E03"/>
    <w:rsid w:val="00EF1EE8"/>
    <w:rsid w:val="00EF3146"/>
    <w:rsid w:val="00EF3248"/>
    <w:rsid w:val="00F0280A"/>
    <w:rsid w:val="00F0512B"/>
    <w:rsid w:val="00F210D9"/>
    <w:rsid w:val="00F306BE"/>
    <w:rsid w:val="00F35DEB"/>
    <w:rsid w:val="00F4147C"/>
    <w:rsid w:val="00F41E59"/>
    <w:rsid w:val="00F42AE5"/>
    <w:rsid w:val="00F8126A"/>
    <w:rsid w:val="00F926C3"/>
    <w:rsid w:val="00F9480F"/>
    <w:rsid w:val="00F96B0C"/>
    <w:rsid w:val="00FB7A20"/>
    <w:rsid w:val="00FC0601"/>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120</Pages>
  <Words>21049</Words>
  <Characters>119982</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140750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13</cp:revision>
  <dcterms:created xsi:type="dcterms:W3CDTF">2016-09-04T13:17:00Z</dcterms:created>
  <dcterms:modified xsi:type="dcterms:W3CDTF">2016-09-05T01:46:00Z</dcterms:modified>
</cp:coreProperties>
</file>