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75267B">
        <w:rPr>
          <w:b/>
          <w:bCs/>
        </w:rPr>
        <w:t>1</w:t>
      </w:r>
      <w:r>
        <w:t xml:space="preserve">, </w:t>
      </w:r>
      <w:r w:rsidR="00E575D0">
        <w:t>2</w:t>
      </w:r>
      <w:r w:rsidR="0075267B">
        <w:t>5</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w:t>
      </w:r>
      <w:proofErr w:type="spellStart"/>
      <w:r>
        <w:rPr>
          <w:bCs/>
        </w:rPr>
        <w:t>ction</w:t>
      </w:r>
      <w:proofErr w:type="spellEnd"/>
      <w:r>
        <w:rPr>
          <w:bCs/>
        </w:rPr>
        <w:t xml:space="preserve">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15C3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15C3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15C3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Dynamic strategies, conversely, depend on all information up to, and incl</w:t>
      </w:r>
      <w:proofErr w:type="spellStart"/>
      <w:r>
        <w:rPr>
          <w:bCs/>
        </w:rPr>
        <w:t>uding</w:t>
      </w:r>
      <w:proofErr w:type="spellEnd"/>
      <w:r>
        <w:rPr>
          <w:bCs/>
        </w:rPr>
        <w:t xml:space="preserve">,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w:t>
      </w:r>
      <w:proofErr w:type="spellStart"/>
      <w:r w:rsidRPr="00CA59B8">
        <w:rPr>
          <w:bCs/>
        </w:rPr>
        <w:t>ility</w:t>
      </w:r>
      <w:proofErr w:type="spellEnd"/>
      <w:r w:rsidRPr="00CA59B8">
        <w:rPr>
          <w:bCs/>
        </w:rPr>
        <w:t xml:space="preserve">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15C3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15C3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15C3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15C32"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15C3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15C32"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w:t>
      </w:r>
      <w:proofErr w:type="spellStart"/>
      <w:r>
        <w:rPr>
          <w:bCs/>
        </w:rPr>
        <w:t>iece</w:t>
      </w:r>
      <w:proofErr w:type="spellEnd"/>
      <w:r>
        <w:rPr>
          <w:bCs/>
        </w:rPr>
        <w:t xml:space="preserv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15C3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15C3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E15C32"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w:t>
      </w:r>
      <w:proofErr w:type="spellStart"/>
      <w:r>
        <w:rPr>
          <w:bCs/>
        </w:rPr>
        <w:t>ost</w:t>
      </w:r>
      <w:proofErr w:type="spellEnd"/>
      <w:r>
        <w:rPr>
          <w:bCs/>
        </w:rPr>
        <w:t xml:space="preserve">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E15C3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E15C3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E15C32"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E15C3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E15C3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E15C3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E15C3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E15C3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w:t>
      </w:r>
      <w:proofErr w:type="spellStart"/>
      <w:r>
        <w:rPr>
          <w:bCs/>
        </w:rPr>
        <w:t>rtfolio</w:t>
      </w:r>
      <w:proofErr w:type="spellEnd"/>
      <w:r>
        <w:rPr>
          <w:bCs/>
        </w:rPr>
        <w:t>,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E15C3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E15C32"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E15C32"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E15C3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E15C3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E15C3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E15C3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E15C3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E15C3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E15C3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E15C32"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E15C3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E15C3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E15C3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E15C3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E15C3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E15C3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E15C3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E15C3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E15C3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E15C3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E15C3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E15C3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E15C3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w:t>
      </w:r>
      <w:proofErr w:type="spellStart"/>
      <w:r w:rsidRPr="004F06B5">
        <w:rPr>
          <w:bCs/>
        </w:rPr>
        <w:t>gs</w:t>
      </w:r>
      <w:proofErr w:type="spellEnd"/>
      <w:r w:rsidRPr="004F06B5">
        <w:rPr>
          <w:bCs/>
        </w:rPr>
        <w:t xml:space="preserve">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E15C3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E15C3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E15C3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E15C32"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E15C3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E15C3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E15C32"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E15C32"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E15C3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E15C3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E15C3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E15C3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E15C3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15C3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E15C3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15C3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E15C3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E15C3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E15C32"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E15C32"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E15C32"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w:t>
      </w:r>
      <w:proofErr w:type="spellStart"/>
      <w:r>
        <w:t>han</w:t>
      </w:r>
      <w:proofErr w:type="spellEnd"/>
      <w:r>
        <w:t xml:space="preserve">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E15C32"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E15C32"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E15C32"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E15C32"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E15C32"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E15C32"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E15C3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E15C32"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E15C3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E15C32"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E15C32"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E15C32"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E15C3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E15C3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E15C3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15C3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E15C3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E15C3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E15C3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15C3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E15C3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E15C3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E15C32"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E15C3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E15C3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E15C32"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E15C32"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E15C3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E15C3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E15C3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E15C3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E15C3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E15C3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E15C3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E15C32"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E15C32"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E15C32"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E15C32"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E15C32"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E15C32"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E15C32"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w:t>
      </w:r>
      <w:proofErr w:type="spellStart"/>
      <w:r w:rsidR="001B578B">
        <w:rPr>
          <w:bCs/>
        </w:rPr>
        <w:t>ble</w:t>
      </w:r>
      <w:proofErr w:type="spellEnd"/>
      <w:r w:rsidR="001B578B">
        <w:rPr>
          <w:bCs/>
        </w:rPr>
        <w:t xml:space="preserv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E15C32"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E15C32"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E15C3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E15C3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E15C32"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E15C3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E15C3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E15C3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E15C3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w:t>
      </w:r>
      <w:proofErr w:type="spellStart"/>
      <w:r>
        <w:rPr>
          <w:bCs/>
        </w:rPr>
        <w:t>ss</w:t>
      </w:r>
      <w:proofErr w:type="spellEnd"/>
      <w:r>
        <w:rPr>
          <w:bCs/>
        </w:rPr>
        <w:t xml:space="preserve">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w:t>
      </w:r>
      <w:proofErr w:type="spellStart"/>
      <w:r>
        <w:rPr>
          <w:bCs/>
        </w:rPr>
        <w:t>mization</w:t>
      </w:r>
      <w:proofErr w:type="spellEnd"/>
      <w:r>
        <w:rPr>
          <w:bCs/>
        </w:rPr>
        <w:t xml:space="preserve">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15C3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E15C3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15C3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E15C3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E15C3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E15C32"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E15C32"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E15C32"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E15C3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E15C32"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E15C32"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E15C32"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E15C32"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E15C3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E15C3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E15C3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15C3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E15C3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E15C3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15C3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E15C3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E15C3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E15C3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E15C32"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15C32"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E15C3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E15C3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E15C3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E15C3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E15C3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E15C3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E15C3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E15C3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E15C3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E15C3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E15C3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E15C32"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E15C3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w:t>
      </w:r>
      <w:proofErr w:type="spellStart"/>
      <w:r>
        <w:rPr>
          <w:bCs/>
        </w:rPr>
        <w:t>er</w:t>
      </w:r>
      <w:proofErr w:type="spellEnd"/>
      <w:r>
        <w:rPr>
          <w:bCs/>
        </w:rPr>
        <w:t xml:space="preserve">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w:t>
      </w:r>
      <w:proofErr w:type="spellStart"/>
      <w:r w:rsidR="00946B07">
        <w:rPr>
          <w:bCs/>
        </w:rPr>
        <w:t>ctories</w:t>
      </w:r>
      <w:proofErr w:type="spellEnd"/>
      <w:r w:rsidR="00946B07">
        <w:rPr>
          <w:bCs/>
        </w:rPr>
        <w:t>.</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E15C32"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E15C3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E15C3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E15C3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E15C3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E15C3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E15C3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E15C3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E15C32"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E15C32"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E15C32"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E15C32"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E15C3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E15C3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E15C3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E15C3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E15C32"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E15C32"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15C3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E15C32"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E15C3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E15C3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E15C32"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E15C3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E15C3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E15C32"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E15C32"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E15C32"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E15C32"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E15C3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E15C3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E15C3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E15C3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E15C32"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E15C32"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E15C32"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E15C32"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E15C32"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E15C3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E15C3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E15C3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E15C3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E15C32"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E15C3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E15C3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E15C32"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E15C32"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E15C3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E15C3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E15C32"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E15C32"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E15C32"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E15C32"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E15C3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15C3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E15C32"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E15C3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E15C3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15C3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E15C3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E15C3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E15C3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E15C32"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E15C32"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E15C3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w:t>
      </w:r>
      <w:proofErr w:type="spellStart"/>
      <w:r>
        <w:t>rs</w:t>
      </w:r>
      <w:proofErr w:type="spellEnd"/>
      <w:r>
        <w:t xml:space="preserve">,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E15C32"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w:t>
      </w:r>
      <w:proofErr w:type="spellStart"/>
      <w:r>
        <w:rPr>
          <w:bCs/>
        </w:rPr>
        <w:t>quidity</w:t>
      </w:r>
      <w:proofErr w:type="spellEnd"/>
      <w:r>
        <w:rPr>
          <w:bCs/>
        </w:rPr>
        <w:t xml:space="preserve">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E15C32"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w:t>
      </w:r>
      <w:proofErr w:type="spellStart"/>
      <w:r>
        <w:rPr>
          <w:bCs/>
        </w:rPr>
        <w:t>s</w:t>
      </w:r>
      <w:proofErr w:type="spellEnd"/>
      <w:r>
        <w:rPr>
          <w:bCs/>
        </w:rPr>
        <w:t xml:space="preserve">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E15C32"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w:t>
      </w:r>
      <w:proofErr w:type="spellStart"/>
      <w:r w:rsidR="00BC08BD">
        <w:rPr>
          <w:bCs/>
        </w:rPr>
        <w:t>tion</w:t>
      </w:r>
      <w:proofErr w:type="spellEnd"/>
      <w:r w:rsidR="00BC08BD">
        <w:rPr>
          <w:bCs/>
        </w:rPr>
        <w:t xml:space="preserve">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E15C32"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w:t>
      </w:r>
      <w:proofErr w:type="spellStart"/>
      <w:r w:rsidRPr="009933EB">
        <w:rPr>
          <w:bCs/>
        </w:rPr>
        <w:t>unctions</w:t>
      </w:r>
      <w:proofErr w:type="spellEnd"/>
      <w:r w:rsidRPr="009933EB">
        <w:rPr>
          <w:bCs/>
        </w:rPr>
        <w:t xml:space="preserve">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w:t>
      </w:r>
      <w:proofErr w:type="spellStart"/>
      <w:r>
        <w:rPr>
          <w:bCs/>
        </w:rPr>
        <w:t>ather</w:t>
      </w:r>
      <w:proofErr w:type="spellEnd"/>
      <w:r>
        <w:rPr>
          <w:bCs/>
        </w:rPr>
        <w:t xml:space="preserve">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w:t>
      </w:r>
      <w:proofErr w:type="spellStart"/>
      <w:r>
        <w:t>ined</w:t>
      </w:r>
      <w:proofErr w:type="spellEnd"/>
      <w:r>
        <w:t xml:space="preserve">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E15C32"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E15C32"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w:t>
      </w:r>
      <w:proofErr w:type="spellStart"/>
      <w:r>
        <w:t>ussian</w:t>
      </w:r>
      <w:proofErr w:type="spellEnd"/>
      <w:r>
        <w:t xml:space="preserve">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w:t>
      </w:r>
      <w:proofErr w:type="spellStart"/>
      <w:r>
        <w:t>es</w:t>
      </w:r>
      <w:proofErr w:type="spellEnd"/>
      <w:r>
        <w:t xml:space="preserve">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E15C32"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E15C32"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15C32"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15C32"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15C32"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15C32"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w:t>
      </w:r>
      <w:proofErr w:type="spellStart"/>
      <w:r>
        <w:rPr>
          <w:bCs/>
        </w:rPr>
        <w:t>ed</w:t>
      </w:r>
      <w:proofErr w:type="spellEnd"/>
      <w:r>
        <w:rPr>
          <w:bCs/>
        </w:rPr>
        <w:t xml:space="preserve">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E15C3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E15C32"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w:t>
      </w:r>
      <w:proofErr w:type="spellStart"/>
      <w:r>
        <w:rPr>
          <w:bCs/>
        </w:rPr>
        <w:t>uct</w:t>
      </w:r>
      <w:proofErr w:type="spellEnd"/>
      <w:r>
        <w:rPr>
          <w:bCs/>
        </w:rPr>
        <w:t xml:space="preserve">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15C3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15C3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15C3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15C3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E15C32"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E15C32"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E15C32"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E15C32"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w:t>
      </w:r>
      <w:proofErr w:type="spellStart"/>
      <w:r>
        <w:t>io</w:t>
      </w:r>
      <w:proofErr w:type="spellEnd"/>
      <w:r>
        <w:t>,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E15C32"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w:t>
      </w:r>
      <w:proofErr w:type="spellStart"/>
      <w:r>
        <w:t>itly</w:t>
      </w:r>
      <w:proofErr w:type="spellEnd"/>
      <w:r>
        <w:t xml:space="preserve">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E15C32"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E15C32"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F600A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F600AC"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F600AC"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F600AC"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m:t>
                </m:r>
                <m:r>
                  <w:rPr>
                    <w:rFonts w:ascii="Cambria Math" w:hAnsi="Cambria Math"/>
                  </w:rPr>
                  <m:t>.</m:t>
                </m:r>
                <m:r>
                  <w:rPr>
                    <w:rFonts w:ascii="Cambria Math" w:hAnsi="Cambria Math"/>
                  </w:rPr>
                  <m:t>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r>
                      <w:rPr>
                        <w:rFonts w:ascii="Cambria Math" w:hAnsi="Cambria Math"/>
                      </w:rPr>
                      <m:t>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505DB2"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m:t>
                </m:r>
                <m:r>
                  <w:rPr>
                    <w:rFonts w:ascii="Cambria Math" w:hAnsi="Cambria Math"/>
                  </w:rPr>
                  <m:t>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m:t>
                </m:r>
                <m:r>
                  <w:rPr>
                    <w:rFonts w:ascii="Cambria Math" w:hAnsi="Cambria Math"/>
                  </w:rPr>
                  <m:t>.</m:t>
                </m:r>
                <m:r>
                  <w:rPr>
                    <w:rFonts w:ascii="Cambria Math" w:hAnsi="Cambria Math"/>
                  </w:rPr>
                  <m:t>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m:t>
                </m:r>
                <m:r>
                  <w:rPr>
                    <w:rFonts w:ascii="Cambria Math" w:hAnsi="Cambria Math"/>
                  </w:rPr>
                  <m:t>.</m:t>
                </m:r>
                <m:r>
                  <w:rPr>
                    <w:rFonts w:ascii="Cambria Math" w:hAnsi="Cambria Math"/>
                  </w:rPr>
                  <m:t>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A228E8"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m:t>
          </m:r>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m:t>
        </m:r>
        <m:r>
          <w:rPr>
            <w:rFonts w:ascii="Cambria Math" w:hAnsi="Cambria Math"/>
          </w:rPr>
          <m:t>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6344246"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6344247"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6344248"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6344249"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6344250"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6344251" r:id="rId19"/>
        </w:object>
      </w:r>
      <w:r>
        <w:t>(expressed in cumulative net position per unit under consideration – firm/desk/trader)</w:t>
      </w:r>
    </w:p>
    <w:p w:rsidR="005B4B21" w:rsidRDefault="00B17064" w:rsidP="006D25BB">
      <w:pPr>
        <w:numPr>
          <w:ilvl w:val="0"/>
          <w:numId w:val="4"/>
        </w:numPr>
        <w:spacing w:line="360" w:lineRule="auto"/>
      </w:pPr>
      <w:bookmarkStart w:id="0" w:name="_GoBack"/>
      <w:bookmarkEnd w:id="0"/>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6344252"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6344253"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6344254"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6344255"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6344256"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6344257"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6344258"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6344259"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BF" w:rsidRDefault="008F25BF">
      <w:r>
        <w:separator/>
      </w:r>
    </w:p>
  </w:endnote>
  <w:endnote w:type="continuationSeparator" w:id="0">
    <w:p w:rsidR="008F25BF" w:rsidRDefault="008F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C32" w:rsidRDefault="00E15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5C32" w:rsidRDefault="00E15C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C32" w:rsidRDefault="00E15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954">
      <w:rPr>
        <w:rStyle w:val="PageNumber"/>
        <w:noProof/>
      </w:rPr>
      <w:t>174</w:t>
    </w:r>
    <w:r>
      <w:rPr>
        <w:rStyle w:val="PageNumber"/>
      </w:rPr>
      <w:fldChar w:fldCharType="end"/>
    </w:r>
  </w:p>
  <w:p w:rsidR="00E15C32" w:rsidRDefault="00E15C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BF" w:rsidRDefault="008F25BF">
      <w:r>
        <w:separator/>
      </w:r>
    </w:p>
  </w:footnote>
  <w:footnote w:type="continuationSeparator" w:id="0">
    <w:p w:rsidR="008F25BF" w:rsidRDefault="008F25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2"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1"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3"/>
  </w:num>
  <w:num w:numId="2">
    <w:abstractNumId w:val="62"/>
  </w:num>
  <w:num w:numId="3">
    <w:abstractNumId w:val="31"/>
  </w:num>
  <w:num w:numId="4">
    <w:abstractNumId w:val="57"/>
  </w:num>
  <w:num w:numId="5">
    <w:abstractNumId w:val="4"/>
  </w:num>
  <w:num w:numId="6">
    <w:abstractNumId w:val="48"/>
  </w:num>
  <w:num w:numId="7">
    <w:abstractNumId w:val="54"/>
  </w:num>
  <w:num w:numId="8">
    <w:abstractNumId w:val="14"/>
  </w:num>
  <w:num w:numId="9">
    <w:abstractNumId w:val="50"/>
  </w:num>
  <w:num w:numId="10">
    <w:abstractNumId w:val="30"/>
  </w:num>
  <w:num w:numId="11">
    <w:abstractNumId w:val="11"/>
  </w:num>
  <w:num w:numId="12">
    <w:abstractNumId w:val="46"/>
  </w:num>
  <w:num w:numId="13">
    <w:abstractNumId w:val="38"/>
  </w:num>
  <w:num w:numId="14">
    <w:abstractNumId w:val="12"/>
  </w:num>
  <w:num w:numId="15">
    <w:abstractNumId w:val="44"/>
  </w:num>
  <w:num w:numId="16">
    <w:abstractNumId w:val="36"/>
  </w:num>
  <w:num w:numId="17">
    <w:abstractNumId w:val="59"/>
  </w:num>
  <w:num w:numId="18">
    <w:abstractNumId w:val="65"/>
  </w:num>
  <w:num w:numId="19">
    <w:abstractNumId w:val="37"/>
  </w:num>
  <w:num w:numId="20">
    <w:abstractNumId w:val="18"/>
  </w:num>
  <w:num w:numId="21">
    <w:abstractNumId w:val="24"/>
  </w:num>
  <w:num w:numId="22">
    <w:abstractNumId w:val="2"/>
  </w:num>
  <w:num w:numId="23">
    <w:abstractNumId w:val="21"/>
  </w:num>
  <w:num w:numId="24">
    <w:abstractNumId w:val="47"/>
  </w:num>
  <w:num w:numId="25">
    <w:abstractNumId w:val="53"/>
  </w:num>
  <w:num w:numId="26">
    <w:abstractNumId w:val="51"/>
  </w:num>
  <w:num w:numId="27">
    <w:abstractNumId w:val="52"/>
  </w:num>
  <w:num w:numId="28">
    <w:abstractNumId w:val="55"/>
  </w:num>
  <w:num w:numId="29">
    <w:abstractNumId w:val="22"/>
  </w:num>
  <w:num w:numId="30">
    <w:abstractNumId w:val="5"/>
  </w:num>
  <w:num w:numId="31">
    <w:abstractNumId w:val="45"/>
  </w:num>
  <w:num w:numId="32">
    <w:abstractNumId w:val="66"/>
  </w:num>
  <w:num w:numId="33">
    <w:abstractNumId w:val="16"/>
  </w:num>
  <w:num w:numId="34">
    <w:abstractNumId w:val="34"/>
  </w:num>
  <w:num w:numId="35">
    <w:abstractNumId w:val="49"/>
  </w:num>
  <w:num w:numId="36">
    <w:abstractNumId w:val="7"/>
  </w:num>
  <w:num w:numId="37">
    <w:abstractNumId w:val="23"/>
  </w:num>
  <w:num w:numId="38">
    <w:abstractNumId w:val="17"/>
  </w:num>
  <w:num w:numId="39">
    <w:abstractNumId w:val="10"/>
  </w:num>
  <w:num w:numId="40">
    <w:abstractNumId w:val="9"/>
  </w:num>
  <w:num w:numId="41">
    <w:abstractNumId w:val="67"/>
  </w:num>
  <w:num w:numId="42">
    <w:abstractNumId w:val="68"/>
  </w:num>
  <w:num w:numId="43">
    <w:abstractNumId w:val="13"/>
  </w:num>
  <w:num w:numId="44">
    <w:abstractNumId w:val="15"/>
  </w:num>
  <w:num w:numId="45">
    <w:abstractNumId w:val="6"/>
  </w:num>
  <w:num w:numId="46">
    <w:abstractNumId w:val="33"/>
  </w:num>
  <w:num w:numId="47">
    <w:abstractNumId w:val="40"/>
  </w:num>
  <w:num w:numId="48">
    <w:abstractNumId w:val="25"/>
  </w:num>
  <w:num w:numId="49">
    <w:abstractNumId w:val="43"/>
  </w:num>
  <w:num w:numId="50">
    <w:abstractNumId w:val="29"/>
  </w:num>
  <w:num w:numId="51">
    <w:abstractNumId w:val="41"/>
  </w:num>
  <w:num w:numId="52">
    <w:abstractNumId w:val="26"/>
  </w:num>
  <w:num w:numId="53">
    <w:abstractNumId w:val="27"/>
  </w:num>
  <w:num w:numId="54">
    <w:abstractNumId w:val="8"/>
  </w:num>
  <w:num w:numId="55">
    <w:abstractNumId w:val="0"/>
  </w:num>
  <w:num w:numId="56">
    <w:abstractNumId w:val="58"/>
  </w:num>
  <w:num w:numId="57">
    <w:abstractNumId w:val="3"/>
  </w:num>
  <w:num w:numId="58">
    <w:abstractNumId w:val="19"/>
  </w:num>
  <w:num w:numId="59">
    <w:abstractNumId w:val="1"/>
  </w:num>
  <w:num w:numId="60">
    <w:abstractNumId w:val="32"/>
  </w:num>
  <w:num w:numId="61">
    <w:abstractNumId w:val="61"/>
  </w:num>
  <w:num w:numId="62">
    <w:abstractNumId w:val="39"/>
  </w:num>
  <w:num w:numId="63">
    <w:abstractNumId w:val="42"/>
  </w:num>
  <w:num w:numId="64">
    <w:abstractNumId w:val="35"/>
  </w:num>
  <w:num w:numId="65">
    <w:abstractNumId w:val="28"/>
  </w:num>
  <w:num w:numId="66">
    <w:abstractNumId w:val="20"/>
  </w:num>
  <w:num w:numId="67">
    <w:abstractNumId w:val="64"/>
  </w:num>
  <w:num w:numId="68">
    <w:abstractNumId w:val="60"/>
  </w:num>
  <w:num w:numId="69">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5ED7"/>
    <w:rsid w:val="00046DFB"/>
    <w:rsid w:val="000471D3"/>
    <w:rsid w:val="00057A60"/>
    <w:rsid w:val="000767B7"/>
    <w:rsid w:val="00076CA6"/>
    <w:rsid w:val="00082E35"/>
    <w:rsid w:val="00084A0B"/>
    <w:rsid w:val="000A0D36"/>
    <w:rsid w:val="000A1AB4"/>
    <w:rsid w:val="000A212F"/>
    <w:rsid w:val="000B43D7"/>
    <w:rsid w:val="000C1F67"/>
    <w:rsid w:val="000C429C"/>
    <w:rsid w:val="000C783C"/>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68DD"/>
    <w:rsid w:val="00176E3B"/>
    <w:rsid w:val="0018117C"/>
    <w:rsid w:val="00182DAB"/>
    <w:rsid w:val="001840D8"/>
    <w:rsid w:val="00186310"/>
    <w:rsid w:val="00186DC5"/>
    <w:rsid w:val="001875B4"/>
    <w:rsid w:val="001949B4"/>
    <w:rsid w:val="001A26AF"/>
    <w:rsid w:val="001A5AC1"/>
    <w:rsid w:val="001B578B"/>
    <w:rsid w:val="001B6556"/>
    <w:rsid w:val="001B68E4"/>
    <w:rsid w:val="001E19C0"/>
    <w:rsid w:val="001E65FF"/>
    <w:rsid w:val="001E6A18"/>
    <w:rsid w:val="0020100C"/>
    <w:rsid w:val="00206050"/>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B6954"/>
    <w:rsid w:val="002C66A5"/>
    <w:rsid w:val="002D3BF7"/>
    <w:rsid w:val="002D7C96"/>
    <w:rsid w:val="002E0F93"/>
    <w:rsid w:val="002E4944"/>
    <w:rsid w:val="002F08A8"/>
    <w:rsid w:val="002F3086"/>
    <w:rsid w:val="002F4C83"/>
    <w:rsid w:val="002F7651"/>
    <w:rsid w:val="003263DB"/>
    <w:rsid w:val="00326CCF"/>
    <w:rsid w:val="003447BC"/>
    <w:rsid w:val="00346509"/>
    <w:rsid w:val="003512BD"/>
    <w:rsid w:val="00352A59"/>
    <w:rsid w:val="0035542B"/>
    <w:rsid w:val="00360C4F"/>
    <w:rsid w:val="00367B8B"/>
    <w:rsid w:val="0037493C"/>
    <w:rsid w:val="00384990"/>
    <w:rsid w:val="0039350B"/>
    <w:rsid w:val="00394E82"/>
    <w:rsid w:val="003A64F2"/>
    <w:rsid w:val="003B1431"/>
    <w:rsid w:val="003D3F49"/>
    <w:rsid w:val="003D56E0"/>
    <w:rsid w:val="003E1B49"/>
    <w:rsid w:val="003E47AD"/>
    <w:rsid w:val="003E6B12"/>
    <w:rsid w:val="003F4687"/>
    <w:rsid w:val="003F4916"/>
    <w:rsid w:val="003F5203"/>
    <w:rsid w:val="00402895"/>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E5D35"/>
    <w:rsid w:val="004F06B5"/>
    <w:rsid w:val="004F5252"/>
    <w:rsid w:val="00505DB2"/>
    <w:rsid w:val="00510516"/>
    <w:rsid w:val="00510B21"/>
    <w:rsid w:val="005153A2"/>
    <w:rsid w:val="00517DBE"/>
    <w:rsid w:val="00522488"/>
    <w:rsid w:val="00553822"/>
    <w:rsid w:val="00567413"/>
    <w:rsid w:val="00572C92"/>
    <w:rsid w:val="00576FD7"/>
    <w:rsid w:val="0058279C"/>
    <w:rsid w:val="00586C89"/>
    <w:rsid w:val="005906F0"/>
    <w:rsid w:val="005A133A"/>
    <w:rsid w:val="005B4B21"/>
    <w:rsid w:val="005C098F"/>
    <w:rsid w:val="005D2F39"/>
    <w:rsid w:val="005E7C5F"/>
    <w:rsid w:val="005F18B3"/>
    <w:rsid w:val="00603F17"/>
    <w:rsid w:val="00612D51"/>
    <w:rsid w:val="006239E3"/>
    <w:rsid w:val="006335C4"/>
    <w:rsid w:val="006362B0"/>
    <w:rsid w:val="00640FE1"/>
    <w:rsid w:val="00643E80"/>
    <w:rsid w:val="00643F79"/>
    <w:rsid w:val="00652E6F"/>
    <w:rsid w:val="0066356C"/>
    <w:rsid w:val="00684BDB"/>
    <w:rsid w:val="006850F8"/>
    <w:rsid w:val="00696D59"/>
    <w:rsid w:val="006B06E2"/>
    <w:rsid w:val="006B4413"/>
    <w:rsid w:val="006B5F3C"/>
    <w:rsid w:val="006C12CC"/>
    <w:rsid w:val="006C4CF3"/>
    <w:rsid w:val="006D25BB"/>
    <w:rsid w:val="006F45B2"/>
    <w:rsid w:val="006F4E4C"/>
    <w:rsid w:val="007000FC"/>
    <w:rsid w:val="007056D6"/>
    <w:rsid w:val="00706737"/>
    <w:rsid w:val="007124A8"/>
    <w:rsid w:val="00712DD3"/>
    <w:rsid w:val="007138CB"/>
    <w:rsid w:val="00727AFC"/>
    <w:rsid w:val="00735E2E"/>
    <w:rsid w:val="00740E9E"/>
    <w:rsid w:val="00750C16"/>
    <w:rsid w:val="0075267B"/>
    <w:rsid w:val="0076027C"/>
    <w:rsid w:val="00762223"/>
    <w:rsid w:val="00762BDB"/>
    <w:rsid w:val="00775D1A"/>
    <w:rsid w:val="00784174"/>
    <w:rsid w:val="00787925"/>
    <w:rsid w:val="00791926"/>
    <w:rsid w:val="007B2515"/>
    <w:rsid w:val="007B3CA5"/>
    <w:rsid w:val="007B471F"/>
    <w:rsid w:val="007B6226"/>
    <w:rsid w:val="007C2652"/>
    <w:rsid w:val="007C58C5"/>
    <w:rsid w:val="007E7A6D"/>
    <w:rsid w:val="007F03D1"/>
    <w:rsid w:val="0080136F"/>
    <w:rsid w:val="00802CCD"/>
    <w:rsid w:val="00803F6D"/>
    <w:rsid w:val="00831046"/>
    <w:rsid w:val="008327E0"/>
    <w:rsid w:val="0083344E"/>
    <w:rsid w:val="00837FC4"/>
    <w:rsid w:val="008540B8"/>
    <w:rsid w:val="00874B6F"/>
    <w:rsid w:val="00876822"/>
    <w:rsid w:val="008814C4"/>
    <w:rsid w:val="008969C8"/>
    <w:rsid w:val="008A731A"/>
    <w:rsid w:val="008B38D3"/>
    <w:rsid w:val="008B478B"/>
    <w:rsid w:val="008B5D6A"/>
    <w:rsid w:val="008C0129"/>
    <w:rsid w:val="008D1F53"/>
    <w:rsid w:val="008E5D9B"/>
    <w:rsid w:val="008F25BF"/>
    <w:rsid w:val="008F60F3"/>
    <w:rsid w:val="00902044"/>
    <w:rsid w:val="0090318F"/>
    <w:rsid w:val="00905FF1"/>
    <w:rsid w:val="009119F3"/>
    <w:rsid w:val="00917982"/>
    <w:rsid w:val="0092654F"/>
    <w:rsid w:val="009443A5"/>
    <w:rsid w:val="00946B07"/>
    <w:rsid w:val="00946E3B"/>
    <w:rsid w:val="009547C7"/>
    <w:rsid w:val="00955DBA"/>
    <w:rsid w:val="009628C2"/>
    <w:rsid w:val="009672DF"/>
    <w:rsid w:val="009720FB"/>
    <w:rsid w:val="009752BE"/>
    <w:rsid w:val="009767B7"/>
    <w:rsid w:val="009801D4"/>
    <w:rsid w:val="00980BEA"/>
    <w:rsid w:val="009818AF"/>
    <w:rsid w:val="0098505B"/>
    <w:rsid w:val="00991443"/>
    <w:rsid w:val="009923CB"/>
    <w:rsid w:val="009933EB"/>
    <w:rsid w:val="00994A82"/>
    <w:rsid w:val="00995C25"/>
    <w:rsid w:val="009A4486"/>
    <w:rsid w:val="009B0C29"/>
    <w:rsid w:val="009B38B5"/>
    <w:rsid w:val="009C11FD"/>
    <w:rsid w:val="009C2E02"/>
    <w:rsid w:val="009D2D86"/>
    <w:rsid w:val="009D4EDE"/>
    <w:rsid w:val="009D708E"/>
    <w:rsid w:val="009E1872"/>
    <w:rsid w:val="00A02D72"/>
    <w:rsid w:val="00A049C2"/>
    <w:rsid w:val="00A07964"/>
    <w:rsid w:val="00A1581B"/>
    <w:rsid w:val="00A21818"/>
    <w:rsid w:val="00A228E8"/>
    <w:rsid w:val="00A31639"/>
    <w:rsid w:val="00A33315"/>
    <w:rsid w:val="00A3475F"/>
    <w:rsid w:val="00A40FDD"/>
    <w:rsid w:val="00A475C8"/>
    <w:rsid w:val="00A5654D"/>
    <w:rsid w:val="00A56A72"/>
    <w:rsid w:val="00A57E37"/>
    <w:rsid w:val="00A600AD"/>
    <w:rsid w:val="00A837DE"/>
    <w:rsid w:val="00A909D7"/>
    <w:rsid w:val="00A90BC4"/>
    <w:rsid w:val="00A95C04"/>
    <w:rsid w:val="00AA1447"/>
    <w:rsid w:val="00AA1E68"/>
    <w:rsid w:val="00AB4C83"/>
    <w:rsid w:val="00AB6C86"/>
    <w:rsid w:val="00AC386B"/>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B7E2F"/>
    <w:rsid w:val="00BC08BD"/>
    <w:rsid w:val="00BC51F6"/>
    <w:rsid w:val="00BF2343"/>
    <w:rsid w:val="00BF5F26"/>
    <w:rsid w:val="00BF67EA"/>
    <w:rsid w:val="00BF73EA"/>
    <w:rsid w:val="00C04CCB"/>
    <w:rsid w:val="00C102A3"/>
    <w:rsid w:val="00C304C1"/>
    <w:rsid w:val="00C3564C"/>
    <w:rsid w:val="00C3680A"/>
    <w:rsid w:val="00C43B5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32F9E"/>
    <w:rsid w:val="00D33A2F"/>
    <w:rsid w:val="00D40694"/>
    <w:rsid w:val="00D4712D"/>
    <w:rsid w:val="00D47183"/>
    <w:rsid w:val="00D47763"/>
    <w:rsid w:val="00D55369"/>
    <w:rsid w:val="00D557A8"/>
    <w:rsid w:val="00D67E0B"/>
    <w:rsid w:val="00D70982"/>
    <w:rsid w:val="00D86DDB"/>
    <w:rsid w:val="00D8753A"/>
    <w:rsid w:val="00D91925"/>
    <w:rsid w:val="00D933F6"/>
    <w:rsid w:val="00DA1E72"/>
    <w:rsid w:val="00DA6349"/>
    <w:rsid w:val="00DA6EDA"/>
    <w:rsid w:val="00DB044F"/>
    <w:rsid w:val="00DB0511"/>
    <w:rsid w:val="00DB72DE"/>
    <w:rsid w:val="00DC154B"/>
    <w:rsid w:val="00DC19C7"/>
    <w:rsid w:val="00DD1980"/>
    <w:rsid w:val="00DD4008"/>
    <w:rsid w:val="00DF14AF"/>
    <w:rsid w:val="00DF3A8E"/>
    <w:rsid w:val="00DF5016"/>
    <w:rsid w:val="00E00E42"/>
    <w:rsid w:val="00E02E94"/>
    <w:rsid w:val="00E13227"/>
    <w:rsid w:val="00E15C32"/>
    <w:rsid w:val="00E16ECE"/>
    <w:rsid w:val="00E20976"/>
    <w:rsid w:val="00E22497"/>
    <w:rsid w:val="00E27A31"/>
    <w:rsid w:val="00E30ACA"/>
    <w:rsid w:val="00E35FA5"/>
    <w:rsid w:val="00E36140"/>
    <w:rsid w:val="00E36D31"/>
    <w:rsid w:val="00E46B53"/>
    <w:rsid w:val="00E575D0"/>
    <w:rsid w:val="00E605ED"/>
    <w:rsid w:val="00E656A0"/>
    <w:rsid w:val="00E76709"/>
    <w:rsid w:val="00E8612A"/>
    <w:rsid w:val="00E86281"/>
    <w:rsid w:val="00E914D8"/>
    <w:rsid w:val="00E979D1"/>
    <w:rsid w:val="00EA7920"/>
    <w:rsid w:val="00EB067E"/>
    <w:rsid w:val="00EB3F0E"/>
    <w:rsid w:val="00EB5CA4"/>
    <w:rsid w:val="00EE3EF2"/>
    <w:rsid w:val="00EE51BE"/>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600AC"/>
    <w:rsid w:val="00F8126A"/>
    <w:rsid w:val="00F926C3"/>
    <w:rsid w:val="00F9480F"/>
    <w:rsid w:val="00F96B0C"/>
    <w:rsid w:val="00FA4028"/>
    <w:rsid w:val="00FB7A20"/>
    <w:rsid w:val="00FC0601"/>
    <w:rsid w:val="00FC2F70"/>
    <w:rsid w:val="00FC3DBB"/>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174</Pages>
  <Words>31502</Words>
  <Characters>179565</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7</cp:revision>
  <dcterms:created xsi:type="dcterms:W3CDTF">2016-09-25T23:39:00Z</dcterms:created>
  <dcterms:modified xsi:type="dcterms:W3CDTF">2016-09-26T01:31:00Z</dcterms:modified>
</cp:coreProperties>
</file>