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w:t>
      </w:r>
      <w:r w:rsidR="00765663">
        <w:rPr>
          <w:b/>
          <w:bCs/>
        </w:rPr>
        <w:t>9</w:t>
      </w:r>
      <w:r>
        <w:t xml:space="preserve">, </w:t>
      </w:r>
      <w:r w:rsidR="00765663">
        <w:t>6</w:t>
      </w:r>
      <w:r>
        <w:t xml:space="preserve"> </w:t>
      </w:r>
      <w:r w:rsidR="00E627B8">
        <w:t>Novem</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w:t>
      </w:r>
      <w:proofErr w:type="spellStart"/>
      <w:r>
        <w:rPr>
          <w:bCs/>
        </w:rPr>
        <w:t>ce</w:t>
      </w:r>
      <w:proofErr w:type="spellEnd"/>
      <w:r>
        <w:rPr>
          <w:bCs/>
        </w:rPr>
        <w:t xml:space="preserv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w:t>
      </w:r>
      <w:proofErr w:type="spellStart"/>
      <w:r>
        <w:rPr>
          <w:bCs/>
        </w:rPr>
        <w:t>ity</w:t>
      </w:r>
      <w:proofErr w:type="spellEnd"/>
      <w:r>
        <w:rPr>
          <w:bCs/>
        </w:rPr>
        <w:t>.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To keep the discussion, Almgren and Chriss (2000) spe</w:t>
      </w:r>
      <w:proofErr w:type="spellStart"/>
      <w:r w:rsidR="00171AE0">
        <w:rPr>
          <w:bCs/>
        </w:rPr>
        <w:t>ak</w:t>
      </w:r>
      <w:proofErr w:type="spellEnd"/>
      <w:r w:rsidR="00171AE0">
        <w:rPr>
          <w:bCs/>
        </w:rPr>
        <w:t xml:space="preserve">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BC1F8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BC1F8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BC1F8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BC1F8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BC1F8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BC1F8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BC1F8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BC1F8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BC1F8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BC1F8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BC1F8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w:t>
      </w:r>
      <w:proofErr w:type="spellStart"/>
      <w:r>
        <w:rPr>
          <w:bCs/>
        </w:rPr>
        <w:t>umed</w:t>
      </w:r>
      <w:proofErr w:type="spellEnd"/>
      <w:r>
        <w:rPr>
          <w:bCs/>
        </w:rPr>
        <w:t xml:space="preserve">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BC1F8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BC1F8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BC1F8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BC1F8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w:t>
      </w:r>
      <w:proofErr w:type="spellStart"/>
      <w:r>
        <w:rPr>
          <w:bCs/>
        </w:rPr>
        <w:t>iece</w:t>
      </w:r>
      <w:proofErr w:type="spellEnd"/>
      <w:r>
        <w:rPr>
          <w:bCs/>
        </w:rPr>
        <w:t xml:space="preserv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BC1F8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BC1F8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BC1F8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w:t>
      </w:r>
      <w:proofErr w:type="spellStart"/>
      <w:r>
        <w:rPr>
          <w:bCs/>
        </w:rPr>
        <w:t>ortant</w:t>
      </w:r>
      <w:proofErr w:type="spellEnd"/>
      <w:r>
        <w:rPr>
          <w:bCs/>
        </w:rPr>
        <w: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BC1F8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BC1F8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BC1F8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BC1F8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BC1F8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BC1F8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BC1F8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BC1F8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BC1F8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BC1F8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BC1F8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BC1F8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BC1F8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proofErr w:type="spellStart"/>
      <w:r>
        <w:rPr>
          <w:bCs/>
          <w:u w:val="single"/>
        </w:rPr>
        <w:t>i</w:t>
      </w:r>
      <w:r w:rsidRPr="00784174">
        <w:rPr>
          <w:bCs/>
          <w:u w:val="single"/>
        </w:rPr>
        <w:t>sk</w:t>
      </w:r>
      <w:proofErr w:type="spellEnd"/>
      <w:r w:rsidRPr="00784174">
        <w:rPr>
          <w:bCs/>
          <w:u w:val="single"/>
        </w:rPr>
        <w:t xml:space="preserve">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BC1F8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BC1F8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BC1F8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BC1F8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BC1F8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BC1F8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BC1F8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BC1F8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BC1F8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BC1F8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BC1F8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BC1F8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BC1F8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BC1F8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BC1F8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BC1F8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BC1F8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BC1F8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BC1F8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BC1F8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BC1F8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BC1F8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BC1F8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BC1F8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BC1F8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BC1F8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BC1F8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BC1F8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BC1F8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BC1F8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BC1F8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BC1F8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BC1F8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BC1F8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BC1F8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BC1F8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BC1F8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BC1F8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BC1F8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w:t>
      </w:r>
      <w:proofErr w:type="spellStart"/>
      <w:r>
        <w:t>f</w:t>
      </w:r>
      <w:proofErr w:type="spellEnd"/>
      <w:r>
        <w:t xml:space="preserve">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BC1F8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BC1F8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BC1F8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BC1F8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BC1F8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BC1F8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BC1F8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BC1F8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BC1F8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BC1F8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BC1F8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BC1F8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BC1F8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BC1F8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BC1F8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BC1F8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BC1F8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BC1F8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BC1F8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BC1F8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BC1F8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BC1F8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BC1F8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BC1F8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BC1F8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BC1F8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BC1F8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BC1F8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BC1F8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BC1F8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BC1F8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BC1F8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BC1F8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BC1F8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BC1F8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BC1F8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BC1F8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BC1F8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BC1F8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BC1F8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BC1F8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BC1F8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w:t>
      </w:r>
      <w:proofErr w:type="spellStart"/>
      <w:r w:rsidR="001B578B">
        <w:rPr>
          <w:bCs/>
        </w:rPr>
        <w:t>ble</w:t>
      </w:r>
      <w:proofErr w:type="spellEnd"/>
      <w:r w:rsidR="001B578B">
        <w:rPr>
          <w:bCs/>
        </w:rPr>
        <w:t xml:space="preserv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BC1F8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BC1F8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BC1F8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BC1F8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BC1F8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BC1F8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BC1F8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BC1F8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BC1F8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BC1F8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w:t>
      </w:r>
      <w:proofErr w:type="spellStart"/>
      <w:r>
        <w:rPr>
          <w:bCs/>
        </w:rPr>
        <w:t>ss</w:t>
      </w:r>
      <w:proofErr w:type="spellEnd"/>
      <w:r>
        <w:rPr>
          <w:bCs/>
        </w:rPr>
        <w:t xml:space="preserve">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w:t>
      </w:r>
      <w:proofErr w:type="spellStart"/>
      <w:r>
        <w:rPr>
          <w:bCs/>
        </w:rPr>
        <w:t>mization</w:t>
      </w:r>
      <w:proofErr w:type="spellEnd"/>
      <w:r>
        <w:rPr>
          <w:bCs/>
        </w:rPr>
        <w:t xml:space="preserve">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C1F8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BC1F8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C1F8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BC1F8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BC1F8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BC1F8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BC1F8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BC1F8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BC1F8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BC1F8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BC1F8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BC1F8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BC1F8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BC1F8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BC1F8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BC1F8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C1F8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BC1F8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BC1F8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C1F8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BC1F8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BC1F8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BC1F8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BC1F8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BC1F8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BC1F8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BC1F8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BC1F8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BC1F8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BC1F8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BC1F8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BC1F8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w:t>
      </w:r>
      <w:proofErr w:type="spellStart"/>
      <w:r>
        <w:rPr>
          <w:bCs/>
        </w:rPr>
        <w:t>rategy</w:t>
      </w:r>
      <w:proofErr w:type="spellEnd"/>
      <w:r>
        <w:rPr>
          <w:bCs/>
        </w:rPr>
        <w:t>.</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BC1F8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BC1F8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BC1F8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BC1F8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BC1F8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BC1F8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w:t>
      </w:r>
      <w:proofErr w:type="spellStart"/>
      <w:r>
        <w:rPr>
          <w:bCs/>
        </w:rPr>
        <w:t>er</w:t>
      </w:r>
      <w:proofErr w:type="spellEnd"/>
      <w:r>
        <w:rPr>
          <w:bCs/>
        </w:rPr>
        <w:t xml:space="preserve">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w:t>
      </w:r>
      <w:proofErr w:type="spellStart"/>
      <w:r w:rsidR="00946B07">
        <w:rPr>
          <w:bCs/>
        </w:rPr>
        <w:t>ctories</w:t>
      </w:r>
      <w:proofErr w:type="spellEnd"/>
      <w:r w:rsidR="00946B07">
        <w:rPr>
          <w:bCs/>
        </w:rPr>
        <w:t>.</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BC1F8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BC1F8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BC1F8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BC1F8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BC1F8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BC1F8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BC1F8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BC1F8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BC1F8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BC1F8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BC1F8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BC1F8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BC1F8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BC1F8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BC1F8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BC1F8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BC1F8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BC1F8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BC1F8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BC1F8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BC1F8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BC1F8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BC1F8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BC1F8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BC1F8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BC1F8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BC1F8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BC1F8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BC1F8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BC1F8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BC1F8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BC1F8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BC1F8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BC1F8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BC1F8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BC1F8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BC1F8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BC1F8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BC1F8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BC1F8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BC1F8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BC1F8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BC1F8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BC1F8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BC1F8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BC1F8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BC1F8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BC1F8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BC1F8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BC1F8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BC1F8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BC1F8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BC1F8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BC1F8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BC1F8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BC1F8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BC1F8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BC1F8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BC1F8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BC1F8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BC1F8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BC1F8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C1F8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BC1F8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BC1F8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BC1F8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C1F8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BC1F8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BC1F8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BC1F8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BC1F8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BC1F8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BC1F8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w:t>
      </w:r>
      <w:proofErr w:type="spellStart"/>
      <w:r>
        <w:t>rs</w:t>
      </w:r>
      <w:proofErr w:type="spellEnd"/>
      <w:r>
        <w:t xml:space="preserve">,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BC1F8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w:t>
      </w:r>
      <w:proofErr w:type="spellStart"/>
      <w:r>
        <w:rPr>
          <w:bCs/>
        </w:rPr>
        <w:t>quidity</w:t>
      </w:r>
      <w:proofErr w:type="spellEnd"/>
      <w:r>
        <w:rPr>
          <w:bCs/>
        </w:rPr>
        <w:t xml:space="preserve">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BC1F8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w:t>
      </w:r>
      <w:proofErr w:type="spellStart"/>
      <w:r>
        <w:rPr>
          <w:bCs/>
        </w:rPr>
        <w:t>s</w:t>
      </w:r>
      <w:proofErr w:type="spellEnd"/>
      <w:r>
        <w:rPr>
          <w:bCs/>
        </w:rPr>
        <w:t xml:space="preserve">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BC1F8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w:t>
      </w:r>
      <w:proofErr w:type="spellStart"/>
      <w:r w:rsidR="00BC08BD">
        <w:rPr>
          <w:bCs/>
        </w:rPr>
        <w:t>tion</w:t>
      </w:r>
      <w:proofErr w:type="spellEnd"/>
      <w:r w:rsidR="00BC08BD">
        <w:rPr>
          <w:bCs/>
        </w:rPr>
        <w:t xml:space="preserve">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BC1F8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w:t>
      </w:r>
      <w:proofErr w:type="spellStart"/>
      <w:r w:rsidRPr="009933EB">
        <w:rPr>
          <w:bCs/>
        </w:rPr>
        <w:t>unctions</w:t>
      </w:r>
      <w:proofErr w:type="spellEnd"/>
      <w:r w:rsidRPr="009933EB">
        <w:rPr>
          <w:bCs/>
        </w:rPr>
        <w:t xml:space="preserve">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w:t>
      </w:r>
      <w:proofErr w:type="spellStart"/>
      <w:r>
        <w:rPr>
          <w:bCs/>
        </w:rPr>
        <w:t>ather</w:t>
      </w:r>
      <w:proofErr w:type="spellEnd"/>
      <w:r>
        <w:rPr>
          <w:bCs/>
        </w:rPr>
        <w:t xml:space="preserve">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w:t>
      </w:r>
      <w:proofErr w:type="spellStart"/>
      <w:r>
        <w:t>ined</w:t>
      </w:r>
      <w:proofErr w:type="spellEnd"/>
      <w:r>
        <w:t xml:space="preserve">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BC1F8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BC1F8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w:t>
      </w:r>
      <w:proofErr w:type="spellStart"/>
      <w:r>
        <w:t>ussian</w:t>
      </w:r>
      <w:proofErr w:type="spellEnd"/>
      <w:r>
        <w:t xml:space="preserve">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w:t>
      </w:r>
      <w:proofErr w:type="spellStart"/>
      <w:r>
        <w:t>es</w:t>
      </w:r>
      <w:proofErr w:type="spellEnd"/>
      <w:r>
        <w:t xml:space="preserve">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BC1F8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BC1F8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C1F8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C1F8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C1F8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C1F8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w:t>
      </w:r>
      <w:proofErr w:type="spellStart"/>
      <w:r>
        <w:rPr>
          <w:bCs/>
        </w:rPr>
        <w:t>ed</w:t>
      </w:r>
      <w:proofErr w:type="spellEnd"/>
      <w:r>
        <w:rPr>
          <w:bCs/>
        </w:rPr>
        <w:t xml:space="preserve">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BC1F8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BC1F8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w:t>
      </w:r>
      <w:proofErr w:type="spellStart"/>
      <w:r>
        <w:rPr>
          <w:bCs/>
        </w:rPr>
        <w:t>uct</w:t>
      </w:r>
      <w:proofErr w:type="spellEnd"/>
      <w:r>
        <w:rPr>
          <w:bCs/>
        </w:rPr>
        <w:t xml:space="preserve">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BC1F8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BC1F8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BC1F8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BC1F8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BC1F8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BC1F8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BC1F8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BC1F8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w:t>
      </w:r>
      <w:proofErr w:type="spellStart"/>
      <w:r>
        <w:t>io</w:t>
      </w:r>
      <w:proofErr w:type="spellEnd"/>
      <w:r>
        <w:t>,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BC1F8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w:t>
      </w:r>
      <w:proofErr w:type="spellStart"/>
      <w:r>
        <w:t>icitly</w:t>
      </w:r>
      <w:proofErr w:type="spellEnd"/>
      <w:r>
        <w:t xml:space="preserve">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BC1F8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BC1F8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BC1F8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BC1F8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BC1F8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BC1F8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BC1F8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BC1F8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proofErr w:type="gramStart"/>
      <w:r w:rsidRPr="00FA3274">
        <w:rPr>
          <w:bCs/>
        </w:rPr>
        <w:t>for</w:t>
      </w:r>
      <w:proofErr w:type="gramEnd"/>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proofErr w:type="gramStart"/>
      <w:r w:rsidRPr="00FA3274">
        <w:rPr>
          <w:bCs/>
        </w:rPr>
        <w:t>where</w:t>
      </w:r>
      <w:proofErr w:type="gramEnd"/>
      <w:r w:rsidRPr="00FA3274">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proofErr w:type="gramStart"/>
      <w:r>
        <w:rPr>
          <w:bCs/>
        </w:rPr>
        <w:t>will</w:t>
      </w:r>
      <w:proofErr w:type="gramEnd"/>
      <w:r>
        <w:rPr>
          <w:bCs/>
        </w:rPr>
        <w:t xml:space="preserve">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proofErr w:type="gramStart"/>
      <w:r>
        <w:rPr>
          <w:bCs/>
        </w:rPr>
        <w:t>to</w:t>
      </w:r>
      <w:proofErr w:type="gramEnd"/>
      <w:r>
        <w:rPr>
          <w:bCs/>
        </w:rPr>
        <w:t xml:space="preserve">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proofErr w:type="gramStart"/>
      <w:r>
        <w:rPr>
          <w:bCs/>
        </w:rPr>
        <w:t>conditional</w:t>
      </w:r>
      <w:proofErr w:type="gramEnd"/>
      <w:r>
        <w:rPr>
          <w:bCs/>
        </w:rPr>
        <w:t xml:space="preserve">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w:t>
      </w:r>
      <w:proofErr w:type="gramStart"/>
      <w:r>
        <w:rPr>
          <w:bCs/>
        </w:rPr>
        <w:t xml:space="preserve">time </w:t>
      </w:r>
      <w:proofErr w:type="gramEnd"/>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with</w:t>
      </w:r>
      <w:proofErr w:type="gramEnd"/>
      <w:r>
        <w:rPr>
          <w:bCs/>
        </w:rPr>
        <w:t xml:space="preserve">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BC1F8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coming</w:t>
      </w:r>
      <w:proofErr w:type="gramEnd"/>
      <w:r>
        <w:rPr>
          <w:bCs/>
        </w:rPr>
        <w:t xml:space="preserve">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one</w:t>
      </w:r>
      <w:proofErr w:type="gramEnd"/>
      <w:r>
        <w:rPr>
          <w:bCs/>
        </w:rPr>
        <w:t xml:space="preserv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the</w:t>
      </w:r>
      <w:proofErr w:type="gramEnd"/>
      <w:r>
        <w:rPr>
          <w:bCs/>
        </w:rPr>
        <w:t xml:space="preserv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so</w:t>
      </w:r>
      <w:proofErr w:type="gramEnd"/>
      <w:r>
        <w:rPr>
          <w:bCs/>
        </w:rPr>
        <w:t xml:space="preserve">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proofErr w:type="gramStart"/>
      <w:r w:rsidRPr="006E3A7E">
        <w:rPr>
          <w:bCs/>
        </w:rPr>
        <w:t>and</w:t>
      </w:r>
      <w:proofErr w:type="gramEnd"/>
      <w:r w:rsidRPr="006E3A7E">
        <w:rPr>
          <w:bCs/>
        </w:rPr>
        <w:t xml:space="preserve">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proofErr w:type="gramStart"/>
      <w:r w:rsidRPr="006E3A7E">
        <w:rPr>
          <w:bCs/>
        </w:rPr>
        <w:t>which</w:t>
      </w:r>
      <w:proofErr w:type="gramEnd"/>
      <w:r w:rsidRPr="006E3A7E">
        <w:rPr>
          <w:bCs/>
        </w:rPr>
        <w:t xml:space="preserve">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and</w:t>
      </w:r>
      <w:proofErr w:type="gramEnd"/>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representing</w:t>
      </w:r>
      <w:proofErr w:type="gramEnd"/>
      <w:r>
        <w:rPr>
          <w:bCs/>
        </w:rPr>
        <w:t xml:space="preserve">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for</w:t>
      </w:r>
      <w:proofErr w:type="gramEnd"/>
      <w:r>
        <w:rPr>
          <w:bCs/>
        </w:rPr>
        <w:t xml:space="preserve"> all </w:t>
      </w:r>
      <m:oMath>
        <m:r>
          <w:rPr>
            <w:rFonts w:ascii="Cambria Math" w:hAnsi="Cambria Math"/>
          </w:rPr>
          <m:t>t</m:t>
        </m:r>
      </m:oMath>
      <w:r>
        <w:rPr>
          <w:bCs/>
        </w:rPr>
        <w:t xml:space="preserve"> so that a program never sells as part of the buy order. To</w:t>
      </w:r>
      <w:proofErr w:type="spellStart"/>
      <w:r>
        <w:rPr>
          <w:bCs/>
        </w:rPr>
        <w:t>gether</w:t>
      </w:r>
      <w:proofErr w:type="spellEnd"/>
      <w:r>
        <w:rPr>
          <w:bCs/>
        </w:rPr>
        <w:t xml:space="preserve">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proofErr w:type="gramStart"/>
      <w:r>
        <w:rPr>
          <w:bCs/>
        </w:rPr>
        <w:t>but</w:t>
      </w:r>
      <w:proofErr w:type="gramEnd"/>
      <w:r>
        <w:rPr>
          <w:bCs/>
        </w:rPr>
        <w:t xml:space="preserve">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BC1F8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proofErr w:type="gramStart"/>
      <w:r>
        <w:rPr>
          <w:bCs/>
        </w:rPr>
        <w:t>where</w:t>
      </w:r>
      <w:proofErr w:type="gramEnd"/>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proofErr w:type="gramStart"/>
      <w:r>
        <w:rPr>
          <w:bCs/>
        </w:rPr>
        <w:t>is</w:t>
      </w:r>
      <w:proofErr w:type="gramEnd"/>
      <w:r>
        <w:rPr>
          <w:bCs/>
        </w:rPr>
        <w:t xml:space="preserve">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w:t>
      </w:r>
      <w:proofErr w:type="gramStart"/>
      <w:r>
        <w:rPr>
          <w:bCs/>
        </w:rPr>
        <w:t>is</w:t>
      </w:r>
      <w:proofErr w:type="gramEnd"/>
      <w:r>
        <w:rPr>
          <w:bCs/>
        </w:rPr>
        <w:t xml:space="preserve">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w:t>
      </w:r>
      <w:proofErr w:type="gramStart"/>
      <w:r>
        <w:rPr>
          <w:bCs/>
        </w:rPr>
        <w:t xml:space="preserve">of </w:t>
      </w:r>
      <w:proofErr w:type="gramEnd"/>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w:t>
      </w:r>
      <w:proofErr w:type="gramStart"/>
      <w:r>
        <w:rPr>
          <w:bCs/>
        </w:rPr>
        <w:t xml:space="preserve">drift </w:t>
      </w:r>
      <w:proofErr w:type="gramEnd"/>
      <m:oMath>
        <m:r>
          <w:rPr>
            <w:rFonts w:ascii="Cambria Math" w:hAnsi="Cambria Math"/>
          </w:rPr>
          <m:t>α</m:t>
        </m:r>
      </m:oMath>
      <w:r>
        <w:rPr>
          <w:bCs/>
        </w:rPr>
        <w:t>, and it is this effect that must be balanced against the desire to reduce the impact costs by t</w:t>
      </w:r>
      <w:proofErr w:type="spellStart"/>
      <w:r>
        <w:rPr>
          <w:bCs/>
        </w:rPr>
        <w:t>rading</w:t>
      </w:r>
      <w:proofErr w:type="spellEnd"/>
      <w:r>
        <w:rPr>
          <w:bCs/>
        </w:rPr>
        <w:t xml:space="preserve">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lastRenderedPageBreak/>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proofErr w:type="gramStart"/>
      <w:r>
        <w:rPr>
          <w:bCs/>
        </w:rPr>
        <w:t>in</w:t>
      </w:r>
      <w:proofErr w:type="gramEnd"/>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proofErr w:type="gramStart"/>
      <w:r>
        <w:rPr>
          <w:bCs/>
        </w:rPr>
        <w:t>and</w:t>
      </w:r>
      <w:proofErr w:type="gramEnd"/>
      <w:r>
        <w:rPr>
          <w:bCs/>
        </w:rPr>
        <w:t xml:space="preserve">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proofErr w:type="gramStart"/>
      <w:r>
        <w:rPr>
          <w:bCs/>
        </w:rPr>
        <w:t>or</w:t>
      </w:r>
      <w:proofErr w:type="gramEnd"/>
      <w:r>
        <w:rPr>
          <w:bCs/>
        </w:rPr>
        <w:t xml:space="preserve">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proofErr w:type="gramStart"/>
      <w:r>
        <w:rPr>
          <w:bCs/>
        </w:rPr>
        <w:t>unless</w:t>
      </w:r>
      <w:proofErr w:type="gramEnd"/>
      <w:r>
        <w:rPr>
          <w:bCs/>
        </w:rPr>
        <w:t xml:space="preserve">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w:t>
      </w:r>
      <w:proofErr w:type="gramStart"/>
      <w:r>
        <w:t>is</w:t>
      </w:r>
      <w:proofErr w:type="gramEnd"/>
      <w:r>
        <w:t xml:space="preserve">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proofErr w:type="gramStart"/>
      <w:r>
        <w:t>conditional</w:t>
      </w:r>
      <w:proofErr w:type="gramEnd"/>
      <w:r>
        <w:t xml:space="preserve">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43148F"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proofErr w:type="gramStart"/>
      <w:r>
        <w:t>where</w:t>
      </w:r>
      <w:proofErr w:type="gramEnd"/>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lastRenderedPageBreak/>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proofErr w:type="gramStart"/>
      <w:r>
        <w:t>so</w:t>
      </w:r>
      <w:proofErr w:type="gramEnd"/>
      <w:r>
        <w:t xml:space="preserve"> that</w:t>
      </w:r>
    </w:p>
    <w:p w:rsidR="0029506D" w:rsidRDefault="0029506D" w:rsidP="0029506D">
      <w:pPr>
        <w:pStyle w:val="ListParagraph"/>
        <w:spacing w:line="360" w:lineRule="auto"/>
        <w:ind w:left="360"/>
      </w:pPr>
    </w:p>
    <w:p w:rsidR="00765663" w:rsidRPr="0029506D" w:rsidRDefault="00765663"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m:t>
        </m:r>
        <m:r>
          <w:rPr>
            <w:rFonts w:ascii="Cambria Math" w:hAnsi="Cambria Math"/>
          </w:rPr>
          <m:t>t</m:t>
        </m:r>
      </m:oMath>
      <w:r>
        <w:rPr>
          <w:bCs/>
        </w:rPr>
        <w:t xml:space="preserve"> then re-computing. Thus the strategy is highly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BC1F80" w:rsidRPr="0029506D"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xml:space="preserve">: A small perturbation of the path </w:t>
      </w:r>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considered for </w:t>
      </w:r>
      <m:oMath>
        <m:r>
          <w:rPr>
            <w:rFonts w:ascii="Cambria Math" w:hAnsi="Cambria Math"/>
          </w:rPr>
          <m:t>t≤τ≤T</m:t>
        </m:r>
      </m:oMath>
      <w:r w:rsidRPr="0029506D">
        <w:rPr>
          <w:bCs/>
        </w:rPr>
        <w:t xml:space="preserve"> 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 </w:t>
      </w:r>
      <m:oMath>
        <m:r>
          <w:rPr>
            <w:rFonts w:ascii="Cambria Math" w:hAnsi="Cambria Math"/>
          </w:rPr>
          <m:t>τ</m:t>
        </m:r>
        <m:r>
          <w:rPr>
            <w:rFonts w:ascii="Cambria Math" w:hAnsi="Cambria Math"/>
          </w:rPr>
          <m:t>=t</m:t>
        </m:r>
      </m:oMath>
      <w:r w:rsidRPr="0029506D">
        <w:rPr>
          <w:bCs/>
        </w:rPr>
        <w:t xml:space="preserve"> and </w:t>
      </w:r>
      <m:oMath>
        <m:r>
          <w:rPr>
            <w:rFonts w:ascii="Cambria Math" w:hAnsi="Cambria Math"/>
          </w:rPr>
          <m:t>τ</m:t>
        </m:r>
        <m:r>
          <w:rPr>
            <w:rFonts w:ascii="Cambria Math" w:hAnsi="Cambria Math"/>
          </w:rPr>
          <m:t>=T</m:t>
        </m:r>
      </m:oMath>
      <w:r w:rsidRPr="0029506D">
        <w:rPr>
          <w:bCs/>
        </w:rPr>
        <w:t xml:space="preserve"> this perturbation must have </w:t>
      </w:r>
      <m:oMath>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w:p>
    <w:p w:rsidR="0029506D" w:rsidRDefault="0029506D" w:rsidP="0029506D">
      <w:pPr>
        <w:pStyle w:val="ListParagraph"/>
        <w:numPr>
          <w:ilvl w:val="0"/>
          <w:numId w:val="113"/>
        </w:numPr>
        <w:spacing w:line="360" w:lineRule="auto"/>
        <w:rPr>
          <w:bCs/>
        </w:rPr>
      </w:pPr>
      <w:r>
        <w:rPr>
          <w:bCs/>
          <w:u w:val="single"/>
        </w:rPr>
        <w:t>The Corresponding Bayesian Cost Impact</w:t>
      </w:r>
      <w:r>
        <w:rPr>
          <w:bCs/>
        </w:rPr>
        <w:t xml:space="preserve">: The associated trade rate perturbation is </w:t>
      </w:r>
      <m:oMath>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w:r w:rsidR="003A7CC2">
        <w:rPr>
          <w:bCs/>
        </w:rPr>
        <w:t xml:space="preserve"> 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sidR="003A7CC2">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sidR="003A7CC2">
        <w:rPr>
          <w:bCs/>
        </w:rPr>
        <w:t xml:space="preserve"> are twice differentiable – is </w:t>
      </w:r>
      <m:oMath>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m:t>
                </m:r>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m:t>
                </m:r>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m:t>
                </m:r>
                <m:r>
                  <w:rPr>
                    <w:rFonts w:ascii="Cambria Math" w:hAnsi="Cambria Math"/>
                  </w:rPr>
                  <m:t>2</m:t>
                </m:r>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m:t>
                </m:r>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w:p>
    <w:p w:rsidR="00932780" w:rsidRPr="007B7380" w:rsidRDefault="00932780" w:rsidP="0029506D">
      <w:pPr>
        <w:pStyle w:val="ListParagraph"/>
        <w:numPr>
          <w:ilvl w:val="0"/>
          <w:numId w:val="113"/>
        </w:numPr>
        <w:spacing w:line="360" w:lineRule="auto"/>
        <w:rPr>
          <w:bCs/>
        </w:rPr>
      </w:pPr>
      <w:r>
        <w:rPr>
          <w:bCs/>
          <w:u w:val="single"/>
        </w:rPr>
        <w:t>Cost Optimized Trajectory - Necessary Condition</w:t>
      </w:r>
      <w:r>
        <w:rPr>
          <w:bCs/>
        </w:rPr>
        <w:t xml:space="preserve">: Here </w:t>
      </w:r>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is the best available drift estimate using information available at time </w:t>
      </w:r>
      <m:oMath>
        <m:r>
          <w:rPr>
            <w:rFonts w:ascii="Cambria Math" w:hAnsi="Cambria Math"/>
          </w:rPr>
          <m:t>t</m:t>
        </m:r>
      </m:oMath>
      <w:r>
        <w:rPr>
          <w:bCs/>
        </w:rPr>
        <w:t xml:space="preserve"> which we assume is constant for </w:t>
      </w:r>
      <m:oMath>
        <m:r>
          <w:rPr>
            <w:rFonts w:ascii="Cambria Math" w:hAnsi="Cambria Math"/>
          </w:rPr>
          <m:t>t≤τ≤T</m:t>
        </m:r>
      </m:oMath>
      <w:r>
        <w:t xml:space="preserve"> 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 </w:t>
      </w:r>
      <m:oMath>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w:p>
    <w:p w:rsidR="007B7380" w:rsidRPr="007B7380"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m:t>
            </m:r>
            <m:r>
              <w:rPr>
                <w:rFonts w:ascii="Cambria Math" w:hAnsi="Cambria Math"/>
              </w:rPr>
              <m:t>η</m:t>
            </m:r>
          </m:den>
        </m:f>
      </m:oMath>
      <w:r>
        <w:rPr>
          <w:bCs/>
        </w:rPr>
        <w:t xml:space="preserve">  </w:t>
      </w:r>
      <m:oMath>
        <m:r>
          <w:rPr>
            <w:rFonts w:ascii="Cambria Math" w:hAnsi="Cambria Math"/>
          </w:rPr>
          <m:t>t≤τ≤T</m:t>
        </m:r>
      </m:oMath>
    </w:p>
    <w:p w:rsidR="007B7380" w:rsidRPr="00D80090" w:rsidRDefault="007B7380" w:rsidP="0029506D">
      <w:pPr>
        <w:pStyle w:val="ListParagraph"/>
        <w:numPr>
          <w:ilvl w:val="0"/>
          <w:numId w:val="113"/>
        </w:numPr>
        <w:spacing w:line="360" w:lineRule="auto"/>
        <w:rPr>
          <w:bCs/>
        </w:rPr>
      </w:pPr>
      <w:r>
        <w:rPr>
          <w:bCs/>
          <w:u w:val="single"/>
        </w:rPr>
        <w:t>Unconstrained Trajectory - The Holding Solution</w:t>
      </w:r>
      <w:r>
        <w:rPr>
          <w:bCs/>
        </w:rPr>
        <w:t xml:space="preserve">: The solution to this equation that satisfies the boundary conditions is </w:t>
      </w:r>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m:t>
            </m:r>
            <m:r>
              <w:rPr>
                <w:rFonts w:ascii="Cambria Math" w:hAnsi="Cambria Math"/>
              </w:rPr>
              <m: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m:t>
            </m:r>
            <m:r>
              <w:rPr>
                <w:rFonts w:ascii="Cambria Math" w:hAnsi="Cambria Math"/>
              </w:rPr>
              <m:t>η</m:t>
            </m:r>
          </m:den>
        </m:f>
        <m:d>
          <m:dPr>
            <m:ctrlPr>
              <w:rPr>
                <w:rFonts w:ascii="Cambria Math" w:hAnsi="Cambria Math"/>
                <w:i/>
              </w:rPr>
            </m:ctrlPr>
          </m:dPr>
          <m:e>
            <m:r>
              <w:rPr>
                <w:rFonts w:ascii="Cambria Math" w:hAnsi="Cambria Math"/>
              </w:rPr>
              <m:t>τ</m:t>
            </m:r>
            <m:r>
              <w:rPr>
                <w:rFonts w:ascii="Cambria Math" w:hAnsi="Cambria Math"/>
              </w:rPr>
              <m:t>-t</m:t>
            </m:r>
          </m:e>
        </m:d>
        <m:d>
          <m:dPr>
            <m:ctrlPr>
              <w:rPr>
                <w:rFonts w:ascii="Cambria Math" w:hAnsi="Cambria Math"/>
                <w:i/>
              </w:rPr>
            </m:ctrlPr>
          </m:dPr>
          <m:e>
            <m:r>
              <w:rPr>
                <w:rFonts w:ascii="Cambria Math" w:hAnsi="Cambria Math"/>
              </w:rPr>
              <m:t>T-</m:t>
            </m:r>
            <m:r>
              <w:rPr>
                <w:rFonts w:ascii="Cambria Math" w:hAnsi="Cambria Math"/>
              </w:rPr>
              <m:t>τ</m:t>
            </m:r>
          </m:e>
        </m:d>
      </m:oMath>
      <w:r>
        <w:rPr>
          <w:bCs/>
        </w:rPr>
        <w:t xml:space="preserve"> </w:t>
      </w:r>
      <m:oMath>
        <m:r>
          <w:rPr>
            <w:rFonts w:ascii="Cambria Math" w:hAnsi="Cambria Math"/>
          </w:rPr>
          <m:t>t≤τ≤T</m:t>
        </m:r>
      </m:oMath>
      <w:r>
        <w:t xml:space="preserve"> and the corresponding instantaneous trade rate is </w:t>
      </w:r>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r>
              <w:rPr>
                <w:rFonts w:ascii="Cambria Math" w:hAnsi="Cambria Math"/>
              </w:rPr>
              <m:t>=</m:t>
            </m:r>
            <m:r>
              <w:rPr>
                <w:rFonts w:ascii="Cambria Math" w:hAnsi="Cambria Math"/>
              </w:rPr>
              <m:t>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m:t>
            </m:r>
            <m:r>
              <w:rPr>
                <w:rFonts w:ascii="Cambria Math" w:hAnsi="Cambria Math"/>
              </w:rPr>
              <m:t>η</m:t>
            </m:r>
          </m:den>
        </m:f>
        <m:d>
          <m:dPr>
            <m:ctrlPr>
              <w:rPr>
                <w:rFonts w:ascii="Cambria Math" w:hAnsi="Cambria Math"/>
                <w:i/>
              </w:rPr>
            </m:ctrlPr>
          </m:dPr>
          <m:e>
            <m:r>
              <w:rPr>
                <w:rFonts w:ascii="Cambria Math" w:hAnsi="Cambria Math"/>
              </w:rPr>
              <m:t>T</m:t>
            </m:r>
            <m:r>
              <w:rPr>
                <w:rFonts w:ascii="Cambria Math" w:hAnsi="Cambria Math"/>
              </w:rPr>
              <m:t>-t</m:t>
            </m:r>
          </m:e>
        </m:d>
      </m:oMath>
      <w:r>
        <w:t xml:space="preserve"> as a function of time and shares remaining.</w:t>
      </w:r>
    </w:p>
    <w:p w:rsidR="00D80090" w:rsidRDefault="00D80090" w:rsidP="0029506D">
      <w:pPr>
        <w:pStyle w:val="ListParagraph"/>
        <w:numPr>
          <w:ilvl w:val="0"/>
          <w:numId w:val="113"/>
        </w:numPr>
        <w:spacing w:line="360" w:lineRule="auto"/>
        <w:rPr>
          <w:bCs/>
        </w:rPr>
      </w:pPr>
      <w:r>
        <w:rPr>
          <w:bCs/>
          <w:u w:val="single"/>
        </w:rPr>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 </w:t>
      </w:r>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m:t>
            </m:r>
            <m:r>
              <w:rPr>
                <w:rFonts w:ascii="Cambria Math" w:hAnsi="Cambria Math"/>
              </w:rPr>
              <m: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m:t>
            </m:r>
            <m:r>
              <w:rPr>
                <w:rFonts w:ascii="Cambria Math" w:hAnsi="Cambria Math"/>
              </w:rPr>
              <m:t>η</m:t>
            </m:r>
          </m:den>
        </m:f>
        <m:d>
          <m:dPr>
            <m:ctrlPr>
              <w:rPr>
                <w:rFonts w:ascii="Cambria Math" w:hAnsi="Cambria Math"/>
                <w:i/>
              </w:rPr>
            </m:ctrlPr>
          </m:dPr>
          <m:e>
            <m:r>
              <w:rPr>
                <w:rFonts w:ascii="Cambria Math" w:hAnsi="Cambria Math"/>
              </w:rPr>
              <m:t>τ</m:t>
            </m:r>
            <m:r>
              <w:rPr>
                <w:rFonts w:ascii="Cambria Math" w:hAnsi="Cambria Math"/>
              </w:rPr>
              <m:t>-t</m:t>
            </m:r>
          </m:e>
        </m:d>
        <m:d>
          <m:dPr>
            <m:ctrlPr>
              <w:rPr>
                <w:rFonts w:ascii="Cambria Math" w:hAnsi="Cambria Math"/>
                <w:i/>
              </w:rPr>
            </m:ctrlPr>
          </m:dPr>
          <m:e>
            <m:r>
              <w:rPr>
                <w:rFonts w:ascii="Cambria Math" w:hAnsi="Cambria Math"/>
              </w:rPr>
              <m:t>T-</m:t>
            </m:r>
            <m:r>
              <w:rPr>
                <w:rFonts w:ascii="Cambria Math" w:hAnsi="Cambria Math"/>
              </w:rPr>
              <m:t>τ</m:t>
            </m:r>
          </m:e>
        </m:d>
      </m:oMath>
      <w:r>
        <w:rPr>
          <w:bCs/>
        </w:rPr>
        <w:t xml:space="preserve"> </w:t>
      </w:r>
      <m:oMath>
        <m:r>
          <w:rPr>
            <w:rFonts w:ascii="Cambria Math" w:hAnsi="Cambria Math"/>
          </w:rPr>
          <m:t>t≤τ≤T</m:t>
        </m:r>
      </m:oMath>
      <w:r>
        <w:rPr>
          <w:bCs/>
        </w:rPr>
        <w:t xml:space="preserve"> 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 </w:t>
      </w:r>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r>
              <w:rPr>
                <w:rFonts w:ascii="Cambria Math" w:hAnsi="Cambria Math"/>
              </w:rPr>
              <m:t>=</m:t>
            </m:r>
            <m:r>
              <w:rPr>
                <w:rFonts w:ascii="Cambria Math" w:hAnsi="Cambria Math"/>
              </w:rPr>
              <m:t>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m:t>
            </m:r>
            <m:r>
              <w:rPr>
                <w:rFonts w:ascii="Cambria Math" w:hAnsi="Cambria Math"/>
              </w:rPr>
              <m:t>η</m:t>
            </m:r>
          </m:den>
        </m:f>
        <m:d>
          <m:dPr>
            <m:ctrlPr>
              <w:rPr>
                <w:rFonts w:ascii="Cambria Math" w:hAnsi="Cambria Math"/>
                <w:i/>
              </w:rPr>
            </m:ctrlPr>
          </m:dPr>
          <m:e>
            <m:r>
              <w:rPr>
                <w:rFonts w:ascii="Cambria Math" w:hAnsi="Cambria Math"/>
              </w:rPr>
              <m:t>T-t</m:t>
            </m:r>
          </m:e>
        </m:d>
      </m:oMath>
      <w:r>
        <w:rPr>
          <w:bCs/>
        </w:rPr>
        <w:t xml:space="preserve"> to become negative.</w:t>
      </w:r>
    </w:p>
    <w:p w:rsidR="00D80090" w:rsidRPr="0029506D" w:rsidRDefault="00D80090" w:rsidP="0029506D">
      <w:pPr>
        <w:pStyle w:val="ListParagraph"/>
        <w:numPr>
          <w:ilvl w:val="0"/>
          <w:numId w:val="113"/>
        </w:numPr>
        <w:spacing w:line="360" w:lineRule="auto"/>
        <w:rPr>
          <w:bCs/>
        </w:rPr>
      </w:pPr>
      <w:r>
        <w:rPr>
          <w:bCs/>
          <w:u w:val="single"/>
        </w:rPr>
        <w:lastRenderedPageBreak/>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bookmarkStart w:id="0" w:name="_GoBack"/>
      <w:bookmarkEnd w:id="0"/>
      <w:r>
        <w:rPr>
          <w:bCs/>
        </w:rPr>
        <w:t xml:space="preserve"> and represents the linear (VWAP) liquidation of the current position; it is the optimal strategy to reduce the expected impact costs with no risk aversion.</w:t>
      </w:r>
    </w:p>
    <w:p w:rsidR="005B0890" w:rsidRPr="00001CE2" w:rsidRDefault="005B0890" w:rsidP="00001CE2">
      <w:pPr>
        <w:spacing w:line="360" w:lineRule="auto"/>
        <w:rPr>
          <w:b/>
          <w:bCs/>
        </w:rPr>
      </w:pPr>
    </w:p>
    <w:p w:rsidR="00001CE2" w:rsidRPr="00001CE2" w:rsidRDefault="00001CE2" w:rsidP="00001CE2">
      <w:pPr>
        <w:spacing w:line="360" w:lineRule="auto"/>
        <w:rPr>
          <w:b/>
          <w:bCs/>
        </w:rPr>
      </w:pPr>
    </w:p>
    <w:p w:rsidR="00001CE2" w:rsidRPr="00001CE2" w:rsidRDefault="00001CE2" w:rsidP="00001CE2">
      <w:pPr>
        <w:spacing w:line="360" w:lineRule="auto"/>
        <w:rPr>
          <w:b/>
          <w:bCs/>
          <w:sz w:val="28"/>
          <w:szCs w:val="28"/>
        </w:rPr>
      </w:pPr>
      <w:r w:rsidRPr="00001CE2">
        <w:rPr>
          <w:b/>
          <w:bCs/>
          <w:sz w:val="28"/>
          <w:szCs w:val="28"/>
        </w:rPr>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w:t>
      </w:r>
      <w:proofErr w:type="gramStart"/>
      <w:r w:rsidRPr="000158C8">
        <w:rPr>
          <w:bCs/>
        </w:rPr>
        <w:t xml:space="preserve">is </w:t>
      </w:r>
      <w:proofErr w:type="gramEnd"/>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w:t>
      </w:r>
      <w:proofErr w:type="gramStart"/>
      <w:r w:rsidRPr="000158C8">
        <w:rPr>
          <w:bCs/>
        </w:rPr>
        <w:t xml:space="preserve">is </w:t>
      </w:r>
      <w:proofErr w:type="gramEnd"/>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w:t>
      </w:r>
      <w:proofErr w:type="gramStart"/>
      <w:r>
        <w:rPr>
          <w:bCs/>
        </w:rPr>
        <w:t xml:space="preserve">is </w:t>
      </w:r>
      <w:proofErr w:type="gramEnd"/>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w:t>
      </w:r>
      <w:proofErr w:type="gramStart"/>
      <w:r>
        <w:rPr>
          <w:bCs/>
        </w:rPr>
        <w:t xml:space="preserve">prefers </w:t>
      </w:r>
      <w:proofErr w:type="gramEnd"/>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w:t>
      </w:r>
      <w:proofErr w:type="gramStart"/>
      <w:r>
        <w:rPr>
          <w:bCs/>
        </w:rPr>
        <w:t xml:space="preserve">sequence </w:t>
      </w:r>
      <w:proofErr w:type="gramEnd"/>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w:t>
      </w:r>
      <w:proofErr w:type="spellStart"/>
      <w:r>
        <w:rPr>
          <w:bCs/>
        </w:rPr>
        <w:t>st</w:t>
      </w:r>
      <w:proofErr w:type="spellEnd"/>
      <w:r>
        <w:rPr>
          <w:bCs/>
        </w:rPr>
        <w:t xml:space="preserve">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w:t>
      </w:r>
      <w:proofErr w:type="gramStart"/>
      <w:r>
        <w:rPr>
          <w:bCs/>
        </w:rPr>
        <w:t xml:space="preserve">is </w:t>
      </w:r>
      <w:proofErr w:type="gramEnd"/>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w:t>
      </w:r>
      <w:proofErr w:type="gramStart"/>
      <w:r>
        <w:rPr>
          <w:bCs/>
        </w:rPr>
        <w:t xml:space="preserve">choose </w:t>
      </w:r>
      <w:proofErr w:type="gramEnd"/>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 xml:space="preserve">Aggregation </w:t>
      </w:r>
      <w:proofErr w:type="gramStart"/>
      <w:r>
        <w:rPr>
          <w:bCs/>
          <w:u w:val="single"/>
        </w:rPr>
        <w:t>Over</w:t>
      </w:r>
      <w:proofErr w:type="gramEnd"/>
      <w:r>
        <w:rPr>
          <w:bCs/>
          <w:u w:val="single"/>
        </w:rPr>
        <w:t xml:space="preserve">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proofErr w:type="gramStart"/>
      <w:r w:rsidRPr="00C11323">
        <w:rPr>
          <w:bCs/>
        </w:rPr>
        <w:t>where</w:t>
      </w:r>
      <w:proofErr w:type="gramEnd"/>
      <w:r w:rsidRPr="00C11323">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r>
        <w:rPr>
          <w:bCs/>
        </w:rPr>
        <w:t xml:space="preserve">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w:t>
      </w:r>
      <w:proofErr w:type="gramStart"/>
      <w:r>
        <w:rPr>
          <w:bCs/>
        </w:rPr>
        <w:t>is</w:t>
      </w:r>
      <w:proofErr w:type="gramEnd"/>
      <w:r>
        <w:rPr>
          <w:bCs/>
        </w:rPr>
        <w:t xml:space="preserve">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proofErr w:type="gramStart"/>
      <w:r>
        <w:rPr>
          <w:bCs/>
        </w:rPr>
        <w:t>and</w:t>
      </w:r>
      <w:proofErr w:type="gramEnd"/>
      <w:r>
        <w:rPr>
          <w:bCs/>
        </w:rPr>
        <w:t xml:space="preserve">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representing</w:t>
      </w:r>
      <w:proofErr w:type="gramEnd"/>
      <w:r>
        <w:rPr>
          <w:bCs/>
        </w:rPr>
        <w:t xml:space="preserve">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proofErr w:type="gramStart"/>
      <w:r>
        <w:rPr>
          <w:bCs/>
        </w:rPr>
        <w:t>but</w:t>
      </w:r>
      <w:proofErr w:type="gramEnd"/>
      <w:r>
        <w:rPr>
          <w:bCs/>
        </w:rPr>
        <w:t xml:space="preserve">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w:t>
      </w:r>
      <w:proofErr w:type="gramStart"/>
      <w:r>
        <w:rPr>
          <w:bCs/>
        </w:rPr>
        <w:t xml:space="preserve">rate </w:t>
      </w:r>
      <w:proofErr w:type="gramEnd"/>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BC1F8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proofErr w:type="gramStart"/>
      <w:r>
        <w:rPr>
          <w:bCs/>
        </w:rPr>
        <w:t>for</w:t>
      </w:r>
      <w:proofErr w:type="gramEnd"/>
      <w:r>
        <w:rPr>
          <w:bCs/>
        </w:rPr>
        <w:t xml:space="preserve">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proofErr w:type="gramStart"/>
      <w:r>
        <w:rPr>
          <w:bCs/>
        </w:rPr>
        <w:t>where</w:t>
      </w:r>
      <w:proofErr w:type="gramEnd"/>
      <w:r>
        <w:rPr>
          <w:bCs/>
        </w:rPr>
        <w:t xml:space="preserv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BC1F8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proofErr w:type="gramStart"/>
      <w:r w:rsidRPr="00D72444">
        <w:rPr>
          <w:bCs/>
        </w:rPr>
        <w:t>and</w:t>
      </w:r>
      <w:proofErr w:type="gramEnd"/>
    </w:p>
    <w:p w:rsidR="002B15BB" w:rsidRDefault="002B15BB" w:rsidP="00C2601F">
      <w:pPr>
        <w:pStyle w:val="ListParagraph"/>
        <w:spacing w:line="360" w:lineRule="auto"/>
        <w:ind w:left="360"/>
        <w:rPr>
          <w:bCs/>
        </w:rPr>
      </w:pPr>
    </w:p>
    <w:p w:rsidR="00D72444" w:rsidRPr="002B15BB" w:rsidRDefault="00BC1F8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BC1F8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is</w:t>
      </w:r>
      <w:proofErr w:type="gramEnd"/>
      <w:r>
        <w:rPr>
          <w:bCs/>
        </w:rPr>
        <w:t xml:space="preserve">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where</w:t>
      </w:r>
      <w:proofErr w:type="gramEnd"/>
      <w:r>
        <w:rPr>
          <w:bCs/>
        </w:rPr>
        <w:t xml:space="preserv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and</w:t>
      </w:r>
      <w:proofErr w:type="gramEnd"/>
      <w:r>
        <w:rPr>
          <w:bCs/>
        </w:rPr>
        <w:t xml:space="preserve">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at</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w:t>
      </w:r>
      <w:proofErr w:type="gramStart"/>
      <w:r>
        <w:rPr>
          <w:bCs/>
        </w:rPr>
        <w:t xml:space="preserve">as </w:t>
      </w:r>
      <w:proofErr w:type="gramEnd"/>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w:t>
      </w:r>
      <w:proofErr w:type="gramStart"/>
      <w:r>
        <w:rPr>
          <w:bCs/>
        </w:rPr>
        <w:t xml:space="preserve">time </w:t>
      </w:r>
      <w:proofErr w:type="gramEnd"/>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the</w:t>
      </w:r>
      <w:proofErr w:type="gramEnd"/>
      <w:r>
        <w:rPr>
          <w:bCs/>
        </w:rPr>
        <w:t xml:space="preserv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is</w:t>
      </w:r>
      <w:proofErr w:type="gramEnd"/>
      <w:r>
        <w:rPr>
          <w:bCs/>
        </w:rPr>
        <w:t xml:space="preserve">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BC1F8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and</w:t>
      </w:r>
      <w:proofErr w:type="gramEnd"/>
      <w:r>
        <w:rPr>
          <w:bCs/>
        </w:rPr>
        <w:t xml:space="preserve"> variance</w:t>
      </w:r>
    </w:p>
    <w:p w:rsidR="002B15BB" w:rsidRDefault="002B15BB" w:rsidP="002B15BB">
      <w:pPr>
        <w:pStyle w:val="ListParagraph"/>
        <w:spacing w:line="360" w:lineRule="auto"/>
        <w:ind w:left="360"/>
        <w:rPr>
          <w:bCs/>
        </w:rPr>
      </w:pPr>
    </w:p>
    <w:p w:rsidR="001A718F" w:rsidRDefault="00BC1F8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w:t>
      </w:r>
      <w:proofErr w:type="gramStart"/>
      <w:r w:rsidRPr="00C2601F">
        <w:rPr>
          <w:bCs/>
        </w:rPr>
        <w:t xml:space="preserve">shares </w:t>
      </w:r>
      <w:proofErr w:type="gramEnd"/>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w:t>
      </w:r>
      <w:proofErr w:type="gramStart"/>
      <w:r>
        <w:rPr>
          <w:bCs/>
        </w:rPr>
        <w:t xml:space="preserve">to </w:t>
      </w:r>
      <w:proofErr w:type="gramEnd"/>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BC1F8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and</w:t>
      </w:r>
      <w:proofErr w:type="gramEnd"/>
      <w:r>
        <w:rPr>
          <w:bCs/>
        </w:rPr>
        <w:t xml:space="preserve"> the non-dimensional holdings as</w:t>
      </w:r>
    </w:p>
    <w:p w:rsidR="00E36A34" w:rsidRDefault="00E36A34" w:rsidP="00E36A34">
      <w:pPr>
        <w:pStyle w:val="ListParagraph"/>
        <w:spacing w:line="360" w:lineRule="auto"/>
        <w:ind w:left="360"/>
        <w:rPr>
          <w:bCs/>
        </w:rPr>
      </w:pPr>
    </w:p>
    <w:p w:rsidR="00E36A34" w:rsidRDefault="00BC1F8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so</w:t>
      </w:r>
      <w:proofErr w:type="gramEnd"/>
      <w:r>
        <w:rPr>
          <w:bCs/>
        </w:rPr>
        <w:t xml:space="preserve">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proofErr w:type="gramStart"/>
      <w:r>
        <w:rPr>
          <w:bCs/>
        </w:rPr>
        <w:t>and</w:t>
      </w:r>
      <w:proofErr w:type="gramEnd"/>
    </w:p>
    <w:p w:rsidR="00E36A34" w:rsidRDefault="00E36A34" w:rsidP="00E36A34">
      <w:pPr>
        <w:pStyle w:val="ListParagraph"/>
        <w:spacing w:line="360" w:lineRule="auto"/>
        <w:ind w:left="360"/>
        <w:rPr>
          <w:bCs/>
        </w:rPr>
      </w:pPr>
    </w:p>
    <w:p w:rsidR="00E36A34" w:rsidRPr="00E36A34" w:rsidRDefault="00BC1F8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BC1F8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BC1F8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one</w:t>
      </w:r>
      <w:proofErr w:type="gramEnd"/>
      <w:r>
        <w:rPr>
          <w:bCs/>
        </w:rPr>
        <w:t xml:space="preserve"> then has</w:t>
      </w:r>
    </w:p>
    <w:p w:rsidR="00E36A34" w:rsidRDefault="00E36A34" w:rsidP="00E36A34">
      <w:pPr>
        <w:pStyle w:val="ListParagraph"/>
        <w:spacing w:line="360" w:lineRule="auto"/>
        <w:ind w:left="360"/>
        <w:rPr>
          <w:bCs/>
        </w:rPr>
      </w:pPr>
    </w:p>
    <w:p w:rsidR="00E36A34" w:rsidRDefault="00BC1F8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where</w:t>
      </w:r>
      <w:proofErr w:type="gramEnd"/>
    </w:p>
    <w:p w:rsidR="00E36A34" w:rsidRDefault="00E36A34" w:rsidP="00E36A34">
      <w:pPr>
        <w:pStyle w:val="ListParagraph"/>
        <w:spacing w:line="360" w:lineRule="auto"/>
        <w:ind w:left="360"/>
        <w:rPr>
          <w:bCs/>
        </w:rPr>
      </w:pPr>
    </w:p>
    <w:p w:rsidR="00E36A34" w:rsidRPr="00E36A34" w:rsidRDefault="00BC1F8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and</w:t>
      </w:r>
      <w:proofErr w:type="gramEnd"/>
      <w:r>
        <w:rPr>
          <w:bCs/>
        </w:rPr>
        <w:t xml:space="preserve">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BC1F8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proofErr w:type="spellStart"/>
      <w:r w:rsidR="00C10E68">
        <w:rPr>
          <w:bCs/>
        </w:rPr>
        <w:t>erage</w:t>
      </w:r>
      <w:proofErr w:type="spellEnd"/>
      <w:r w:rsidR="00C10E68">
        <w:rPr>
          <w:bCs/>
        </w:rPr>
        <w:t xml:space="preserv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lastRenderedPageBreak/>
        <w:t>as</w:t>
      </w:r>
      <w:proofErr w:type="gramEnd"/>
      <w:r>
        <w:rPr>
          <w:bCs/>
        </w:rPr>
        <w:t xml:space="preserve">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w:t>
      </w:r>
      <w:proofErr w:type="gramStart"/>
      <w:r>
        <w:rPr>
          <w:bCs/>
        </w:rPr>
        <w:t>a</w:t>
      </w:r>
      <w:proofErr w:type="gramEnd"/>
      <w:r>
        <w:rPr>
          <w:bCs/>
        </w:rPr>
        <w:t xml:space="preserve">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w:t>
      </w:r>
      <w:proofErr w:type="gramStart"/>
      <w:r>
        <w:rPr>
          <w:bCs/>
          <w:u w:val="single"/>
        </w:rPr>
        <w:t xml:space="preserve">Typical </w:t>
      </w:r>
      <w:proofErr w:type="gramEnd"/>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BC1F8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has</w:t>
      </w:r>
      <w:proofErr w:type="gramEnd"/>
      <w:r>
        <w:rPr>
          <w:bCs/>
        </w:rPr>
        <w:t xml:space="preserve"> the scaled form</w:t>
      </w:r>
    </w:p>
    <w:p w:rsidR="00E36A34" w:rsidRDefault="00E36A34" w:rsidP="00E36A34">
      <w:pPr>
        <w:pStyle w:val="ListParagraph"/>
        <w:spacing w:line="360" w:lineRule="auto"/>
        <w:ind w:left="360"/>
        <w:rPr>
          <w:bCs/>
        </w:rPr>
      </w:pPr>
    </w:p>
    <w:p w:rsidR="00E36A34" w:rsidRDefault="00BC1F8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and</w:t>
      </w:r>
      <w:proofErr w:type="gramEnd"/>
      <w:r>
        <w:rPr>
          <w:bCs/>
        </w:rPr>
        <w:t xml:space="preserve"> the static urgency is</w:t>
      </w:r>
    </w:p>
    <w:p w:rsidR="00E36A34" w:rsidRDefault="00E36A34" w:rsidP="00E36A34">
      <w:pPr>
        <w:pStyle w:val="ListParagraph"/>
        <w:spacing w:line="360" w:lineRule="auto"/>
        <w:ind w:left="360"/>
        <w:rPr>
          <w:bCs/>
        </w:rPr>
      </w:pPr>
    </w:p>
    <w:p w:rsidR="00E36A34" w:rsidRDefault="00BC1F8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or</w:t>
      </w:r>
      <w:proofErr w:type="gramEnd"/>
    </w:p>
    <w:p w:rsidR="00E36A34" w:rsidRDefault="00E36A34" w:rsidP="00E36A34">
      <w:pPr>
        <w:pStyle w:val="ListParagraph"/>
        <w:spacing w:line="360" w:lineRule="auto"/>
        <w:ind w:left="360"/>
        <w:rPr>
          <w:bCs/>
        </w:rPr>
      </w:pPr>
    </w:p>
    <w:p w:rsidR="00A86816" w:rsidRPr="00E36A34" w:rsidRDefault="00BC1F8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w:t>
      </w:r>
      <w:proofErr w:type="gramStart"/>
      <w:r>
        <w:rPr>
          <w:bCs/>
        </w:rPr>
        <w:t xml:space="preserve">of </w:t>
      </w:r>
      <w:proofErr w:type="gramEnd"/>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w:t>
      </w:r>
      <w:proofErr w:type="gramStart"/>
      <w:r>
        <w:rPr>
          <w:bCs/>
        </w:rPr>
        <w:t xml:space="preserve">of </w:t>
      </w:r>
      <w:proofErr w:type="gramEnd"/>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proofErr w:type="gramStart"/>
      <w:r>
        <w:rPr>
          <w:bCs/>
        </w:rPr>
        <w:t>there</w:t>
      </w:r>
      <w:proofErr w:type="gramEnd"/>
      <w:r>
        <w:rPr>
          <w:bCs/>
        </w:rPr>
        <w:t xml:space="preserv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BC1F8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proofErr w:type="gramStart"/>
      <w:r>
        <w:rPr>
          <w:bCs/>
        </w:rPr>
        <w:t>and</w:t>
      </w:r>
      <w:proofErr w:type="gramEnd"/>
      <w:r>
        <w:rPr>
          <w:bCs/>
        </w:rPr>
        <w:t xml:space="preserve"> variance</w:t>
      </w:r>
    </w:p>
    <w:p w:rsidR="009F2396" w:rsidRDefault="009F2396" w:rsidP="009F2396">
      <w:pPr>
        <w:pStyle w:val="ListParagraph"/>
        <w:spacing w:line="360" w:lineRule="auto"/>
        <w:ind w:left="360"/>
        <w:rPr>
          <w:bCs/>
        </w:rPr>
      </w:pPr>
    </w:p>
    <w:p w:rsidR="009F2396" w:rsidRPr="00C2601F" w:rsidRDefault="00BC1F8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proofErr w:type="gramStart"/>
      <w:r w:rsidRPr="00C50035">
        <w:rPr>
          <w:bCs/>
        </w:rPr>
        <w:t>is</w:t>
      </w:r>
      <w:proofErr w:type="gramEnd"/>
      <w:r w:rsidRPr="00C50035">
        <w:rPr>
          <w:bCs/>
        </w:rPr>
        <w:t xml:space="preserve">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proofErr w:type="gramStart"/>
      <w:r w:rsidRPr="00C50035">
        <w:rPr>
          <w:bCs/>
        </w:rPr>
        <w:t>with</w:t>
      </w:r>
      <w:proofErr w:type="gramEnd"/>
      <w:r w:rsidRPr="00C50035">
        <w:rPr>
          <w:bCs/>
        </w:rPr>
        <w:t xml:space="preserve">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BC1F8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proofErr w:type="gramStart"/>
      <w:r>
        <w:t>is</w:t>
      </w:r>
      <w:proofErr w:type="gramEnd"/>
      <w:r>
        <w:t xml:space="preserve">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w:t>
      </w:r>
      <w:proofErr w:type="spellStart"/>
      <w:r>
        <w:rPr>
          <w:bCs/>
        </w:rPr>
        <w:t>glected</w:t>
      </w:r>
      <w:proofErr w:type="spellEnd"/>
      <w:r>
        <w:rPr>
          <w:bCs/>
        </w:rPr>
        <w:t xml:space="preserve">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BC1F8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proofErr w:type="gramStart"/>
      <w:r>
        <w:rPr>
          <w:bCs/>
        </w:rPr>
        <w:t>has</w:t>
      </w:r>
      <w:proofErr w:type="gramEnd"/>
      <w:r>
        <w:rPr>
          <w:bCs/>
        </w:rPr>
        <w:t xml:space="preserve">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proofErr w:type="gramStart"/>
      <w:r>
        <w:rPr>
          <w:bCs/>
        </w:rPr>
        <w:t>and</w:t>
      </w:r>
      <w:proofErr w:type="gramEnd"/>
      <w:r>
        <w:rPr>
          <w:bCs/>
        </w:rPr>
        <w:t xml:space="preserve">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w:t>
      </w:r>
      <w:proofErr w:type="gramStart"/>
      <w:r>
        <w:rPr>
          <w:bCs/>
        </w:rPr>
        <w:t xml:space="preserve">strategy </w:t>
      </w:r>
      <w:proofErr w:type="gramEnd"/>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BC1F8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proofErr w:type="gramStart"/>
      <w:r>
        <w:rPr>
          <w:bCs/>
        </w:rPr>
        <w:t>will</w:t>
      </w:r>
      <w:proofErr w:type="gramEnd"/>
      <w:r>
        <w:rPr>
          <w:bCs/>
        </w:rPr>
        <w:t xml:space="preserve">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BC1F8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proofErr w:type="gramStart"/>
      <w:r>
        <w:rPr>
          <w:bCs/>
        </w:rPr>
        <w:t>thereby</w:t>
      </w:r>
      <w:proofErr w:type="gramEnd"/>
      <w:r>
        <w:rPr>
          <w:bCs/>
        </w:rPr>
        <w:t xml:space="preserve">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BC1F8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all other parameters the same including risk aversion; thus</w:t>
      </w:r>
    </w:p>
    <w:p w:rsidR="00DB326D" w:rsidRDefault="00DB326D" w:rsidP="00DB326D">
      <w:pPr>
        <w:pStyle w:val="ListParagraph"/>
        <w:spacing w:line="360" w:lineRule="auto"/>
        <w:ind w:left="360"/>
        <w:rPr>
          <w:bCs/>
        </w:rPr>
      </w:pPr>
    </w:p>
    <w:p w:rsidR="00DB326D" w:rsidRDefault="00BC1F8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w:t>
      </w:r>
      <w:proofErr w:type="gramStart"/>
      <w:r>
        <w:rPr>
          <w:bCs/>
        </w:rPr>
        <w:t xml:space="preserve">portfolio </w:t>
      </w:r>
      <w:proofErr w:type="gramEnd"/>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for</w:t>
      </w:r>
      <w:proofErr w:type="gramEnd"/>
      <w:r>
        <w:t xml:space="preserve">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super</w:t>
      </w:r>
      <w:r w:rsidR="00DB326D">
        <w:t>-</w:t>
      </w:r>
      <w:proofErr w:type="gramEnd"/>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an</w:t>
      </w:r>
      <w:proofErr w:type="gramEnd"/>
      <w:r>
        <w:rPr>
          <w:bCs/>
        </w:rPr>
        <w:t xml:space="preserve">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BC1F8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for</w:t>
      </w:r>
      <w:proofErr w:type="gramEnd"/>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BC1F8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lastRenderedPageBreak/>
        <w:t>be</w:t>
      </w:r>
      <w:proofErr w:type="gramEnd"/>
      <w:r>
        <w:rPr>
          <w:bCs/>
        </w:rPr>
        <w:t xml:space="preserv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w:t>
      </w:r>
      <w:proofErr w:type="gramStart"/>
      <w:r>
        <w:rPr>
          <w:bCs/>
        </w:rPr>
        <w:t xml:space="preserve">urgencies </w:t>
      </w:r>
      <w:proofErr w:type="gramEnd"/>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BC1F8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t>for</w:t>
      </w:r>
      <w:proofErr w:type="gramEnd"/>
    </w:p>
    <w:p w:rsidR="006A5FE9" w:rsidRDefault="006A5FE9" w:rsidP="00E646D0">
      <w:pPr>
        <w:pStyle w:val="ListParagraph"/>
        <w:spacing w:line="360" w:lineRule="auto"/>
        <w:ind w:left="360"/>
        <w:rPr>
          <w:bCs/>
        </w:rPr>
      </w:pPr>
    </w:p>
    <w:p w:rsidR="00B47680" w:rsidRPr="006A5FE9" w:rsidRDefault="00BC1F8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BC1F8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BC1F8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BC1F8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w:t>
      </w:r>
      <w:proofErr w:type="gramStart"/>
      <w:r>
        <w:rPr>
          <w:bCs/>
          <w:u w:val="single"/>
        </w:rPr>
        <w:t xml:space="preserve">Bound </w:t>
      </w:r>
      <w:proofErr w:type="gramEnd"/>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BC1F8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BC1F8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where</w:t>
      </w:r>
      <w:proofErr w:type="gramEnd"/>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if</w:t>
      </w:r>
      <w:proofErr w:type="gramEnd"/>
    </w:p>
    <w:p w:rsidR="006A5FE9" w:rsidRDefault="006A5FE9" w:rsidP="006A5FE9">
      <w:pPr>
        <w:pStyle w:val="ListParagraph"/>
        <w:spacing w:line="360" w:lineRule="auto"/>
        <w:ind w:left="360"/>
        <w:rPr>
          <w:bCs/>
        </w:rPr>
      </w:pPr>
    </w:p>
    <w:p w:rsidR="006A5FE9" w:rsidRDefault="00BC1F8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BC1F8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proofErr w:type="gramStart"/>
      <w:r w:rsidRPr="00E646D0">
        <w:rPr>
          <w:bCs/>
        </w:rPr>
        <w:t>and</w:t>
      </w:r>
      <w:proofErr w:type="gramEnd"/>
      <w:r w:rsidRPr="00E646D0">
        <w:rPr>
          <w:bCs/>
        </w:rPr>
        <w:t xml:space="preserve">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BC1F8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proofErr w:type="gramStart"/>
      <w:r w:rsidRPr="00E646D0">
        <w:rPr>
          <w:bCs/>
        </w:rPr>
        <w:t>and</w:t>
      </w:r>
      <w:proofErr w:type="gramEnd"/>
    </w:p>
    <w:p w:rsidR="00972C41" w:rsidRDefault="00972C41" w:rsidP="00204A65">
      <w:pPr>
        <w:pStyle w:val="ListParagraph"/>
        <w:spacing w:line="360" w:lineRule="auto"/>
        <w:ind w:left="360"/>
        <w:rPr>
          <w:bCs/>
        </w:rPr>
      </w:pPr>
    </w:p>
    <w:p w:rsidR="00972C41" w:rsidRDefault="00BC1F8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proofErr w:type="gramStart"/>
      <w:r w:rsidRPr="00E646D0">
        <w:rPr>
          <w:bCs/>
        </w:rPr>
        <w:t>which</w:t>
      </w:r>
      <w:proofErr w:type="gramEnd"/>
      <w:r w:rsidRPr="00E646D0">
        <w:rPr>
          <w:bCs/>
        </w:rPr>
        <w:t xml:space="preserve">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BC1F8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BC1F8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lastRenderedPageBreak/>
        <w:t>and</w:t>
      </w:r>
      <w:proofErr w:type="gramEnd"/>
    </w:p>
    <w:p w:rsidR="00972C41" w:rsidRDefault="00972C41" w:rsidP="00972C41">
      <w:pPr>
        <w:pStyle w:val="ListParagraph"/>
        <w:spacing w:line="360" w:lineRule="auto"/>
        <w:ind w:left="360"/>
        <w:rPr>
          <w:bCs/>
        </w:rPr>
      </w:pPr>
    </w:p>
    <w:p w:rsidR="00972C41" w:rsidRDefault="00BC1F8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t>and</w:t>
      </w:r>
      <w:proofErr w:type="gramEnd"/>
    </w:p>
    <w:p w:rsidR="00972C41" w:rsidRDefault="00972C41" w:rsidP="00972C41">
      <w:pPr>
        <w:pStyle w:val="ListParagraph"/>
        <w:spacing w:line="360" w:lineRule="auto"/>
        <w:ind w:left="360"/>
        <w:rPr>
          <w:bCs/>
        </w:rPr>
      </w:pPr>
    </w:p>
    <w:p w:rsidR="00972C41" w:rsidRDefault="00BC1F8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t>for</w:t>
      </w:r>
      <w:proofErr w:type="gramEnd"/>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BC1F8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BC1F8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proofErr w:type="gramStart"/>
      <w:r>
        <w:rPr>
          <w:bCs/>
        </w:rPr>
        <w:t>with</w:t>
      </w:r>
      <w:proofErr w:type="gramEnd"/>
    </w:p>
    <w:p w:rsidR="00972C41" w:rsidRDefault="00972C41" w:rsidP="00972C41">
      <w:pPr>
        <w:pStyle w:val="ListParagraph"/>
        <w:spacing w:line="360" w:lineRule="auto"/>
        <w:ind w:left="360"/>
        <w:rPr>
          <w:bCs/>
        </w:rPr>
      </w:pPr>
    </w:p>
    <w:p w:rsidR="00972C41" w:rsidRDefault="00BC1F8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proofErr w:type="gramStart"/>
      <w:r>
        <w:rPr>
          <w:bCs/>
        </w:rPr>
        <w:lastRenderedPageBreak/>
        <w:t>where</w:t>
      </w:r>
      <w:proofErr w:type="gramEnd"/>
      <w:r>
        <w:rPr>
          <w:bCs/>
        </w:rPr>
        <w:t xml:space="preserv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BC1F8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proofErr w:type="gramStart"/>
      <w:r>
        <w:rPr>
          <w:bCs/>
        </w:rPr>
        <w:t>and</w:t>
      </w:r>
      <w:proofErr w:type="gramEnd"/>
    </w:p>
    <w:p w:rsidR="00972C41" w:rsidRDefault="00972C41" w:rsidP="00972C41">
      <w:pPr>
        <w:pStyle w:val="ListParagraph"/>
        <w:spacing w:line="360" w:lineRule="auto"/>
        <w:ind w:left="360"/>
        <w:rPr>
          <w:bCs/>
        </w:rPr>
      </w:pPr>
    </w:p>
    <w:p w:rsidR="00263072" w:rsidRPr="00972C41" w:rsidRDefault="00BC1F8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proofErr w:type="gramStart"/>
      <w:r>
        <w:rPr>
          <w:bCs/>
        </w:rPr>
        <w:t>so</w:t>
      </w:r>
      <w:proofErr w:type="gramEnd"/>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BC1F8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10774F" w:rsidRDefault="00BC1F8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for</w:t>
      </w:r>
      <w:proofErr w:type="gramEnd"/>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w:t>
      </w:r>
      <w:proofErr w:type="gramStart"/>
      <w:r w:rsidR="00C97AAF">
        <w:rPr>
          <w:bCs/>
        </w:rPr>
        <w:t>is</w:t>
      </w:r>
      <w:proofErr w:type="gramEnd"/>
      <w:r w:rsidR="00C97AAF">
        <w:rPr>
          <w:bCs/>
        </w:rPr>
        <w:t xml:space="preserve">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proofErr w:type="gramStart"/>
      <w:r>
        <w:rPr>
          <w:bCs/>
        </w:rPr>
        <w:t>with</w:t>
      </w:r>
      <w:proofErr w:type="gramEnd"/>
    </w:p>
    <w:p w:rsidR="0010774F" w:rsidRDefault="0010774F" w:rsidP="0010774F">
      <w:pPr>
        <w:pStyle w:val="ListParagraph"/>
        <w:spacing w:line="360" w:lineRule="auto"/>
        <w:ind w:left="360"/>
        <w:rPr>
          <w:bCs/>
        </w:rPr>
      </w:pPr>
    </w:p>
    <w:p w:rsidR="0010774F" w:rsidRPr="0010774F" w:rsidRDefault="00BC1F8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BC1F8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proofErr w:type="gramStart"/>
      <w:r>
        <w:rPr>
          <w:bCs/>
        </w:rPr>
        <w:t>to</w:t>
      </w:r>
      <w:proofErr w:type="gramEnd"/>
      <w:r>
        <w:rPr>
          <w:bCs/>
        </w:rPr>
        <w:t xml:space="preserve"> write, using</w:t>
      </w:r>
    </w:p>
    <w:p w:rsidR="0010774F" w:rsidRDefault="0010774F" w:rsidP="0010774F">
      <w:pPr>
        <w:pStyle w:val="ListParagraph"/>
        <w:spacing w:line="360" w:lineRule="auto"/>
        <w:ind w:left="360"/>
        <w:rPr>
          <w:bCs/>
        </w:rPr>
      </w:pPr>
    </w:p>
    <w:p w:rsidR="0010774F" w:rsidRPr="0010774F" w:rsidRDefault="00BC1F8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proofErr w:type="gramStart"/>
      <w:r>
        <w:rPr>
          <w:bCs/>
        </w:rPr>
        <w:t>or</w:t>
      </w:r>
      <w:proofErr w:type="gramEnd"/>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w:t>
      </w:r>
      <w:proofErr w:type="gramStart"/>
      <w:r>
        <w:rPr>
          <w:bCs/>
          <w:u w:val="single"/>
        </w:rPr>
        <w:t xml:space="preserve">over </w:t>
      </w:r>
      <w:proofErr w:type="gramEnd"/>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w:t>
      </w:r>
      <w:proofErr w:type="gramStart"/>
      <w:r w:rsidR="00204A65">
        <w:rPr>
          <w:bCs/>
        </w:rPr>
        <w:t xml:space="preserve">on </w:t>
      </w:r>
      <w:proofErr w:type="gramEnd"/>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w:lastRenderedPageBreak/>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w:t>
      </w:r>
      <w:proofErr w:type="gramStart"/>
      <w:r w:rsidRPr="006874C9">
        <w:rPr>
          <w:bCs/>
        </w:rPr>
        <w:t xml:space="preserve">of </w:t>
      </w:r>
      <w:proofErr w:type="gramEnd"/>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BC1F8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proofErr w:type="gramStart"/>
      <w:r>
        <w:rPr>
          <w:bCs/>
        </w:rPr>
        <w:t>and</w:t>
      </w:r>
      <w:proofErr w:type="gramEnd"/>
      <w:r>
        <w:rPr>
          <w:bCs/>
        </w:rPr>
        <w:t xml:space="preserve">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proofErr w:type="gramStart"/>
      <w:r>
        <w:rPr>
          <w:bCs/>
        </w:rPr>
        <w:t>this</w:t>
      </w:r>
      <w:proofErr w:type="gramEnd"/>
      <w:r>
        <w:rPr>
          <w:bCs/>
        </w:rPr>
        <w:t xml:space="preserve"> distribution has an expectation</w:t>
      </w:r>
    </w:p>
    <w:p w:rsidR="00CE239C" w:rsidRDefault="00CE239C" w:rsidP="00CE239C">
      <w:pPr>
        <w:pStyle w:val="ListParagraph"/>
        <w:spacing w:line="360" w:lineRule="auto"/>
        <w:ind w:left="360"/>
        <w:rPr>
          <w:bCs/>
        </w:rPr>
      </w:pPr>
    </w:p>
    <w:p w:rsidR="00CE239C" w:rsidRPr="00CE239C" w:rsidRDefault="00BC1F8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proofErr w:type="gramStart"/>
      <w:r>
        <w:rPr>
          <w:bCs/>
        </w:rPr>
        <w:t>and</w:t>
      </w:r>
      <w:proofErr w:type="gramEnd"/>
      <w:r>
        <w:rPr>
          <w:bCs/>
        </w:rPr>
        <w:t xml:space="preserve"> variance</w:t>
      </w:r>
    </w:p>
    <w:p w:rsidR="00CE239C" w:rsidRDefault="00CE239C" w:rsidP="00CE239C">
      <w:pPr>
        <w:pStyle w:val="ListParagraph"/>
        <w:spacing w:line="360" w:lineRule="auto"/>
        <w:ind w:left="360"/>
        <w:rPr>
          <w:bCs/>
        </w:rPr>
      </w:pPr>
    </w:p>
    <w:p w:rsidR="006874C9" w:rsidRPr="00CE239C" w:rsidRDefault="00BC1F8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w:t>
      </w:r>
      <w:proofErr w:type="gramStart"/>
      <w:r>
        <w:rPr>
          <w:bCs/>
        </w:rPr>
        <w:t xml:space="preserve">power </w:t>
      </w:r>
      <w:proofErr w:type="gramEnd"/>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proofErr w:type="gramStart"/>
      <w:r>
        <w:rPr>
          <w:bCs/>
        </w:rPr>
        <w:t>with</w:t>
      </w:r>
      <w:proofErr w:type="gramEnd"/>
      <w:r>
        <w:rPr>
          <w:bCs/>
        </w:rPr>
        <w:t xml:space="preserve">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proofErr w:type="gramStart"/>
      <w:r>
        <w:rPr>
          <w:bCs/>
        </w:rPr>
        <w:t>that</w:t>
      </w:r>
      <w:proofErr w:type="gramEnd"/>
      <w:r>
        <w:rPr>
          <w:bCs/>
        </w:rPr>
        <w:t xml:space="preserve">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proofErr w:type="gramStart"/>
      <w:r>
        <w:rPr>
          <w:bCs/>
        </w:rPr>
        <w:t>these</w:t>
      </w:r>
      <w:proofErr w:type="gramEnd"/>
      <w:r>
        <w:rPr>
          <w:bCs/>
        </w:rPr>
        <w:t xml:space="preserv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BC1F8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proofErr w:type="gramStart"/>
      <w:r>
        <w:rPr>
          <w:bCs/>
        </w:rPr>
        <w:t>the</w:t>
      </w:r>
      <w:proofErr w:type="gramEnd"/>
      <w:r>
        <w:rPr>
          <w:bCs/>
        </w:rPr>
        <w:t xml:space="preserv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BC1F8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proofErr w:type="gramStart"/>
      <w:r>
        <w:rPr>
          <w:bCs/>
        </w:rPr>
        <w:t>the</w:t>
      </w:r>
      <w:proofErr w:type="gramEnd"/>
      <w:r>
        <w:rPr>
          <w:bCs/>
        </w:rPr>
        <w:t xml:space="preserv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BC1F8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proofErr w:type="gramStart"/>
      <w:r>
        <w:rPr>
          <w:bCs/>
        </w:rPr>
        <w:t>has</w:t>
      </w:r>
      <w:proofErr w:type="gramEnd"/>
      <w:r>
        <w:rPr>
          <w:bCs/>
        </w:rPr>
        <w:t xml:space="preserve">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proofErr w:type="gramStart"/>
      <w:r>
        <w:rPr>
          <w:bCs/>
        </w:rPr>
        <w:t>and</w:t>
      </w:r>
      <w:proofErr w:type="gramEnd"/>
    </w:p>
    <w:p w:rsidR="00CE239C" w:rsidRDefault="00CE239C" w:rsidP="00CE239C">
      <w:pPr>
        <w:pStyle w:val="ListParagraph"/>
        <w:spacing w:line="360" w:lineRule="auto"/>
        <w:ind w:left="360"/>
        <w:rPr>
          <w:bCs/>
        </w:rPr>
      </w:pPr>
    </w:p>
    <w:p w:rsidR="00CE239C" w:rsidRDefault="00BC1F8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proofErr w:type="gramStart"/>
      <w:r>
        <w:rPr>
          <w:bCs/>
        </w:rPr>
        <w:t>against</w:t>
      </w:r>
      <w:proofErr w:type="gramEnd"/>
      <w:r>
        <w:rPr>
          <w:bCs/>
        </w:rPr>
        <w:t xml:space="preserve"> the static optimal trajectory with urgency</w:t>
      </w:r>
    </w:p>
    <w:p w:rsidR="00CE239C" w:rsidRDefault="00CE239C" w:rsidP="00CE239C">
      <w:pPr>
        <w:pStyle w:val="ListParagraph"/>
        <w:spacing w:line="360" w:lineRule="auto"/>
        <w:ind w:left="360"/>
        <w:rPr>
          <w:bCs/>
        </w:rPr>
      </w:pPr>
    </w:p>
    <w:p w:rsidR="00CE239C" w:rsidRDefault="00BC1F8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w:t>
      </w:r>
      <w:proofErr w:type="gramStart"/>
      <w:r>
        <w:rPr>
          <w:bCs/>
        </w:rPr>
        <w:t xml:space="preserve">At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w:t>
      </w:r>
      <w:proofErr w:type="spellStart"/>
      <w:r>
        <w:rPr>
          <w:bCs/>
        </w:rPr>
        <w:t>ains</w:t>
      </w:r>
      <w:proofErr w:type="spellEnd"/>
      <w:r>
        <w:rPr>
          <w:bCs/>
        </w:rPr>
        <w:t xml:space="preserve">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w:t>
      </w:r>
      <w:proofErr w:type="gramStart"/>
      <w:r>
        <w:rPr>
          <w:bCs/>
        </w:rPr>
        <w:t xml:space="preserve">of </w:t>
      </w:r>
      <w:proofErr w:type="gramEnd"/>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BC1F8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w:t>
      </w:r>
      <w:proofErr w:type="spellStart"/>
      <w:r w:rsidRPr="00F31F8D">
        <w:rPr>
          <w:bCs/>
        </w:rPr>
        <w:t>ore</w:t>
      </w:r>
      <w:proofErr w:type="spellEnd"/>
      <w:r w:rsidRPr="00F31F8D">
        <w:rPr>
          <w:bCs/>
        </w:rPr>
        <w:t xml:space="preserve"> convenient to </w:t>
      </w:r>
      <w:proofErr w:type="gramStart"/>
      <w:r w:rsidRPr="00F31F8D">
        <w:rPr>
          <w:bCs/>
        </w:rPr>
        <w:t xml:space="preserve">adjust </w:t>
      </w:r>
      <w:proofErr w:type="gramEnd"/>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for</w:t>
      </w:r>
      <w:proofErr w:type="gramEnd"/>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on</w:t>
      </w:r>
      <w:proofErr w:type="gramEnd"/>
      <w:r>
        <w:rPr>
          <w:bCs/>
        </w:rPr>
        <w:t xml:space="preserve">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with</w:t>
      </w:r>
      <w:proofErr w:type="gramEnd"/>
      <w:r>
        <w:rPr>
          <w:bCs/>
        </w:rPr>
        <w:t xml:space="preserve">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the</w:t>
      </w:r>
      <w:proofErr w:type="gramEnd"/>
      <w:r>
        <w:rPr>
          <w:bCs/>
        </w:rPr>
        <w:t xml:space="preserv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at</w:t>
      </w:r>
      <w:proofErr w:type="gramEnd"/>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is</w:t>
      </w:r>
      <w:proofErr w:type="gramEnd"/>
      <w:r>
        <w:rPr>
          <w:bCs/>
        </w:rPr>
        <w:t xml:space="preserve">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w:t>
      </w:r>
      <w:proofErr w:type="gramStart"/>
      <w:r>
        <w:rPr>
          <w:bCs/>
        </w:rPr>
        <w:t xml:space="preserve">in </w:t>
      </w:r>
      <w:proofErr w:type="gramEnd"/>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proofErr w:type="gramStart"/>
      <w:r>
        <w:rPr>
          <w:bCs/>
        </w:rPr>
        <w:t>one</w:t>
      </w:r>
      <w:proofErr w:type="gramEnd"/>
      <w:r>
        <w:rPr>
          <w:bCs/>
        </w:rPr>
        <w:t xml:space="preserv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w:t>
      </w:r>
      <w:proofErr w:type="gramStart"/>
      <w:r>
        <w:rPr>
          <w:bCs/>
        </w:rPr>
        <w:t xml:space="preserve">of </w:t>
      </w:r>
      <w:proofErr w:type="gramEnd"/>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w:t>
      </w:r>
      <w:proofErr w:type="gramStart"/>
      <w:r>
        <w:rPr>
          <w:bCs/>
        </w:rPr>
        <w:t xml:space="preserve">and </w:t>
      </w:r>
      <w:proofErr w:type="gramEnd"/>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proofErr w:type="gramStart"/>
      <w:r>
        <w:rPr>
          <w:bCs/>
        </w:rPr>
        <w:t>the</w:t>
      </w:r>
      <w:proofErr w:type="gramEnd"/>
      <w:r>
        <w:rPr>
          <w:bCs/>
        </w:rPr>
        <w:t xml:space="preserv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BC1F8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with</w:t>
      </w:r>
      <w:proofErr w:type="gramEnd"/>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and</w:t>
      </w:r>
      <w:proofErr w:type="gramEnd"/>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for</w:t>
      </w:r>
      <w:proofErr w:type="gramEnd"/>
      <w:r>
        <w:rPr>
          <w:bCs/>
        </w:rPr>
        <w:t xml:space="preserve"> a static urgency</w:t>
      </w:r>
    </w:p>
    <w:p w:rsidR="00DF068F" w:rsidRDefault="00DF068F" w:rsidP="00DF068F">
      <w:pPr>
        <w:pStyle w:val="ListParagraph"/>
        <w:spacing w:line="360" w:lineRule="auto"/>
        <w:ind w:left="360"/>
        <w:rPr>
          <w:bCs/>
        </w:rPr>
      </w:pPr>
    </w:p>
    <w:p w:rsidR="00DF068F" w:rsidRDefault="00BC1F8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lastRenderedPageBreak/>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w:t>
      </w:r>
      <w:proofErr w:type="gramStart"/>
      <w:r w:rsidRPr="00DF068F">
        <w:rPr>
          <w:bCs/>
        </w:rPr>
        <w:t xml:space="preserve">parameter </w:t>
      </w:r>
      <w:proofErr w:type="gramEnd"/>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w:t>
      </w:r>
      <w:proofErr w:type="gramStart"/>
      <w:r>
        <w:rPr>
          <w:bCs/>
        </w:rPr>
        <w:t>Long</w:t>
      </w:r>
      <w:proofErr w:type="gramEnd"/>
      <w:r>
        <w:rPr>
          <w:bCs/>
        </w:rPr>
        <w:t xml:space="preserve">: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w:t>
      </w:r>
      <w:proofErr w:type="spellStart"/>
      <w:r>
        <w:rPr>
          <w:bCs/>
        </w:rPr>
        <w:t>lly</w:t>
      </w:r>
      <w:proofErr w:type="spellEnd"/>
      <w:r>
        <w:rPr>
          <w:bCs/>
        </w:rPr>
        <w:t>.</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BC1F8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w:t>
      </w:r>
      <w:proofErr w:type="spellStart"/>
      <w:r>
        <w:rPr>
          <w:bCs/>
        </w:rPr>
        <w:t>fficient</w:t>
      </w:r>
      <w:proofErr w:type="spellEnd"/>
      <w:r>
        <w:rPr>
          <w:bCs/>
        </w:rPr>
        <w:t xml:space="preserve">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BC1F8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BC1F8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BC1F8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w:t>
      </w:r>
      <w:proofErr w:type="spellStart"/>
      <w:r>
        <w:rPr>
          <w:bCs/>
        </w:rPr>
        <w:t>ameters</w:t>
      </w:r>
      <w:proofErr w:type="spellEnd"/>
      <w:r>
        <w:rPr>
          <w:bCs/>
        </w:rPr>
        <w:t xml:space="preserve">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BC1F8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BC1F8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BC1F8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BC1F8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BC1F8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BC1F8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proofErr w:type="gramStart"/>
      <w:r>
        <w:rPr>
          <w:bCs/>
        </w:rPr>
        <w:t>the</w:t>
      </w:r>
      <w:proofErr w:type="gramEnd"/>
      <w:r>
        <w:rPr>
          <w:bCs/>
        </w:rPr>
        <w:t xml:space="preserv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proofErr w:type="gramStart"/>
      <w:r>
        <w:t>and</w:t>
      </w:r>
      <w:proofErr w:type="gramEnd"/>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proofErr w:type="gramStart"/>
      <w:r>
        <w:t>where</w:t>
      </w:r>
      <w:proofErr w:type="gramEnd"/>
      <w:r>
        <w:t xml:space="preserv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BC1F8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proofErr w:type="gramStart"/>
      <w:r>
        <w:rPr>
          <w:bCs/>
        </w:rPr>
        <w:t>and</w:t>
      </w:r>
      <w:proofErr w:type="gramEnd"/>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proofErr w:type="gramStart"/>
      <w:r>
        <w:rPr>
          <w:bCs/>
        </w:rPr>
        <w:t>for</w:t>
      </w:r>
      <w:proofErr w:type="gramEnd"/>
      <w:r>
        <w:rPr>
          <w:bCs/>
        </w:rPr>
        <w:t xml:space="preserve">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with</w:t>
      </w:r>
      <w:proofErr w:type="gramEnd"/>
      <w:r>
        <w:t xml:space="preserve">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proofErr w:type="gramStart"/>
      <w:r>
        <w:rPr>
          <w:bCs/>
        </w:rPr>
        <w:t>as</w:t>
      </w:r>
      <w:proofErr w:type="gramEnd"/>
      <w:r>
        <w:rPr>
          <w:bCs/>
        </w:rPr>
        <w:t xml:space="preserve">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giving</w:t>
      </w:r>
      <w:proofErr w:type="gramEnd"/>
      <w:r>
        <w:t xml:space="preserve">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proofErr w:type="gramStart"/>
      <w:r>
        <w:t>and</w:t>
      </w:r>
      <w:proofErr w:type="gramEnd"/>
      <w:r>
        <w:t xml:space="preserve">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proofErr w:type="gramStart"/>
      <w:r>
        <w:t>the</w:t>
      </w:r>
      <w:proofErr w:type="gramEnd"/>
      <w:r>
        <w:t xml:space="preserv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and</w:t>
      </w:r>
      <w:proofErr w:type="gramEnd"/>
      <w:r>
        <w:rPr>
          <w:bCs/>
        </w:rPr>
        <w:t xml:space="preserve">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with</w:t>
      </w:r>
      <w:proofErr w:type="gramEnd"/>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proofErr w:type="gramStart"/>
      <w:r>
        <w:rPr>
          <w:bCs/>
        </w:rPr>
        <w:t>one</w:t>
      </w:r>
      <w:proofErr w:type="gramEnd"/>
      <w:r>
        <w:rPr>
          <w:bCs/>
        </w:rPr>
        <w:t xml:space="preserv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proofErr w:type="gramStart"/>
      <w:r>
        <w:t>and</w:t>
      </w:r>
      <w:proofErr w:type="gramEnd"/>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proofErr w:type="gramStart"/>
      <w:r>
        <w:rPr>
          <w:bCs/>
        </w:rPr>
        <w:t>and</w:t>
      </w:r>
      <w:proofErr w:type="gramEnd"/>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w:t>
      </w:r>
      <w:proofErr w:type="gramStart"/>
      <w:r>
        <w:rPr>
          <w:bCs/>
          <w:u w:val="single"/>
        </w:rPr>
        <w:t xml:space="preserve">on </w:t>
      </w:r>
      <w:proofErr w:type="gramEnd"/>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w:t>
      </w:r>
      <w:proofErr w:type="gramStart"/>
      <w:r w:rsidR="008F5538">
        <w:rPr>
          <w:bCs/>
        </w:rPr>
        <w:t xml:space="preserve">factor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the</w:t>
      </w:r>
      <w:proofErr w:type="gramEnd"/>
      <w:r>
        <w:t xml:space="preserv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becomes</w:t>
      </w:r>
      <w:proofErr w:type="gramEnd"/>
    </w:p>
    <w:p w:rsidR="009D71C8" w:rsidRDefault="009D71C8" w:rsidP="009D71C8">
      <w:pPr>
        <w:pStyle w:val="ListParagraph"/>
        <w:spacing w:line="360" w:lineRule="auto"/>
        <w:ind w:left="360"/>
      </w:pPr>
    </w:p>
    <w:p w:rsidR="009D71C8" w:rsidRDefault="00BC1F8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proofErr w:type="gramStart"/>
      <w:r>
        <w:t>in</w:t>
      </w:r>
      <w:proofErr w:type="gramEnd"/>
      <w:r>
        <w:t xml:space="preserve">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proofErr w:type="gramStart"/>
      <w:r>
        <w:rPr>
          <w:bCs/>
        </w:rPr>
        <w:t>the</w:t>
      </w:r>
      <w:proofErr w:type="gramEnd"/>
      <w:r>
        <w:rPr>
          <w:bCs/>
        </w:rPr>
        <w:t xml:space="preserv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the</w:t>
      </w:r>
      <w:proofErr w:type="gramEnd"/>
      <w:r>
        <w:rPr>
          <w:bCs/>
        </w:rPr>
        <w:t xml:space="preserv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as</w:t>
      </w:r>
      <w:proofErr w:type="gramEnd"/>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when</w:t>
      </w:r>
      <w:proofErr w:type="gramEnd"/>
      <w:r>
        <w:rPr>
          <w:bCs/>
        </w:rPr>
        <w:t xml:space="preserve">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for</w:t>
      </w:r>
      <w:proofErr w:type="gramEnd"/>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sidRPr="00292A66">
        <w:rPr>
          <w:bCs/>
        </w:rPr>
        <w:t>when</w:t>
      </w:r>
      <w:proofErr w:type="gramEnd"/>
      <w:r w:rsidRPr="00292A66">
        <w:rPr>
          <w:bCs/>
        </w:rPr>
        <w:t xml:space="preserve">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Pr>
          <w:bCs/>
        </w:rPr>
        <w:t>since</w:t>
      </w:r>
      <w:proofErr w:type="gramEnd"/>
      <w:r>
        <w:rPr>
          <w:bCs/>
        </w:rPr>
        <w:t xml:space="preserv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BC1F8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proofErr w:type="gramStart"/>
      <w:r>
        <w:rPr>
          <w:bCs/>
        </w:rPr>
        <w:t>the</w:t>
      </w:r>
      <w:proofErr w:type="gramEnd"/>
      <w:r>
        <w:rPr>
          <w:bCs/>
        </w:rPr>
        <w:t xml:space="preserve"> PDE</w:t>
      </w:r>
    </w:p>
    <w:p w:rsidR="00C21B1E" w:rsidRDefault="00C21B1E" w:rsidP="00C21B1E">
      <w:pPr>
        <w:pStyle w:val="ListParagraph"/>
        <w:spacing w:line="360" w:lineRule="auto"/>
        <w:ind w:left="360"/>
        <w:rPr>
          <w:bCs/>
        </w:rPr>
      </w:pPr>
    </w:p>
    <w:p w:rsidR="00C21B1E" w:rsidRDefault="00BC1F8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reduces</w:t>
      </w:r>
      <w:proofErr w:type="gramEnd"/>
      <w:r>
        <w:t xml:space="preserve"> to the ODE</w:t>
      </w:r>
    </w:p>
    <w:p w:rsidR="00C21B1E" w:rsidRDefault="00C21B1E" w:rsidP="00C21B1E">
      <w:pPr>
        <w:pStyle w:val="ListParagraph"/>
        <w:spacing w:line="360" w:lineRule="auto"/>
        <w:ind w:left="360"/>
      </w:pPr>
    </w:p>
    <w:p w:rsidR="00C21B1E" w:rsidRDefault="00BC1F8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with</w:t>
      </w:r>
      <w:proofErr w:type="gramEnd"/>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as</w:t>
      </w:r>
      <w:proofErr w:type="gramEnd"/>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whose</w:t>
      </w:r>
      <w:proofErr w:type="gramEnd"/>
      <w:r>
        <w:t xml:space="preserv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proofErr w:type="gramStart"/>
      <w:r>
        <w:rPr>
          <w:bCs/>
        </w:rPr>
        <w:t>using</w:t>
      </w:r>
      <w:proofErr w:type="gramEnd"/>
      <w:r>
        <w:rPr>
          <w:bCs/>
        </w:rPr>
        <w:t xml:space="preserve">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or</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lastRenderedPageBreak/>
        <w:t>as</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in</w:t>
      </w:r>
      <w:proofErr w:type="gramEnd"/>
      <w:r w:rsidRPr="00C21B1E">
        <w:rPr>
          <w:bCs/>
        </w:rPr>
        <w:t xml:space="preserve">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proofErr w:type="gramStart"/>
      <w:r w:rsidRPr="00C21B1E">
        <w:rPr>
          <w:bCs/>
        </w:rPr>
        <w:t>is</w:t>
      </w:r>
      <w:proofErr w:type="gramEnd"/>
      <w:r w:rsidRPr="00C21B1E">
        <w:rPr>
          <w:bCs/>
        </w:rPr>
        <w:t xml:space="preserve">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proofErr w:type="gramStart"/>
      <w:r>
        <w:rPr>
          <w:bCs/>
        </w:rPr>
        <w:t>for</w:t>
      </w:r>
      <w:proofErr w:type="gramEnd"/>
      <w:r>
        <w:rPr>
          <w:bCs/>
        </w:rPr>
        <w:t xml:space="preserve">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BC1F8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or</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w:t>
      </w:r>
      <w:proofErr w:type="gramStart"/>
      <w:r>
        <w:rPr>
          <w:bCs/>
        </w:rPr>
        <w:t>a</w:t>
      </w:r>
      <w:proofErr w:type="gramEnd"/>
      <w:r>
        <w:rPr>
          <w:bCs/>
        </w:rPr>
        <w:t xml:space="preserve">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BC1F8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proofErr w:type="gramStart"/>
      <w:r>
        <w:rPr>
          <w:bCs/>
        </w:rPr>
        <w:t>exists</w:t>
      </w:r>
      <w:proofErr w:type="gramEnd"/>
      <w:r>
        <w:rPr>
          <w:bCs/>
        </w:rPr>
        <w:t>,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BC1F8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proofErr w:type="gramStart"/>
      <w:r>
        <w:t>is</w:t>
      </w:r>
      <w:proofErr w:type="gramEnd"/>
      <w:r>
        <w:t xml:space="preserve">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w:t>
      </w:r>
      <w:proofErr w:type="gramStart"/>
      <w:r>
        <w:rPr>
          <w:bCs/>
        </w:rPr>
        <w:t>for</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satisfies</w:t>
      </w:r>
      <w:proofErr w:type="gramEnd"/>
      <w:r>
        <w:rPr>
          <w:bCs/>
        </w:rPr>
        <w:t xml:space="preserve"> the PDE</w:t>
      </w:r>
    </w:p>
    <w:p w:rsidR="007D2FFA" w:rsidRDefault="007D2FFA" w:rsidP="007D2FFA">
      <w:pPr>
        <w:pStyle w:val="ListParagraph"/>
        <w:spacing w:line="360" w:lineRule="auto"/>
        <w:ind w:left="360"/>
        <w:rPr>
          <w:bCs/>
        </w:rPr>
      </w:pPr>
    </w:p>
    <w:p w:rsidR="007D2FFA" w:rsidRDefault="00BC1F8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BC1F8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proofErr w:type="gramStart"/>
      <w:r>
        <w:rPr>
          <w:bCs/>
        </w:rPr>
        <w:t>for</w:t>
      </w:r>
      <w:proofErr w:type="gramEnd"/>
      <w:r>
        <w:rPr>
          <w:bCs/>
        </w:rPr>
        <w:t xml:space="preserve">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BC1F8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proofErr w:type="gramStart"/>
      <w:r>
        <w:rPr>
          <w:bCs/>
        </w:rPr>
        <w:t>and</w:t>
      </w:r>
      <w:proofErr w:type="gramEnd"/>
      <w:r>
        <w:rPr>
          <w:bCs/>
        </w:rPr>
        <w:t xml:space="preserve">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w:t>
      </w:r>
      <w:proofErr w:type="spellStart"/>
      <w:r w:rsidR="00D35AA4">
        <w:rPr>
          <w:bCs/>
        </w:rPr>
        <w:t>acles</w:t>
      </w:r>
      <w:proofErr w:type="spellEnd"/>
      <w:r w:rsidR="00D35AA4">
        <w:rPr>
          <w:bCs/>
        </w:rPr>
        <w:t>.</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proofErr w:type="gramStart"/>
      <w:r>
        <w:rPr>
          <w:bCs/>
        </w:rPr>
        <w:t>readily</w:t>
      </w:r>
      <w:proofErr w:type="gramEnd"/>
      <w:r>
        <w:rPr>
          <w:bCs/>
        </w:rPr>
        <w:t xml:space="preserve"> determines</w:t>
      </w:r>
    </w:p>
    <w:p w:rsidR="00945889" w:rsidRDefault="00945889" w:rsidP="00945889">
      <w:pPr>
        <w:pStyle w:val="ListParagraph"/>
        <w:spacing w:line="360" w:lineRule="auto"/>
        <w:ind w:left="360"/>
        <w:rPr>
          <w:bCs/>
        </w:rPr>
      </w:pPr>
    </w:p>
    <w:p w:rsidR="00945889" w:rsidRPr="00945889" w:rsidRDefault="00BC1F8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BC1F8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w:t>
      </w:r>
      <w:proofErr w:type="gramStart"/>
      <w:r>
        <w:rPr>
          <w:bCs/>
          <w:u w:val="single"/>
        </w:rPr>
        <w:t xml:space="preserve">for </w:t>
      </w:r>
      <w:proofErr w:type="gramEnd"/>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as</w:t>
      </w:r>
      <w:proofErr w:type="gramEnd"/>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BC1F8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BC1F8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BC1F8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BC1F8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BC1F8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BC1F8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BC1F8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BC1F8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BC1F8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BC1F8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BC1F8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BC1F8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BC1F8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BC1F8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BC1F8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BC1F8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BC1F8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BC1F8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BC1F8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BC1F8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BC1F8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BC1F8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p>
    <w:p w:rsidR="008C4221" w:rsidRDefault="008C4221" w:rsidP="008C4221">
      <w:pPr>
        <w:pStyle w:val="ListParagraph"/>
        <w:spacing w:line="360" w:lineRule="auto"/>
        <w:ind w:left="360"/>
        <w:rPr>
          <w:bCs/>
        </w:rPr>
      </w:pPr>
    </w:p>
    <w:p w:rsidR="00303C9C" w:rsidRPr="008C4221" w:rsidRDefault="00BC1F8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BC1F8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BC1F8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BC1F8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BC1F8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BC1F8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BC1F8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BC1F8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BC1F8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BC1F8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BC1F8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BC1F8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BC1F8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BC1F8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BC1F8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BC1F8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BC1F8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BC1F8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BC1F8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BC1F8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BC1F8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w:t>
      </w:r>
      <w:proofErr w:type="spellStart"/>
      <w:r>
        <w:rPr>
          <w:bCs/>
        </w:rPr>
        <w:t>ve</w:t>
      </w:r>
      <w:proofErr w:type="spellEnd"/>
      <w:r>
        <w:rPr>
          <w:bCs/>
        </w:rPr>
        <w:t>,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BC1F8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proofErr w:type="gramStart"/>
      <w:r>
        <w:t>there</w:t>
      </w:r>
      <w:proofErr w:type="gramEnd"/>
      <w:r>
        <w:t xml:space="preserv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9939231"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9939232"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9939233"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9939234"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8.5pt;height:21.75pt" o:ole="">
            <v:imagedata r:id="rId17" o:title=""/>
          </v:shape>
          <o:OLEObject Type="Embed" ProgID="Equation.3" ShapeID="_x0000_i1029" DrawAspect="Content" ObjectID="_1539939235"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9939236"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1.75pt;height:21.75pt" o:ole="">
            <v:imagedata r:id="rId21" o:title=""/>
          </v:shape>
          <o:OLEObject Type="Embed" ProgID="Equation.3" ShapeID="_x0000_i1031" DrawAspect="Content" ObjectID="_1539939237"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9939238"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8.5pt;height:21.75pt" o:ole="">
            <v:imagedata r:id="rId25" o:title=""/>
          </v:shape>
          <o:OLEObject Type="Embed" ProgID="Equation.3" ShapeID="_x0000_i1033" DrawAspect="Content" ObjectID="_1539939239"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8.5pt" o:ole="">
            <v:imagedata r:id="rId27" o:title=""/>
          </v:shape>
          <o:OLEObject Type="Embed" ProgID="Equation.3" ShapeID="_x0000_i1034" DrawAspect="Content" ObjectID="_1539939240"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8.5pt" o:ole="">
            <v:imagedata r:id="rId29" o:title=""/>
          </v:shape>
          <o:OLEObject Type="Embed" ProgID="Equation.3" ShapeID="_x0000_i1035" DrawAspect="Content" ObjectID="_1539939241"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9939242"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9939243"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9939244"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11F" w:rsidRDefault="00C9311F">
      <w:r>
        <w:separator/>
      </w:r>
    </w:p>
  </w:endnote>
  <w:endnote w:type="continuationSeparator" w:id="0">
    <w:p w:rsidR="00C9311F" w:rsidRDefault="00C9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F80" w:rsidRDefault="00BC1F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1F80" w:rsidRDefault="00BC1F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F80" w:rsidRDefault="00BC1F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0090">
      <w:rPr>
        <w:rStyle w:val="PageNumber"/>
        <w:noProof/>
      </w:rPr>
      <w:t>190</w:t>
    </w:r>
    <w:r>
      <w:rPr>
        <w:rStyle w:val="PageNumber"/>
      </w:rPr>
      <w:fldChar w:fldCharType="end"/>
    </w:r>
  </w:p>
  <w:p w:rsidR="00BC1F80" w:rsidRDefault="00BC1F8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11F" w:rsidRDefault="00C9311F">
      <w:r>
        <w:separator/>
      </w:r>
    </w:p>
  </w:footnote>
  <w:footnote w:type="continuationSeparator" w:id="0">
    <w:p w:rsidR="00C9311F" w:rsidRDefault="00C93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9"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77"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7"/>
  </w:num>
  <w:num w:numId="2">
    <w:abstractNumId w:val="106"/>
  </w:num>
  <w:num w:numId="3">
    <w:abstractNumId w:val="48"/>
  </w:num>
  <w:num w:numId="4">
    <w:abstractNumId w:val="98"/>
  </w:num>
  <w:num w:numId="5">
    <w:abstractNumId w:val="8"/>
  </w:num>
  <w:num w:numId="6">
    <w:abstractNumId w:val="79"/>
  </w:num>
  <w:num w:numId="7">
    <w:abstractNumId w:val="91"/>
  </w:num>
  <w:num w:numId="8">
    <w:abstractNumId w:val="21"/>
  </w:num>
  <w:num w:numId="9">
    <w:abstractNumId w:val="83"/>
  </w:num>
  <w:num w:numId="10">
    <w:abstractNumId w:val="47"/>
  </w:num>
  <w:num w:numId="11">
    <w:abstractNumId w:val="18"/>
  </w:num>
  <w:num w:numId="12">
    <w:abstractNumId w:val="76"/>
  </w:num>
  <w:num w:numId="13">
    <w:abstractNumId w:val="62"/>
  </w:num>
  <w:num w:numId="14">
    <w:abstractNumId w:val="19"/>
  </w:num>
  <w:num w:numId="15">
    <w:abstractNumId w:val="74"/>
  </w:num>
  <w:num w:numId="16">
    <w:abstractNumId w:val="57"/>
  </w:num>
  <w:num w:numId="17">
    <w:abstractNumId w:val="102"/>
  </w:num>
  <w:num w:numId="18">
    <w:abstractNumId w:val="109"/>
  </w:num>
  <w:num w:numId="19">
    <w:abstractNumId w:val="58"/>
  </w:num>
  <w:num w:numId="20">
    <w:abstractNumId w:val="26"/>
  </w:num>
  <w:num w:numId="21">
    <w:abstractNumId w:val="38"/>
  </w:num>
  <w:num w:numId="22">
    <w:abstractNumId w:val="5"/>
  </w:num>
  <w:num w:numId="23">
    <w:abstractNumId w:val="33"/>
  </w:num>
  <w:num w:numId="24">
    <w:abstractNumId w:val="77"/>
  </w:num>
  <w:num w:numId="25">
    <w:abstractNumId w:val="87"/>
  </w:num>
  <w:num w:numId="26">
    <w:abstractNumId w:val="85"/>
  </w:num>
  <w:num w:numId="27">
    <w:abstractNumId w:val="86"/>
  </w:num>
  <w:num w:numId="28">
    <w:abstractNumId w:val="93"/>
  </w:num>
  <w:num w:numId="29">
    <w:abstractNumId w:val="34"/>
  </w:num>
  <w:num w:numId="30">
    <w:abstractNumId w:val="9"/>
  </w:num>
  <w:num w:numId="31">
    <w:abstractNumId w:val="75"/>
  </w:num>
  <w:num w:numId="32">
    <w:abstractNumId w:val="110"/>
  </w:num>
  <w:num w:numId="33">
    <w:abstractNumId w:val="23"/>
  </w:num>
  <w:num w:numId="34">
    <w:abstractNumId w:val="54"/>
  </w:num>
  <w:num w:numId="35">
    <w:abstractNumId w:val="81"/>
  </w:num>
  <w:num w:numId="36">
    <w:abstractNumId w:val="12"/>
  </w:num>
  <w:num w:numId="37">
    <w:abstractNumId w:val="35"/>
  </w:num>
  <w:num w:numId="38">
    <w:abstractNumId w:val="24"/>
  </w:num>
  <w:num w:numId="39">
    <w:abstractNumId w:val="17"/>
  </w:num>
  <w:num w:numId="40">
    <w:abstractNumId w:val="16"/>
  </w:num>
  <w:num w:numId="41">
    <w:abstractNumId w:val="111"/>
  </w:num>
  <w:num w:numId="42">
    <w:abstractNumId w:val="112"/>
  </w:num>
  <w:num w:numId="43">
    <w:abstractNumId w:val="20"/>
  </w:num>
  <w:num w:numId="44">
    <w:abstractNumId w:val="22"/>
  </w:num>
  <w:num w:numId="45">
    <w:abstractNumId w:val="11"/>
  </w:num>
  <w:num w:numId="46">
    <w:abstractNumId w:val="52"/>
  </w:num>
  <w:num w:numId="47">
    <w:abstractNumId w:val="69"/>
  </w:num>
  <w:num w:numId="48">
    <w:abstractNumId w:val="41"/>
  </w:num>
  <w:num w:numId="49">
    <w:abstractNumId w:val="73"/>
  </w:num>
  <w:num w:numId="50">
    <w:abstractNumId w:val="46"/>
  </w:num>
  <w:num w:numId="51">
    <w:abstractNumId w:val="71"/>
  </w:num>
  <w:num w:numId="52">
    <w:abstractNumId w:val="42"/>
  </w:num>
  <w:num w:numId="53">
    <w:abstractNumId w:val="44"/>
  </w:num>
  <w:num w:numId="54">
    <w:abstractNumId w:val="13"/>
  </w:num>
  <w:num w:numId="55">
    <w:abstractNumId w:val="0"/>
  </w:num>
  <w:num w:numId="56">
    <w:abstractNumId w:val="100"/>
  </w:num>
  <w:num w:numId="57">
    <w:abstractNumId w:val="7"/>
  </w:num>
  <w:num w:numId="58">
    <w:abstractNumId w:val="27"/>
  </w:num>
  <w:num w:numId="59">
    <w:abstractNumId w:val="1"/>
  </w:num>
  <w:num w:numId="60">
    <w:abstractNumId w:val="51"/>
  </w:num>
  <w:num w:numId="61">
    <w:abstractNumId w:val="105"/>
  </w:num>
  <w:num w:numId="62">
    <w:abstractNumId w:val="68"/>
  </w:num>
  <w:num w:numId="63">
    <w:abstractNumId w:val="72"/>
  </w:num>
  <w:num w:numId="64">
    <w:abstractNumId w:val="56"/>
  </w:num>
  <w:num w:numId="65">
    <w:abstractNumId w:val="45"/>
  </w:num>
  <w:num w:numId="66">
    <w:abstractNumId w:val="28"/>
  </w:num>
  <w:num w:numId="67">
    <w:abstractNumId w:val="108"/>
  </w:num>
  <w:num w:numId="68">
    <w:abstractNumId w:val="103"/>
  </w:num>
  <w:num w:numId="69">
    <w:abstractNumId w:val="96"/>
  </w:num>
  <w:num w:numId="70">
    <w:abstractNumId w:val="39"/>
  </w:num>
  <w:num w:numId="71">
    <w:abstractNumId w:val="15"/>
  </w:num>
  <w:num w:numId="72">
    <w:abstractNumId w:val="70"/>
  </w:num>
  <w:num w:numId="73">
    <w:abstractNumId w:val="29"/>
  </w:num>
  <w:num w:numId="74">
    <w:abstractNumId w:val="49"/>
  </w:num>
  <w:num w:numId="75">
    <w:abstractNumId w:val="104"/>
  </w:num>
  <w:num w:numId="76">
    <w:abstractNumId w:val="30"/>
  </w:num>
  <w:num w:numId="77">
    <w:abstractNumId w:val="82"/>
  </w:num>
  <w:num w:numId="78">
    <w:abstractNumId w:val="31"/>
  </w:num>
  <w:num w:numId="79">
    <w:abstractNumId w:val="6"/>
  </w:num>
  <w:num w:numId="80">
    <w:abstractNumId w:val="66"/>
  </w:num>
  <w:num w:numId="81">
    <w:abstractNumId w:val="101"/>
  </w:num>
  <w:num w:numId="82">
    <w:abstractNumId w:val="25"/>
  </w:num>
  <w:num w:numId="83">
    <w:abstractNumId w:val="78"/>
  </w:num>
  <w:num w:numId="84">
    <w:abstractNumId w:val="63"/>
  </w:num>
  <w:num w:numId="85">
    <w:abstractNumId w:val="40"/>
  </w:num>
  <w:num w:numId="86">
    <w:abstractNumId w:val="53"/>
  </w:num>
  <w:num w:numId="87">
    <w:abstractNumId w:val="14"/>
  </w:num>
  <w:num w:numId="88">
    <w:abstractNumId w:val="59"/>
  </w:num>
  <w:num w:numId="89">
    <w:abstractNumId w:val="95"/>
  </w:num>
  <w:num w:numId="90">
    <w:abstractNumId w:val="65"/>
  </w:num>
  <w:num w:numId="91">
    <w:abstractNumId w:val="37"/>
  </w:num>
  <w:num w:numId="92">
    <w:abstractNumId w:val="55"/>
  </w:num>
  <w:num w:numId="93">
    <w:abstractNumId w:val="3"/>
  </w:num>
  <w:num w:numId="94">
    <w:abstractNumId w:val="88"/>
  </w:num>
  <w:num w:numId="95">
    <w:abstractNumId w:val="92"/>
  </w:num>
  <w:num w:numId="96">
    <w:abstractNumId w:val="80"/>
  </w:num>
  <w:num w:numId="97">
    <w:abstractNumId w:val="97"/>
  </w:num>
  <w:num w:numId="98">
    <w:abstractNumId w:val="2"/>
  </w:num>
  <w:num w:numId="99">
    <w:abstractNumId w:val="90"/>
  </w:num>
  <w:num w:numId="100">
    <w:abstractNumId w:val="10"/>
  </w:num>
  <w:num w:numId="101">
    <w:abstractNumId w:val="61"/>
  </w:num>
  <w:num w:numId="102">
    <w:abstractNumId w:val="99"/>
  </w:num>
  <w:num w:numId="103">
    <w:abstractNumId w:val="36"/>
  </w:num>
  <w:num w:numId="104">
    <w:abstractNumId w:val="64"/>
  </w:num>
  <w:num w:numId="105">
    <w:abstractNumId w:val="84"/>
  </w:num>
  <w:num w:numId="106">
    <w:abstractNumId w:val="89"/>
  </w:num>
  <w:num w:numId="107">
    <w:abstractNumId w:val="32"/>
  </w:num>
  <w:num w:numId="108">
    <w:abstractNumId w:val="67"/>
  </w:num>
  <w:num w:numId="109">
    <w:abstractNumId w:val="60"/>
  </w:num>
  <w:num w:numId="110">
    <w:abstractNumId w:val="50"/>
  </w:num>
  <w:num w:numId="111">
    <w:abstractNumId w:val="43"/>
  </w:num>
  <w:num w:numId="112">
    <w:abstractNumId w:val="4"/>
  </w:num>
  <w:num w:numId="113">
    <w:abstractNumId w:val="9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1CE2"/>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5E40"/>
    <w:rsid w:val="00106E70"/>
    <w:rsid w:val="0010774F"/>
    <w:rsid w:val="00110DA5"/>
    <w:rsid w:val="00112683"/>
    <w:rsid w:val="001166A0"/>
    <w:rsid w:val="00130874"/>
    <w:rsid w:val="001500D1"/>
    <w:rsid w:val="0015051C"/>
    <w:rsid w:val="00153398"/>
    <w:rsid w:val="001539E9"/>
    <w:rsid w:val="00153C91"/>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E19C0"/>
    <w:rsid w:val="001E65FF"/>
    <w:rsid w:val="001E6A18"/>
    <w:rsid w:val="001F3085"/>
    <w:rsid w:val="0020100C"/>
    <w:rsid w:val="00204A65"/>
    <w:rsid w:val="002056BD"/>
    <w:rsid w:val="00206050"/>
    <w:rsid w:val="00207630"/>
    <w:rsid w:val="00213236"/>
    <w:rsid w:val="00214113"/>
    <w:rsid w:val="00222669"/>
    <w:rsid w:val="002233AA"/>
    <w:rsid w:val="002235D0"/>
    <w:rsid w:val="00224F7D"/>
    <w:rsid w:val="00230ACF"/>
    <w:rsid w:val="00237A27"/>
    <w:rsid w:val="002400B9"/>
    <w:rsid w:val="002445EE"/>
    <w:rsid w:val="00244C76"/>
    <w:rsid w:val="002542A2"/>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A5"/>
    <w:rsid w:val="002D3BF7"/>
    <w:rsid w:val="002D7C96"/>
    <w:rsid w:val="002E0F93"/>
    <w:rsid w:val="002E4944"/>
    <w:rsid w:val="002F08A8"/>
    <w:rsid w:val="002F19C2"/>
    <w:rsid w:val="002F2C99"/>
    <w:rsid w:val="002F3086"/>
    <w:rsid w:val="002F4C83"/>
    <w:rsid w:val="002F7651"/>
    <w:rsid w:val="00303C9C"/>
    <w:rsid w:val="00305966"/>
    <w:rsid w:val="003263DB"/>
    <w:rsid w:val="00326CCF"/>
    <w:rsid w:val="003447BC"/>
    <w:rsid w:val="00346509"/>
    <w:rsid w:val="003512BD"/>
    <w:rsid w:val="00352A59"/>
    <w:rsid w:val="003538F9"/>
    <w:rsid w:val="0035542B"/>
    <w:rsid w:val="00360C4F"/>
    <w:rsid w:val="00367B8B"/>
    <w:rsid w:val="00371C05"/>
    <w:rsid w:val="0037493C"/>
    <w:rsid w:val="0038107A"/>
    <w:rsid w:val="00383E25"/>
    <w:rsid w:val="00384990"/>
    <w:rsid w:val="0039350B"/>
    <w:rsid w:val="003936B8"/>
    <w:rsid w:val="00394E82"/>
    <w:rsid w:val="00395DAB"/>
    <w:rsid w:val="003A26E8"/>
    <w:rsid w:val="003A64F2"/>
    <w:rsid w:val="003A7CC2"/>
    <w:rsid w:val="003B1431"/>
    <w:rsid w:val="003B2CB0"/>
    <w:rsid w:val="003C49DC"/>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148F"/>
    <w:rsid w:val="00436C37"/>
    <w:rsid w:val="00444AAC"/>
    <w:rsid w:val="00452A0C"/>
    <w:rsid w:val="00453A30"/>
    <w:rsid w:val="0045745B"/>
    <w:rsid w:val="00462B42"/>
    <w:rsid w:val="00467ED8"/>
    <w:rsid w:val="00480759"/>
    <w:rsid w:val="00485EE8"/>
    <w:rsid w:val="00490E54"/>
    <w:rsid w:val="004A2C30"/>
    <w:rsid w:val="004A4E2B"/>
    <w:rsid w:val="004B0340"/>
    <w:rsid w:val="004B5048"/>
    <w:rsid w:val="004B63F7"/>
    <w:rsid w:val="004B67D3"/>
    <w:rsid w:val="004D1F94"/>
    <w:rsid w:val="004D2048"/>
    <w:rsid w:val="004D33C5"/>
    <w:rsid w:val="004E5415"/>
    <w:rsid w:val="004E5D35"/>
    <w:rsid w:val="004F06B5"/>
    <w:rsid w:val="004F5252"/>
    <w:rsid w:val="004F618F"/>
    <w:rsid w:val="005001AA"/>
    <w:rsid w:val="00500C97"/>
    <w:rsid w:val="00505DB2"/>
    <w:rsid w:val="00510516"/>
    <w:rsid w:val="00510B21"/>
    <w:rsid w:val="005153A2"/>
    <w:rsid w:val="0051788F"/>
    <w:rsid w:val="00517DBE"/>
    <w:rsid w:val="005200C1"/>
    <w:rsid w:val="00522488"/>
    <w:rsid w:val="005228CC"/>
    <w:rsid w:val="005355D1"/>
    <w:rsid w:val="00541EEC"/>
    <w:rsid w:val="00542FA8"/>
    <w:rsid w:val="00553822"/>
    <w:rsid w:val="00567413"/>
    <w:rsid w:val="00572C92"/>
    <w:rsid w:val="00576FD7"/>
    <w:rsid w:val="0058279C"/>
    <w:rsid w:val="0058598B"/>
    <w:rsid w:val="00586C89"/>
    <w:rsid w:val="005906F0"/>
    <w:rsid w:val="00592E61"/>
    <w:rsid w:val="005A133A"/>
    <w:rsid w:val="005A2A2B"/>
    <w:rsid w:val="005B0890"/>
    <w:rsid w:val="005B3097"/>
    <w:rsid w:val="005B3B89"/>
    <w:rsid w:val="005B4B21"/>
    <w:rsid w:val="005C098F"/>
    <w:rsid w:val="005C558F"/>
    <w:rsid w:val="005D2F39"/>
    <w:rsid w:val="005E7C5F"/>
    <w:rsid w:val="005F18B3"/>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E3A7E"/>
    <w:rsid w:val="006F21BD"/>
    <w:rsid w:val="006F45B2"/>
    <w:rsid w:val="006F4E4C"/>
    <w:rsid w:val="007000FC"/>
    <w:rsid w:val="007021C9"/>
    <w:rsid w:val="007053C9"/>
    <w:rsid w:val="007056D6"/>
    <w:rsid w:val="00706737"/>
    <w:rsid w:val="00711444"/>
    <w:rsid w:val="007124A8"/>
    <w:rsid w:val="00712DD3"/>
    <w:rsid w:val="007138CB"/>
    <w:rsid w:val="00727AFC"/>
    <w:rsid w:val="00732FF9"/>
    <w:rsid w:val="00735E2E"/>
    <w:rsid w:val="00740E9E"/>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926"/>
    <w:rsid w:val="007A0C3B"/>
    <w:rsid w:val="007B2515"/>
    <w:rsid w:val="007B3CA5"/>
    <w:rsid w:val="007B471F"/>
    <w:rsid w:val="007B6226"/>
    <w:rsid w:val="007B7380"/>
    <w:rsid w:val="007B78A2"/>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7E0"/>
    <w:rsid w:val="0083344E"/>
    <w:rsid w:val="00837FC4"/>
    <w:rsid w:val="00840ED9"/>
    <w:rsid w:val="00843ADF"/>
    <w:rsid w:val="008448D8"/>
    <w:rsid w:val="00854082"/>
    <w:rsid w:val="008540B8"/>
    <w:rsid w:val="008558E8"/>
    <w:rsid w:val="00863EB4"/>
    <w:rsid w:val="0086622C"/>
    <w:rsid w:val="00874B6F"/>
    <w:rsid w:val="0087581F"/>
    <w:rsid w:val="00875BC3"/>
    <w:rsid w:val="00876822"/>
    <w:rsid w:val="008814C4"/>
    <w:rsid w:val="00886FAB"/>
    <w:rsid w:val="00887899"/>
    <w:rsid w:val="008969C8"/>
    <w:rsid w:val="008A26E7"/>
    <w:rsid w:val="008A731A"/>
    <w:rsid w:val="008B38D3"/>
    <w:rsid w:val="008B441D"/>
    <w:rsid w:val="008B478B"/>
    <w:rsid w:val="008B5D6A"/>
    <w:rsid w:val="008B785E"/>
    <w:rsid w:val="008C0129"/>
    <w:rsid w:val="008C1071"/>
    <w:rsid w:val="008C1720"/>
    <w:rsid w:val="008C4221"/>
    <w:rsid w:val="008D1F53"/>
    <w:rsid w:val="008E5D9B"/>
    <w:rsid w:val="008F1CF7"/>
    <w:rsid w:val="008F25BF"/>
    <w:rsid w:val="008F3B0A"/>
    <w:rsid w:val="008F4044"/>
    <w:rsid w:val="008F5538"/>
    <w:rsid w:val="008F60F3"/>
    <w:rsid w:val="00902044"/>
    <w:rsid w:val="0090318F"/>
    <w:rsid w:val="00905FF1"/>
    <w:rsid w:val="00910725"/>
    <w:rsid w:val="009119F3"/>
    <w:rsid w:val="00917982"/>
    <w:rsid w:val="00921E36"/>
    <w:rsid w:val="00925D1F"/>
    <w:rsid w:val="0092654F"/>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C41"/>
    <w:rsid w:val="00974E0E"/>
    <w:rsid w:val="009752BE"/>
    <w:rsid w:val="009767B7"/>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B01220"/>
    <w:rsid w:val="00B07AC6"/>
    <w:rsid w:val="00B137A2"/>
    <w:rsid w:val="00B17064"/>
    <w:rsid w:val="00B2483E"/>
    <w:rsid w:val="00B2585D"/>
    <w:rsid w:val="00B25EA1"/>
    <w:rsid w:val="00B31CE9"/>
    <w:rsid w:val="00B32B1B"/>
    <w:rsid w:val="00B336E8"/>
    <w:rsid w:val="00B37F44"/>
    <w:rsid w:val="00B43245"/>
    <w:rsid w:val="00B47680"/>
    <w:rsid w:val="00B674A2"/>
    <w:rsid w:val="00B74A53"/>
    <w:rsid w:val="00B807BF"/>
    <w:rsid w:val="00B87C51"/>
    <w:rsid w:val="00B92357"/>
    <w:rsid w:val="00B95810"/>
    <w:rsid w:val="00B963B8"/>
    <w:rsid w:val="00B97B94"/>
    <w:rsid w:val="00BA4A41"/>
    <w:rsid w:val="00BA67CD"/>
    <w:rsid w:val="00BA6C84"/>
    <w:rsid w:val="00BB7248"/>
    <w:rsid w:val="00BB7E2F"/>
    <w:rsid w:val="00BC08BD"/>
    <w:rsid w:val="00BC1F80"/>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86665"/>
    <w:rsid w:val="00C9311F"/>
    <w:rsid w:val="00C93708"/>
    <w:rsid w:val="00C97AAF"/>
    <w:rsid w:val="00CA3BE3"/>
    <w:rsid w:val="00CA59B8"/>
    <w:rsid w:val="00CA6891"/>
    <w:rsid w:val="00CA6ADF"/>
    <w:rsid w:val="00CA6F2A"/>
    <w:rsid w:val="00CA725E"/>
    <w:rsid w:val="00CA781C"/>
    <w:rsid w:val="00CA7A3D"/>
    <w:rsid w:val="00CB136B"/>
    <w:rsid w:val="00CC32A2"/>
    <w:rsid w:val="00CC5929"/>
    <w:rsid w:val="00CD2DD9"/>
    <w:rsid w:val="00CE1BA4"/>
    <w:rsid w:val="00CE239C"/>
    <w:rsid w:val="00CE6DDA"/>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1F8D"/>
    <w:rsid w:val="00F35DEB"/>
    <w:rsid w:val="00F4147C"/>
    <w:rsid w:val="00F41E59"/>
    <w:rsid w:val="00F42AE5"/>
    <w:rsid w:val="00F42EFE"/>
    <w:rsid w:val="00F5307F"/>
    <w:rsid w:val="00F600AC"/>
    <w:rsid w:val="00F61976"/>
    <w:rsid w:val="00F73F94"/>
    <w:rsid w:val="00F76D21"/>
    <w:rsid w:val="00F8126A"/>
    <w:rsid w:val="00F82A33"/>
    <w:rsid w:val="00F926C3"/>
    <w:rsid w:val="00F9480F"/>
    <w:rsid w:val="00F96B0C"/>
    <w:rsid w:val="00FA3274"/>
    <w:rsid w:val="00FA4028"/>
    <w:rsid w:val="00FB5566"/>
    <w:rsid w:val="00FB7A20"/>
    <w:rsid w:val="00FC0601"/>
    <w:rsid w:val="00FC223C"/>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287</Pages>
  <Words>49902</Words>
  <Characters>284444</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333679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4</cp:revision>
  <cp:lastPrinted>2016-10-07T13:45:00Z</cp:lastPrinted>
  <dcterms:created xsi:type="dcterms:W3CDTF">2016-11-06T16:15:00Z</dcterms:created>
  <dcterms:modified xsi:type="dcterms:W3CDTF">2016-11-06T17:07:00Z</dcterms:modified>
</cp:coreProperties>
</file>