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665B9F" w:rsidRDefault="00665B9F"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rsidR="0037493C" w:rsidRDefault="0037493C" w:rsidP="0037493C">
      <w:pPr>
        <w:spacing w:line="360" w:lineRule="auto"/>
        <w:ind w:left="360"/>
        <w:jc w:val="center"/>
      </w:pPr>
      <w:bookmarkStart w:id="0" w:name="_GoBack"/>
      <w:bookmarkEnd w:id="0"/>
      <w:r>
        <w:rPr>
          <w:b/>
          <w:bCs/>
        </w:rPr>
        <w:t>v</w:t>
      </w:r>
      <w:r w:rsidR="00665B9F">
        <w:rPr>
          <w:b/>
          <w:bCs/>
        </w:rPr>
        <w:t>3</w:t>
      </w:r>
      <w:r>
        <w:rPr>
          <w:b/>
          <w:bCs/>
        </w:rPr>
        <w:t>.</w:t>
      </w:r>
      <w:r w:rsidR="00665B9F">
        <w:rPr>
          <w:b/>
          <w:bCs/>
        </w:rPr>
        <w:t>10</w:t>
      </w:r>
      <w:r>
        <w:t xml:space="preserve"> </w:t>
      </w:r>
      <w:r w:rsidR="00665B9F">
        <w:t>4</w:t>
      </w:r>
      <w:r>
        <w:t xml:space="preserve"> </w:t>
      </w:r>
      <w:r w:rsidR="00665B9F">
        <w:t>October</w:t>
      </w:r>
      <w:r>
        <w:t xml:space="preserve"> 201</w:t>
      </w:r>
      <w:r w:rsidR="000D2C1C">
        <w:t>7</w:t>
      </w:r>
    </w:p>
    <w:p w:rsidR="007B2515" w:rsidRDefault="0037493C" w:rsidP="007B2515">
      <w:pPr>
        <w:spacing w:line="360" w:lineRule="auto"/>
        <w:rPr>
          <w:b/>
          <w:bCs/>
        </w:rPr>
      </w:pPr>
      <w:r>
        <w:rPr>
          <w:b/>
          <w:bCs/>
        </w:rPr>
        <w:br w:type="page"/>
      </w:r>
    </w:p>
    <w:p w:rsidR="00244BBC" w:rsidRDefault="00244BBC" w:rsidP="00244BBC">
      <w:pPr>
        <w:spacing w:line="360" w:lineRule="auto"/>
        <w:rPr>
          <w:bCs/>
        </w:rPr>
      </w:pPr>
    </w:p>
    <w:p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rsidR="00244BBC" w:rsidRDefault="00244BBC" w:rsidP="00244BBC">
      <w:pPr>
        <w:spacing w:line="360" w:lineRule="auto"/>
        <w:rPr>
          <w:bCs/>
        </w:rPr>
      </w:pPr>
    </w:p>
    <w:p w:rsidR="00244BBC" w:rsidRDefault="00244BBC" w:rsidP="00244BBC">
      <w:pPr>
        <w:spacing w:line="360" w:lineRule="auto"/>
        <w:rPr>
          <w:bCs/>
        </w:rPr>
      </w:pPr>
    </w:p>
    <w:p w:rsidR="00244BBC" w:rsidRPr="006F2B42" w:rsidRDefault="00244BBC" w:rsidP="00244BBC">
      <w:pPr>
        <w:spacing w:line="360" w:lineRule="auto"/>
        <w:rPr>
          <w:b/>
          <w:bCs/>
          <w:sz w:val="28"/>
          <w:szCs w:val="28"/>
        </w:rPr>
      </w:pPr>
      <w:r w:rsidRPr="006F2B42">
        <w:rPr>
          <w:b/>
          <w:bCs/>
          <w:sz w:val="28"/>
          <w:szCs w:val="28"/>
        </w:rPr>
        <w:t>Motivation and Practice Overview</w:t>
      </w:r>
    </w:p>
    <w:p w:rsidR="00244BBC" w:rsidRDefault="00244BBC" w:rsidP="00244BBC">
      <w:pPr>
        <w:spacing w:line="360" w:lineRule="auto"/>
        <w:rPr>
          <w:bCs/>
        </w:rPr>
      </w:pPr>
    </w:p>
    <w:p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rsidR="00503C28" w:rsidRDefault="00503C28" w:rsidP="00503C28">
      <w:pPr>
        <w:spacing w:line="360" w:lineRule="auto"/>
        <w:rPr>
          <w:bCs/>
        </w:rPr>
      </w:pPr>
    </w:p>
    <w:p w:rsidR="00503C28" w:rsidRDefault="00503C28" w:rsidP="00503C28">
      <w:pPr>
        <w:spacing w:line="360" w:lineRule="auto"/>
        <w:rPr>
          <w:bCs/>
        </w:rPr>
      </w:pPr>
    </w:p>
    <w:p w:rsidR="00503C28" w:rsidRPr="00503C28" w:rsidRDefault="00503C28" w:rsidP="00503C28">
      <w:pPr>
        <w:spacing w:line="360" w:lineRule="auto"/>
        <w:rPr>
          <w:b/>
          <w:bCs/>
          <w:sz w:val="28"/>
          <w:szCs w:val="28"/>
        </w:rPr>
      </w:pPr>
      <w:r w:rsidRPr="00503C28">
        <w:rPr>
          <w:b/>
          <w:bCs/>
          <w:sz w:val="28"/>
          <w:szCs w:val="28"/>
        </w:rPr>
        <w:t>Post-Trade Reporting</w:t>
      </w:r>
    </w:p>
    <w:p w:rsidR="00503C28" w:rsidRDefault="00503C28" w:rsidP="00503C28">
      <w:pPr>
        <w:spacing w:line="360" w:lineRule="auto"/>
        <w:rPr>
          <w:bCs/>
        </w:rPr>
      </w:pPr>
    </w:p>
    <w:p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rsidR="0074368F" w:rsidRDefault="0074368F" w:rsidP="0074368F">
      <w:pPr>
        <w:spacing w:line="360" w:lineRule="auto"/>
        <w:rPr>
          <w:bCs/>
        </w:rPr>
      </w:pPr>
    </w:p>
    <w:p w:rsidR="0074368F" w:rsidRDefault="0074368F" w:rsidP="0074368F">
      <w:pPr>
        <w:spacing w:line="360" w:lineRule="auto"/>
        <w:rPr>
          <w:bCs/>
        </w:rPr>
      </w:pPr>
    </w:p>
    <w:p w:rsidR="0074368F" w:rsidRPr="00F3718E" w:rsidRDefault="0074368F" w:rsidP="0074368F">
      <w:pPr>
        <w:spacing w:line="360" w:lineRule="auto"/>
        <w:rPr>
          <w:b/>
          <w:bCs/>
          <w:sz w:val="28"/>
          <w:szCs w:val="28"/>
        </w:rPr>
      </w:pPr>
      <w:r w:rsidRPr="00F3718E">
        <w:rPr>
          <w:b/>
          <w:bCs/>
          <w:sz w:val="28"/>
          <w:szCs w:val="28"/>
        </w:rPr>
        <w:t>Optimal Trading</w:t>
      </w:r>
    </w:p>
    <w:p w:rsidR="0074368F" w:rsidRDefault="0074368F" w:rsidP="0074368F">
      <w:pPr>
        <w:spacing w:line="360" w:lineRule="auto"/>
        <w:rPr>
          <w:bCs/>
        </w:rPr>
      </w:pPr>
    </w:p>
    <w:p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rsidR="004D1E12" w:rsidRDefault="004D1E12" w:rsidP="004D1E12">
      <w:pPr>
        <w:spacing w:line="360" w:lineRule="auto"/>
        <w:rPr>
          <w:bCs/>
        </w:rPr>
      </w:pPr>
    </w:p>
    <w:p w:rsidR="004D1E12" w:rsidRDefault="004D1E12" w:rsidP="004D1E12">
      <w:pPr>
        <w:spacing w:line="360" w:lineRule="auto"/>
        <w:rPr>
          <w:bCs/>
        </w:rPr>
      </w:pPr>
    </w:p>
    <w:p w:rsidR="004D1E12" w:rsidRPr="004D1E12" w:rsidRDefault="004D1E12" w:rsidP="004D1E12">
      <w:pPr>
        <w:spacing w:line="360" w:lineRule="auto"/>
        <w:rPr>
          <w:b/>
          <w:bCs/>
          <w:sz w:val="28"/>
          <w:szCs w:val="28"/>
        </w:rPr>
      </w:pPr>
      <w:r w:rsidRPr="004D1E12">
        <w:rPr>
          <w:b/>
          <w:bCs/>
          <w:sz w:val="28"/>
          <w:szCs w:val="28"/>
        </w:rPr>
        <w:t>Pre-trade Cost Estimation</w:t>
      </w:r>
    </w:p>
    <w:p w:rsidR="004D1E12" w:rsidRDefault="004D1E12" w:rsidP="004D1E12">
      <w:pPr>
        <w:spacing w:line="360" w:lineRule="auto"/>
        <w:rPr>
          <w:bCs/>
        </w:rPr>
      </w:pPr>
    </w:p>
    <w:p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rsidR="00F501EF" w:rsidRDefault="00F501EF" w:rsidP="00F501EF">
      <w:pPr>
        <w:pStyle w:val="ListParagraph"/>
        <w:spacing w:line="360" w:lineRule="auto"/>
        <w:ind w:left="360"/>
        <w:rPr>
          <w:bCs/>
          <w:u w:val="single"/>
        </w:rPr>
      </w:pPr>
    </w:p>
    <w:p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C978D8" w:rsidRDefault="00C978D8" w:rsidP="00F501EF">
      <w:pPr>
        <w:pStyle w:val="ListParagraph"/>
        <w:spacing w:line="360" w:lineRule="auto"/>
        <w:ind w:left="360"/>
        <w:rPr>
          <w:bCs/>
        </w:rPr>
      </w:pPr>
      <w:r>
        <w:rPr>
          <w:bCs/>
        </w:rPr>
        <w:t>and for a sell order the sign would be reversed.</w:t>
      </w:r>
    </w:p>
    <w:p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rsidR="00F501EF" w:rsidRDefault="00F501EF" w:rsidP="00F501EF">
      <w:pPr>
        <w:pStyle w:val="ListParagraph"/>
        <w:spacing w:line="360" w:lineRule="auto"/>
        <w:ind w:left="360"/>
        <w:rPr>
          <w:bCs/>
          <w:u w:val="single"/>
        </w:rPr>
      </w:pPr>
    </w:p>
    <w:p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rsidR="00F501EF" w:rsidRDefault="00F501EF" w:rsidP="00F501EF">
      <w:pPr>
        <w:pStyle w:val="ListParagraph"/>
        <w:spacing w:line="360" w:lineRule="auto"/>
        <w:ind w:left="360"/>
        <w:rPr>
          <w:bCs/>
          <w:u w:val="single"/>
        </w:rPr>
      </w:pPr>
    </w:p>
    <w:p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rsidR="00D240C7" w:rsidRDefault="00D240C7" w:rsidP="00D240C7">
      <w:pPr>
        <w:pStyle w:val="ListParagraph"/>
        <w:spacing w:line="360" w:lineRule="auto"/>
        <w:ind w:left="360"/>
        <w:rPr>
          <w:bCs/>
          <w:u w:val="single"/>
        </w:rPr>
      </w:pPr>
    </w:p>
    <w:p w:rsidR="00D240C7" w:rsidRDefault="00D722EE" w:rsidP="00D240C7">
      <w:pPr>
        <w:pStyle w:val="ListParagraph"/>
        <w:spacing w:line="360" w:lineRule="auto"/>
        <w:ind w:left="360"/>
      </w:pPr>
      <m:oMathPara>
        <m:oMath>
          <m:r>
            <w:rPr>
              <w:rFonts w:ascii="Cambria Math" w:hAnsi="Cambria Math"/>
            </w:rPr>
            <m:t>β≈0.6</m:t>
          </m:r>
        </m:oMath>
      </m:oMathPara>
    </w:p>
    <w:p w:rsidR="00D240C7" w:rsidRDefault="00D240C7" w:rsidP="00D240C7">
      <w:pPr>
        <w:pStyle w:val="ListParagraph"/>
        <w:spacing w:line="360" w:lineRule="auto"/>
        <w:ind w:left="360"/>
      </w:pPr>
    </w:p>
    <w:p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rsidR="006F2B42" w:rsidRDefault="006F2B42" w:rsidP="006F2B42">
      <w:pPr>
        <w:spacing w:line="360" w:lineRule="auto"/>
        <w:rPr>
          <w:bCs/>
        </w:rPr>
      </w:pPr>
    </w:p>
    <w:p w:rsidR="006F2B42" w:rsidRDefault="006F2B42" w:rsidP="006F2B42">
      <w:pPr>
        <w:spacing w:line="360" w:lineRule="auto"/>
        <w:rPr>
          <w:bCs/>
        </w:rPr>
      </w:pPr>
    </w:p>
    <w:p w:rsidR="006F2B42" w:rsidRPr="006F2B42" w:rsidRDefault="006F2B42" w:rsidP="006F2B42">
      <w:pPr>
        <w:spacing w:line="360" w:lineRule="auto"/>
        <w:rPr>
          <w:b/>
          <w:bCs/>
          <w:sz w:val="28"/>
          <w:szCs w:val="28"/>
        </w:rPr>
      </w:pPr>
      <w:r w:rsidRPr="006F2B42">
        <w:rPr>
          <w:b/>
          <w:bCs/>
          <w:sz w:val="28"/>
          <w:szCs w:val="28"/>
        </w:rPr>
        <w:t>References</w:t>
      </w:r>
    </w:p>
    <w:p w:rsidR="006F2B42" w:rsidRDefault="006F2B42" w:rsidP="006F2B42">
      <w:pPr>
        <w:spacing w:line="360" w:lineRule="auto"/>
        <w:rPr>
          <w:bCs/>
        </w:rPr>
      </w:pPr>
    </w:p>
    <w:p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rsidR="00244BBC" w:rsidRDefault="00244BBC">
      <w:pPr>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2F2D7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2F2D7C"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2F2D7C"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2F2D7C"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2F2D7C"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lastRenderedPageBreak/>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2F2D7C"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2F2D7C"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2F2D7C"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2F2D7C"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2F2D7C"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t>readily yields</w:t>
      </w:r>
    </w:p>
    <w:p w:rsidR="00D70982" w:rsidRDefault="00D70982" w:rsidP="00D70982">
      <w:pPr>
        <w:pStyle w:val="ListParagraph"/>
        <w:spacing w:line="360" w:lineRule="auto"/>
        <w:ind w:left="360"/>
        <w:rPr>
          <w:bCs/>
        </w:rPr>
      </w:pPr>
    </w:p>
    <w:p w:rsidR="00E46B53" w:rsidRPr="00D70982" w:rsidRDefault="002F2D7C"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2F2D7C"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2F2D7C"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2F2D7C"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2F2D7C"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2F2D7C"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2F2D7C"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2F2D7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2F2D7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2F2D7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2F2D7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2F2D7C"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2F2D7C"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2F2D7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2F2D7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2F2D7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2F2D7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2F2D7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2F2D7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2F2D7C"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2F2D7C"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2F2D7C"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2F2D7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2F2D7C"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2F2D7C"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2F2D7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2F2D7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2F2D7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2F2D7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2F2D7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2F2D7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2F2D7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2F2D7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2F2D7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2F2D7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2F2D7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2F2D7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2F2D7C"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2F2D7C"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2F2D7C"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2F2D7C"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2F2D7C"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2F2D7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2F2D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2F2D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2F2D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2F2D7C"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2F2D7C"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2F2D7C"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2F2D7C"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2F2D7C"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2F2D7C"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2F2D7C"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2F2D7C"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2F2D7C"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2F2D7C"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2F2D7C"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2F2D7C"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2F2D7C"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w:lastRenderedPageBreak/>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2F2D7C"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2F2D7C"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2F2D7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2F2D7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2F2D7C"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2F2D7C"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2F2D7C"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2F2D7C"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2F2D7C"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2F2D7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2F2D7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2F2D7C"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2F2D7C"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2F2D7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2F2D7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F2D7C"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2F2D7C"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2F2D7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2F2D7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2F2D7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2F2D7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2F2D7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2F2D7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2F2D7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2F2D7C"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2F2D7C"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2F2D7C"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2F2D7C"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2F2D7C"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2F2D7C"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2F2D7C"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2F2D7C"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2F2D7C"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2F2D7C"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2F2D7C"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2F2D7C"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2F2D7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one pre-computes an initial trajectory</w:t>
      </w:r>
    </w:p>
    <w:p w:rsidR="00394E82" w:rsidRDefault="00394E82" w:rsidP="00394E82">
      <w:pPr>
        <w:pStyle w:val="ListParagraph"/>
        <w:spacing w:line="360" w:lineRule="auto"/>
        <w:ind w:left="360"/>
        <w:rPr>
          <w:bCs/>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2F2D7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2F2D7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lastRenderedPageBreak/>
        <w:t>and</w:t>
      </w:r>
    </w:p>
    <w:p w:rsidR="00394E82" w:rsidRDefault="00394E82" w:rsidP="00394E82">
      <w:pPr>
        <w:pStyle w:val="ListParagraph"/>
        <w:spacing w:line="360" w:lineRule="auto"/>
        <w:ind w:left="360"/>
        <w:rPr>
          <w:bCs/>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2F2D7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2F2D7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2F2D7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2F2D7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2F2D7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2F2D7C"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2F2D7C"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2F2D7C"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2F2D7C"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2F2D7C"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2F2D7C"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2F2D7C"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2F2D7C"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2F2D7C"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2F2D7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2F2D7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2F2D7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2F2D7C"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2F2D7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Right Sensitivity</w:t>
      </w:r>
      <w:r>
        <w:t>:</w:t>
      </w:r>
    </w:p>
    <w:p w:rsidR="00CA6F2A" w:rsidRDefault="00CA6F2A" w:rsidP="00CA6F2A">
      <w:pPr>
        <w:pStyle w:val="ListParagraph"/>
        <w:spacing w:line="360" w:lineRule="auto"/>
        <w:ind w:left="360"/>
        <w:rPr>
          <w:u w:val="single"/>
        </w:rPr>
      </w:pPr>
    </w:p>
    <w:p w:rsidR="00CA6F2A" w:rsidRDefault="002F2D7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2F2D7C"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2F2D7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2F2D7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2F2D7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2F2D7C"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2F2D7C"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2F2D7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2F2D7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2F2D7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2F2D7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2F2D7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2F2D7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2F2D7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2F2D7C"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2F2D7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2F2D7C"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2F2D7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2F2D7C"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2F2D7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2F2D7C"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2F2D7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2F2D7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2F2D7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2F2D7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2F2D7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2F2D7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2F2D7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2F2D7C"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t>leads to the quadrature problem</w:t>
      </w:r>
    </w:p>
    <w:p w:rsidR="009923CB" w:rsidRDefault="009923CB" w:rsidP="00EF1EE8">
      <w:pPr>
        <w:pStyle w:val="ListParagraph"/>
        <w:spacing w:line="360" w:lineRule="auto"/>
        <w:ind w:left="360"/>
      </w:pPr>
    </w:p>
    <w:p w:rsidR="00D32F9E" w:rsidRPr="009923CB" w:rsidRDefault="002F2D7C"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2F2D7C"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2F2D7C"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2F2D7C"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the characteristic time depends on the initial size as</w:t>
      </w:r>
    </w:p>
    <w:p w:rsidR="009923CB" w:rsidRDefault="009923CB" w:rsidP="009923CB">
      <w:pPr>
        <w:pStyle w:val="ListParagraph"/>
        <w:spacing w:line="360" w:lineRule="auto"/>
        <w:ind w:left="360"/>
        <w:rPr>
          <w:bCs/>
        </w:rPr>
      </w:pPr>
    </w:p>
    <w:p w:rsidR="00CF1461" w:rsidRPr="009923CB" w:rsidRDefault="002F2D7C"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2F2D7C"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2F2D7C"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2F2D7C"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2F2D7C"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2F2D7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2F2D7C"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2F2D7C"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2F2D7C"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2F2D7C"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2F2D7C"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2F2D7C"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m:t>
            </m:r>
            <m:r>
              <w:rPr>
                <w:rFonts w:ascii="Cambria Math" w:hAnsi="Cambria Math"/>
              </w:rPr>
              <m:t>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2F2D7C"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2F2D7C"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2F2D7C"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2F2D7C"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2F2D7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2F2D7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2F2D7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2F2D7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2F2D7C"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2F2D7C"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2F2D7C"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2F2D7C"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2F2D7C"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2F2D7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2F2D7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2F2D7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2F2D7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2F2D7C"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2F2D7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2F2D7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2F2D7C"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2F2D7C"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2F2D7C"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2F2D7C"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2F2D7C"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2F2D7C"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2F2D7C"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2F2D7C"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2F2D7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F2D7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lastRenderedPageBreak/>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2F2D7C"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lastRenderedPageBreak/>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2F2D7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2F2D7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F2D7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2F2D7C"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2F2D7C"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2F2D7C"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2F2D7C"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2F2D7C"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2F2D7C"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lastRenderedPageBreak/>
        <w:t>Disadvantages</w:t>
      </w:r>
    </w:p>
    <w:p w:rsidR="00775D1A" w:rsidRDefault="00775D1A" w:rsidP="00775D1A">
      <w:pPr>
        <w:pStyle w:val="ListParagraph"/>
        <w:numPr>
          <w:ilvl w:val="2"/>
          <w:numId w:val="51"/>
        </w:numPr>
        <w:spacing w:line="360" w:lineRule="auto"/>
      </w:pPr>
      <w:r>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lastRenderedPageBreak/>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2F2D7C"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2F2D7C"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2F2D7C"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lastRenderedPageBreak/>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2F2D7C"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m:t>
                          </m:r>
                          <m:r>
                            <w:rPr>
                              <w:rFonts w:ascii="Cambria Math" w:hAnsi="Cambria Math"/>
                            </w:rPr>
                            <m:t>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2F2D7C"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2F2D7C"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w:lastRenderedPageBreak/>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2F2D7C"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2F2D7C"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lastRenderedPageBreak/>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2F2D7C"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2F2D7C"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lastRenderedPageBreak/>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2F2D7C"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2F2D7C"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rsidR="00D47183" w:rsidRDefault="00D47183" w:rsidP="00D47183">
      <w:pPr>
        <w:spacing w:line="360" w:lineRule="auto"/>
      </w:pPr>
      <w:r>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2F2D7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2F2D7C"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2F2D7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2F2D7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2F2D7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2F2D7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2F2D7C"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2F2D7C"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2F2D7C"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2F2D7C"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2F2D7C"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2F2D7C"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2F2D7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m:t>
            </m:r>
            <m:r>
              <w:rPr>
                <w:rFonts w:ascii="Cambria Math" w:hAnsi="Cambria Math"/>
              </w:rPr>
              <m:t>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2F2D7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2F2D7C"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2F2D7C"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2F2D7C"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2F2D7C"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2F2D7C"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r w:rsidRPr="00FA3274">
        <w:rPr>
          <w:bCs/>
        </w:rPr>
        <w:t>for</w:t>
      </w:r>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r>
        <w:rPr>
          <w:bCs/>
        </w:rPr>
        <w:t>will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r>
        <w:rPr>
          <w:bCs/>
        </w:rPr>
        <w:t>to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with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2F2D7C"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coming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one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the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so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and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r w:rsidRPr="006E3A7E">
        <w:rPr>
          <w:bCs/>
        </w:rPr>
        <w:t>which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lastRenderedPageBreak/>
        <w:t>and</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but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2F2D7C"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r>
        <w:rPr>
          <w:bCs/>
        </w:rPr>
        <w:t>where</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is the coefficient of temporary market impact.</w:t>
      </w:r>
    </w:p>
    <w:p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2F2D7C"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t>in</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r>
        <w:rPr>
          <w:bCs/>
        </w:rPr>
        <w:t>or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r>
        <w:rPr>
          <w:bCs/>
        </w:rPr>
        <w:t>unless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2F2D7C"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r>
        <w:t>where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r>
        <w:t>so that</w:t>
      </w:r>
    </w:p>
    <w:p w:rsidR="0029506D" w:rsidRDefault="0029506D" w:rsidP="0029506D">
      <w:pPr>
        <w:pStyle w:val="ListParagraph"/>
        <w:spacing w:line="360" w:lineRule="auto"/>
        <w:ind w:left="360"/>
      </w:pPr>
    </w:p>
    <w:p w:rsidR="00765663" w:rsidRPr="0029506D" w:rsidRDefault="002F2D7C"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is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and</w:t>
      </w:r>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this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2F2D7C"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2F2D7C"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r>
        <w:t>and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r>
        <w:t>as a function of time and shares remaining.</w:t>
      </w:r>
    </w:p>
    <w:p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r>
        <w:rPr>
          <w:bCs/>
        </w:rPr>
        <w:t>to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r>
        <w:rPr>
          <w:bCs/>
        </w:rPr>
        <w:t>is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r>
        <w:rPr>
          <w:bCs/>
        </w:rPr>
        <w:t>is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2F2D7C"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2F2D7C"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r>
        <w:rPr>
          <w:bCs/>
        </w:rPr>
        <w:t>then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r>
        <w:rPr>
          <w:bCs/>
        </w:rPr>
        <w:t>and</w:t>
      </w:r>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the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lastRenderedPageBreak/>
        <w:t>but with a shortened end-time</w:t>
      </w:r>
    </w:p>
    <w:p w:rsidR="001D5FA2" w:rsidRDefault="001D5FA2" w:rsidP="001D5FA2">
      <w:pPr>
        <w:pStyle w:val="ListParagraph"/>
        <w:spacing w:line="360" w:lineRule="auto"/>
        <w:ind w:left="360"/>
        <w:rPr>
          <w:bCs/>
        </w:rPr>
      </w:pPr>
    </w:p>
    <w:p w:rsidR="001D5FA2" w:rsidRP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determined by</w:t>
      </w:r>
    </w:p>
    <w:p w:rsidR="001D5FA2" w:rsidRDefault="001D5FA2" w:rsidP="001D5FA2">
      <w:pPr>
        <w:pStyle w:val="ListParagraph"/>
        <w:spacing w:line="360" w:lineRule="auto"/>
        <w:ind w:left="360"/>
        <w:rPr>
          <w:bCs/>
        </w:rPr>
      </w:pPr>
    </w:p>
    <w:p w:rsidR="0014516F" w:rsidRP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2F2D7C"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r>
        <w:rPr>
          <w:bCs/>
        </w:rPr>
        <w:t>then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2F2D7C"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and</w:t>
      </w:r>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2F2D7C"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the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and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with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trading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r>
        <w:rPr>
          <w:bCs/>
        </w:rPr>
        <w:t>where</w:t>
      </w:r>
    </w:p>
    <w:p w:rsidR="001D5FA2" w:rsidRDefault="001D5FA2" w:rsidP="001D5FA2">
      <w:pPr>
        <w:pStyle w:val="ListParagraph"/>
        <w:spacing w:line="360" w:lineRule="auto"/>
        <w:ind w:left="360"/>
        <w:rPr>
          <w:bCs/>
        </w:rPr>
      </w:pPr>
    </w:p>
    <w:p w:rsidR="001D5FA2" w:rsidRDefault="002F2D7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r>
        <w:t>and is given as</w:t>
      </w:r>
    </w:p>
    <w:p w:rsidR="001D5FA2" w:rsidRDefault="001D5FA2" w:rsidP="001D5FA2">
      <w:pPr>
        <w:pStyle w:val="ListParagraph"/>
        <w:spacing w:line="360" w:lineRule="auto"/>
        <w:ind w:left="360"/>
      </w:pPr>
    </w:p>
    <w:p w:rsidR="001D5FA2" w:rsidRDefault="002F2D7C"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5A6423" w:rsidRDefault="005A6423" w:rsidP="005A6423">
      <w:pPr>
        <w:pStyle w:val="ListParagraph"/>
        <w:spacing w:line="360" w:lineRule="auto"/>
        <w:ind w:left="360"/>
      </w:pPr>
    </w:p>
    <w:p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rsidR="005A6423" w:rsidRDefault="005A6423" w:rsidP="005A6423">
      <w:pPr>
        <w:pStyle w:val="ListParagraph"/>
        <w:spacing w:line="360" w:lineRule="auto"/>
        <w:ind w:left="360"/>
        <w:rPr>
          <w:bCs/>
        </w:rPr>
      </w:pPr>
    </w:p>
    <w:p w:rsidR="005A6423" w:rsidRDefault="002F2D7C"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where</w:t>
      </w:r>
    </w:p>
    <w:p w:rsidR="005A6423" w:rsidRDefault="005A6423" w:rsidP="005A6423">
      <w:pPr>
        <w:pStyle w:val="ListParagraph"/>
        <w:spacing w:line="360" w:lineRule="auto"/>
        <w:ind w:left="360"/>
        <w:rPr>
          <w:bCs/>
        </w:rPr>
      </w:pPr>
    </w:p>
    <w:p w:rsidR="005A6423" w:rsidRDefault="002F2D7C"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expected cost of the non-adaptive strategy determined at</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5A6423" w:rsidRDefault="005A6423" w:rsidP="005A6423">
      <w:pPr>
        <w:pStyle w:val="ListParagraph"/>
        <w:spacing w:line="360" w:lineRule="auto"/>
        <w:ind w:left="360"/>
        <w:rPr>
          <w:bCs/>
        </w:rPr>
      </w:pPr>
    </w:p>
    <w:p w:rsidR="005A6423" w:rsidRPr="005A6423" w:rsidRDefault="002F2D7C"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reduction in the expected cost obtained by using the adaptive Bayesian strategy. Note that</w:t>
      </w:r>
    </w:p>
    <w:p w:rsidR="005A6423" w:rsidRDefault="005A6423" w:rsidP="005A6423">
      <w:pPr>
        <w:pStyle w:val="ListParagraph"/>
        <w:spacing w:line="360" w:lineRule="auto"/>
        <w:ind w:left="360"/>
        <w:rPr>
          <w:bCs/>
        </w:rPr>
      </w:pPr>
    </w:p>
    <w:p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rsidR="005A6423" w:rsidRDefault="005A6423" w:rsidP="005A6423">
      <w:pPr>
        <w:pStyle w:val="ListParagraph"/>
        <w:spacing w:line="360" w:lineRule="auto"/>
        <w:ind w:left="360"/>
        <w:rPr>
          <w:bCs/>
        </w:rPr>
      </w:pPr>
    </w:p>
    <w:p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rsidR="005A6423" w:rsidRDefault="005A6423" w:rsidP="005A6423">
      <w:pPr>
        <w:pStyle w:val="ListParagraph"/>
        <w:spacing w:line="360" w:lineRule="auto"/>
        <w:ind w:left="360"/>
        <w:rPr>
          <w:bCs/>
          <w:u w:val="single"/>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rsidR="005A6423" w:rsidRDefault="005A6423" w:rsidP="005A6423">
      <w:pPr>
        <w:pStyle w:val="ListParagraph"/>
        <w:spacing w:line="360" w:lineRule="auto"/>
        <w:ind w:left="360"/>
        <w:rPr>
          <w:bCs/>
        </w:rPr>
      </w:pPr>
    </w:p>
    <w:p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rsidR="005A6423" w:rsidRDefault="005A6423" w:rsidP="005A6423">
      <w:pPr>
        <w:spacing w:line="360" w:lineRule="auto"/>
        <w:rPr>
          <w:bCs/>
        </w:rPr>
      </w:pPr>
    </w:p>
    <w:p w:rsidR="005A6423" w:rsidRDefault="005A6423" w:rsidP="005A6423">
      <w:pPr>
        <w:spacing w:line="360" w:lineRule="auto"/>
        <w:rPr>
          <w:bCs/>
        </w:rPr>
      </w:pPr>
    </w:p>
    <w:p w:rsidR="005A6423" w:rsidRPr="005A6423" w:rsidRDefault="005A6423" w:rsidP="005A6423">
      <w:pPr>
        <w:spacing w:line="360" w:lineRule="auto"/>
        <w:rPr>
          <w:b/>
          <w:bCs/>
          <w:sz w:val="28"/>
          <w:szCs w:val="28"/>
        </w:rPr>
      </w:pPr>
      <w:r w:rsidRPr="005A6423">
        <w:rPr>
          <w:b/>
          <w:bCs/>
          <w:sz w:val="28"/>
          <w:szCs w:val="28"/>
        </w:rPr>
        <w:t>Stochastic Optimal Control Treatment</w:t>
      </w:r>
    </w:p>
    <w:p w:rsidR="005A6423" w:rsidRDefault="005A6423" w:rsidP="005A6423">
      <w:pPr>
        <w:spacing w:line="360" w:lineRule="auto"/>
        <w:rPr>
          <w:bCs/>
        </w:rPr>
      </w:pPr>
    </w:p>
    <w:p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rsidR="003B3CC1" w:rsidRDefault="003B3CC1" w:rsidP="003B3CC1">
      <w:pPr>
        <w:pStyle w:val="ListParagraph"/>
        <w:spacing w:line="360" w:lineRule="auto"/>
        <w:ind w:left="360"/>
        <w:rPr>
          <w:bCs/>
          <w:u w:val="single"/>
        </w:rPr>
      </w:pPr>
    </w:p>
    <w:p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B3CC1" w:rsidRDefault="003B3CC1" w:rsidP="003B3CC1">
      <w:pPr>
        <w:pStyle w:val="ListParagraph"/>
        <w:spacing w:line="360" w:lineRule="auto"/>
        <w:ind w:left="360"/>
      </w:pPr>
    </w:p>
    <w:p w:rsidR="003B3CC1" w:rsidRDefault="005A6423" w:rsidP="003B3CC1">
      <w:pPr>
        <w:pStyle w:val="ListParagraph"/>
        <w:spacing w:line="360" w:lineRule="auto"/>
        <w:ind w:left="360"/>
        <w:rPr>
          <w:bCs/>
        </w:rPr>
      </w:pPr>
      <w:r w:rsidRPr="005A6423">
        <w:rPr>
          <w:bCs/>
        </w:rPr>
        <w:t>for the adaptive strategy is in fact the optimal strategy for</w:t>
      </w:r>
    </w:p>
    <w:p w:rsidR="003B3CC1" w:rsidRDefault="003B3CC1" w:rsidP="003B3CC1">
      <w:pPr>
        <w:pStyle w:val="ListParagraph"/>
        <w:spacing w:line="360" w:lineRule="auto"/>
        <w:ind w:left="360"/>
        <w:rPr>
          <w:bCs/>
        </w:rPr>
      </w:pPr>
    </w:p>
    <w:p w:rsidR="003B3CC1" w:rsidRDefault="002F2D7C"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rsidR="003B3CC1" w:rsidRDefault="003B3CC1" w:rsidP="003B3CC1">
      <w:pPr>
        <w:pStyle w:val="ListParagraph"/>
        <w:spacing w:line="360" w:lineRule="auto"/>
        <w:ind w:left="360"/>
        <w:rPr>
          <w:bCs/>
          <w:u w:val="single"/>
        </w:rPr>
      </w:pPr>
    </w:p>
    <w:p w:rsidR="003B3CC1" w:rsidRDefault="002F2D7C"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are given as follows: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v⟹Rate of Buying</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x⟹Shares Remaining to Buy</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y⟹Dollars Spent so far</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S⟹Stock Price</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∆s=α∆t+σ∆B</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where</w:t>
      </w:r>
    </w:p>
    <w:p w:rsidR="003B3CC1" w:rsidRDefault="003B3CC1" w:rsidP="003B3CC1">
      <w:pPr>
        <w:pStyle w:val="ListParagraph"/>
        <w:spacing w:line="360" w:lineRule="auto"/>
        <w:ind w:left="360"/>
      </w:pPr>
    </w:p>
    <w:p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is chosen randomly at</w:t>
      </w:r>
    </w:p>
    <w:p w:rsidR="003B3CC1" w:rsidRDefault="003B3CC1" w:rsidP="003B3CC1">
      <w:pPr>
        <w:pStyle w:val="ListParagraph"/>
        <w:spacing w:line="360" w:lineRule="auto"/>
        <w:ind w:left="360"/>
      </w:pPr>
    </w:p>
    <w:p w:rsidR="005A6423" w:rsidRPr="003B3CC1" w:rsidRDefault="00BB1B23" w:rsidP="003B3CC1">
      <w:pPr>
        <w:pStyle w:val="ListParagraph"/>
        <w:spacing w:line="360" w:lineRule="auto"/>
        <w:ind w:left="360"/>
      </w:pPr>
      <m:oMathPara>
        <m:oMath>
          <m:r>
            <w:rPr>
              <w:rFonts w:ascii="Cambria Math" w:hAnsi="Cambria Math"/>
            </w:rPr>
            <m:t>t=0</m:t>
          </m:r>
        </m:oMath>
      </m:oMathPara>
    </w:p>
    <w:p w:rsidR="003B3CC1" w:rsidRPr="00BB1B23" w:rsidRDefault="003B3CC1" w:rsidP="003B3CC1">
      <w:pPr>
        <w:pStyle w:val="ListParagraph"/>
        <w:spacing w:line="360" w:lineRule="auto"/>
        <w:ind w:left="360"/>
        <w:rPr>
          <w:bCs/>
        </w:rPr>
      </w:pPr>
    </w:p>
    <w:p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r>
            <w:rPr>
              <w:rFonts w:ascii="Cambria Math" w:hAnsi="Cambria Math"/>
            </w:rPr>
            <m:t>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shares are</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cash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and the initial stock price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The focus is on the unconstrained case, and therefore</w:t>
      </w:r>
    </w:p>
    <w:p w:rsidR="003B3CC1" w:rsidRDefault="003B3CC1" w:rsidP="003B3CC1">
      <w:pPr>
        <w:pStyle w:val="ListParagraph"/>
        <w:spacing w:line="360" w:lineRule="auto"/>
        <w:ind w:left="360"/>
      </w:pPr>
    </w:p>
    <w:p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BB1B23" w:rsidRPr="0097296A" w:rsidRDefault="00BB1B23" w:rsidP="003B3CC1">
      <w:pPr>
        <w:pStyle w:val="ListParagraph"/>
        <w:spacing w:line="360" w:lineRule="auto"/>
        <w:ind w:left="360"/>
        <w:rPr>
          <w:bCs/>
        </w:rPr>
      </w:pPr>
      <w:r>
        <w:t>is not required.</w:t>
      </w:r>
    </w:p>
    <w:p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rsidR="003B3CC1" w:rsidRDefault="003B3CC1" w:rsidP="003B3CC1">
      <w:pPr>
        <w:pStyle w:val="ListParagraph"/>
        <w:spacing w:line="360" w:lineRule="auto"/>
        <w:ind w:left="360"/>
        <w:rPr>
          <w:bCs/>
          <w:u w:val="single"/>
        </w:rPr>
      </w:pPr>
    </w:p>
    <w:p w:rsidR="003B3CC1" w:rsidRDefault="002F2D7C"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97296A" w:rsidRPr="0097296A" w:rsidRDefault="0097296A" w:rsidP="003B3CC1">
      <w:pPr>
        <w:pStyle w:val="ListParagraph"/>
        <w:spacing w:line="360" w:lineRule="auto"/>
        <w:ind w:left="360"/>
        <w:rPr>
          <w:bCs/>
        </w:rPr>
      </w:pPr>
      <w:r>
        <w:t>This is a common problem in stochastic dynamic control, and is solved by dynamic programming.</w:t>
      </w:r>
    </w:p>
    <w:p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rPr>
          <w:bCs/>
        </w:rPr>
      </w:pPr>
      <w:r>
        <w:rPr>
          <w:bCs/>
        </w:rPr>
        <w:t>so that the value function</w:t>
      </w:r>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3B3CC1" w:rsidRDefault="002F2D7C"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rsidR="003B3CC1" w:rsidRDefault="003B3CC1" w:rsidP="003B3CC1">
      <w:pPr>
        <w:pStyle w:val="ListParagraph"/>
        <w:spacing w:line="360" w:lineRule="auto"/>
        <w:ind w:left="360"/>
      </w:pPr>
    </w:p>
    <w:p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rsidR="003B3CC1" w:rsidRDefault="003B3CC1" w:rsidP="003B3CC1">
      <w:pPr>
        <w:pStyle w:val="ListParagraph"/>
        <w:spacing w:line="360" w:lineRule="auto"/>
        <w:ind w:left="360"/>
        <w:rPr>
          <w:bCs/>
          <w:u w:val="single"/>
        </w:rPr>
      </w:pPr>
    </w:p>
    <w:p w:rsidR="003B3CC1" w:rsidRDefault="002F2D7C"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rsidR="003B3CC1" w:rsidRDefault="003B3CC1" w:rsidP="003B3CC1">
      <w:pPr>
        <w:pStyle w:val="ListParagraph"/>
        <w:spacing w:line="360" w:lineRule="auto"/>
        <w:ind w:left="360"/>
        <w:rPr>
          <w:bCs/>
        </w:rPr>
      </w:pPr>
    </w:p>
    <w:p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together with the boundary condition</w:t>
      </w:r>
    </w:p>
    <w:p w:rsidR="003B3CC1" w:rsidRDefault="003B3CC1" w:rsidP="003B3CC1">
      <w:pPr>
        <w:pStyle w:val="ListParagraph"/>
        <w:spacing w:line="360" w:lineRule="auto"/>
        <w:ind w:left="360"/>
        <w:rPr>
          <w:bCs/>
        </w:rPr>
      </w:pPr>
    </w:p>
    <w:p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B3CC1" w:rsidRDefault="003B3CC1" w:rsidP="003B3CC1">
      <w:pPr>
        <w:pStyle w:val="ListParagraph"/>
        <w:spacing w:line="360" w:lineRule="auto"/>
        <w:ind w:left="360"/>
        <w:rPr>
          <w:bCs/>
        </w:rPr>
      </w:pPr>
    </w:p>
    <w:p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rsidR="003B3CC1" w:rsidRDefault="003B3CC1" w:rsidP="003B3CC1">
      <w:pPr>
        <w:pStyle w:val="ListParagraph"/>
        <w:spacing w:line="360" w:lineRule="auto"/>
        <w:ind w:left="360"/>
        <w:rPr>
          <w:bCs/>
          <w:u w:val="single"/>
        </w:rPr>
      </w:pPr>
    </w:p>
    <w:p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satisfies the PDE</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and the boundary condition</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2068E" w:rsidRDefault="0032068E" w:rsidP="003B3CC1">
      <w:pPr>
        <w:pStyle w:val="ListParagraph"/>
        <w:spacing w:line="360" w:lineRule="auto"/>
        <w:ind w:left="360"/>
        <w:rPr>
          <w:bCs/>
        </w:rPr>
      </w:pPr>
    </w:p>
    <w:p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rsidR="0032068E" w:rsidRDefault="0032068E" w:rsidP="0032068E">
      <w:pPr>
        <w:pStyle w:val="ListParagraph"/>
        <w:spacing w:line="360" w:lineRule="auto"/>
        <w:ind w:left="360"/>
        <w:rPr>
          <w:bCs/>
          <w:u w:val="single"/>
        </w:rPr>
      </w:pPr>
    </w:p>
    <w:p w:rsidR="0032068E" w:rsidRPr="0032068E" w:rsidRDefault="002F2D7C"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which is exactly the trade velocity</w:t>
      </w:r>
    </w:p>
    <w:p w:rsidR="0032068E" w:rsidRDefault="0032068E" w:rsidP="0032068E">
      <w:pPr>
        <w:pStyle w:val="ListParagraph"/>
        <w:spacing w:line="360" w:lineRule="auto"/>
        <w:ind w:left="360"/>
        <w:rPr>
          <w:bCs/>
        </w:rPr>
      </w:pPr>
    </w:p>
    <w:p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rsidR="0032068E" w:rsidRDefault="0032068E" w:rsidP="0032068E">
      <w:pPr>
        <w:pStyle w:val="ListParagraph"/>
        <w:spacing w:line="360" w:lineRule="auto"/>
        <w:ind w:left="360"/>
        <w:rPr>
          <w:bCs/>
          <w:u w:val="single"/>
        </w:rPr>
      </w:pPr>
    </w:p>
    <w:p w:rsidR="00511D23" w:rsidRPr="0032068E" w:rsidRDefault="002F2D7C"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rsidR="0032068E" w:rsidRDefault="0032068E" w:rsidP="0032068E">
      <w:pPr>
        <w:pStyle w:val="ListParagraph"/>
        <w:spacing w:line="360" w:lineRule="auto"/>
        <w:ind w:left="360"/>
        <w:rPr>
          <w:bCs/>
          <w:u w:val="single"/>
        </w:rPr>
      </w:pPr>
    </w:p>
    <w:p w:rsidR="0032068E" w:rsidRDefault="002F2D7C"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becomes</w:t>
      </w:r>
    </w:p>
    <w:p w:rsidR="0032068E" w:rsidRDefault="0032068E" w:rsidP="0032068E">
      <w:pPr>
        <w:pStyle w:val="ListParagraph"/>
        <w:spacing w:line="360" w:lineRule="auto"/>
        <w:ind w:left="360"/>
        <w:rPr>
          <w:bCs/>
        </w:rPr>
      </w:pPr>
    </w:p>
    <w:p w:rsidR="0032068E" w:rsidRDefault="002F2D7C"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rsidR="0032068E" w:rsidRDefault="0032068E" w:rsidP="0032068E">
      <w:pPr>
        <w:pStyle w:val="ListParagraph"/>
        <w:spacing w:line="360" w:lineRule="auto"/>
        <w:ind w:left="360"/>
        <w:rPr>
          <w:bCs/>
        </w:rPr>
      </w:pPr>
    </w:p>
    <w:p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2F2D7C"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2F2D7C"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2F2D7C"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2F2D7C"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lastRenderedPageBreak/>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2F2D7C"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2F2D7C"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2F2D7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2F2D7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2F2D7C"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2F2D7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2F2D7C"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2F2D7C"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2F2D7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2F2D7C"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2F2D7C"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2F2D7C"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2F2D7C"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2F2D7C"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2F2D7C"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2F2D7C"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2F2D7C"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2F2D7C"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lastRenderedPageBreak/>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2F2D7C"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2F2D7C"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2F2D7C"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2F2D7C"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2F2D7C"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2F2D7C"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2F2D7C"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2F2D7C"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2F2D7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2F2D7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2F2D7C"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2F2D7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2F2D7C"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2F2D7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2F2D7C"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2F2D7C"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2F2D7C"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2F2D7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2F2D7C"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lastRenderedPageBreak/>
        <w:t>and</w:t>
      </w:r>
    </w:p>
    <w:p w:rsidR="00972C41" w:rsidRDefault="00972C41" w:rsidP="00972C41">
      <w:pPr>
        <w:pStyle w:val="ListParagraph"/>
        <w:spacing w:line="360" w:lineRule="auto"/>
        <w:ind w:left="360"/>
        <w:rPr>
          <w:bCs/>
        </w:rPr>
      </w:pPr>
    </w:p>
    <w:p w:rsidR="00263072" w:rsidRPr="00972C41" w:rsidRDefault="002F2D7C"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2F2D7C"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2F2D7C"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2F2D7C"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2F2D7C"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2F2D7C"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2F2D7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2F2D7C"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2F2D7C"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2F2D7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2F2D7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2F2D7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t>and</w:t>
      </w:r>
    </w:p>
    <w:p w:rsidR="00CE239C" w:rsidRDefault="00CE239C" w:rsidP="00CE239C">
      <w:pPr>
        <w:pStyle w:val="ListParagraph"/>
        <w:spacing w:line="360" w:lineRule="auto"/>
        <w:ind w:left="360"/>
        <w:rPr>
          <w:bCs/>
        </w:rPr>
      </w:pPr>
    </w:p>
    <w:p w:rsidR="00CE239C" w:rsidRDefault="002F2D7C"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2F2D7C"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2F2D7C"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2F2D7C"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lastRenderedPageBreak/>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2F2D7C"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ED1945" w:rsidRPr="00ED1945" w:rsidRDefault="00ED1945" w:rsidP="00ED1945">
      <w:pPr>
        <w:spacing w:line="360" w:lineRule="auto"/>
        <w:rPr>
          <w:bCs/>
        </w:rPr>
      </w:pPr>
    </w:p>
    <w:p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rsidR="00ED1945" w:rsidRDefault="00ED1945" w:rsidP="00ED1945">
      <w:pPr>
        <w:spacing w:line="360" w:lineRule="auto"/>
        <w:rPr>
          <w:bCs/>
        </w:rPr>
      </w:pPr>
    </w:p>
    <w:p w:rsidR="00ED1945" w:rsidRDefault="00ED1945" w:rsidP="00ED1945">
      <w:pPr>
        <w:spacing w:line="360" w:lineRule="auto"/>
        <w:rPr>
          <w:bCs/>
        </w:rPr>
      </w:pPr>
    </w:p>
    <w:p w:rsidR="00ED1945" w:rsidRPr="00ED1945" w:rsidRDefault="00ED1945" w:rsidP="00ED1945">
      <w:pPr>
        <w:spacing w:line="360" w:lineRule="auto"/>
        <w:rPr>
          <w:b/>
          <w:bCs/>
          <w:sz w:val="28"/>
          <w:szCs w:val="28"/>
        </w:rPr>
      </w:pPr>
      <w:r w:rsidRPr="00ED1945">
        <w:rPr>
          <w:b/>
          <w:bCs/>
          <w:sz w:val="28"/>
          <w:szCs w:val="28"/>
        </w:rPr>
        <w:t>Background, Synopsys, and Key Results</w:t>
      </w:r>
    </w:p>
    <w:p w:rsidR="00ED1945" w:rsidRDefault="00ED1945" w:rsidP="00ED1945">
      <w:pPr>
        <w:spacing w:line="360" w:lineRule="auto"/>
        <w:rPr>
          <w:bCs/>
        </w:rPr>
      </w:pPr>
    </w:p>
    <w:p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rsidR="00FC67F6" w:rsidRDefault="00FC67F6" w:rsidP="00FC67F6">
      <w:pPr>
        <w:spacing w:line="360" w:lineRule="auto"/>
        <w:rPr>
          <w:bCs/>
        </w:rPr>
      </w:pPr>
    </w:p>
    <w:p w:rsidR="00FC67F6" w:rsidRDefault="00FC67F6" w:rsidP="00FC67F6">
      <w:pPr>
        <w:spacing w:line="360" w:lineRule="auto"/>
        <w:rPr>
          <w:bCs/>
        </w:rPr>
      </w:pPr>
    </w:p>
    <w:p w:rsidR="00FC67F6" w:rsidRPr="00207630" w:rsidRDefault="00FC67F6" w:rsidP="00FC67F6">
      <w:pPr>
        <w:spacing w:line="360" w:lineRule="auto"/>
        <w:rPr>
          <w:b/>
          <w:bCs/>
          <w:sz w:val="28"/>
          <w:szCs w:val="28"/>
        </w:rPr>
      </w:pPr>
      <w:r w:rsidRPr="00207630">
        <w:rPr>
          <w:b/>
          <w:bCs/>
          <w:sz w:val="28"/>
          <w:szCs w:val="28"/>
        </w:rPr>
        <w:t>References</w:t>
      </w:r>
    </w:p>
    <w:p w:rsidR="00FC67F6" w:rsidRDefault="00FC67F6" w:rsidP="00FC67F6">
      <w:pPr>
        <w:spacing w:line="360" w:lineRule="auto"/>
        <w:rPr>
          <w:bCs/>
        </w:rPr>
      </w:pPr>
    </w:p>
    <w:p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rsidR="00ED1945" w:rsidRDefault="00ED1945" w:rsidP="00ED1945">
      <w:pPr>
        <w:spacing w:line="360" w:lineRule="auto"/>
        <w:rPr>
          <w:b/>
          <w:bCs/>
          <w:sz w:val="32"/>
        </w:rPr>
      </w:pPr>
      <w:r w:rsidRPr="00ED1945">
        <w:rPr>
          <w:bCs/>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2F2D7C"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2F2D7C"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2F2D7C"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2F2D7C"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2F2D7C"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2F2D7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2F2D7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2F2D7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2F2D7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2F2D7C"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2F2D7C"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2F2D7C"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2F2D7C"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2F2D7C"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2F2D7C"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2F2D7C"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2F2D7C"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2F2D7C"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2F2D7C"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2F2D7C"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2F2D7C"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2F2D7C"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2F2D7C"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2F2D7C"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2F2D7C"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2F2D7C"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2F2D7C"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2F2D7C"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2F2D7C"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2F2D7C"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2F2D7C"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2F2D7C"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2F2D7C"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2F2D7C"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2F2D7C"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2F2D7C"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2F2D7C"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2F2D7C"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2F2D7C"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2F2D7C"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2F2D7C"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2F2D7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2F2D7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2F2D7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2F2D7C"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303C9C" w:rsidRPr="008C4221" w:rsidRDefault="002F2D7C"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2F2D7C"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2F2D7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2F2D7C"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2F2D7C"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2F2D7C"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2F2D7C"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2F2D7C"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2F2D7C"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2F2D7C"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2F2D7C"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2F2D7C"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2F2D7C"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2F2D7C"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2F2D7C"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2F2D7C"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2F2D7C"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2F2D7C"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2F2D7C"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2F2D7C"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2F2D7C"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2F2D7C"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9"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10" o:title=""/>
          </v:shape>
          <o:OLEObject Type="Embed" ProgID="Equation.3" ShapeID="_x0000_i1025" DrawAspect="Content" ObjectID="_1568645189" r:id="rId11"/>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15pt;height:14.15pt" o:ole="">
            <v:imagedata r:id="rId12" o:title=""/>
          </v:shape>
          <o:OLEObject Type="Embed" ProgID="Equation.3" ShapeID="_x0000_i1026" DrawAspect="Content" ObjectID="_1568645190" r:id="rId13"/>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15pt;height:14.15pt" o:ole="">
            <v:imagedata r:id="rId14" o:title=""/>
          </v:shape>
          <o:OLEObject Type="Embed" ProgID="Equation.3" ShapeID="_x0000_i1027" DrawAspect="Content" ObjectID="_1568645191" r:id="rId15"/>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15pt;height:14.15pt" o:ole="">
            <v:imagedata r:id="rId16" o:title=""/>
          </v:shape>
          <o:OLEObject Type="Embed" ProgID="Equation.3" ShapeID="_x0000_i1028" DrawAspect="Content" ObjectID="_1568645192" r:id="rId17"/>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8.35pt;height:21.25pt" o:ole="">
            <v:imagedata r:id="rId18" o:title=""/>
          </v:shape>
          <o:OLEObject Type="Embed" ProgID="Equation.3" ShapeID="_x0000_i1029" DrawAspect="Content" ObjectID="_1568645193" r:id="rId19"/>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15pt;height:14.15pt" o:ole="">
            <v:imagedata r:id="rId20" o:title=""/>
          </v:shape>
          <o:OLEObject Type="Embed" ProgID="Equation.3" ShapeID="_x0000_i1030" DrawAspect="Content" ObjectID="_1568645194" r:id="rId21"/>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1.25pt;height:21.25pt" o:ole="">
            <v:imagedata r:id="rId22" o:title=""/>
          </v:shape>
          <o:OLEObject Type="Embed" ProgID="Equation.3" ShapeID="_x0000_i1031" DrawAspect="Content" ObjectID="_1568645195" r:id="rId23"/>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15pt;height:14.15pt" o:ole="">
            <v:imagedata r:id="rId24" o:title=""/>
          </v:shape>
          <o:OLEObject Type="Embed" ProgID="Equation.3" ShapeID="_x0000_i1032" DrawAspect="Content" ObjectID="_1568645196" r:id="rId25"/>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8.35pt;height:21.25pt" o:ole="">
            <v:imagedata r:id="rId26" o:title=""/>
          </v:shape>
          <o:OLEObject Type="Embed" ProgID="Equation.3" ShapeID="_x0000_i1033" DrawAspect="Content" ObjectID="_1568645197" r:id="rId27"/>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15pt;height:27.15pt" o:ole="">
            <v:imagedata r:id="rId28" o:title=""/>
          </v:shape>
          <o:OLEObject Type="Embed" ProgID="Equation.3" ShapeID="_x0000_i1034" DrawAspect="Content" ObjectID="_1568645198" r:id="rId29"/>
        </w:object>
      </w:r>
    </w:p>
    <w:p w:rsidR="005B4B21" w:rsidRDefault="00B17064" w:rsidP="006D25BB">
      <w:pPr>
        <w:numPr>
          <w:ilvl w:val="0"/>
          <w:numId w:val="10"/>
        </w:numPr>
        <w:spacing w:line="360" w:lineRule="auto"/>
      </w:pPr>
      <w:r>
        <w:rPr>
          <w:position w:val="-24"/>
        </w:rPr>
        <w:object w:dxaOrig="4760" w:dyaOrig="620">
          <v:shape id="_x0000_i1035" type="#_x0000_t75" style="width:237.25pt;height:27.15pt" o:ole="">
            <v:imagedata r:id="rId30" o:title=""/>
          </v:shape>
          <o:OLEObject Type="Embed" ProgID="Equation.3" ShapeID="_x0000_i1035" DrawAspect="Content" ObjectID="_1568645199" r:id="rId31"/>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65pt;height:35.4pt" o:ole="">
            <v:imagedata r:id="rId32" o:title=""/>
          </v:shape>
          <o:OLEObject Type="Embed" ProgID="Equation.3" ShapeID="_x0000_i1036" DrawAspect="Content" ObjectID="_1568645200" r:id="rId33"/>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8.35pt" o:ole="">
            <v:imagedata r:id="rId34" o:title=""/>
          </v:shape>
          <o:OLEObject Type="Embed" ProgID="Equation.3" ShapeID="_x0000_i1037" DrawAspect="Content" ObjectID="_1568645201" r:id="rId35"/>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8.35pt" o:ole="">
            <v:imagedata r:id="rId36" o:title=""/>
          </v:shape>
          <o:OLEObject Type="Embed" ProgID="Equation.3" ShapeID="_x0000_i1038" DrawAspect="Content" ObjectID="_1568645202" r:id="rId37"/>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headerReference w:type="default" r:id="rId38"/>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D7C" w:rsidRDefault="002F2D7C">
      <w:r>
        <w:separator/>
      </w:r>
    </w:p>
  </w:endnote>
  <w:endnote w:type="continuationSeparator" w:id="0">
    <w:p w:rsidR="002F2D7C" w:rsidRDefault="002F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1945" w:rsidRDefault="00ED19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rsidR="00ED1945" w:rsidRDefault="00ED19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D7C" w:rsidRDefault="002F2D7C">
      <w:r>
        <w:separator/>
      </w:r>
    </w:p>
  </w:footnote>
  <w:footnote w:type="continuationSeparator" w:id="0">
    <w:p w:rsidR="002F2D7C" w:rsidRDefault="002F2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B9F" w:rsidRDefault="00665B9F">
    <w:pPr>
      <w:pStyle w:val="Header"/>
    </w:pPr>
    <w:r>
      <w:rPr>
        <w:noProof/>
      </w:rPr>
      <w:drawing>
        <wp:inline distT="0" distB="0" distL="0" distR="0" wp14:anchorId="57F873DF" wp14:editId="71820AA6">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665B9F" w:rsidRDefault="0066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83">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6">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5"/>
  </w:num>
  <w:num w:numId="2">
    <w:abstractNumId w:val="114"/>
  </w:num>
  <w:num w:numId="3">
    <w:abstractNumId w:val="50"/>
  </w:num>
  <w:num w:numId="4">
    <w:abstractNumId w:val="106"/>
  </w:num>
  <w:num w:numId="5">
    <w:abstractNumId w:val="8"/>
  </w:num>
  <w:num w:numId="6">
    <w:abstractNumId w:val="85"/>
  </w:num>
  <w:num w:numId="7">
    <w:abstractNumId w:val="98"/>
  </w:num>
  <w:num w:numId="8">
    <w:abstractNumId w:val="22"/>
  </w:num>
  <w:num w:numId="9">
    <w:abstractNumId w:val="89"/>
  </w:num>
  <w:num w:numId="10">
    <w:abstractNumId w:val="49"/>
  </w:num>
  <w:num w:numId="11">
    <w:abstractNumId w:val="19"/>
  </w:num>
  <w:num w:numId="12">
    <w:abstractNumId w:val="82"/>
  </w:num>
  <w:num w:numId="13">
    <w:abstractNumId w:val="66"/>
  </w:num>
  <w:num w:numId="14">
    <w:abstractNumId w:val="20"/>
  </w:num>
  <w:num w:numId="15">
    <w:abstractNumId w:val="80"/>
  </w:num>
  <w:num w:numId="16">
    <w:abstractNumId w:val="60"/>
  </w:num>
  <w:num w:numId="17">
    <w:abstractNumId w:val="110"/>
  </w:num>
  <w:num w:numId="18">
    <w:abstractNumId w:val="117"/>
  </w:num>
  <w:num w:numId="19">
    <w:abstractNumId w:val="61"/>
  </w:num>
  <w:num w:numId="20">
    <w:abstractNumId w:val="27"/>
  </w:num>
  <w:num w:numId="21">
    <w:abstractNumId w:val="39"/>
  </w:num>
  <w:num w:numId="22">
    <w:abstractNumId w:val="5"/>
  </w:num>
  <w:num w:numId="23">
    <w:abstractNumId w:val="34"/>
  </w:num>
  <w:num w:numId="24">
    <w:abstractNumId w:val="83"/>
  </w:num>
  <w:num w:numId="25">
    <w:abstractNumId w:val="93"/>
  </w:num>
  <w:num w:numId="26">
    <w:abstractNumId w:val="91"/>
  </w:num>
  <w:num w:numId="27">
    <w:abstractNumId w:val="92"/>
  </w:num>
  <w:num w:numId="28">
    <w:abstractNumId w:val="101"/>
  </w:num>
  <w:num w:numId="29">
    <w:abstractNumId w:val="35"/>
  </w:num>
  <w:num w:numId="30">
    <w:abstractNumId w:val="9"/>
  </w:num>
  <w:num w:numId="31">
    <w:abstractNumId w:val="81"/>
  </w:num>
  <w:num w:numId="32">
    <w:abstractNumId w:val="118"/>
  </w:num>
  <w:num w:numId="33">
    <w:abstractNumId w:val="24"/>
  </w:num>
  <w:num w:numId="34">
    <w:abstractNumId w:val="57"/>
  </w:num>
  <w:num w:numId="35">
    <w:abstractNumId w:val="87"/>
  </w:num>
  <w:num w:numId="36">
    <w:abstractNumId w:val="12"/>
  </w:num>
  <w:num w:numId="37">
    <w:abstractNumId w:val="36"/>
  </w:num>
  <w:num w:numId="38">
    <w:abstractNumId w:val="25"/>
  </w:num>
  <w:num w:numId="39">
    <w:abstractNumId w:val="18"/>
  </w:num>
  <w:num w:numId="40">
    <w:abstractNumId w:val="17"/>
  </w:num>
  <w:num w:numId="41">
    <w:abstractNumId w:val="119"/>
  </w:num>
  <w:num w:numId="42">
    <w:abstractNumId w:val="120"/>
  </w:num>
  <w:num w:numId="43">
    <w:abstractNumId w:val="21"/>
  </w:num>
  <w:num w:numId="44">
    <w:abstractNumId w:val="23"/>
  </w:num>
  <w:num w:numId="45">
    <w:abstractNumId w:val="11"/>
  </w:num>
  <w:num w:numId="46">
    <w:abstractNumId w:val="54"/>
  </w:num>
  <w:num w:numId="47">
    <w:abstractNumId w:val="74"/>
  </w:num>
  <w:num w:numId="48">
    <w:abstractNumId w:val="42"/>
  </w:num>
  <w:num w:numId="49">
    <w:abstractNumId w:val="79"/>
  </w:num>
  <w:num w:numId="50">
    <w:abstractNumId w:val="48"/>
  </w:num>
  <w:num w:numId="51">
    <w:abstractNumId w:val="76"/>
  </w:num>
  <w:num w:numId="52">
    <w:abstractNumId w:val="43"/>
  </w:num>
  <w:num w:numId="53">
    <w:abstractNumId w:val="46"/>
  </w:num>
  <w:num w:numId="54">
    <w:abstractNumId w:val="13"/>
  </w:num>
  <w:num w:numId="55">
    <w:abstractNumId w:val="0"/>
  </w:num>
  <w:num w:numId="56">
    <w:abstractNumId w:val="108"/>
  </w:num>
  <w:num w:numId="57">
    <w:abstractNumId w:val="7"/>
  </w:num>
  <w:num w:numId="58">
    <w:abstractNumId w:val="28"/>
  </w:num>
  <w:num w:numId="59">
    <w:abstractNumId w:val="1"/>
  </w:num>
  <w:num w:numId="60">
    <w:abstractNumId w:val="53"/>
  </w:num>
  <w:num w:numId="61">
    <w:abstractNumId w:val="113"/>
  </w:num>
  <w:num w:numId="62">
    <w:abstractNumId w:val="73"/>
  </w:num>
  <w:num w:numId="63">
    <w:abstractNumId w:val="77"/>
  </w:num>
  <w:num w:numId="64">
    <w:abstractNumId w:val="59"/>
  </w:num>
  <w:num w:numId="65">
    <w:abstractNumId w:val="47"/>
  </w:num>
  <w:num w:numId="66">
    <w:abstractNumId w:val="29"/>
  </w:num>
  <w:num w:numId="67">
    <w:abstractNumId w:val="116"/>
  </w:num>
  <w:num w:numId="68">
    <w:abstractNumId w:val="111"/>
  </w:num>
  <w:num w:numId="69">
    <w:abstractNumId w:val="104"/>
  </w:num>
  <w:num w:numId="70">
    <w:abstractNumId w:val="40"/>
  </w:num>
  <w:num w:numId="71">
    <w:abstractNumId w:val="16"/>
  </w:num>
  <w:num w:numId="72">
    <w:abstractNumId w:val="75"/>
  </w:num>
  <w:num w:numId="73">
    <w:abstractNumId w:val="30"/>
  </w:num>
  <w:num w:numId="74">
    <w:abstractNumId w:val="51"/>
  </w:num>
  <w:num w:numId="75">
    <w:abstractNumId w:val="112"/>
  </w:num>
  <w:num w:numId="76">
    <w:abstractNumId w:val="31"/>
  </w:num>
  <w:num w:numId="77">
    <w:abstractNumId w:val="88"/>
  </w:num>
  <w:num w:numId="78">
    <w:abstractNumId w:val="32"/>
  </w:num>
  <w:num w:numId="79">
    <w:abstractNumId w:val="6"/>
  </w:num>
  <w:num w:numId="80">
    <w:abstractNumId w:val="71"/>
  </w:num>
  <w:num w:numId="81">
    <w:abstractNumId w:val="109"/>
  </w:num>
  <w:num w:numId="82">
    <w:abstractNumId w:val="26"/>
  </w:num>
  <w:num w:numId="83">
    <w:abstractNumId w:val="84"/>
  </w:num>
  <w:num w:numId="84">
    <w:abstractNumId w:val="67"/>
  </w:num>
  <w:num w:numId="85">
    <w:abstractNumId w:val="41"/>
  </w:num>
  <w:num w:numId="86">
    <w:abstractNumId w:val="56"/>
  </w:num>
  <w:num w:numId="87">
    <w:abstractNumId w:val="15"/>
  </w:num>
  <w:num w:numId="88">
    <w:abstractNumId w:val="62"/>
  </w:num>
  <w:num w:numId="89">
    <w:abstractNumId w:val="103"/>
  </w:num>
  <w:num w:numId="90">
    <w:abstractNumId w:val="70"/>
  </w:num>
  <w:num w:numId="91">
    <w:abstractNumId w:val="38"/>
  </w:num>
  <w:num w:numId="92">
    <w:abstractNumId w:val="58"/>
  </w:num>
  <w:num w:numId="93">
    <w:abstractNumId w:val="3"/>
  </w:num>
  <w:num w:numId="94">
    <w:abstractNumId w:val="94"/>
  </w:num>
  <w:num w:numId="95">
    <w:abstractNumId w:val="99"/>
  </w:num>
  <w:num w:numId="96">
    <w:abstractNumId w:val="86"/>
  </w:num>
  <w:num w:numId="97">
    <w:abstractNumId w:val="105"/>
  </w:num>
  <w:num w:numId="98">
    <w:abstractNumId w:val="2"/>
  </w:num>
  <w:num w:numId="99">
    <w:abstractNumId w:val="96"/>
  </w:num>
  <w:num w:numId="100">
    <w:abstractNumId w:val="10"/>
  </w:num>
  <w:num w:numId="101">
    <w:abstractNumId w:val="65"/>
  </w:num>
  <w:num w:numId="102">
    <w:abstractNumId w:val="107"/>
  </w:num>
  <w:num w:numId="103">
    <w:abstractNumId w:val="37"/>
  </w:num>
  <w:num w:numId="104">
    <w:abstractNumId w:val="68"/>
  </w:num>
  <w:num w:numId="105">
    <w:abstractNumId w:val="90"/>
  </w:num>
  <w:num w:numId="106">
    <w:abstractNumId w:val="95"/>
  </w:num>
  <w:num w:numId="107">
    <w:abstractNumId w:val="33"/>
  </w:num>
  <w:num w:numId="108">
    <w:abstractNumId w:val="72"/>
  </w:num>
  <w:num w:numId="109">
    <w:abstractNumId w:val="63"/>
  </w:num>
  <w:num w:numId="110">
    <w:abstractNumId w:val="52"/>
  </w:num>
  <w:num w:numId="111">
    <w:abstractNumId w:val="45"/>
  </w:num>
  <w:num w:numId="112">
    <w:abstractNumId w:val="4"/>
  </w:num>
  <w:num w:numId="113">
    <w:abstractNumId w:val="102"/>
  </w:num>
  <w:num w:numId="114">
    <w:abstractNumId w:val="14"/>
  </w:num>
  <w:num w:numId="115">
    <w:abstractNumId w:val="78"/>
  </w:num>
  <w:num w:numId="116">
    <w:abstractNumId w:val="44"/>
  </w:num>
  <w:num w:numId="117">
    <w:abstractNumId w:val="64"/>
  </w:num>
  <w:num w:numId="118">
    <w:abstractNumId w:val="69"/>
  </w:num>
  <w:num w:numId="119">
    <w:abstractNumId w:val="100"/>
  </w:num>
  <w:num w:numId="120">
    <w:abstractNumId w:val="55"/>
  </w:num>
  <w:num w:numId="121">
    <w:abstractNumId w:val="9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B0C"/>
    <w:rsid w:val="00001CE2"/>
    <w:rsid w:val="00002142"/>
    <w:rsid w:val="00002349"/>
    <w:rsid w:val="000071C1"/>
    <w:rsid w:val="000100CA"/>
    <w:rsid w:val="00013DB8"/>
    <w:rsid w:val="00014E1F"/>
    <w:rsid w:val="000158C8"/>
    <w:rsid w:val="00020477"/>
    <w:rsid w:val="0002270B"/>
    <w:rsid w:val="00035511"/>
    <w:rsid w:val="00035BD4"/>
    <w:rsid w:val="00035CB8"/>
    <w:rsid w:val="00040B6C"/>
    <w:rsid w:val="00042A25"/>
    <w:rsid w:val="00045ED7"/>
    <w:rsid w:val="00046DFB"/>
    <w:rsid w:val="000471D3"/>
    <w:rsid w:val="00057A60"/>
    <w:rsid w:val="00057FFA"/>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D2C1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54274"/>
    <w:rsid w:val="00155F2E"/>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542A2"/>
    <w:rsid w:val="002613EC"/>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4944"/>
    <w:rsid w:val="002F08A8"/>
    <w:rsid w:val="002F19C2"/>
    <w:rsid w:val="002F2C99"/>
    <w:rsid w:val="002F2D7C"/>
    <w:rsid w:val="002F3086"/>
    <w:rsid w:val="002F4C83"/>
    <w:rsid w:val="002F7651"/>
    <w:rsid w:val="00303C9C"/>
    <w:rsid w:val="00305966"/>
    <w:rsid w:val="0032068E"/>
    <w:rsid w:val="003263DB"/>
    <w:rsid w:val="00326CCF"/>
    <w:rsid w:val="0033056C"/>
    <w:rsid w:val="003447BC"/>
    <w:rsid w:val="00346509"/>
    <w:rsid w:val="003512BD"/>
    <w:rsid w:val="00352A59"/>
    <w:rsid w:val="003538F9"/>
    <w:rsid w:val="0035542B"/>
    <w:rsid w:val="00360C4F"/>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C49DC"/>
    <w:rsid w:val="003D3F49"/>
    <w:rsid w:val="003D4D5D"/>
    <w:rsid w:val="003D56E0"/>
    <w:rsid w:val="003E1B49"/>
    <w:rsid w:val="003E47AD"/>
    <w:rsid w:val="003E6B12"/>
    <w:rsid w:val="003F33A4"/>
    <w:rsid w:val="003F4687"/>
    <w:rsid w:val="003F4916"/>
    <w:rsid w:val="003F5203"/>
    <w:rsid w:val="00402895"/>
    <w:rsid w:val="00402CFF"/>
    <w:rsid w:val="004039B0"/>
    <w:rsid w:val="00413B88"/>
    <w:rsid w:val="004226EB"/>
    <w:rsid w:val="00430381"/>
    <w:rsid w:val="0043148F"/>
    <w:rsid w:val="00432E11"/>
    <w:rsid w:val="00436C37"/>
    <w:rsid w:val="00444AAC"/>
    <w:rsid w:val="00447393"/>
    <w:rsid w:val="00452A0C"/>
    <w:rsid w:val="00453A30"/>
    <w:rsid w:val="0045745B"/>
    <w:rsid w:val="00462B42"/>
    <w:rsid w:val="00467ED8"/>
    <w:rsid w:val="00480759"/>
    <w:rsid w:val="00485EE8"/>
    <w:rsid w:val="00490E54"/>
    <w:rsid w:val="004A2C30"/>
    <w:rsid w:val="004A4E2B"/>
    <w:rsid w:val="004B0340"/>
    <w:rsid w:val="004B07BC"/>
    <w:rsid w:val="004B5048"/>
    <w:rsid w:val="004B63F7"/>
    <w:rsid w:val="004B67D3"/>
    <w:rsid w:val="004D1E12"/>
    <w:rsid w:val="004D1F94"/>
    <w:rsid w:val="004D2048"/>
    <w:rsid w:val="004D33C5"/>
    <w:rsid w:val="004E5415"/>
    <w:rsid w:val="004E5D35"/>
    <w:rsid w:val="004F06B5"/>
    <w:rsid w:val="004F5252"/>
    <w:rsid w:val="004F618F"/>
    <w:rsid w:val="005001AA"/>
    <w:rsid w:val="00500C97"/>
    <w:rsid w:val="00503C28"/>
    <w:rsid w:val="00505DB2"/>
    <w:rsid w:val="00510516"/>
    <w:rsid w:val="00510B21"/>
    <w:rsid w:val="00511D23"/>
    <w:rsid w:val="005153A2"/>
    <w:rsid w:val="0051788F"/>
    <w:rsid w:val="00517DBE"/>
    <w:rsid w:val="005200C1"/>
    <w:rsid w:val="00522488"/>
    <w:rsid w:val="005228CC"/>
    <w:rsid w:val="00527F32"/>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C098F"/>
    <w:rsid w:val="005C558F"/>
    <w:rsid w:val="005D2F39"/>
    <w:rsid w:val="005E7C5F"/>
    <w:rsid w:val="005F18B3"/>
    <w:rsid w:val="005F73D4"/>
    <w:rsid w:val="00603F17"/>
    <w:rsid w:val="00606995"/>
    <w:rsid w:val="00612D51"/>
    <w:rsid w:val="006239E3"/>
    <w:rsid w:val="0062403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5B9F"/>
    <w:rsid w:val="006669A3"/>
    <w:rsid w:val="00674F5C"/>
    <w:rsid w:val="00684BDB"/>
    <w:rsid w:val="006850F8"/>
    <w:rsid w:val="006874C9"/>
    <w:rsid w:val="00696D59"/>
    <w:rsid w:val="006A132F"/>
    <w:rsid w:val="006A5FE9"/>
    <w:rsid w:val="006A764E"/>
    <w:rsid w:val="006B06E2"/>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1444"/>
    <w:rsid w:val="007124A8"/>
    <w:rsid w:val="00712DD3"/>
    <w:rsid w:val="007138CB"/>
    <w:rsid w:val="0072749D"/>
    <w:rsid w:val="00727AFC"/>
    <w:rsid w:val="00732FF9"/>
    <w:rsid w:val="00735E2E"/>
    <w:rsid w:val="00740E9E"/>
    <w:rsid w:val="0074368F"/>
    <w:rsid w:val="00745F0A"/>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B7F58"/>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E5D9B"/>
    <w:rsid w:val="008F1CF7"/>
    <w:rsid w:val="008F25BF"/>
    <w:rsid w:val="008F3B0A"/>
    <w:rsid w:val="008F4044"/>
    <w:rsid w:val="008F5538"/>
    <w:rsid w:val="008F60F3"/>
    <w:rsid w:val="008F67B1"/>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96A"/>
    <w:rsid w:val="00972C41"/>
    <w:rsid w:val="00974E0E"/>
    <w:rsid w:val="009752BE"/>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674A2"/>
    <w:rsid w:val="00B74A53"/>
    <w:rsid w:val="00B807BF"/>
    <w:rsid w:val="00B80AED"/>
    <w:rsid w:val="00B87C51"/>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E005F"/>
    <w:rsid w:val="00BE38A4"/>
    <w:rsid w:val="00BE6C9F"/>
    <w:rsid w:val="00BF0AE8"/>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BA4"/>
    <w:rsid w:val="00CE239C"/>
    <w:rsid w:val="00CE6DDA"/>
    <w:rsid w:val="00CF04CF"/>
    <w:rsid w:val="00CF0AEF"/>
    <w:rsid w:val="00CF0D3E"/>
    <w:rsid w:val="00CF1461"/>
    <w:rsid w:val="00CF6352"/>
    <w:rsid w:val="00CF7CFA"/>
    <w:rsid w:val="00D03513"/>
    <w:rsid w:val="00D12FD5"/>
    <w:rsid w:val="00D240C7"/>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2EE"/>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3265"/>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B6843"/>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3718E"/>
    <w:rsid w:val="00F4147C"/>
    <w:rsid w:val="00F41E59"/>
    <w:rsid w:val="00F42AE5"/>
    <w:rsid w:val="00F42EFE"/>
    <w:rsid w:val="00F44A57"/>
    <w:rsid w:val="00F501EF"/>
    <w:rsid w:val="00F5307F"/>
    <w:rsid w:val="00F600AC"/>
    <w:rsid w:val="00F61976"/>
    <w:rsid w:val="00F73F94"/>
    <w:rsid w:val="00F76D21"/>
    <w:rsid w:val="00F8126A"/>
    <w:rsid w:val="00F82A33"/>
    <w:rsid w:val="00F909A8"/>
    <w:rsid w:val="00F926C3"/>
    <w:rsid w:val="00F9480F"/>
    <w:rsid w:val="00F96B0C"/>
    <w:rsid w:val="00FA3274"/>
    <w:rsid w:val="00FA4028"/>
    <w:rsid w:val="00FB5566"/>
    <w:rsid w:val="00FB7A20"/>
    <w:rsid w:val="00FC0601"/>
    <w:rsid w:val="00FC223C"/>
    <w:rsid w:val="00FC2F70"/>
    <w:rsid w:val="00FC3DBB"/>
    <w:rsid w:val="00FC67F6"/>
    <w:rsid w:val="00FD0100"/>
    <w:rsid w:val="00FD297F"/>
    <w:rsid w:val="00FD48F9"/>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www.cims.nyu.edu/working_paper_series/"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277</Pages>
  <Words>55100</Words>
  <Characters>314075</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368439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Yapptop</cp:lastModifiedBy>
  <cp:revision>3</cp:revision>
  <cp:lastPrinted>2016-11-07T17:10:00Z</cp:lastPrinted>
  <dcterms:created xsi:type="dcterms:W3CDTF">2017-10-04T21:23:00Z</dcterms:created>
  <dcterms:modified xsi:type="dcterms:W3CDTF">2017-10-04T22:00:00Z</dcterms:modified>
</cp:coreProperties>
</file>