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w:t>
      </w:r>
      <w:r w:rsidR="002571C1">
        <w:rPr>
          <w:b/>
          <w:bCs/>
        </w:rPr>
        <w:t>2</w:t>
      </w:r>
      <w:proofErr w:type="gramEnd"/>
      <w:r w:rsidR="00451A26">
        <w:rPr>
          <w:b/>
          <w:bCs/>
        </w:rPr>
        <w:t xml:space="preserve"> </w:t>
      </w:r>
      <w:r w:rsidR="007415B2">
        <w:t>2</w:t>
      </w:r>
      <w:r w:rsidR="002571C1">
        <w:t>6</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779D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779D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779D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779D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779D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779D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779D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779D2"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779D2"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779D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779D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3779D2"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779D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3779D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3779D2"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3779D2"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779D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779D2"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3779D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3779D2"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779D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779D2"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779D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779D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3779D2"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779D2"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779D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779D2"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779D2"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3779D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474131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779D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474131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3779D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779D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779D2"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779D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779D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779D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3779D2"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3779D2"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3779D2"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779D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779D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779D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779D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779D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3779D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3779D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3779D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3779D2"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3779D2"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3779D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3779D2"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3779D2"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3779D2"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3779D2"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int4erest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BC5970"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 </w:t>
      </w:r>
      <m:oMath>
        <m:r>
          <w:rPr>
            <w:rFonts w:ascii="Cambria Math" w:hAnsi="Cambria Math"/>
          </w:rPr>
          <m:t>MinimumSpacing&gt;1</m:t>
        </m:r>
      </m:oMath>
      <w:r>
        <w:t xml:space="preserve"> the following four credit dates are inserted</w:t>
      </w:r>
      <w:proofErr w:type="gramStart"/>
      <w:r>
        <w:t xml:space="preserve">; </w:t>
      </w:r>
      <w:proofErr w:type="gramEnd"/>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m:t>
        </m:r>
        <m:r>
          <w:rPr>
            <w:rFonts w:ascii="Cambria Math" w:hAnsi="Cambria Math"/>
          </w:rPr>
          <m:t>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6M, 9M, 12M, 15M, 18M, 21M, 24M, 27M, 30M, 33M, 36M, 39M, 42M, 45M, 48M, 51M, 54M, 57M, 5Y, 6Y 7Y, 8Y, 9Y, 10Y, 11Y, 12Y, 13Y, 14Y, 15Y, 16Y, 17Y, 18Y, 19Y, 20Y </w:t>
      </w:r>
      <w:r w:rsidR="004353C8">
        <w:lastRenderedPageBreak/>
        <w:t>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lastRenderedPageBreak/>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AE334C"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 </w:t>
      </w:r>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The conditional probability is calculated as the ratio of two unconditional probabilities, i.e.,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AE334C"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p>
    <w:p w:rsidR="00D905E7"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p>
    <w:p w:rsidR="00F84771"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xml:space="preserve">. The difference between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r w:rsidR="00DE55EB">
        <w:t xml:space="preserve"> and </w:t>
      </w:r>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w:r w:rsidR="00DE55EB">
        <w:t xml:space="preserve"> is actually the same as the left vs. the right approximations to the integral.</w:t>
      </w:r>
      <w:bookmarkStart w:id="0" w:name="_GoBack"/>
      <w:bookmarkEnd w:id="0"/>
    </w:p>
    <w:p w:rsidR="003B230D" w:rsidRDefault="003B230D" w:rsidP="007A09A2">
      <w:pPr>
        <w:spacing w:after="200" w:line="360" w:lineRule="auto"/>
      </w:pPr>
    </w:p>
    <w:p w:rsidR="00E574F2" w:rsidRDefault="00E574F2"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Pr="00F81EB1" w:rsidRDefault="00F81EB1" w:rsidP="00F81EB1">
      <w:pPr>
        <w:pStyle w:val="ListParagraph"/>
        <w:numPr>
          <w:ilvl w:val="0"/>
          <w:numId w:val="120"/>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3779D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3779D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3779D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3779D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3779D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779D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779D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779D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3779D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3779D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779D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3779D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779D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779D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3779D2"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779D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3779D2"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779D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779D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779D2"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3779D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779D2"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779D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779D2"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779D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779D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779D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779D2"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779D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779D2"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779D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779D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3779D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779D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779D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3779D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3779D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3779D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779D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3779D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779D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3779D2"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3779D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3779D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3779D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3779D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3779D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3779D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3779D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3779D2"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3779D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3779D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3779D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3779D2"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m:t>
              </m:r>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3779D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3779D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779D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3779D2"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3779D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779D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3779D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3779D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3779D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3779D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3779D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3779D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3779D2"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3779D2"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3779D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3779D2"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3779D2"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3779D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3779D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3779D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3779D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3779D2"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3779D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3779D2"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3779D2"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3779D2"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3779D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3779D2"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3779D2"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3779D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3779D2"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3779D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3779D2"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3779D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3779D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3779D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3779D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3779D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3779D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3779D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3779D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3779D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3779D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3779D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3779D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3779D2"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3779D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3779D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3779D2"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3779D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3779D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3779D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3779D2"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3779D2"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m:t>
        </m:r>
        <m:r>
          <w:rPr>
            <w:rFonts w:ascii="Cambria Math" w:hAnsi="Cambria Math"/>
          </w:rPr>
          <m:t>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3779D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3779D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3779D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3779D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3779D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3779D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3779D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779D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779D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3779D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779D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779D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3779D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3779D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3779D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3779D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3779D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3779D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3779D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3779D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t>
                          </m:r>
                          <m:r>
                            <w:rPr>
                              <w:rFonts w:ascii="Cambria Math" w:hAnsi="Cambria Math"/>
                              <w:vanish/>
                            </w:rPr>
                            <m:t>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3779D2"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3779D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779D2"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3779D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779D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3779D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3779D2"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3779D2"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3779D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3779D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3779D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3779D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3779D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3779D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3779D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3779D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3779D2"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3779D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3779D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779D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3779D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3779D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779D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3779D2"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3779D2"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3779D2"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3779D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3779D2"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3779D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3779D2"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3779D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3779D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3779D2"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3779D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3779D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3779D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3779D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3779D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3779D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3779D2"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3779D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3779D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3779D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150" w:rsidRDefault="001E3150" w:rsidP="008F462D">
      <w:r>
        <w:separator/>
      </w:r>
    </w:p>
  </w:endnote>
  <w:endnote w:type="continuationSeparator" w:id="0">
    <w:p w:rsidR="001E3150" w:rsidRDefault="001E3150"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614312" w:rsidRDefault="00614312">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614312" w:rsidRDefault="00614312">
        <w:pPr>
          <w:pStyle w:val="Footer"/>
          <w:jc w:val="center"/>
        </w:pPr>
        <w:r>
          <w:fldChar w:fldCharType="begin"/>
        </w:r>
        <w:r>
          <w:instrText xml:space="preserve"> PAGE    \* MERGEFORMAT </w:instrText>
        </w:r>
        <w:r>
          <w:fldChar w:fldCharType="separate"/>
        </w:r>
        <w:r w:rsidR="00DE55EB">
          <w:rPr>
            <w:noProof/>
          </w:rPr>
          <w:t>64</w:t>
        </w:r>
        <w:r>
          <w:rPr>
            <w:noProof/>
          </w:rPr>
          <w:fldChar w:fldCharType="end"/>
        </w:r>
      </w:p>
    </w:sdtContent>
  </w:sdt>
  <w:p w:rsidR="00614312" w:rsidRDefault="00614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150" w:rsidRDefault="001E3150" w:rsidP="008F462D">
      <w:r>
        <w:separator/>
      </w:r>
    </w:p>
  </w:footnote>
  <w:footnote w:type="continuationSeparator" w:id="0">
    <w:p w:rsidR="001E3150" w:rsidRDefault="001E3150"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4"/>
  </w:num>
  <w:num w:numId="2">
    <w:abstractNumId w:val="48"/>
  </w:num>
  <w:num w:numId="3">
    <w:abstractNumId w:val="108"/>
  </w:num>
  <w:num w:numId="4">
    <w:abstractNumId w:val="37"/>
  </w:num>
  <w:num w:numId="5">
    <w:abstractNumId w:val="34"/>
  </w:num>
  <w:num w:numId="6">
    <w:abstractNumId w:val="81"/>
  </w:num>
  <w:num w:numId="7">
    <w:abstractNumId w:val="123"/>
  </w:num>
  <w:num w:numId="8">
    <w:abstractNumId w:val="101"/>
  </w:num>
  <w:num w:numId="9">
    <w:abstractNumId w:val="99"/>
  </w:num>
  <w:num w:numId="10">
    <w:abstractNumId w:val="42"/>
  </w:num>
  <w:num w:numId="11">
    <w:abstractNumId w:val="53"/>
  </w:num>
  <w:num w:numId="12">
    <w:abstractNumId w:val="1"/>
  </w:num>
  <w:num w:numId="13">
    <w:abstractNumId w:val="4"/>
  </w:num>
  <w:num w:numId="14">
    <w:abstractNumId w:val="104"/>
  </w:num>
  <w:num w:numId="15">
    <w:abstractNumId w:val="57"/>
  </w:num>
  <w:num w:numId="16">
    <w:abstractNumId w:val="106"/>
  </w:num>
  <w:num w:numId="17">
    <w:abstractNumId w:val="17"/>
  </w:num>
  <w:num w:numId="18">
    <w:abstractNumId w:val="118"/>
  </w:num>
  <w:num w:numId="19">
    <w:abstractNumId w:val="110"/>
  </w:num>
  <w:num w:numId="20">
    <w:abstractNumId w:val="33"/>
  </w:num>
  <w:num w:numId="21">
    <w:abstractNumId w:val="6"/>
  </w:num>
  <w:num w:numId="22">
    <w:abstractNumId w:val="78"/>
  </w:num>
  <w:num w:numId="23">
    <w:abstractNumId w:val="120"/>
  </w:num>
  <w:num w:numId="24">
    <w:abstractNumId w:val="16"/>
  </w:num>
  <w:num w:numId="25">
    <w:abstractNumId w:val="98"/>
  </w:num>
  <w:num w:numId="26">
    <w:abstractNumId w:val="91"/>
  </w:num>
  <w:num w:numId="27">
    <w:abstractNumId w:val="76"/>
  </w:num>
  <w:num w:numId="28">
    <w:abstractNumId w:val="27"/>
  </w:num>
  <w:num w:numId="29">
    <w:abstractNumId w:val="75"/>
  </w:num>
  <w:num w:numId="30">
    <w:abstractNumId w:val="12"/>
  </w:num>
  <w:num w:numId="31">
    <w:abstractNumId w:val="113"/>
  </w:num>
  <w:num w:numId="32">
    <w:abstractNumId w:val="31"/>
  </w:num>
  <w:num w:numId="33">
    <w:abstractNumId w:val="119"/>
  </w:num>
  <w:num w:numId="34">
    <w:abstractNumId w:val="7"/>
  </w:num>
  <w:num w:numId="35">
    <w:abstractNumId w:val="3"/>
  </w:num>
  <w:num w:numId="36">
    <w:abstractNumId w:val="73"/>
  </w:num>
  <w:num w:numId="37">
    <w:abstractNumId w:val="88"/>
  </w:num>
  <w:num w:numId="38">
    <w:abstractNumId w:val="35"/>
  </w:num>
  <w:num w:numId="39">
    <w:abstractNumId w:val="117"/>
  </w:num>
  <w:num w:numId="40">
    <w:abstractNumId w:val="20"/>
  </w:num>
  <w:num w:numId="41">
    <w:abstractNumId w:val="18"/>
  </w:num>
  <w:num w:numId="42">
    <w:abstractNumId w:val="22"/>
  </w:num>
  <w:num w:numId="43">
    <w:abstractNumId w:val="77"/>
  </w:num>
  <w:num w:numId="44">
    <w:abstractNumId w:val="86"/>
  </w:num>
  <w:num w:numId="45">
    <w:abstractNumId w:val="40"/>
  </w:num>
  <w:num w:numId="46">
    <w:abstractNumId w:val="43"/>
  </w:num>
  <w:num w:numId="47">
    <w:abstractNumId w:val="87"/>
  </w:num>
  <w:num w:numId="48">
    <w:abstractNumId w:val="107"/>
  </w:num>
  <w:num w:numId="49">
    <w:abstractNumId w:val="41"/>
  </w:num>
  <w:num w:numId="50">
    <w:abstractNumId w:val="102"/>
  </w:num>
  <w:num w:numId="51">
    <w:abstractNumId w:val="69"/>
  </w:num>
  <w:num w:numId="52">
    <w:abstractNumId w:val="125"/>
  </w:num>
  <w:num w:numId="53">
    <w:abstractNumId w:val="103"/>
  </w:num>
  <w:num w:numId="54">
    <w:abstractNumId w:val="68"/>
  </w:num>
  <w:num w:numId="55">
    <w:abstractNumId w:val="64"/>
  </w:num>
  <w:num w:numId="56">
    <w:abstractNumId w:val="109"/>
  </w:num>
  <w:num w:numId="57">
    <w:abstractNumId w:val="24"/>
  </w:num>
  <w:num w:numId="58">
    <w:abstractNumId w:val="82"/>
  </w:num>
  <w:num w:numId="59">
    <w:abstractNumId w:val="60"/>
  </w:num>
  <w:num w:numId="60">
    <w:abstractNumId w:val="56"/>
  </w:num>
  <w:num w:numId="61">
    <w:abstractNumId w:val="62"/>
  </w:num>
  <w:num w:numId="62">
    <w:abstractNumId w:val="74"/>
  </w:num>
  <w:num w:numId="63">
    <w:abstractNumId w:val="15"/>
  </w:num>
  <w:num w:numId="64">
    <w:abstractNumId w:val="89"/>
  </w:num>
  <w:num w:numId="65">
    <w:abstractNumId w:val="71"/>
  </w:num>
  <w:num w:numId="66">
    <w:abstractNumId w:val="114"/>
  </w:num>
  <w:num w:numId="67">
    <w:abstractNumId w:val="8"/>
  </w:num>
  <w:num w:numId="68">
    <w:abstractNumId w:val="47"/>
  </w:num>
  <w:num w:numId="69">
    <w:abstractNumId w:val="2"/>
  </w:num>
  <w:num w:numId="70">
    <w:abstractNumId w:val="51"/>
  </w:num>
  <w:num w:numId="71">
    <w:abstractNumId w:val="28"/>
  </w:num>
  <w:num w:numId="72">
    <w:abstractNumId w:val="21"/>
  </w:num>
  <w:num w:numId="73">
    <w:abstractNumId w:val="44"/>
  </w:num>
  <w:num w:numId="74">
    <w:abstractNumId w:val="70"/>
  </w:num>
  <w:num w:numId="75">
    <w:abstractNumId w:val="116"/>
  </w:num>
  <w:num w:numId="76">
    <w:abstractNumId w:val="39"/>
  </w:num>
  <w:num w:numId="77">
    <w:abstractNumId w:val="9"/>
  </w:num>
  <w:num w:numId="78">
    <w:abstractNumId w:val="65"/>
  </w:num>
  <w:num w:numId="79">
    <w:abstractNumId w:val="32"/>
  </w:num>
  <w:num w:numId="80">
    <w:abstractNumId w:val="79"/>
  </w:num>
  <w:num w:numId="81">
    <w:abstractNumId w:val="50"/>
  </w:num>
  <w:num w:numId="82">
    <w:abstractNumId w:val="52"/>
  </w:num>
  <w:num w:numId="83">
    <w:abstractNumId w:val="36"/>
  </w:num>
  <w:num w:numId="84">
    <w:abstractNumId w:val="29"/>
  </w:num>
  <w:num w:numId="85">
    <w:abstractNumId w:val="61"/>
  </w:num>
  <w:num w:numId="86">
    <w:abstractNumId w:val="19"/>
  </w:num>
  <w:num w:numId="87">
    <w:abstractNumId w:val="26"/>
  </w:num>
  <w:num w:numId="88">
    <w:abstractNumId w:val="94"/>
  </w:num>
  <w:num w:numId="89">
    <w:abstractNumId w:val="67"/>
  </w:num>
  <w:num w:numId="90">
    <w:abstractNumId w:val="115"/>
  </w:num>
  <w:num w:numId="91">
    <w:abstractNumId w:val="100"/>
  </w:num>
  <w:num w:numId="92">
    <w:abstractNumId w:val="23"/>
  </w:num>
  <w:num w:numId="93">
    <w:abstractNumId w:val="11"/>
  </w:num>
  <w:num w:numId="94">
    <w:abstractNumId w:val="38"/>
  </w:num>
  <w:num w:numId="95">
    <w:abstractNumId w:val="85"/>
  </w:num>
  <w:num w:numId="96">
    <w:abstractNumId w:val="112"/>
  </w:num>
  <w:num w:numId="97">
    <w:abstractNumId w:val="14"/>
  </w:num>
  <w:num w:numId="98">
    <w:abstractNumId w:val="90"/>
  </w:num>
  <w:num w:numId="99">
    <w:abstractNumId w:val="10"/>
  </w:num>
  <w:num w:numId="100">
    <w:abstractNumId w:val="95"/>
  </w:num>
  <w:num w:numId="101">
    <w:abstractNumId w:val="83"/>
  </w:num>
  <w:num w:numId="102">
    <w:abstractNumId w:val="97"/>
  </w:num>
  <w:num w:numId="103">
    <w:abstractNumId w:val="121"/>
  </w:num>
  <w:num w:numId="104">
    <w:abstractNumId w:val="25"/>
  </w:num>
  <w:num w:numId="105">
    <w:abstractNumId w:val="105"/>
  </w:num>
  <w:num w:numId="106">
    <w:abstractNumId w:val="45"/>
  </w:num>
  <w:num w:numId="107">
    <w:abstractNumId w:val="0"/>
  </w:num>
  <w:num w:numId="108">
    <w:abstractNumId w:val="5"/>
  </w:num>
  <w:num w:numId="109">
    <w:abstractNumId w:val="93"/>
  </w:num>
  <w:num w:numId="110">
    <w:abstractNumId w:val="49"/>
  </w:num>
  <w:num w:numId="111">
    <w:abstractNumId w:val="55"/>
  </w:num>
  <w:num w:numId="112">
    <w:abstractNumId w:val="46"/>
  </w:num>
  <w:num w:numId="113">
    <w:abstractNumId w:val="92"/>
  </w:num>
  <w:num w:numId="114">
    <w:abstractNumId w:val="13"/>
  </w:num>
  <w:num w:numId="115">
    <w:abstractNumId w:val="111"/>
  </w:num>
  <w:num w:numId="116">
    <w:abstractNumId w:val="58"/>
  </w:num>
  <w:num w:numId="117">
    <w:abstractNumId w:val="96"/>
  </w:num>
  <w:num w:numId="118">
    <w:abstractNumId w:val="122"/>
  </w:num>
  <w:num w:numId="119">
    <w:abstractNumId w:val="72"/>
  </w:num>
  <w:num w:numId="120">
    <w:abstractNumId w:val="30"/>
  </w:num>
  <w:num w:numId="121">
    <w:abstractNumId w:val="54"/>
  </w:num>
  <w:num w:numId="122">
    <w:abstractNumId w:val="80"/>
  </w:num>
  <w:num w:numId="123">
    <w:abstractNumId w:val="66"/>
  </w:num>
  <w:num w:numId="124">
    <w:abstractNumId w:val="124"/>
  </w:num>
  <w:num w:numId="125">
    <w:abstractNumId w:val="59"/>
  </w:num>
  <w:num w:numId="126">
    <w:abstractNumId w:val="6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20B11"/>
    <w:rsid w:val="000321F9"/>
    <w:rsid w:val="00035C7B"/>
    <w:rsid w:val="00040E92"/>
    <w:rsid w:val="00042BF8"/>
    <w:rsid w:val="000524F8"/>
    <w:rsid w:val="00067878"/>
    <w:rsid w:val="00067F3A"/>
    <w:rsid w:val="00075039"/>
    <w:rsid w:val="00087983"/>
    <w:rsid w:val="00091F8B"/>
    <w:rsid w:val="000A4FAE"/>
    <w:rsid w:val="000C49C5"/>
    <w:rsid w:val="000D5C53"/>
    <w:rsid w:val="000F3195"/>
    <w:rsid w:val="00103E3C"/>
    <w:rsid w:val="001101CE"/>
    <w:rsid w:val="001369F0"/>
    <w:rsid w:val="00140884"/>
    <w:rsid w:val="00151220"/>
    <w:rsid w:val="001613BA"/>
    <w:rsid w:val="00167872"/>
    <w:rsid w:val="00167B52"/>
    <w:rsid w:val="001941C8"/>
    <w:rsid w:val="00194686"/>
    <w:rsid w:val="001976FD"/>
    <w:rsid w:val="001A0093"/>
    <w:rsid w:val="001A00F4"/>
    <w:rsid w:val="001A1390"/>
    <w:rsid w:val="001A293F"/>
    <w:rsid w:val="001A67C5"/>
    <w:rsid w:val="001B0293"/>
    <w:rsid w:val="001B1B3D"/>
    <w:rsid w:val="001D6E76"/>
    <w:rsid w:val="001E3150"/>
    <w:rsid w:val="001F03C3"/>
    <w:rsid w:val="001F1086"/>
    <w:rsid w:val="00206443"/>
    <w:rsid w:val="002426A3"/>
    <w:rsid w:val="00242EA4"/>
    <w:rsid w:val="00250EDF"/>
    <w:rsid w:val="00252E6B"/>
    <w:rsid w:val="00253C48"/>
    <w:rsid w:val="002567C9"/>
    <w:rsid w:val="002571C1"/>
    <w:rsid w:val="002670A7"/>
    <w:rsid w:val="002835A7"/>
    <w:rsid w:val="0029169A"/>
    <w:rsid w:val="002C0A59"/>
    <w:rsid w:val="002C0F71"/>
    <w:rsid w:val="002C7FA2"/>
    <w:rsid w:val="002E43DD"/>
    <w:rsid w:val="002E5B03"/>
    <w:rsid w:val="002E6E28"/>
    <w:rsid w:val="002E6F56"/>
    <w:rsid w:val="002E7F8B"/>
    <w:rsid w:val="00317EF3"/>
    <w:rsid w:val="00322068"/>
    <w:rsid w:val="00333B3E"/>
    <w:rsid w:val="00337FA0"/>
    <w:rsid w:val="003705EC"/>
    <w:rsid w:val="00375834"/>
    <w:rsid w:val="003779D2"/>
    <w:rsid w:val="00385939"/>
    <w:rsid w:val="00397E59"/>
    <w:rsid w:val="003B230D"/>
    <w:rsid w:val="003B61EB"/>
    <w:rsid w:val="003B6BD7"/>
    <w:rsid w:val="003D5E99"/>
    <w:rsid w:val="003D71F9"/>
    <w:rsid w:val="003E08B2"/>
    <w:rsid w:val="003E10CD"/>
    <w:rsid w:val="00401D30"/>
    <w:rsid w:val="00404AB0"/>
    <w:rsid w:val="00417086"/>
    <w:rsid w:val="00432C49"/>
    <w:rsid w:val="004353C8"/>
    <w:rsid w:val="00440108"/>
    <w:rsid w:val="004421AF"/>
    <w:rsid w:val="00451A26"/>
    <w:rsid w:val="004719DA"/>
    <w:rsid w:val="004738E4"/>
    <w:rsid w:val="00486537"/>
    <w:rsid w:val="00493DE7"/>
    <w:rsid w:val="004B1053"/>
    <w:rsid w:val="004C777F"/>
    <w:rsid w:val="004D1639"/>
    <w:rsid w:val="004D1D90"/>
    <w:rsid w:val="004D3A9C"/>
    <w:rsid w:val="004D767E"/>
    <w:rsid w:val="004E14C0"/>
    <w:rsid w:val="004E1678"/>
    <w:rsid w:val="004E3431"/>
    <w:rsid w:val="004E4965"/>
    <w:rsid w:val="004F0A0D"/>
    <w:rsid w:val="004F1450"/>
    <w:rsid w:val="0051040D"/>
    <w:rsid w:val="005107B5"/>
    <w:rsid w:val="00514A9C"/>
    <w:rsid w:val="00516F4F"/>
    <w:rsid w:val="00517652"/>
    <w:rsid w:val="0053128D"/>
    <w:rsid w:val="00541000"/>
    <w:rsid w:val="0054384C"/>
    <w:rsid w:val="00544737"/>
    <w:rsid w:val="00545B8A"/>
    <w:rsid w:val="00566250"/>
    <w:rsid w:val="0057464A"/>
    <w:rsid w:val="00580D81"/>
    <w:rsid w:val="005A324B"/>
    <w:rsid w:val="005C206F"/>
    <w:rsid w:val="005D3AF6"/>
    <w:rsid w:val="005E3F9A"/>
    <w:rsid w:val="005F1E57"/>
    <w:rsid w:val="005F5287"/>
    <w:rsid w:val="005F5DD8"/>
    <w:rsid w:val="0060273C"/>
    <w:rsid w:val="006043D1"/>
    <w:rsid w:val="00606910"/>
    <w:rsid w:val="00614312"/>
    <w:rsid w:val="00625B3B"/>
    <w:rsid w:val="0063410C"/>
    <w:rsid w:val="0063634F"/>
    <w:rsid w:val="00651276"/>
    <w:rsid w:val="00673D82"/>
    <w:rsid w:val="00676437"/>
    <w:rsid w:val="006B3E9E"/>
    <w:rsid w:val="006F1D53"/>
    <w:rsid w:val="006F64BE"/>
    <w:rsid w:val="00700516"/>
    <w:rsid w:val="00722DFA"/>
    <w:rsid w:val="0074006C"/>
    <w:rsid w:val="007415B2"/>
    <w:rsid w:val="00744041"/>
    <w:rsid w:val="007551C1"/>
    <w:rsid w:val="007640E7"/>
    <w:rsid w:val="0079129B"/>
    <w:rsid w:val="00793420"/>
    <w:rsid w:val="00795C38"/>
    <w:rsid w:val="007A09A2"/>
    <w:rsid w:val="007A7631"/>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211E"/>
    <w:rsid w:val="008938F6"/>
    <w:rsid w:val="00895C6E"/>
    <w:rsid w:val="008A0E18"/>
    <w:rsid w:val="008A18B1"/>
    <w:rsid w:val="008A7C9B"/>
    <w:rsid w:val="008B580C"/>
    <w:rsid w:val="008B6C74"/>
    <w:rsid w:val="008C6064"/>
    <w:rsid w:val="008F175A"/>
    <w:rsid w:val="008F462D"/>
    <w:rsid w:val="009002C2"/>
    <w:rsid w:val="00920613"/>
    <w:rsid w:val="0095261B"/>
    <w:rsid w:val="0096452D"/>
    <w:rsid w:val="00976605"/>
    <w:rsid w:val="009802FB"/>
    <w:rsid w:val="00980BB2"/>
    <w:rsid w:val="009A0282"/>
    <w:rsid w:val="009B40E8"/>
    <w:rsid w:val="009B4E7B"/>
    <w:rsid w:val="009C274C"/>
    <w:rsid w:val="009D0A87"/>
    <w:rsid w:val="009D49F0"/>
    <w:rsid w:val="009D7797"/>
    <w:rsid w:val="009E5F68"/>
    <w:rsid w:val="00A15876"/>
    <w:rsid w:val="00A243B5"/>
    <w:rsid w:val="00A25D37"/>
    <w:rsid w:val="00A26F19"/>
    <w:rsid w:val="00A57A13"/>
    <w:rsid w:val="00A76589"/>
    <w:rsid w:val="00A90A15"/>
    <w:rsid w:val="00AA126B"/>
    <w:rsid w:val="00AA7A7B"/>
    <w:rsid w:val="00AB4F31"/>
    <w:rsid w:val="00AC5375"/>
    <w:rsid w:val="00AD45BB"/>
    <w:rsid w:val="00AE334C"/>
    <w:rsid w:val="00AF1CE6"/>
    <w:rsid w:val="00B0240D"/>
    <w:rsid w:val="00B025B0"/>
    <w:rsid w:val="00B243A0"/>
    <w:rsid w:val="00B4720B"/>
    <w:rsid w:val="00B53ECF"/>
    <w:rsid w:val="00B57288"/>
    <w:rsid w:val="00B65779"/>
    <w:rsid w:val="00B7496E"/>
    <w:rsid w:val="00B94B67"/>
    <w:rsid w:val="00BB28E3"/>
    <w:rsid w:val="00BB4566"/>
    <w:rsid w:val="00BC2EF5"/>
    <w:rsid w:val="00BC350B"/>
    <w:rsid w:val="00BC5970"/>
    <w:rsid w:val="00BC675F"/>
    <w:rsid w:val="00BD458D"/>
    <w:rsid w:val="00BE36F7"/>
    <w:rsid w:val="00BE44F4"/>
    <w:rsid w:val="00BE63F3"/>
    <w:rsid w:val="00BF12C9"/>
    <w:rsid w:val="00BF58E5"/>
    <w:rsid w:val="00C165F7"/>
    <w:rsid w:val="00C24948"/>
    <w:rsid w:val="00C2577C"/>
    <w:rsid w:val="00C513C4"/>
    <w:rsid w:val="00C6242C"/>
    <w:rsid w:val="00C81FF6"/>
    <w:rsid w:val="00C84E86"/>
    <w:rsid w:val="00C84EEF"/>
    <w:rsid w:val="00C947AF"/>
    <w:rsid w:val="00CA12B3"/>
    <w:rsid w:val="00CA5F70"/>
    <w:rsid w:val="00CB178E"/>
    <w:rsid w:val="00CB6000"/>
    <w:rsid w:val="00CC454E"/>
    <w:rsid w:val="00CC5138"/>
    <w:rsid w:val="00CD728E"/>
    <w:rsid w:val="00CE2F8F"/>
    <w:rsid w:val="00CE38D4"/>
    <w:rsid w:val="00D2195D"/>
    <w:rsid w:val="00D302FA"/>
    <w:rsid w:val="00D40F8B"/>
    <w:rsid w:val="00D41D6F"/>
    <w:rsid w:val="00D47AE2"/>
    <w:rsid w:val="00D81561"/>
    <w:rsid w:val="00D83A71"/>
    <w:rsid w:val="00D83A7E"/>
    <w:rsid w:val="00D85F42"/>
    <w:rsid w:val="00D862E5"/>
    <w:rsid w:val="00D905E7"/>
    <w:rsid w:val="00D94404"/>
    <w:rsid w:val="00DA35A3"/>
    <w:rsid w:val="00DB3082"/>
    <w:rsid w:val="00DB54D3"/>
    <w:rsid w:val="00DE10B2"/>
    <w:rsid w:val="00DE55EB"/>
    <w:rsid w:val="00E176E4"/>
    <w:rsid w:val="00E37E86"/>
    <w:rsid w:val="00E43176"/>
    <w:rsid w:val="00E43204"/>
    <w:rsid w:val="00E44946"/>
    <w:rsid w:val="00E574F2"/>
    <w:rsid w:val="00E604F1"/>
    <w:rsid w:val="00E72945"/>
    <w:rsid w:val="00E80E6A"/>
    <w:rsid w:val="00E92592"/>
    <w:rsid w:val="00E9418F"/>
    <w:rsid w:val="00EA73C3"/>
    <w:rsid w:val="00EB23AC"/>
    <w:rsid w:val="00EB6CFC"/>
    <w:rsid w:val="00EC0D9D"/>
    <w:rsid w:val="00EC7CE4"/>
    <w:rsid w:val="00ED114F"/>
    <w:rsid w:val="00ED51E8"/>
    <w:rsid w:val="00EE1AF1"/>
    <w:rsid w:val="00F05E0D"/>
    <w:rsid w:val="00F21CDE"/>
    <w:rsid w:val="00F21D87"/>
    <w:rsid w:val="00F45145"/>
    <w:rsid w:val="00F465F9"/>
    <w:rsid w:val="00F57C91"/>
    <w:rsid w:val="00F6761B"/>
    <w:rsid w:val="00F73DE0"/>
    <w:rsid w:val="00F81EB1"/>
    <w:rsid w:val="00F83992"/>
    <w:rsid w:val="00F84771"/>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83"/>
    <w:rsid w:val="00E834C9"/>
    <w:rsid w:val="00F10B02"/>
    <w:rsid w:val="00F9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4C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4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312</Pages>
  <Words>59905</Words>
  <Characters>341460</Characters>
  <Application>Microsoft Office Word</Application>
  <DocSecurity>0</DocSecurity>
  <Lines>2845</Lines>
  <Paragraphs>801</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400564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20</cp:revision>
  <cp:lastPrinted>2017-02-28T11:24:00Z</cp:lastPrinted>
  <dcterms:created xsi:type="dcterms:W3CDTF">2017-04-26T19:29:00Z</dcterms:created>
  <dcterms:modified xsi:type="dcterms:W3CDTF">2017-04-26T23:48:00Z</dcterms:modified>
</cp:coreProperties>
</file>