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4C6F87">
        <w:rPr>
          <w:b/>
          <w:bCs/>
        </w:rPr>
        <w:t>8</w:t>
      </w:r>
      <w:r w:rsidR="00106F7D">
        <w:rPr>
          <w:b/>
          <w:bCs/>
        </w:rPr>
        <w:t>9</w:t>
      </w:r>
      <w:r w:rsidR="00451A26">
        <w:rPr>
          <w:b/>
          <w:bCs/>
        </w:rPr>
        <w:t xml:space="preserve"> </w:t>
      </w:r>
      <w:r w:rsidR="00106F7D">
        <w:t>11</w:t>
      </w:r>
      <w:r>
        <w:t xml:space="preserve"> </w:t>
      </w:r>
      <w:r w:rsidR="009F11EF">
        <w:t>June</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B47E3E"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B47E3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B47E3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B47E3E"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B47E3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B47E3E"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B47E3E"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B47E3E"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B47E3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B47E3E"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B47E3E"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B47E3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B47E3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B47E3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B47E3E"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B47E3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B47E3E"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B47E3E"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B47E3E"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B47E3E"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B47E3E"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B47E3E"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B47E3E"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B47E3E"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B47E3E"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B47E3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B47E3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B47E3E"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B47E3E"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B47E3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B47E3E"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B47E3E"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B47E3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8696621"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B47E3E"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8696622"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B47E3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B47E3E"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B47E3E"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B47E3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B47E3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B47E3E"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B47E3E"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B47E3E"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B47E3E"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B47E3E"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B47E3E"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B47E3E"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B47E3E"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B47E3E"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B47E3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B47E3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B47E3E"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B47E3E"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B47E3E"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B47E3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B47E3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B47E3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B47E3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B47E3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B47E3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B47E3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B47E3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B47E3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B47E3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B47E3E"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B47E3E"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B47E3E"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B47E3E"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B47E3E"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B47E3E"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B47E3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B47E3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B47E3E"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B47E3E"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B47E3E"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B47E3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B47E3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B47E3E"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B47E3E"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B47E3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B47E3E"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B47E3E"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B47E3E"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B47E3E"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B47E3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B47E3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B47E3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B47E3E"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B47E3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B47E3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B47E3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B47E3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B47E3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B47E3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B47E3E"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B47E3E"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B47E3E"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B47E3E"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B47E3E"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B47E3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B47E3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B47E3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B47E3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B47E3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B47E3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B47E3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B47E3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B47E3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B47E3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B47E3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B47E3E"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B47E3E"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B47E3E"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B47E3E"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B47E3E"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B47E3E"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B47E3E"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53C9E">
      <w:pPr>
        <w:pStyle w:val="ListParagraph"/>
        <w:numPr>
          <w:ilvl w:val="0"/>
          <w:numId w:val="159"/>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6A37DC">
      <w:pPr>
        <w:pStyle w:val="ListParagraph"/>
        <w:numPr>
          <w:ilvl w:val="0"/>
          <w:numId w:val="160"/>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6A37DC">
      <w:pPr>
        <w:pStyle w:val="ListParagraph"/>
        <w:numPr>
          <w:ilvl w:val="0"/>
          <w:numId w:val="161"/>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6A37DC">
      <w:pPr>
        <w:pStyle w:val="ListParagraph"/>
        <w:numPr>
          <w:ilvl w:val="0"/>
          <w:numId w:val="162"/>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4E2EB8">
      <w:pPr>
        <w:pStyle w:val="ListParagraph"/>
        <w:numPr>
          <w:ilvl w:val="0"/>
          <w:numId w:val="163"/>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4E2EB8">
      <w:pPr>
        <w:pStyle w:val="ListParagraph"/>
        <w:numPr>
          <w:ilvl w:val="0"/>
          <w:numId w:val="164"/>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4E2EB8">
      <w:pPr>
        <w:pStyle w:val="ListParagraph"/>
        <w:numPr>
          <w:ilvl w:val="0"/>
          <w:numId w:val="164"/>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4E2EB8">
      <w:pPr>
        <w:pStyle w:val="ListParagraph"/>
        <w:numPr>
          <w:ilvl w:val="0"/>
          <w:numId w:val="164"/>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4E2EB8">
      <w:pPr>
        <w:pStyle w:val="ListParagraph"/>
        <w:numPr>
          <w:ilvl w:val="0"/>
          <w:numId w:val="164"/>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4E2EB8">
      <w:pPr>
        <w:pStyle w:val="ListParagraph"/>
        <w:numPr>
          <w:ilvl w:val="0"/>
          <w:numId w:val="164"/>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4E2EB8">
      <w:pPr>
        <w:pStyle w:val="ListParagraph"/>
        <w:numPr>
          <w:ilvl w:val="0"/>
          <w:numId w:val="164"/>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4E2EB8">
      <w:pPr>
        <w:pStyle w:val="ListParagraph"/>
        <w:numPr>
          <w:ilvl w:val="0"/>
          <w:numId w:val="164"/>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4E2EB8">
      <w:pPr>
        <w:pStyle w:val="ListParagraph"/>
        <w:numPr>
          <w:ilvl w:val="0"/>
          <w:numId w:val="164"/>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4E2EB8">
      <w:pPr>
        <w:pStyle w:val="ListParagraph"/>
        <w:numPr>
          <w:ilvl w:val="0"/>
          <w:numId w:val="164"/>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4E2EB8">
      <w:pPr>
        <w:pStyle w:val="ListParagraph"/>
        <w:numPr>
          <w:ilvl w:val="0"/>
          <w:numId w:val="164"/>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995BA8">
      <w:pPr>
        <w:pStyle w:val="ListParagraph"/>
        <w:numPr>
          <w:ilvl w:val="0"/>
          <w:numId w:val="165"/>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995BA8">
      <w:pPr>
        <w:pStyle w:val="ListParagraph"/>
        <w:numPr>
          <w:ilvl w:val="0"/>
          <w:numId w:val="165"/>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995BA8">
      <w:pPr>
        <w:pStyle w:val="ListParagraph"/>
        <w:numPr>
          <w:ilvl w:val="0"/>
          <w:numId w:val="165"/>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5355E">
      <w:pPr>
        <w:pStyle w:val="ListParagraph"/>
        <w:numPr>
          <w:ilvl w:val="0"/>
          <w:numId w:val="166"/>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5355E">
      <w:pPr>
        <w:pStyle w:val="ListParagraph"/>
        <w:numPr>
          <w:ilvl w:val="0"/>
          <w:numId w:val="166"/>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5355E">
      <w:pPr>
        <w:pStyle w:val="ListParagraph"/>
        <w:numPr>
          <w:ilvl w:val="0"/>
          <w:numId w:val="166"/>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5355E">
      <w:pPr>
        <w:pStyle w:val="ListParagraph"/>
        <w:numPr>
          <w:ilvl w:val="0"/>
          <w:numId w:val="166"/>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5355E">
      <w:pPr>
        <w:pStyle w:val="ListParagraph"/>
        <w:numPr>
          <w:ilvl w:val="0"/>
          <w:numId w:val="166"/>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5355E">
      <w:pPr>
        <w:pStyle w:val="ListParagraph"/>
        <w:numPr>
          <w:ilvl w:val="0"/>
          <w:numId w:val="166"/>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B47E3E"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B47E3E"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5355E">
      <w:pPr>
        <w:pStyle w:val="ListParagraph"/>
        <w:numPr>
          <w:ilvl w:val="0"/>
          <w:numId w:val="166"/>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5355E">
      <w:pPr>
        <w:pStyle w:val="ListParagraph"/>
        <w:numPr>
          <w:ilvl w:val="0"/>
          <w:numId w:val="166"/>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5355E">
      <w:pPr>
        <w:pStyle w:val="ListParagraph"/>
        <w:numPr>
          <w:ilvl w:val="0"/>
          <w:numId w:val="166"/>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5355E">
      <w:pPr>
        <w:pStyle w:val="ListParagraph"/>
        <w:numPr>
          <w:ilvl w:val="0"/>
          <w:numId w:val="166"/>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5355E">
      <w:pPr>
        <w:pStyle w:val="ListParagraph"/>
        <w:numPr>
          <w:ilvl w:val="0"/>
          <w:numId w:val="166"/>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5355E">
      <w:pPr>
        <w:pStyle w:val="ListParagraph"/>
        <w:numPr>
          <w:ilvl w:val="0"/>
          <w:numId w:val="166"/>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6F5742">
      <w:pPr>
        <w:pStyle w:val="ListParagraph"/>
        <w:numPr>
          <w:ilvl w:val="0"/>
          <w:numId w:val="167"/>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6F5742">
      <w:pPr>
        <w:pStyle w:val="ListParagraph"/>
        <w:numPr>
          <w:ilvl w:val="0"/>
          <w:numId w:val="167"/>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6F5742">
      <w:pPr>
        <w:pStyle w:val="ListParagraph"/>
        <w:numPr>
          <w:ilvl w:val="0"/>
          <w:numId w:val="167"/>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6F5742">
      <w:pPr>
        <w:pStyle w:val="ListParagraph"/>
        <w:numPr>
          <w:ilvl w:val="0"/>
          <w:numId w:val="167"/>
        </w:numPr>
        <w:spacing w:after="200" w:line="360" w:lineRule="auto"/>
      </w:pPr>
      <w:r>
        <w:rPr>
          <w:u w:val="single"/>
        </w:rPr>
        <w:t>Suitable Proxy Pricer Methodology Candidates</w:t>
      </w:r>
      <w:r w:rsidRPr="00511FD3">
        <w:t>:</w:t>
      </w:r>
      <w:r>
        <w:t xml:space="preserve"> Good proxy pricer candidates include:</w:t>
      </w:r>
    </w:p>
    <w:p w:rsidR="00511FD3" w:rsidRDefault="00511FD3" w:rsidP="00511FD3">
      <w:pPr>
        <w:pStyle w:val="ListParagraph"/>
        <w:numPr>
          <w:ilvl w:val="1"/>
          <w:numId w:val="167"/>
        </w:numPr>
        <w:spacing w:after="200" w:line="360" w:lineRule="auto"/>
      </w:pPr>
      <w:r>
        <w:t>Properly calibrated RFM (Risk Factor Methodology)</w:t>
      </w:r>
    </w:p>
    <w:p w:rsidR="00511FD3" w:rsidRDefault="00511FD3" w:rsidP="00511FD3">
      <w:pPr>
        <w:pStyle w:val="ListParagraph"/>
        <w:numPr>
          <w:ilvl w:val="1"/>
          <w:numId w:val="167"/>
        </w:numPr>
        <w:spacing w:after="200" w:line="360" w:lineRule="auto"/>
      </w:pPr>
      <w:r>
        <w:t>Basel SA-CCR (the standardized approach for measuring counter party credit risk exposures), see Bank for International Settlements (2014)</w:t>
      </w:r>
    </w:p>
    <w:p w:rsidR="00511FD3" w:rsidRDefault="00511FD3" w:rsidP="00511FD3">
      <w:pPr>
        <w:pStyle w:val="ListParagraph"/>
        <w:numPr>
          <w:ilvl w:val="1"/>
          <w:numId w:val="167"/>
        </w:numPr>
        <w:spacing w:after="200" w:line="360" w:lineRule="auto"/>
      </w:pPr>
      <w:r>
        <w:t>ISDA SIMM (Standard Initi</w:t>
      </w:r>
      <w:r w:rsidR="00D16802">
        <w:t>al Margin Model), see ISDA (2017</w:t>
      </w:r>
      <w:r>
        <w:t>) for collateralized cases.</w:t>
      </w:r>
    </w:p>
    <w:p w:rsidR="00511FD3" w:rsidRDefault="00511FD3" w:rsidP="00511FD3">
      <w:pPr>
        <w:pStyle w:val="ListParagraph"/>
        <w:numPr>
          <w:ilvl w:val="0"/>
          <w:numId w:val="167"/>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9F11EF">
      <w:pPr>
        <w:pStyle w:val="ListParagraph"/>
        <w:numPr>
          <w:ilvl w:val="0"/>
          <w:numId w:val="169"/>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9F11EF">
      <w:pPr>
        <w:pStyle w:val="ListParagraph"/>
        <w:numPr>
          <w:ilvl w:val="0"/>
          <w:numId w:val="169"/>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B8619A">
      <w:pPr>
        <w:pStyle w:val="ListParagraph"/>
        <w:numPr>
          <w:ilvl w:val="0"/>
          <w:numId w:val="169"/>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B47E3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B8619A">
      <w:pPr>
        <w:pStyle w:val="ListParagraph"/>
        <w:numPr>
          <w:ilvl w:val="0"/>
          <w:numId w:val="169"/>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B47E3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B8619A">
      <w:pPr>
        <w:pStyle w:val="ListParagraph"/>
        <w:numPr>
          <w:ilvl w:val="0"/>
          <w:numId w:val="169"/>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B8619A">
      <w:pPr>
        <w:pStyle w:val="ListParagraph"/>
        <w:numPr>
          <w:ilvl w:val="0"/>
          <w:numId w:val="169"/>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B8619A">
      <w:pPr>
        <w:pStyle w:val="ListParagraph"/>
        <w:numPr>
          <w:ilvl w:val="0"/>
          <w:numId w:val="169"/>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B47E3E"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B8619A">
      <w:pPr>
        <w:pStyle w:val="ListParagraph"/>
        <w:numPr>
          <w:ilvl w:val="0"/>
          <w:numId w:val="169"/>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B47E3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B47E3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B8619A">
      <w:pPr>
        <w:pStyle w:val="ListParagraph"/>
        <w:numPr>
          <w:ilvl w:val="0"/>
          <w:numId w:val="169"/>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B47E3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B8619A">
      <w:pPr>
        <w:pStyle w:val="ListParagraph"/>
        <w:numPr>
          <w:ilvl w:val="0"/>
          <w:numId w:val="169"/>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B8619A">
      <w:pPr>
        <w:pStyle w:val="ListParagraph"/>
        <w:numPr>
          <w:ilvl w:val="0"/>
          <w:numId w:val="169"/>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B47E3E"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B8619A">
      <w:pPr>
        <w:pStyle w:val="ListParagraph"/>
        <w:numPr>
          <w:ilvl w:val="0"/>
          <w:numId w:val="169"/>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B8619A">
      <w:pPr>
        <w:pStyle w:val="ListParagraph"/>
        <w:numPr>
          <w:ilvl w:val="0"/>
          <w:numId w:val="169"/>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B8619A">
      <w:pPr>
        <w:pStyle w:val="ListParagraph"/>
        <w:numPr>
          <w:ilvl w:val="0"/>
          <w:numId w:val="169"/>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B8619A">
      <w:pPr>
        <w:pStyle w:val="ListParagraph"/>
        <w:numPr>
          <w:ilvl w:val="0"/>
          <w:numId w:val="169"/>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B8619A">
      <w:pPr>
        <w:pStyle w:val="ListParagraph"/>
        <w:numPr>
          <w:ilvl w:val="0"/>
          <w:numId w:val="169"/>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C60973">
      <w:pPr>
        <w:pStyle w:val="ListParagraph"/>
        <w:numPr>
          <w:ilvl w:val="0"/>
          <w:numId w:val="169"/>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B47E3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C60973">
      <w:pPr>
        <w:pStyle w:val="ListParagraph"/>
        <w:numPr>
          <w:ilvl w:val="0"/>
          <w:numId w:val="169"/>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B47E3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B47E3E"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9B350D">
      <w:pPr>
        <w:pStyle w:val="ListParagraph"/>
        <w:numPr>
          <w:ilvl w:val="0"/>
          <w:numId w:val="170"/>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9B350D">
      <w:pPr>
        <w:pStyle w:val="ListParagraph"/>
        <w:numPr>
          <w:ilvl w:val="0"/>
          <w:numId w:val="170"/>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B47E3E"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B47E3E"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9B350D">
      <w:pPr>
        <w:pStyle w:val="ListParagraph"/>
        <w:numPr>
          <w:ilvl w:val="0"/>
          <w:numId w:val="170"/>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B47E3E"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9B350D">
      <w:pPr>
        <w:pStyle w:val="ListParagraph"/>
        <w:numPr>
          <w:ilvl w:val="0"/>
          <w:numId w:val="170"/>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66414A">
      <w:pPr>
        <w:pStyle w:val="ListParagraph"/>
        <w:numPr>
          <w:ilvl w:val="0"/>
          <w:numId w:val="171"/>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66414A">
      <w:pPr>
        <w:pStyle w:val="ListParagraph"/>
        <w:numPr>
          <w:ilvl w:val="0"/>
          <w:numId w:val="171"/>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66414A">
      <w:pPr>
        <w:pStyle w:val="ListParagraph"/>
        <w:numPr>
          <w:ilvl w:val="0"/>
          <w:numId w:val="171"/>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66414A">
      <w:pPr>
        <w:pStyle w:val="ListParagraph"/>
        <w:numPr>
          <w:ilvl w:val="0"/>
          <w:numId w:val="171"/>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5802A3">
      <w:pPr>
        <w:pStyle w:val="ListParagraph"/>
        <w:numPr>
          <w:ilvl w:val="1"/>
          <w:numId w:val="171"/>
        </w:numPr>
        <w:spacing w:after="200" w:line="360" w:lineRule="auto"/>
      </w:pPr>
      <w:r>
        <w:t>The total CVA of the proxy trades is less than 5% of the total CVA of the firm.</w:t>
      </w:r>
    </w:p>
    <w:p w:rsidR="005802A3" w:rsidRDefault="005802A3" w:rsidP="005802A3">
      <w:pPr>
        <w:pStyle w:val="ListParagraph"/>
        <w:numPr>
          <w:ilvl w:val="1"/>
          <w:numId w:val="171"/>
        </w:numPr>
        <w:spacing w:after="200" w:line="360" w:lineRule="auto"/>
      </w:pPr>
      <w:r>
        <w:t>The gross delta of the trades is less than 5% of the total gross delta per each asset class.</w:t>
      </w:r>
    </w:p>
    <w:p w:rsidR="005802A3" w:rsidRDefault="005802A3" w:rsidP="005802A3">
      <w:pPr>
        <w:pStyle w:val="ListParagraph"/>
        <w:numPr>
          <w:ilvl w:val="1"/>
          <w:numId w:val="171"/>
        </w:numPr>
        <w:spacing w:after="200" w:line="360" w:lineRule="auto"/>
      </w:pPr>
      <w:r>
        <w:t>The gross disastrous stress impact of these trades is less than 5% of the total gross disastrous stress impact per asset class.</w:t>
      </w:r>
    </w:p>
    <w:p w:rsidR="005802A3" w:rsidRDefault="005802A3" w:rsidP="005802A3">
      <w:pPr>
        <w:pStyle w:val="ListParagraph"/>
        <w:numPr>
          <w:ilvl w:val="1"/>
          <w:numId w:val="171"/>
        </w:numPr>
        <w:spacing w:after="200" w:line="360" w:lineRule="auto"/>
      </w:pPr>
      <w:r>
        <w:t>Optionally – in certain cases – the gross delta of these is less than 5% of the total gross per asset class for each counter party (for simplicity).</w:t>
      </w:r>
    </w:p>
    <w:p w:rsidR="005802A3" w:rsidRDefault="005802A3" w:rsidP="005802A3">
      <w:pPr>
        <w:pStyle w:val="ListParagraph"/>
        <w:numPr>
          <w:ilvl w:val="0"/>
          <w:numId w:val="171"/>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5802A3">
      <w:pPr>
        <w:pStyle w:val="ListParagraph"/>
        <w:numPr>
          <w:ilvl w:val="0"/>
          <w:numId w:val="171"/>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5802A3">
      <w:pPr>
        <w:pStyle w:val="ListParagraph"/>
        <w:numPr>
          <w:ilvl w:val="0"/>
          <w:numId w:val="171"/>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7A746D">
      <w:pPr>
        <w:pStyle w:val="ListParagraph"/>
        <w:numPr>
          <w:ilvl w:val="0"/>
          <w:numId w:val="172"/>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7A746D">
      <w:pPr>
        <w:pStyle w:val="ListParagraph"/>
        <w:numPr>
          <w:ilvl w:val="0"/>
          <w:numId w:val="172"/>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7A746D">
      <w:pPr>
        <w:pStyle w:val="ListParagraph"/>
        <w:numPr>
          <w:ilvl w:val="0"/>
          <w:numId w:val="172"/>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7A746D">
      <w:pPr>
        <w:pStyle w:val="ListParagraph"/>
        <w:numPr>
          <w:ilvl w:val="0"/>
          <w:numId w:val="172"/>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7A746D">
      <w:pPr>
        <w:pStyle w:val="ListParagraph"/>
        <w:numPr>
          <w:ilvl w:val="0"/>
          <w:numId w:val="172"/>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3064FF">
      <w:pPr>
        <w:pStyle w:val="ListParagraph"/>
        <w:numPr>
          <w:ilvl w:val="0"/>
          <w:numId w:val="173"/>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3064FF">
      <w:pPr>
        <w:pStyle w:val="ListParagraph"/>
        <w:numPr>
          <w:ilvl w:val="0"/>
          <w:numId w:val="173"/>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3064FF">
      <w:pPr>
        <w:pStyle w:val="ListParagraph"/>
        <w:numPr>
          <w:ilvl w:val="0"/>
          <w:numId w:val="173"/>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3064FF">
      <w:pPr>
        <w:pStyle w:val="ListParagraph"/>
        <w:numPr>
          <w:ilvl w:val="0"/>
          <w:numId w:val="173"/>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3064FF">
      <w:pPr>
        <w:pStyle w:val="ListParagraph"/>
        <w:numPr>
          <w:ilvl w:val="0"/>
          <w:numId w:val="173"/>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3064FF">
      <w:pPr>
        <w:pStyle w:val="ListParagraph"/>
        <w:numPr>
          <w:ilvl w:val="0"/>
          <w:numId w:val="173"/>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3064FF">
      <w:pPr>
        <w:pStyle w:val="ListParagraph"/>
        <w:numPr>
          <w:ilvl w:val="0"/>
          <w:numId w:val="173"/>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322BBB">
      <w:pPr>
        <w:pStyle w:val="ListParagraph"/>
        <w:numPr>
          <w:ilvl w:val="0"/>
          <w:numId w:val="174"/>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322BBB">
      <w:pPr>
        <w:pStyle w:val="ListParagraph"/>
        <w:numPr>
          <w:ilvl w:val="0"/>
          <w:numId w:val="174"/>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322BBB">
      <w:pPr>
        <w:pStyle w:val="ListParagraph"/>
        <w:numPr>
          <w:ilvl w:val="0"/>
          <w:numId w:val="174"/>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322BBB">
      <w:pPr>
        <w:pStyle w:val="ListParagraph"/>
        <w:numPr>
          <w:ilvl w:val="0"/>
          <w:numId w:val="174"/>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322BBB">
      <w:pPr>
        <w:pStyle w:val="ListParagraph"/>
        <w:numPr>
          <w:ilvl w:val="0"/>
          <w:numId w:val="174"/>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B47E3E"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B47E3E"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B47E3E"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322BBB">
      <w:pPr>
        <w:pStyle w:val="ListParagraph"/>
        <w:numPr>
          <w:ilvl w:val="0"/>
          <w:numId w:val="174"/>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B47E3E"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322BBB">
      <w:pPr>
        <w:pStyle w:val="ListParagraph"/>
        <w:numPr>
          <w:ilvl w:val="0"/>
          <w:numId w:val="174"/>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B47E3E"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B47E3E"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B47E3E"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322BBB">
      <w:pPr>
        <w:pStyle w:val="ListParagraph"/>
        <w:numPr>
          <w:ilvl w:val="0"/>
          <w:numId w:val="174"/>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B47E3E"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322BBB">
      <w:pPr>
        <w:pStyle w:val="ListParagraph"/>
        <w:numPr>
          <w:ilvl w:val="0"/>
          <w:numId w:val="174"/>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322BBB">
      <w:pPr>
        <w:pStyle w:val="ListParagraph"/>
        <w:numPr>
          <w:ilvl w:val="0"/>
          <w:numId w:val="174"/>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9E0EB0">
      <w:pPr>
        <w:pStyle w:val="ListParagraph"/>
        <w:numPr>
          <w:ilvl w:val="0"/>
          <w:numId w:val="175"/>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9E0EB0">
      <w:pPr>
        <w:pStyle w:val="ListParagraph"/>
        <w:numPr>
          <w:ilvl w:val="0"/>
          <w:numId w:val="175"/>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9E0EB0">
      <w:pPr>
        <w:pStyle w:val="ListParagraph"/>
        <w:numPr>
          <w:ilvl w:val="0"/>
          <w:numId w:val="175"/>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9E0EB0">
      <w:pPr>
        <w:pStyle w:val="ListParagraph"/>
        <w:numPr>
          <w:ilvl w:val="0"/>
          <w:numId w:val="175"/>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9E0EB0">
      <w:pPr>
        <w:pStyle w:val="ListParagraph"/>
        <w:numPr>
          <w:ilvl w:val="0"/>
          <w:numId w:val="175"/>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9E0EB0">
      <w:pPr>
        <w:pStyle w:val="ListParagraph"/>
        <w:numPr>
          <w:ilvl w:val="0"/>
          <w:numId w:val="175"/>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10F47">
      <w:pPr>
        <w:pStyle w:val="ListParagraph"/>
        <w:numPr>
          <w:ilvl w:val="0"/>
          <w:numId w:val="176"/>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10F47">
      <w:pPr>
        <w:pStyle w:val="ListParagraph"/>
        <w:numPr>
          <w:ilvl w:val="0"/>
          <w:numId w:val="176"/>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10F47">
      <w:pPr>
        <w:pStyle w:val="ListParagraph"/>
        <w:numPr>
          <w:ilvl w:val="0"/>
          <w:numId w:val="176"/>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10F47">
      <w:pPr>
        <w:pStyle w:val="ListParagraph"/>
        <w:numPr>
          <w:ilvl w:val="0"/>
          <w:numId w:val="177"/>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10F47">
      <w:pPr>
        <w:pStyle w:val="ListParagraph"/>
        <w:numPr>
          <w:ilvl w:val="0"/>
          <w:numId w:val="177"/>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0058DF">
      <w:pPr>
        <w:pStyle w:val="ListParagraph"/>
        <w:numPr>
          <w:ilvl w:val="1"/>
          <w:numId w:val="177"/>
        </w:numPr>
        <w:spacing w:after="200" w:line="360" w:lineRule="auto"/>
      </w:pPr>
      <w:r>
        <w:t>CDS spread, recovery swaps</w:t>
      </w:r>
    </w:p>
    <w:p w:rsidR="000058DF" w:rsidRDefault="000058DF" w:rsidP="000058DF">
      <w:pPr>
        <w:pStyle w:val="ListParagraph"/>
        <w:numPr>
          <w:ilvl w:val="1"/>
          <w:numId w:val="177"/>
        </w:numPr>
        <w:spacing w:after="200" w:line="360" w:lineRule="auto"/>
      </w:pPr>
      <w:r>
        <w:t>CDS spread, CDS recovery</w:t>
      </w:r>
    </w:p>
    <w:p w:rsidR="000058DF" w:rsidRDefault="000058DF" w:rsidP="000058DF">
      <w:pPr>
        <w:pStyle w:val="ListParagraph"/>
        <w:numPr>
          <w:ilvl w:val="1"/>
          <w:numId w:val="177"/>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0058DF">
      <w:pPr>
        <w:pStyle w:val="ListParagraph"/>
        <w:numPr>
          <w:ilvl w:val="0"/>
          <w:numId w:val="178"/>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0058DF">
      <w:pPr>
        <w:pStyle w:val="ListParagraph"/>
        <w:numPr>
          <w:ilvl w:val="0"/>
          <w:numId w:val="178"/>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0058DF">
      <w:pPr>
        <w:pStyle w:val="ListParagraph"/>
        <w:numPr>
          <w:ilvl w:val="0"/>
          <w:numId w:val="178"/>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0058DF">
      <w:pPr>
        <w:pStyle w:val="ListParagraph"/>
        <w:numPr>
          <w:ilvl w:val="0"/>
          <w:numId w:val="178"/>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0058DF">
      <w:pPr>
        <w:pStyle w:val="ListParagraph"/>
        <w:numPr>
          <w:ilvl w:val="0"/>
          <w:numId w:val="178"/>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0058DF">
      <w:pPr>
        <w:pStyle w:val="ListParagraph"/>
        <w:numPr>
          <w:ilvl w:val="0"/>
          <w:numId w:val="178"/>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0058DF">
      <w:pPr>
        <w:pStyle w:val="ListParagraph"/>
        <w:numPr>
          <w:ilvl w:val="0"/>
          <w:numId w:val="178"/>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B47E3E">
      <w:pPr>
        <w:pStyle w:val="ListParagraph"/>
        <w:numPr>
          <w:ilvl w:val="0"/>
          <w:numId w:val="179"/>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B47E3E">
      <w:pPr>
        <w:pStyle w:val="ListParagraph"/>
        <w:numPr>
          <w:ilvl w:val="0"/>
          <w:numId w:val="179"/>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B47E3E">
      <w:pPr>
        <w:pStyle w:val="ListParagraph"/>
        <w:numPr>
          <w:ilvl w:val="0"/>
          <w:numId w:val="179"/>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B47E3E">
      <w:pPr>
        <w:pStyle w:val="ListParagraph"/>
        <w:numPr>
          <w:ilvl w:val="0"/>
          <w:numId w:val="179"/>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B47E3E">
      <w:pPr>
        <w:pStyle w:val="ListParagraph"/>
        <w:numPr>
          <w:ilvl w:val="0"/>
          <w:numId w:val="179"/>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B47E3E">
      <w:pPr>
        <w:pStyle w:val="ListParagraph"/>
        <w:numPr>
          <w:ilvl w:val="0"/>
          <w:numId w:val="179"/>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B47E3E">
      <w:pPr>
        <w:pStyle w:val="ListParagraph"/>
        <w:numPr>
          <w:ilvl w:val="0"/>
          <w:numId w:val="179"/>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575305">
      <w:pPr>
        <w:pStyle w:val="ListParagraph"/>
        <w:numPr>
          <w:ilvl w:val="0"/>
          <w:numId w:val="180"/>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575305">
      <w:pPr>
        <w:pStyle w:val="ListParagraph"/>
        <w:numPr>
          <w:ilvl w:val="0"/>
          <w:numId w:val="180"/>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575305">
      <w:pPr>
        <w:pStyle w:val="ListParagraph"/>
        <w:numPr>
          <w:ilvl w:val="0"/>
          <w:numId w:val="180"/>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575305">
      <w:pPr>
        <w:pStyle w:val="ListParagraph"/>
        <w:numPr>
          <w:ilvl w:val="0"/>
          <w:numId w:val="180"/>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575305">
      <w:pPr>
        <w:pStyle w:val="ListParagraph"/>
        <w:numPr>
          <w:ilvl w:val="0"/>
          <w:numId w:val="180"/>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CA761C">
      <w:pPr>
        <w:pStyle w:val="ListParagraph"/>
        <w:numPr>
          <w:ilvl w:val="0"/>
          <w:numId w:val="180"/>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CA761C">
      <w:pPr>
        <w:pStyle w:val="ListParagraph"/>
        <w:numPr>
          <w:ilvl w:val="0"/>
          <w:numId w:val="180"/>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CA761C">
      <w:pPr>
        <w:pStyle w:val="ListParagraph"/>
        <w:numPr>
          <w:ilvl w:val="0"/>
          <w:numId w:val="181"/>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CA761C">
      <w:pPr>
        <w:pStyle w:val="ListParagraph"/>
        <w:numPr>
          <w:ilvl w:val="0"/>
          <w:numId w:val="181"/>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CA761C">
      <w:pPr>
        <w:pStyle w:val="ListParagraph"/>
        <w:numPr>
          <w:ilvl w:val="0"/>
          <w:numId w:val="181"/>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9757C1">
      <w:pPr>
        <w:pStyle w:val="ListParagraph"/>
        <w:numPr>
          <w:ilvl w:val="0"/>
          <w:numId w:val="182"/>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9757C1">
      <w:pPr>
        <w:pStyle w:val="ListParagraph"/>
        <w:numPr>
          <w:ilvl w:val="0"/>
          <w:numId w:val="182"/>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9757C1">
      <w:pPr>
        <w:pStyle w:val="ListParagraph"/>
        <w:numPr>
          <w:ilvl w:val="0"/>
          <w:numId w:val="182"/>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9757C1">
      <w:pPr>
        <w:pStyle w:val="ListParagraph"/>
        <w:numPr>
          <w:ilvl w:val="0"/>
          <w:numId w:val="182"/>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9757C1">
      <w:pPr>
        <w:pStyle w:val="ListParagraph"/>
        <w:numPr>
          <w:ilvl w:val="0"/>
          <w:numId w:val="182"/>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9A4019">
      <w:pPr>
        <w:pStyle w:val="ListParagraph"/>
        <w:numPr>
          <w:ilvl w:val="0"/>
          <w:numId w:val="183"/>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9A4019">
      <w:pPr>
        <w:pStyle w:val="ListParagraph"/>
        <w:numPr>
          <w:ilvl w:val="1"/>
          <w:numId w:val="183"/>
        </w:numPr>
        <w:spacing w:after="200" w:line="360" w:lineRule="auto"/>
      </w:pPr>
      <w:r>
        <w:t>The historical data of the CP underlying portfolio NPV and the CP 5Y spread, or better yet</w:t>
      </w:r>
    </w:p>
    <w:p w:rsidR="009A4019" w:rsidRDefault="009A4019" w:rsidP="009A4019">
      <w:pPr>
        <w:pStyle w:val="ListParagraph"/>
        <w:numPr>
          <w:ilvl w:val="1"/>
          <w:numId w:val="183"/>
        </w:numPr>
        <w:spacing w:after="200" w:line="360" w:lineRule="auto"/>
      </w:pPr>
      <w:r>
        <w:t>The historical data of the independent CVA CP Spread01 and the CP (5Y) spread.</w:t>
      </w:r>
    </w:p>
    <w:p w:rsidR="009A4019" w:rsidRDefault="009A4019" w:rsidP="009A4019">
      <w:pPr>
        <w:pStyle w:val="ListParagraph"/>
        <w:numPr>
          <w:ilvl w:val="0"/>
          <w:numId w:val="183"/>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9A4019">
      <w:pPr>
        <w:pStyle w:val="ListParagraph"/>
        <w:numPr>
          <w:ilvl w:val="0"/>
          <w:numId w:val="183"/>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9A4019">
      <w:pPr>
        <w:pStyle w:val="ListParagraph"/>
        <w:numPr>
          <w:ilvl w:val="0"/>
          <w:numId w:val="183"/>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9A4019">
      <w:pPr>
        <w:pStyle w:val="ListParagraph"/>
        <w:numPr>
          <w:ilvl w:val="0"/>
          <w:numId w:val="183"/>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4258F9">
      <w:pPr>
        <w:pStyle w:val="ListParagraph"/>
        <w:numPr>
          <w:ilvl w:val="0"/>
          <w:numId w:val="184"/>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4258F9">
      <w:pPr>
        <w:pStyle w:val="ListParagraph"/>
        <w:numPr>
          <w:ilvl w:val="0"/>
          <w:numId w:val="184"/>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4258F9">
      <w:pPr>
        <w:pStyle w:val="ListParagraph"/>
        <w:numPr>
          <w:ilvl w:val="0"/>
          <w:numId w:val="184"/>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w:t>
      </w:r>
      <w:bookmarkStart w:id="0" w:name="_GoBack"/>
      <w:bookmarkEnd w:id="0"/>
      <w:r>
        <w:t xml:space="preserve"> added in line with Mercurio and Li (2015) and Li and Mercurio (2015) with possible simplifications and additions.</w:t>
      </w:r>
    </w:p>
    <w:p w:rsidR="00B47E3E" w:rsidRDefault="00B47E3E" w:rsidP="00C83F45">
      <w:pPr>
        <w:spacing w:after="200" w:line="360" w:lineRule="auto"/>
      </w:pPr>
    </w:p>
    <w:p w:rsidR="00C83F45" w:rsidRDefault="00C83F45"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16802">
      <w:pPr>
        <w:pStyle w:val="ListParagraph"/>
        <w:numPr>
          <w:ilvl w:val="0"/>
          <w:numId w:val="168"/>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9F11EF">
      <w:pPr>
        <w:pStyle w:val="ListParagraph"/>
        <w:numPr>
          <w:ilvl w:val="0"/>
          <w:numId w:val="168"/>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A37BDE" w:rsidRDefault="00A37BDE" w:rsidP="009F11EF">
      <w:pPr>
        <w:pStyle w:val="ListParagraph"/>
        <w:numPr>
          <w:ilvl w:val="0"/>
          <w:numId w:val="168"/>
        </w:numPr>
        <w:spacing w:after="200" w:line="360" w:lineRule="auto"/>
      </w:pPr>
      <w:r>
        <w:t xml:space="preserve">Federal Register (2013): Rules and Regulations </w:t>
      </w:r>
      <w:r>
        <w:rPr>
          <w:b/>
        </w:rPr>
        <w:t>78 (198)</w:t>
      </w:r>
      <w:r>
        <w:t>.</w:t>
      </w:r>
    </w:p>
    <w:p w:rsidR="00D16802" w:rsidRPr="00E1147C" w:rsidRDefault="00D16802" w:rsidP="00D16802">
      <w:pPr>
        <w:pStyle w:val="ListParagraph"/>
        <w:numPr>
          <w:ilvl w:val="0"/>
          <w:numId w:val="168"/>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16802">
      <w:pPr>
        <w:pStyle w:val="ListParagraph"/>
        <w:numPr>
          <w:ilvl w:val="0"/>
          <w:numId w:val="168"/>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16802">
      <w:pPr>
        <w:pStyle w:val="ListParagraph"/>
        <w:numPr>
          <w:ilvl w:val="0"/>
          <w:numId w:val="168"/>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B47E3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B47E3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B47E3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B47E3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B47E3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B47E3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B47E3E"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B47E3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B47E3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B47E3E"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B47E3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B47E3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B47E3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B47E3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B47E3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B47E3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B47E3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B47E3E"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B47E3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B47E3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B47E3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B47E3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B47E3E"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B47E3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B47E3E"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B47E3E"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47E3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47E3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47E3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47E3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B47E3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B47E3E"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47E3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47E3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47E3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B47E3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B47E3E"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B47E3E"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B47E3E"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B47E3E"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B47E3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47E3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47E3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47E3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lastRenderedPageBreak/>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B47E3E"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B47E3E"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B47E3E"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B47E3E"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B47E3E"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B47E3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B47E3E"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B47E3E"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47E3E"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B47E3E"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B47E3E"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B47E3E"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B47E3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B47E3E"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B47E3E"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B47E3E"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B47E3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B47E3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B47E3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B47E3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B47E3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B47E3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B47E3E"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B47E3E"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B47E3E"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B47E3E"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B47E3E"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B47E3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B47E3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B47E3E"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B47E3E"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B47E3E"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B47E3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B47E3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B47E3E"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B47E3E"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B47E3E"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B47E3E"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B47E3E"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B47E3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B47E3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B47E3E"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B47E3E"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B47E3E"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B47E3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B47E3E"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B47E3E"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B47E3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B47E3E"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B47E3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B47E3E"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B47E3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B47E3E"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B47E3E"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B47E3E"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B47E3E"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B47E3E"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B47E3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B47E3E"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B47E3E"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B47E3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B47E3E"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B47E3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B47E3E"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B47E3E"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B47E3E"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B47E3E"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B47E3E"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B47E3E"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B47E3E"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B47E3E"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B47E3E"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B47E3E"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B47E3E"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B47E3E"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47E3E"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B47E3E"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B47E3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B47E3E"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B47E3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B47E3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B47E3E"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B47E3E"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B47E3E"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B47E3E"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B47E3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B47E3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B47E3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B47E3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B47E3E"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B47E3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B47E3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47E3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47E3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B47E3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47E3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47E3E"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B47E3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B47E3E"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B47E3E"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B47E3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B47E3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B47E3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B47E3E"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B47E3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B47E3E"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B47E3E"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B47E3E"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B47E3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B47E3E"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B47E3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B47E3E"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B47E3E"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B47E3E"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B47E3E"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B47E3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B47E3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B47E3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B47E3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B47E3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B47E3E"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B47E3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47E3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47E3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B47E3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47E3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47E3E"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B47E3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B47E3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B47E3E"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B47E3E"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B47E3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B47E3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B47E3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B47E3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B47E3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B47E3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B47E3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B47E3E"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B47E3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B47E3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B47E3E"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B47E3E"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B47E3E"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B47E3E"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B47E3E"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B47E3E"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B47E3E"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B47E3E"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B47E3E"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B47E3E"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B47E3E"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B47E3E"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B47E3E"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B47E3E"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B47E3E"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B47E3E"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B47E3E"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B47E3E"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B47E3E"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B47E3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B47E3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B47E3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B47E3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B47E3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B47E3E"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B47E3E"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B47E3E"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B47E3E"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B47E3E"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B47E3E"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B47E3E"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B47E3E"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B47E3E"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B47E3E"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B47E3E"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B47E3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B47E3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B47E3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B47E3E"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B47E3E"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B47E3E"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B47E3E"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B47E3E"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B47E3E"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B47E3E"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FFB" w:rsidRDefault="004B2FFB" w:rsidP="008F462D">
      <w:r>
        <w:separator/>
      </w:r>
    </w:p>
  </w:endnote>
  <w:endnote w:type="continuationSeparator" w:id="0">
    <w:p w:rsidR="004B2FFB" w:rsidRDefault="004B2FFB"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4258F9" w:rsidRDefault="004258F9">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4258F9" w:rsidRDefault="004258F9">
        <w:pPr>
          <w:pStyle w:val="Footer"/>
          <w:jc w:val="center"/>
        </w:pPr>
        <w:r>
          <w:fldChar w:fldCharType="begin"/>
        </w:r>
        <w:r>
          <w:instrText xml:space="preserve"> PAGE    \* MERGEFORMAT </w:instrText>
        </w:r>
        <w:r>
          <w:fldChar w:fldCharType="separate"/>
        </w:r>
        <w:r w:rsidR="00973F94">
          <w:rPr>
            <w:noProof/>
          </w:rPr>
          <w:t>160</w:t>
        </w:r>
        <w:r>
          <w:rPr>
            <w:noProof/>
          </w:rPr>
          <w:fldChar w:fldCharType="end"/>
        </w:r>
      </w:p>
    </w:sdtContent>
  </w:sdt>
  <w:p w:rsidR="004258F9" w:rsidRDefault="00425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FFB" w:rsidRDefault="004B2FFB" w:rsidP="008F462D">
      <w:r>
        <w:separator/>
      </w:r>
    </w:p>
  </w:footnote>
  <w:footnote w:type="continuationSeparator" w:id="0">
    <w:p w:rsidR="004B2FFB" w:rsidRDefault="004B2FFB"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1">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3">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7">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0"/>
  </w:num>
  <w:num w:numId="2">
    <w:abstractNumId w:val="70"/>
  </w:num>
  <w:num w:numId="3">
    <w:abstractNumId w:val="153"/>
  </w:num>
  <w:num w:numId="4">
    <w:abstractNumId w:val="52"/>
  </w:num>
  <w:num w:numId="5">
    <w:abstractNumId w:val="49"/>
  </w:num>
  <w:num w:numId="6">
    <w:abstractNumId w:val="117"/>
  </w:num>
  <w:num w:numId="7">
    <w:abstractNumId w:val="176"/>
  </w:num>
  <w:num w:numId="8">
    <w:abstractNumId w:val="142"/>
  </w:num>
  <w:num w:numId="9">
    <w:abstractNumId w:val="140"/>
  </w:num>
  <w:num w:numId="10">
    <w:abstractNumId w:val="58"/>
  </w:num>
  <w:num w:numId="11">
    <w:abstractNumId w:val="75"/>
  </w:num>
  <w:num w:numId="12">
    <w:abstractNumId w:val="3"/>
  </w:num>
  <w:num w:numId="13">
    <w:abstractNumId w:val="9"/>
  </w:num>
  <w:num w:numId="14">
    <w:abstractNumId w:val="148"/>
  </w:num>
  <w:num w:numId="15">
    <w:abstractNumId w:val="81"/>
  </w:num>
  <w:num w:numId="16">
    <w:abstractNumId w:val="151"/>
  </w:num>
  <w:num w:numId="17">
    <w:abstractNumId w:val="26"/>
  </w:num>
  <w:num w:numId="18">
    <w:abstractNumId w:val="170"/>
  </w:num>
  <w:num w:numId="19">
    <w:abstractNumId w:val="157"/>
  </w:num>
  <w:num w:numId="20">
    <w:abstractNumId w:val="48"/>
  </w:num>
  <w:num w:numId="21">
    <w:abstractNumId w:val="12"/>
  </w:num>
  <w:num w:numId="22">
    <w:abstractNumId w:val="114"/>
  </w:num>
  <w:num w:numId="23">
    <w:abstractNumId w:val="172"/>
  </w:num>
  <w:num w:numId="24">
    <w:abstractNumId w:val="25"/>
  </w:num>
  <w:num w:numId="25">
    <w:abstractNumId w:val="139"/>
  </w:num>
  <w:num w:numId="26">
    <w:abstractNumId w:val="129"/>
  </w:num>
  <w:num w:numId="27">
    <w:abstractNumId w:val="111"/>
  </w:num>
  <w:num w:numId="28">
    <w:abstractNumId w:val="37"/>
  </w:num>
  <w:num w:numId="29">
    <w:abstractNumId w:val="110"/>
  </w:num>
  <w:num w:numId="30">
    <w:abstractNumId w:val="19"/>
  </w:num>
  <w:num w:numId="31">
    <w:abstractNumId w:val="165"/>
  </w:num>
  <w:num w:numId="32">
    <w:abstractNumId w:val="46"/>
  </w:num>
  <w:num w:numId="33">
    <w:abstractNumId w:val="171"/>
  </w:num>
  <w:num w:numId="34">
    <w:abstractNumId w:val="13"/>
  </w:num>
  <w:num w:numId="35">
    <w:abstractNumId w:val="6"/>
  </w:num>
  <w:num w:numId="36">
    <w:abstractNumId w:val="105"/>
  </w:num>
  <w:num w:numId="37">
    <w:abstractNumId w:val="126"/>
  </w:num>
  <w:num w:numId="38">
    <w:abstractNumId w:val="50"/>
  </w:num>
  <w:num w:numId="39">
    <w:abstractNumId w:val="169"/>
  </w:num>
  <w:num w:numId="40">
    <w:abstractNumId w:val="29"/>
  </w:num>
  <w:num w:numId="41">
    <w:abstractNumId w:val="27"/>
  </w:num>
  <w:num w:numId="42">
    <w:abstractNumId w:val="31"/>
  </w:num>
  <w:num w:numId="43">
    <w:abstractNumId w:val="113"/>
  </w:num>
  <w:num w:numId="44">
    <w:abstractNumId w:val="122"/>
  </w:num>
  <w:num w:numId="45">
    <w:abstractNumId w:val="55"/>
  </w:num>
  <w:num w:numId="46">
    <w:abstractNumId w:val="59"/>
  </w:num>
  <w:num w:numId="47">
    <w:abstractNumId w:val="123"/>
  </w:num>
  <w:num w:numId="48">
    <w:abstractNumId w:val="152"/>
  </w:num>
  <w:num w:numId="49">
    <w:abstractNumId w:val="57"/>
  </w:num>
  <w:num w:numId="50">
    <w:abstractNumId w:val="146"/>
  </w:num>
  <w:num w:numId="51">
    <w:abstractNumId w:val="97"/>
  </w:num>
  <w:num w:numId="52">
    <w:abstractNumId w:val="181"/>
  </w:num>
  <w:num w:numId="53">
    <w:abstractNumId w:val="147"/>
  </w:num>
  <w:num w:numId="54">
    <w:abstractNumId w:val="95"/>
  </w:num>
  <w:num w:numId="55">
    <w:abstractNumId w:val="90"/>
  </w:num>
  <w:num w:numId="56">
    <w:abstractNumId w:val="155"/>
  </w:num>
  <w:num w:numId="57">
    <w:abstractNumId w:val="34"/>
  </w:num>
  <w:num w:numId="58">
    <w:abstractNumId w:val="118"/>
  </w:num>
  <w:num w:numId="59">
    <w:abstractNumId w:val="84"/>
  </w:num>
  <w:num w:numId="60">
    <w:abstractNumId w:val="80"/>
  </w:num>
  <w:num w:numId="61">
    <w:abstractNumId w:val="86"/>
  </w:num>
  <w:num w:numId="62">
    <w:abstractNumId w:val="107"/>
  </w:num>
  <w:num w:numId="63">
    <w:abstractNumId w:val="23"/>
  </w:num>
  <w:num w:numId="64">
    <w:abstractNumId w:val="127"/>
  </w:num>
  <w:num w:numId="65">
    <w:abstractNumId w:val="103"/>
  </w:num>
  <w:num w:numId="66">
    <w:abstractNumId w:val="166"/>
  </w:num>
  <w:num w:numId="67">
    <w:abstractNumId w:val="14"/>
  </w:num>
  <w:num w:numId="68">
    <w:abstractNumId w:val="67"/>
  </w:num>
  <w:num w:numId="69">
    <w:abstractNumId w:val="5"/>
  </w:num>
  <w:num w:numId="70">
    <w:abstractNumId w:val="73"/>
  </w:num>
  <w:num w:numId="71">
    <w:abstractNumId w:val="39"/>
  </w:num>
  <w:num w:numId="72">
    <w:abstractNumId w:val="30"/>
  </w:num>
  <w:num w:numId="73">
    <w:abstractNumId w:val="60"/>
  </w:num>
  <w:num w:numId="74">
    <w:abstractNumId w:val="100"/>
  </w:num>
  <w:num w:numId="75">
    <w:abstractNumId w:val="168"/>
  </w:num>
  <w:num w:numId="76">
    <w:abstractNumId w:val="54"/>
  </w:num>
  <w:num w:numId="77">
    <w:abstractNumId w:val="16"/>
  </w:num>
  <w:num w:numId="78">
    <w:abstractNumId w:val="92"/>
  </w:num>
  <w:num w:numId="79">
    <w:abstractNumId w:val="47"/>
  </w:num>
  <w:num w:numId="80">
    <w:abstractNumId w:val="115"/>
  </w:num>
  <w:num w:numId="81">
    <w:abstractNumId w:val="72"/>
  </w:num>
  <w:num w:numId="82">
    <w:abstractNumId w:val="74"/>
  </w:num>
  <w:num w:numId="83">
    <w:abstractNumId w:val="51"/>
  </w:num>
  <w:num w:numId="84">
    <w:abstractNumId w:val="40"/>
  </w:num>
  <w:num w:numId="85">
    <w:abstractNumId w:val="85"/>
  </w:num>
  <w:num w:numId="86">
    <w:abstractNumId w:val="28"/>
  </w:num>
  <w:num w:numId="87">
    <w:abstractNumId w:val="36"/>
  </w:num>
  <w:num w:numId="88">
    <w:abstractNumId w:val="132"/>
  </w:num>
  <w:num w:numId="89">
    <w:abstractNumId w:val="94"/>
  </w:num>
  <w:num w:numId="90">
    <w:abstractNumId w:val="167"/>
  </w:num>
  <w:num w:numId="91">
    <w:abstractNumId w:val="141"/>
  </w:num>
  <w:num w:numId="92">
    <w:abstractNumId w:val="33"/>
  </w:num>
  <w:num w:numId="93">
    <w:abstractNumId w:val="18"/>
  </w:num>
  <w:num w:numId="94">
    <w:abstractNumId w:val="53"/>
  </w:num>
  <w:num w:numId="95">
    <w:abstractNumId w:val="121"/>
  </w:num>
  <w:num w:numId="96">
    <w:abstractNumId w:val="163"/>
  </w:num>
  <w:num w:numId="97">
    <w:abstractNumId w:val="22"/>
  </w:num>
  <w:num w:numId="98">
    <w:abstractNumId w:val="128"/>
  </w:num>
  <w:num w:numId="99">
    <w:abstractNumId w:val="17"/>
  </w:num>
  <w:num w:numId="100">
    <w:abstractNumId w:val="133"/>
  </w:num>
  <w:num w:numId="101">
    <w:abstractNumId w:val="119"/>
  </w:num>
  <w:num w:numId="102">
    <w:abstractNumId w:val="136"/>
  </w:num>
  <w:num w:numId="103">
    <w:abstractNumId w:val="173"/>
  </w:num>
  <w:num w:numId="104">
    <w:abstractNumId w:val="35"/>
  </w:num>
  <w:num w:numId="105">
    <w:abstractNumId w:val="149"/>
  </w:num>
  <w:num w:numId="106">
    <w:abstractNumId w:val="65"/>
  </w:num>
  <w:num w:numId="107">
    <w:abstractNumId w:val="0"/>
  </w:num>
  <w:num w:numId="108">
    <w:abstractNumId w:val="11"/>
  </w:num>
  <w:num w:numId="109">
    <w:abstractNumId w:val="131"/>
  </w:num>
  <w:num w:numId="110">
    <w:abstractNumId w:val="71"/>
  </w:num>
  <w:num w:numId="111">
    <w:abstractNumId w:val="78"/>
  </w:num>
  <w:num w:numId="112">
    <w:abstractNumId w:val="66"/>
  </w:num>
  <w:num w:numId="113">
    <w:abstractNumId w:val="130"/>
  </w:num>
  <w:num w:numId="114">
    <w:abstractNumId w:val="20"/>
  </w:num>
  <w:num w:numId="115">
    <w:abstractNumId w:val="161"/>
  </w:num>
  <w:num w:numId="116">
    <w:abstractNumId w:val="82"/>
  </w:num>
  <w:num w:numId="117">
    <w:abstractNumId w:val="134"/>
  </w:num>
  <w:num w:numId="118">
    <w:abstractNumId w:val="175"/>
  </w:num>
  <w:num w:numId="119">
    <w:abstractNumId w:val="104"/>
  </w:num>
  <w:num w:numId="120">
    <w:abstractNumId w:val="42"/>
  </w:num>
  <w:num w:numId="121">
    <w:abstractNumId w:val="77"/>
  </w:num>
  <w:num w:numId="122">
    <w:abstractNumId w:val="116"/>
  </w:num>
  <w:num w:numId="123">
    <w:abstractNumId w:val="93"/>
  </w:num>
  <w:num w:numId="124">
    <w:abstractNumId w:val="178"/>
  </w:num>
  <w:num w:numId="125">
    <w:abstractNumId w:val="83"/>
  </w:num>
  <w:num w:numId="126">
    <w:abstractNumId w:val="89"/>
  </w:num>
  <w:num w:numId="127">
    <w:abstractNumId w:val="1"/>
  </w:num>
  <w:num w:numId="128">
    <w:abstractNumId w:val="87"/>
  </w:num>
  <w:num w:numId="129">
    <w:abstractNumId w:val="62"/>
  </w:num>
  <w:num w:numId="130">
    <w:abstractNumId w:val="112"/>
  </w:num>
  <w:num w:numId="131">
    <w:abstractNumId w:val="108"/>
  </w:num>
  <w:num w:numId="132">
    <w:abstractNumId w:val="32"/>
  </w:num>
  <w:num w:numId="133">
    <w:abstractNumId w:val="68"/>
  </w:num>
  <w:num w:numId="134">
    <w:abstractNumId w:val="164"/>
  </w:num>
  <w:num w:numId="135">
    <w:abstractNumId w:val="179"/>
  </w:num>
  <w:num w:numId="136">
    <w:abstractNumId w:val="98"/>
  </w:num>
  <w:num w:numId="137">
    <w:abstractNumId w:val="99"/>
  </w:num>
  <w:num w:numId="138">
    <w:abstractNumId w:val="15"/>
  </w:num>
  <w:num w:numId="139">
    <w:abstractNumId w:val="43"/>
  </w:num>
  <w:num w:numId="140">
    <w:abstractNumId w:val="137"/>
  </w:num>
  <w:num w:numId="141">
    <w:abstractNumId w:val="180"/>
  </w:num>
  <w:num w:numId="142">
    <w:abstractNumId w:val="106"/>
  </w:num>
  <w:num w:numId="143">
    <w:abstractNumId w:val="143"/>
  </w:num>
  <w:num w:numId="144">
    <w:abstractNumId w:val="182"/>
  </w:num>
  <w:num w:numId="145">
    <w:abstractNumId w:val="76"/>
  </w:num>
  <w:num w:numId="146">
    <w:abstractNumId w:val="138"/>
  </w:num>
  <w:num w:numId="147">
    <w:abstractNumId w:val="24"/>
  </w:num>
  <w:num w:numId="148">
    <w:abstractNumId w:val="10"/>
  </w:num>
  <w:num w:numId="149">
    <w:abstractNumId w:val="144"/>
  </w:num>
  <w:num w:numId="150">
    <w:abstractNumId w:val="174"/>
  </w:num>
  <w:num w:numId="151">
    <w:abstractNumId w:val="159"/>
  </w:num>
  <w:num w:numId="152">
    <w:abstractNumId w:val="44"/>
  </w:num>
  <w:num w:numId="153">
    <w:abstractNumId w:val="64"/>
  </w:num>
  <w:num w:numId="154">
    <w:abstractNumId w:val="158"/>
  </w:num>
  <w:num w:numId="155">
    <w:abstractNumId w:val="8"/>
  </w:num>
  <w:num w:numId="156">
    <w:abstractNumId w:val="2"/>
  </w:num>
  <w:num w:numId="157">
    <w:abstractNumId w:val="79"/>
  </w:num>
  <w:num w:numId="158">
    <w:abstractNumId w:val="125"/>
  </w:num>
  <w:num w:numId="159">
    <w:abstractNumId w:val="124"/>
  </w:num>
  <w:num w:numId="160">
    <w:abstractNumId w:val="38"/>
  </w:num>
  <w:num w:numId="161">
    <w:abstractNumId w:val="63"/>
  </w:num>
  <w:num w:numId="162">
    <w:abstractNumId w:val="154"/>
  </w:num>
  <w:num w:numId="163">
    <w:abstractNumId w:val="61"/>
  </w:num>
  <w:num w:numId="164">
    <w:abstractNumId w:val="88"/>
  </w:num>
  <w:num w:numId="165">
    <w:abstractNumId w:val="135"/>
  </w:num>
  <w:num w:numId="166">
    <w:abstractNumId w:val="4"/>
  </w:num>
  <w:num w:numId="167">
    <w:abstractNumId w:val="7"/>
  </w:num>
  <w:num w:numId="168">
    <w:abstractNumId w:val="101"/>
  </w:num>
  <w:num w:numId="169">
    <w:abstractNumId w:val="156"/>
  </w:num>
  <w:num w:numId="170">
    <w:abstractNumId w:val="145"/>
  </w:num>
  <w:num w:numId="171">
    <w:abstractNumId w:val="177"/>
  </w:num>
  <w:num w:numId="172">
    <w:abstractNumId w:val="96"/>
  </w:num>
  <w:num w:numId="173">
    <w:abstractNumId w:val="41"/>
  </w:num>
  <w:num w:numId="174">
    <w:abstractNumId w:val="21"/>
  </w:num>
  <w:num w:numId="175">
    <w:abstractNumId w:val="109"/>
  </w:num>
  <w:num w:numId="176">
    <w:abstractNumId w:val="183"/>
  </w:num>
  <w:num w:numId="177">
    <w:abstractNumId w:val="91"/>
  </w:num>
  <w:num w:numId="178">
    <w:abstractNumId w:val="160"/>
  </w:num>
  <w:num w:numId="179">
    <w:abstractNumId w:val="102"/>
  </w:num>
  <w:num w:numId="180">
    <w:abstractNumId w:val="162"/>
  </w:num>
  <w:num w:numId="181">
    <w:abstractNumId w:val="56"/>
  </w:num>
  <w:num w:numId="182">
    <w:abstractNumId w:val="150"/>
  </w:num>
  <w:num w:numId="183">
    <w:abstractNumId w:val="45"/>
  </w:num>
  <w:num w:numId="184">
    <w:abstractNumId w:val="69"/>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7E59"/>
    <w:rsid w:val="00080265"/>
    <w:rsid w:val="00080A69"/>
    <w:rsid w:val="00087983"/>
    <w:rsid w:val="00091F8B"/>
    <w:rsid w:val="000A4FAE"/>
    <w:rsid w:val="000A6E38"/>
    <w:rsid w:val="000B0074"/>
    <w:rsid w:val="000C371B"/>
    <w:rsid w:val="000C49C5"/>
    <w:rsid w:val="000D5C53"/>
    <w:rsid w:val="000F3195"/>
    <w:rsid w:val="000F6C8E"/>
    <w:rsid w:val="00100D36"/>
    <w:rsid w:val="00103E3C"/>
    <w:rsid w:val="00105A96"/>
    <w:rsid w:val="00106F7D"/>
    <w:rsid w:val="0010713C"/>
    <w:rsid w:val="001101CE"/>
    <w:rsid w:val="00113BC5"/>
    <w:rsid w:val="001369F0"/>
    <w:rsid w:val="00137AC6"/>
    <w:rsid w:val="00140884"/>
    <w:rsid w:val="00151220"/>
    <w:rsid w:val="00153307"/>
    <w:rsid w:val="001613BA"/>
    <w:rsid w:val="00165270"/>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207A"/>
    <w:rsid w:val="001C581C"/>
    <w:rsid w:val="001D53F0"/>
    <w:rsid w:val="001D6E76"/>
    <w:rsid w:val="001E3150"/>
    <w:rsid w:val="001E562F"/>
    <w:rsid w:val="001F03C3"/>
    <w:rsid w:val="001F1086"/>
    <w:rsid w:val="001F2F4D"/>
    <w:rsid w:val="00202BF1"/>
    <w:rsid w:val="00206443"/>
    <w:rsid w:val="00215B22"/>
    <w:rsid w:val="002207E3"/>
    <w:rsid w:val="00236EBD"/>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48A0"/>
    <w:rsid w:val="002B7FDF"/>
    <w:rsid w:val="002C08AB"/>
    <w:rsid w:val="002C0A59"/>
    <w:rsid w:val="002C0F71"/>
    <w:rsid w:val="002C178E"/>
    <w:rsid w:val="002C7FA2"/>
    <w:rsid w:val="002E43DD"/>
    <w:rsid w:val="002E5B03"/>
    <w:rsid w:val="002E6E28"/>
    <w:rsid w:val="002E6F56"/>
    <w:rsid w:val="002E7F8B"/>
    <w:rsid w:val="003064FF"/>
    <w:rsid w:val="00313DDE"/>
    <w:rsid w:val="00317AE9"/>
    <w:rsid w:val="00317EF3"/>
    <w:rsid w:val="00322068"/>
    <w:rsid w:val="00322BBB"/>
    <w:rsid w:val="00324EB1"/>
    <w:rsid w:val="00325AC6"/>
    <w:rsid w:val="00325D43"/>
    <w:rsid w:val="003279B0"/>
    <w:rsid w:val="003314C8"/>
    <w:rsid w:val="00331F68"/>
    <w:rsid w:val="00333B3E"/>
    <w:rsid w:val="00337FA0"/>
    <w:rsid w:val="0034393C"/>
    <w:rsid w:val="00350497"/>
    <w:rsid w:val="00354F45"/>
    <w:rsid w:val="003568B0"/>
    <w:rsid w:val="00356FDD"/>
    <w:rsid w:val="003579EF"/>
    <w:rsid w:val="003705EC"/>
    <w:rsid w:val="00373D86"/>
    <w:rsid w:val="00375834"/>
    <w:rsid w:val="003779D2"/>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719DA"/>
    <w:rsid w:val="004738E4"/>
    <w:rsid w:val="00473CA5"/>
    <w:rsid w:val="004778D0"/>
    <w:rsid w:val="00486537"/>
    <w:rsid w:val="004877DB"/>
    <w:rsid w:val="00487F66"/>
    <w:rsid w:val="00492276"/>
    <w:rsid w:val="00493DE7"/>
    <w:rsid w:val="004B1053"/>
    <w:rsid w:val="004B2FFB"/>
    <w:rsid w:val="004C6F87"/>
    <w:rsid w:val="004C777F"/>
    <w:rsid w:val="004D1639"/>
    <w:rsid w:val="004D1D90"/>
    <w:rsid w:val="004D3A9C"/>
    <w:rsid w:val="004D767E"/>
    <w:rsid w:val="004E14C0"/>
    <w:rsid w:val="004E1678"/>
    <w:rsid w:val="004E1BB2"/>
    <w:rsid w:val="004E2EB8"/>
    <w:rsid w:val="004E32B6"/>
    <w:rsid w:val="004E3431"/>
    <w:rsid w:val="004E466C"/>
    <w:rsid w:val="004E4965"/>
    <w:rsid w:val="004F0A0D"/>
    <w:rsid w:val="004F1450"/>
    <w:rsid w:val="004F5384"/>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04BB"/>
    <w:rsid w:val="00555B59"/>
    <w:rsid w:val="00564D99"/>
    <w:rsid w:val="00566250"/>
    <w:rsid w:val="00566A00"/>
    <w:rsid w:val="0057464A"/>
    <w:rsid w:val="00575305"/>
    <w:rsid w:val="00575B62"/>
    <w:rsid w:val="00576DB5"/>
    <w:rsid w:val="005772F3"/>
    <w:rsid w:val="005802A3"/>
    <w:rsid w:val="00580D81"/>
    <w:rsid w:val="005A324B"/>
    <w:rsid w:val="005B0F28"/>
    <w:rsid w:val="005B4534"/>
    <w:rsid w:val="005C206F"/>
    <w:rsid w:val="005C53A9"/>
    <w:rsid w:val="005C661E"/>
    <w:rsid w:val="005C7A52"/>
    <w:rsid w:val="005D0F14"/>
    <w:rsid w:val="005D3AF6"/>
    <w:rsid w:val="005E3F9A"/>
    <w:rsid w:val="005E559A"/>
    <w:rsid w:val="005F1E57"/>
    <w:rsid w:val="005F5287"/>
    <w:rsid w:val="005F5DD8"/>
    <w:rsid w:val="00601ADA"/>
    <w:rsid w:val="0060273C"/>
    <w:rsid w:val="006043D1"/>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502A"/>
    <w:rsid w:val="00685B0C"/>
    <w:rsid w:val="006A37DC"/>
    <w:rsid w:val="006B0528"/>
    <w:rsid w:val="006B3E9E"/>
    <w:rsid w:val="006D305B"/>
    <w:rsid w:val="006D6285"/>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15B2"/>
    <w:rsid w:val="00744041"/>
    <w:rsid w:val="007551C1"/>
    <w:rsid w:val="007573D0"/>
    <w:rsid w:val="007640E7"/>
    <w:rsid w:val="007910A3"/>
    <w:rsid w:val="0079129B"/>
    <w:rsid w:val="00792306"/>
    <w:rsid w:val="00793420"/>
    <w:rsid w:val="00794BAA"/>
    <w:rsid w:val="00795C38"/>
    <w:rsid w:val="007A09A2"/>
    <w:rsid w:val="007A354A"/>
    <w:rsid w:val="007A746D"/>
    <w:rsid w:val="007A7631"/>
    <w:rsid w:val="007B124D"/>
    <w:rsid w:val="007B4B06"/>
    <w:rsid w:val="007B4E1A"/>
    <w:rsid w:val="007C472E"/>
    <w:rsid w:val="007C4ECC"/>
    <w:rsid w:val="007C63E0"/>
    <w:rsid w:val="007D0349"/>
    <w:rsid w:val="007D0B5A"/>
    <w:rsid w:val="007D6420"/>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25AE"/>
    <w:rsid w:val="00854440"/>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462D"/>
    <w:rsid w:val="008F74B9"/>
    <w:rsid w:val="009002C2"/>
    <w:rsid w:val="00900B59"/>
    <w:rsid w:val="009014E8"/>
    <w:rsid w:val="00901578"/>
    <w:rsid w:val="00911A07"/>
    <w:rsid w:val="00916CC6"/>
    <w:rsid w:val="00920613"/>
    <w:rsid w:val="009243DE"/>
    <w:rsid w:val="00951331"/>
    <w:rsid w:val="0095261B"/>
    <w:rsid w:val="00961523"/>
    <w:rsid w:val="0096452D"/>
    <w:rsid w:val="00973F94"/>
    <w:rsid w:val="009757C1"/>
    <w:rsid w:val="00975F05"/>
    <w:rsid w:val="00976605"/>
    <w:rsid w:val="009802FB"/>
    <w:rsid w:val="00980BB2"/>
    <w:rsid w:val="00987B89"/>
    <w:rsid w:val="00987D62"/>
    <w:rsid w:val="00995BA8"/>
    <w:rsid w:val="009961CB"/>
    <w:rsid w:val="009A0282"/>
    <w:rsid w:val="009A4019"/>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76589"/>
    <w:rsid w:val="00A867A3"/>
    <w:rsid w:val="00A90A15"/>
    <w:rsid w:val="00A93A83"/>
    <w:rsid w:val="00AA126B"/>
    <w:rsid w:val="00AA23CC"/>
    <w:rsid w:val="00AA7A7B"/>
    <w:rsid w:val="00AB4F31"/>
    <w:rsid w:val="00AB6C95"/>
    <w:rsid w:val="00AC5375"/>
    <w:rsid w:val="00AD1D9E"/>
    <w:rsid w:val="00AD45BB"/>
    <w:rsid w:val="00AD5BC5"/>
    <w:rsid w:val="00AE334C"/>
    <w:rsid w:val="00AE5FB9"/>
    <w:rsid w:val="00AF1CE6"/>
    <w:rsid w:val="00AF3CA4"/>
    <w:rsid w:val="00B0240D"/>
    <w:rsid w:val="00B025B0"/>
    <w:rsid w:val="00B06AA0"/>
    <w:rsid w:val="00B139FC"/>
    <w:rsid w:val="00B20294"/>
    <w:rsid w:val="00B243A0"/>
    <w:rsid w:val="00B270D6"/>
    <w:rsid w:val="00B334F7"/>
    <w:rsid w:val="00B3417C"/>
    <w:rsid w:val="00B4593F"/>
    <w:rsid w:val="00B4720B"/>
    <w:rsid w:val="00B47E3E"/>
    <w:rsid w:val="00B53ECF"/>
    <w:rsid w:val="00B57288"/>
    <w:rsid w:val="00B57F4A"/>
    <w:rsid w:val="00B65779"/>
    <w:rsid w:val="00B73030"/>
    <w:rsid w:val="00B7496E"/>
    <w:rsid w:val="00B7598E"/>
    <w:rsid w:val="00B8619A"/>
    <w:rsid w:val="00B86917"/>
    <w:rsid w:val="00B94B67"/>
    <w:rsid w:val="00BA6CE1"/>
    <w:rsid w:val="00BB28E3"/>
    <w:rsid w:val="00BB4566"/>
    <w:rsid w:val="00BC2EF5"/>
    <w:rsid w:val="00BC350B"/>
    <w:rsid w:val="00BC5970"/>
    <w:rsid w:val="00BC675F"/>
    <w:rsid w:val="00BD458D"/>
    <w:rsid w:val="00BE36F7"/>
    <w:rsid w:val="00BE44F4"/>
    <w:rsid w:val="00BE63F3"/>
    <w:rsid w:val="00BF12C9"/>
    <w:rsid w:val="00BF35C8"/>
    <w:rsid w:val="00BF58E5"/>
    <w:rsid w:val="00BF6D65"/>
    <w:rsid w:val="00C0077D"/>
    <w:rsid w:val="00C0345F"/>
    <w:rsid w:val="00C15CDA"/>
    <w:rsid w:val="00C165F7"/>
    <w:rsid w:val="00C24948"/>
    <w:rsid w:val="00C2577C"/>
    <w:rsid w:val="00C270B3"/>
    <w:rsid w:val="00C27AE4"/>
    <w:rsid w:val="00C513C4"/>
    <w:rsid w:val="00C60973"/>
    <w:rsid w:val="00C6242C"/>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0F47"/>
    <w:rsid w:val="00D1527A"/>
    <w:rsid w:val="00D15822"/>
    <w:rsid w:val="00D16802"/>
    <w:rsid w:val="00D2195D"/>
    <w:rsid w:val="00D302FA"/>
    <w:rsid w:val="00D40F8B"/>
    <w:rsid w:val="00D41D6F"/>
    <w:rsid w:val="00D47AE2"/>
    <w:rsid w:val="00D52B86"/>
    <w:rsid w:val="00D5355E"/>
    <w:rsid w:val="00D53C2D"/>
    <w:rsid w:val="00D53C9E"/>
    <w:rsid w:val="00D57545"/>
    <w:rsid w:val="00D633E0"/>
    <w:rsid w:val="00D749EA"/>
    <w:rsid w:val="00D81561"/>
    <w:rsid w:val="00D82334"/>
    <w:rsid w:val="00D83A71"/>
    <w:rsid w:val="00D83A7E"/>
    <w:rsid w:val="00D85F42"/>
    <w:rsid w:val="00D862E5"/>
    <w:rsid w:val="00D905E7"/>
    <w:rsid w:val="00D94404"/>
    <w:rsid w:val="00DA35A3"/>
    <w:rsid w:val="00DA48B2"/>
    <w:rsid w:val="00DB3082"/>
    <w:rsid w:val="00DB37ED"/>
    <w:rsid w:val="00DB54D3"/>
    <w:rsid w:val="00DC3B71"/>
    <w:rsid w:val="00DD7351"/>
    <w:rsid w:val="00DE10B2"/>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F3"/>
    <w:rsid w:val="00E44946"/>
    <w:rsid w:val="00E45005"/>
    <w:rsid w:val="00E466C4"/>
    <w:rsid w:val="00E505CE"/>
    <w:rsid w:val="00E571B9"/>
    <w:rsid w:val="00E574F2"/>
    <w:rsid w:val="00E57BC0"/>
    <w:rsid w:val="00E604F1"/>
    <w:rsid w:val="00E72945"/>
    <w:rsid w:val="00E72F24"/>
    <w:rsid w:val="00E7469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07B95"/>
    <w:rsid w:val="00F11809"/>
    <w:rsid w:val="00F16ECC"/>
    <w:rsid w:val="00F21CDE"/>
    <w:rsid w:val="00F21D87"/>
    <w:rsid w:val="00F35FE4"/>
    <w:rsid w:val="00F45145"/>
    <w:rsid w:val="00F465F9"/>
    <w:rsid w:val="00F51434"/>
    <w:rsid w:val="00F57C91"/>
    <w:rsid w:val="00F57FF4"/>
    <w:rsid w:val="00F616E3"/>
    <w:rsid w:val="00F63024"/>
    <w:rsid w:val="00F6761B"/>
    <w:rsid w:val="00F73DE0"/>
    <w:rsid w:val="00F81EB1"/>
    <w:rsid w:val="00F83992"/>
    <w:rsid w:val="00F84771"/>
    <w:rsid w:val="00F93A6F"/>
    <w:rsid w:val="00FC2653"/>
    <w:rsid w:val="00FC4728"/>
    <w:rsid w:val="00FC77BE"/>
    <w:rsid w:val="00FD466B"/>
    <w:rsid w:val="00FE3242"/>
    <w:rsid w:val="00FE40DC"/>
    <w:rsid w:val="00FE4197"/>
    <w:rsid w:val="00FF0D1E"/>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407</Pages>
  <Words>80967</Words>
  <Characters>461515</Characters>
  <Application>Microsoft Office Word</Application>
  <DocSecurity>0</DocSecurity>
  <Lines>3845</Lines>
  <Paragraphs>1082</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541400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9</cp:revision>
  <cp:lastPrinted>2017-05-17T00:25:00Z</cp:lastPrinted>
  <dcterms:created xsi:type="dcterms:W3CDTF">2017-06-11T15:53:00Z</dcterms:created>
  <dcterms:modified xsi:type="dcterms:W3CDTF">2017-06-11T18:30:00Z</dcterms:modified>
</cp:coreProperties>
</file>