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7A0843">
        <w:rPr>
          <w:b/>
          <w:bCs/>
        </w:rPr>
        <w:t>9</w:t>
      </w:r>
      <w:r w:rsidR="00E75DDE">
        <w:rPr>
          <w:b/>
          <w:bCs/>
        </w:rPr>
        <w:t>7</w:t>
      </w:r>
      <w:r w:rsidR="00451A26">
        <w:rPr>
          <w:b/>
          <w:bCs/>
        </w:rPr>
        <w:t xml:space="preserve"> </w:t>
      </w:r>
      <w:r w:rsidR="00075A23">
        <w:t>1</w:t>
      </w:r>
      <w:r w:rsidR="00E75DDE">
        <w:t>8</w:t>
      </w:r>
      <w:r>
        <w:t xml:space="preserve"> </w:t>
      </w:r>
      <w:r w:rsidR="009F11EF">
        <w:t>Ju</w:t>
      </w:r>
      <w:r w:rsidR="0047659F">
        <w:t>ly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AD2F05"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AD2F0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AD2F0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AD2F05"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AD2F0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AD2F05"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AD2F05"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AD2F05"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AD2F0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AD2F05"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AD2F05"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AD2F0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AD2F0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AD2F0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AD2F05"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AD2F0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AD2F0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AD2F05"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AD2F05"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AD2F05"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AD2F05"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AD2F05"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AD2F05"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AD2F0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AD2F05"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AD2F0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AD2F0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AD2F05"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AD2F05"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AD2F0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AD2F05"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AD2F05"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AD2F0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61921708"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AD2F0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61921709"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AD2F0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AD2F0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AD2F05"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AD2F0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AD2F0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AD2F0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AD2F05"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AD2F05"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AD2F05"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AD2F05"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AD2F05"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AD2F05"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AD2F05"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AD2F0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AD2F0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AD2F0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AD2F0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AD2F05"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AD2F05"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AD2F0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AD2F05"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AD2F05"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AD2F05"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AD2F05"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AD2F05"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AD2F0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AD2F0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AD2F0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AD2F0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AD2F05"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AD2F0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AD2F0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AD2F0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AD2F05"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AD2F0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AD2F05"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D2F05"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D2F05"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lastRenderedPageBreak/>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lastRenderedPageBreak/>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lastRenderedPageBreak/>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AD2F05"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AD2F05"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AD2F0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AD2F0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AD2F0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AD2F05"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AD2F0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AD2F0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AD2F05"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AD2F05"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AD2F05"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AD2F0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AD2F05"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AD2F0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AD2F0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AD2F05"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AD2F05"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AD2F0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AD2F0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AD2F05"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AD2F0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AD2F0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AD2F0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AD2F05"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AD2F0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AD2F0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AD2F0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AD2F0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AD2F0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AD2F0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AD2F0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AD2F0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AD2F0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AD2F0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AD2F05"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AD2F05"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AD2F0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AD2F0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AD2F05"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AD2F05"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AD2F05"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AD2F05"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AD2F05"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AD2F05"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AD2F05"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AD2F05"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AD2F05"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AD2F05"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AD2F05"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AD2F05"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AD2F05"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AD2F05"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AD2F05"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AD2F05"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AD2F05"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AD2F05"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AD2F05"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AD2F05"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AD2F05"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AD2F05"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AD2F0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AD2F0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AD2F0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AD2F0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AD2F05"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AD2F0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AD2F0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AD2F05"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AD2F05"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lastRenderedPageBreak/>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lastRenderedPageBreak/>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lastRenderedPageBreak/>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lastRenderedPageBreak/>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AD2F0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lastRenderedPageBreak/>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AD2F05"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AD2F05"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lastRenderedPageBreak/>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AD2F05"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AD2F05"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AD2F05"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lastRenderedPageBreak/>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AD2F05"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lastRenderedPageBreak/>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545594"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bookmarkStart w:id="0" w:name="_GoBack"/>
      <w:bookmarkEnd w:id="0"/>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A6688C" w:rsidRDefault="00A6688C"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lastRenderedPageBreak/>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AD2F0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AD2F0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AD2F0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AD2F0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AD2F0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AD2F0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AD2F0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lastRenderedPageBreak/>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AD2F0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AD2F0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AD2F0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lastRenderedPageBreak/>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AD2F0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AD2F0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AD2F0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AD2F0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AD2F0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AD2F0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AD2F0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AD2F0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AD2F0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AD2F0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AD2F0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AD2F0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AD2F0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AD2F0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AD2F0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AD2F0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AD2F0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AD2F0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AD2F0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AD2F0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AD2F0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AD2F0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AD2F0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AD2F0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AD2F05"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AD2F05"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AD2F05"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AD2F05"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AD2F0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AD2F05"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AD2F05"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AD2F05"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AD2F0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AD2F05"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AD2F0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AD2F05"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AD2F0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AD2F0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AD2F0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AD2F05"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AD2F0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AD2F05"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AD2F05"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AD2F0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AD2F0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m:t>
                  </m:r>
                  <m:r>
                    <w:rPr>
                      <w:rFonts w:ascii="Cambria Math" w:hAnsi="Cambria Math"/>
                    </w:rPr>
                    <m:t>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AD2F05"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AD2F05"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AD2F0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AD2F0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AD2F0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AD2F0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AD2F0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AD2F0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AD2F0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AD2F05"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AD2F0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m:t>
          </m:r>
          <m:r>
            <w:rPr>
              <w:rFonts w:ascii="Cambria Math" w:hAnsi="Cambria Math"/>
            </w:rPr>
            <m:t>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AD2F0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AD2F05"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AD2F0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AD2F0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AD2F0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AD2F05"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AD2F05"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AD2F0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AD2F0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AD2F05"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AD2F0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AD2F05"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AD2F05"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AD2F05"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AD2F0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AD2F0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AD2F05"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AD2F05"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AD2F05"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AD2F0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AD2F05"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AD2F05"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AD2F0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AD2F05"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AD2F0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AD2F0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AD2F0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AD2F0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AD2F05"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AD2F05"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AD2F05"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AD2F05"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AD2F0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AD2F05"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AD2F05"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AD2F0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AD2F05"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AD2F0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AD2F05"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AD2F05"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AD2F0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AD2F05"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AD2F05"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AD2F05"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AD2F05"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AD2F05"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AD2F05"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AD2F05"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AD2F05"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AD2F05"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AD2F05"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AD2F05"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AD2F05"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AD2F05"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AD2F05"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AD2F05"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AD2F0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AD2F0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AD2F0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AD2F0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AD2F0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AD2F0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AD2F0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AD2F0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AD2F0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AD2F05"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AD2F0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AD2F0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AD2F05"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AD2F05"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AD2F0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AD2F05"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AD2F0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AD2F0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AD2F0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AD2F05"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AD2F05"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AD2F0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AD2F0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AD2F0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AD2F0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AD2F0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AD2F0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AD2F0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AD2F0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AD2F0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AD2F0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AD2F0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AD2F0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AD2F0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AD2F0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AD2F0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AD2F0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AD2F0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AD2F0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AD2F0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AD2F0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m:t>
                          </m:r>
                          <m:r>
                            <w:rPr>
                              <w:rFonts w:ascii="Cambria Math" w:hAnsi="Cambria Math"/>
                              <w:vanish/>
                            </w:rPr>
                            <m:t>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AD2F05"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AD2F05"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AD2F05"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AD2F05"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AD2F05"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AD2F05"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AD2F05"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AD2F05"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AD2F05"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AD2F05"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AD2F05"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AD2F05"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AD2F05"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AD2F05"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AD2F05"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AD2F05"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AD2F05"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AD2F0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AD2F0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AD2F0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AD2F0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AD2F0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AD2F0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AD2F05"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AD2F05"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AD2F05"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AD2F05"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AD2F05"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AD2F05"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AD2F05"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AD2F05"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AD2F05"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AD2F05"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AD2F0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AD2F0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AD2F0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AD2F0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AD2F05"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AD2F05"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AD2F05"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AD2F05"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AD2F05"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AD2F0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552" w:rsidRDefault="00D83552" w:rsidP="008F462D">
      <w:r>
        <w:separator/>
      </w:r>
    </w:p>
  </w:endnote>
  <w:endnote w:type="continuationSeparator" w:id="0">
    <w:p w:rsidR="00D83552" w:rsidRDefault="00D83552"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331358" w:rsidRDefault="00331358">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331358" w:rsidRDefault="00331358">
        <w:pPr>
          <w:pStyle w:val="Footer"/>
          <w:jc w:val="center"/>
        </w:pPr>
        <w:r>
          <w:fldChar w:fldCharType="begin"/>
        </w:r>
        <w:r>
          <w:instrText xml:space="preserve"> PAGE    \* MERGEFORMAT </w:instrText>
        </w:r>
        <w:r>
          <w:fldChar w:fldCharType="separate"/>
        </w:r>
        <w:r w:rsidR="00BD5BC9">
          <w:rPr>
            <w:noProof/>
          </w:rPr>
          <w:t>184</w:t>
        </w:r>
        <w:r>
          <w:rPr>
            <w:noProof/>
          </w:rPr>
          <w:fldChar w:fldCharType="end"/>
        </w:r>
      </w:p>
    </w:sdtContent>
  </w:sdt>
  <w:p w:rsidR="00331358" w:rsidRDefault="00331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552" w:rsidRDefault="00D83552" w:rsidP="008F462D">
      <w:r>
        <w:separator/>
      </w:r>
    </w:p>
  </w:footnote>
  <w:footnote w:type="continuationSeparator" w:id="0">
    <w:p w:rsidR="00D83552" w:rsidRDefault="00D83552"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0">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7">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75"/>
  </w:num>
  <w:num w:numId="3">
    <w:abstractNumId w:val="161"/>
  </w:num>
  <w:num w:numId="4">
    <w:abstractNumId w:val="54"/>
  </w:num>
  <w:num w:numId="5">
    <w:abstractNumId w:val="51"/>
  </w:num>
  <w:num w:numId="6">
    <w:abstractNumId w:val="124"/>
  </w:num>
  <w:num w:numId="7">
    <w:abstractNumId w:val="186"/>
  </w:num>
  <w:num w:numId="8">
    <w:abstractNumId w:val="149"/>
  </w:num>
  <w:num w:numId="9">
    <w:abstractNumId w:val="147"/>
  </w:num>
  <w:num w:numId="10">
    <w:abstractNumId w:val="60"/>
  </w:num>
  <w:num w:numId="11">
    <w:abstractNumId w:val="80"/>
  </w:num>
  <w:num w:numId="12">
    <w:abstractNumId w:val="3"/>
  </w:num>
  <w:num w:numId="13">
    <w:abstractNumId w:val="9"/>
  </w:num>
  <w:num w:numId="14">
    <w:abstractNumId w:val="155"/>
  </w:num>
  <w:num w:numId="15">
    <w:abstractNumId w:val="86"/>
  </w:num>
  <w:num w:numId="16">
    <w:abstractNumId w:val="159"/>
  </w:num>
  <w:num w:numId="17">
    <w:abstractNumId w:val="27"/>
  </w:num>
  <w:num w:numId="18">
    <w:abstractNumId w:val="179"/>
  </w:num>
  <w:num w:numId="19">
    <w:abstractNumId w:val="166"/>
  </w:num>
  <w:num w:numId="20">
    <w:abstractNumId w:val="50"/>
  </w:num>
  <w:num w:numId="21">
    <w:abstractNumId w:val="13"/>
  </w:num>
  <w:num w:numId="22">
    <w:abstractNumId w:val="121"/>
  </w:num>
  <w:num w:numId="23">
    <w:abstractNumId w:val="181"/>
  </w:num>
  <w:num w:numId="24">
    <w:abstractNumId w:val="26"/>
  </w:num>
  <w:num w:numId="25">
    <w:abstractNumId w:val="146"/>
  </w:num>
  <w:num w:numId="26">
    <w:abstractNumId w:val="136"/>
  </w:num>
  <w:num w:numId="27">
    <w:abstractNumId w:val="118"/>
  </w:num>
  <w:num w:numId="28">
    <w:abstractNumId w:val="39"/>
  </w:num>
  <w:num w:numId="29">
    <w:abstractNumId w:val="117"/>
  </w:num>
  <w:num w:numId="30">
    <w:abstractNumId w:val="20"/>
  </w:num>
  <w:num w:numId="31">
    <w:abstractNumId w:val="174"/>
  </w:num>
  <w:num w:numId="32">
    <w:abstractNumId w:val="48"/>
  </w:num>
  <w:num w:numId="33">
    <w:abstractNumId w:val="180"/>
  </w:num>
  <w:num w:numId="34">
    <w:abstractNumId w:val="14"/>
  </w:num>
  <w:num w:numId="35">
    <w:abstractNumId w:val="6"/>
  </w:num>
  <w:num w:numId="36">
    <w:abstractNumId w:val="112"/>
  </w:num>
  <w:num w:numId="37">
    <w:abstractNumId w:val="133"/>
  </w:num>
  <w:num w:numId="38">
    <w:abstractNumId w:val="52"/>
  </w:num>
  <w:num w:numId="39">
    <w:abstractNumId w:val="178"/>
  </w:num>
  <w:num w:numId="40">
    <w:abstractNumId w:val="30"/>
  </w:num>
  <w:num w:numId="41">
    <w:abstractNumId w:val="28"/>
  </w:num>
  <w:num w:numId="42">
    <w:abstractNumId w:val="32"/>
  </w:num>
  <w:num w:numId="43">
    <w:abstractNumId w:val="120"/>
  </w:num>
  <w:num w:numId="44">
    <w:abstractNumId w:val="129"/>
  </w:num>
  <w:num w:numId="45">
    <w:abstractNumId w:val="57"/>
  </w:num>
  <w:num w:numId="46">
    <w:abstractNumId w:val="61"/>
  </w:num>
  <w:num w:numId="47">
    <w:abstractNumId w:val="130"/>
  </w:num>
  <w:num w:numId="48">
    <w:abstractNumId w:val="160"/>
  </w:num>
  <w:num w:numId="49">
    <w:abstractNumId w:val="59"/>
  </w:num>
  <w:num w:numId="50">
    <w:abstractNumId w:val="153"/>
  </w:num>
  <w:num w:numId="51">
    <w:abstractNumId w:val="102"/>
  </w:num>
  <w:num w:numId="52">
    <w:abstractNumId w:val="191"/>
  </w:num>
  <w:num w:numId="53">
    <w:abstractNumId w:val="154"/>
  </w:num>
  <w:num w:numId="54">
    <w:abstractNumId w:val="100"/>
  </w:num>
  <w:num w:numId="55">
    <w:abstractNumId w:val="95"/>
  </w:num>
  <w:num w:numId="56">
    <w:abstractNumId w:val="163"/>
  </w:num>
  <w:num w:numId="57">
    <w:abstractNumId w:val="35"/>
  </w:num>
  <w:num w:numId="58">
    <w:abstractNumId w:val="125"/>
  </w:num>
  <w:num w:numId="59">
    <w:abstractNumId w:val="89"/>
  </w:num>
  <w:num w:numId="60">
    <w:abstractNumId w:val="85"/>
  </w:num>
  <w:num w:numId="61">
    <w:abstractNumId w:val="91"/>
  </w:num>
  <w:num w:numId="62">
    <w:abstractNumId w:val="114"/>
  </w:num>
  <w:num w:numId="63">
    <w:abstractNumId w:val="24"/>
  </w:num>
  <w:num w:numId="64">
    <w:abstractNumId w:val="134"/>
  </w:num>
  <w:num w:numId="65">
    <w:abstractNumId w:val="108"/>
  </w:num>
  <w:num w:numId="66">
    <w:abstractNumId w:val="175"/>
  </w:num>
  <w:num w:numId="67">
    <w:abstractNumId w:val="15"/>
  </w:num>
  <w:num w:numId="68">
    <w:abstractNumId w:val="71"/>
  </w:num>
  <w:num w:numId="69">
    <w:abstractNumId w:val="5"/>
  </w:num>
  <w:num w:numId="70">
    <w:abstractNumId w:val="78"/>
  </w:num>
  <w:num w:numId="71">
    <w:abstractNumId w:val="41"/>
  </w:num>
  <w:num w:numId="72">
    <w:abstractNumId w:val="31"/>
  </w:num>
  <w:num w:numId="73">
    <w:abstractNumId w:val="62"/>
  </w:num>
  <w:num w:numId="74">
    <w:abstractNumId w:val="105"/>
  </w:num>
  <w:num w:numId="75">
    <w:abstractNumId w:val="177"/>
  </w:num>
  <w:num w:numId="76">
    <w:abstractNumId w:val="56"/>
  </w:num>
  <w:num w:numId="77">
    <w:abstractNumId w:val="17"/>
  </w:num>
  <w:num w:numId="78">
    <w:abstractNumId w:val="97"/>
  </w:num>
  <w:num w:numId="79">
    <w:abstractNumId w:val="49"/>
  </w:num>
  <w:num w:numId="80">
    <w:abstractNumId w:val="122"/>
  </w:num>
  <w:num w:numId="81">
    <w:abstractNumId w:val="77"/>
  </w:num>
  <w:num w:numId="82">
    <w:abstractNumId w:val="79"/>
  </w:num>
  <w:num w:numId="83">
    <w:abstractNumId w:val="53"/>
  </w:num>
  <w:num w:numId="84">
    <w:abstractNumId w:val="42"/>
  </w:num>
  <w:num w:numId="85">
    <w:abstractNumId w:val="90"/>
  </w:num>
  <w:num w:numId="86">
    <w:abstractNumId w:val="29"/>
  </w:num>
  <w:num w:numId="87">
    <w:abstractNumId w:val="139"/>
  </w:num>
  <w:num w:numId="88">
    <w:abstractNumId w:val="99"/>
  </w:num>
  <w:num w:numId="89">
    <w:abstractNumId w:val="176"/>
  </w:num>
  <w:num w:numId="90">
    <w:abstractNumId w:val="148"/>
  </w:num>
  <w:num w:numId="91">
    <w:abstractNumId w:val="34"/>
  </w:num>
  <w:num w:numId="92">
    <w:abstractNumId w:val="19"/>
  </w:num>
  <w:num w:numId="93">
    <w:abstractNumId w:val="55"/>
  </w:num>
  <w:num w:numId="94">
    <w:abstractNumId w:val="128"/>
  </w:num>
  <w:num w:numId="95">
    <w:abstractNumId w:val="172"/>
  </w:num>
  <w:num w:numId="96">
    <w:abstractNumId w:val="23"/>
  </w:num>
  <w:num w:numId="97">
    <w:abstractNumId w:val="135"/>
  </w:num>
  <w:num w:numId="98">
    <w:abstractNumId w:val="18"/>
  </w:num>
  <w:num w:numId="99">
    <w:abstractNumId w:val="140"/>
  </w:num>
  <w:num w:numId="100">
    <w:abstractNumId w:val="126"/>
  </w:num>
  <w:num w:numId="101">
    <w:abstractNumId w:val="143"/>
  </w:num>
  <w:num w:numId="102">
    <w:abstractNumId w:val="182"/>
  </w:num>
  <w:num w:numId="103">
    <w:abstractNumId w:val="37"/>
  </w:num>
  <w:num w:numId="104">
    <w:abstractNumId w:val="157"/>
  </w:num>
  <w:num w:numId="105">
    <w:abstractNumId w:val="69"/>
  </w:num>
  <w:num w:numId="106">
    <w:abstractNumId w:val="0"/>
  </w:num>
  <w:num w:numId="107">
    <w:abstractNumId w:val="12"/>
  </w:num>
  <w:num w:numId="108">
    <w:abstractNumId w:val="138"/>
  </w:num>
  <w:num w:numId="109">
    <w:abstractNumId w:val="76"/>
  </w:num>
  <w:num w:numId="110">
    <w:abstractNumId w:val="83"/>
  </w:num>
  <w:num w:numId="111">
    <w:abstractNumId w:val="70"/>
  </w:num>
  <w:num w:numId="112">
    <w:abstractNumId w:val="137"/>
  </w:num>
  <w:num w:numId="113">
    <w:abstractNumId w:val="21"/>
  </w:num>
  <w:num w:numId="114">
    <w:abstractNumId w:val="170"/>
  </w:num>
  <w:num w:numId="115">
    <w:abstractNumId w:val="87"/>
  </w:num>
  <w:num w:numId="116">
    <w:abstractNumId w:val="141"/>
  </w:num>
  <w:num w:numId="117">
    <w:abstractNumId w:val="185"/>
  </w:num>
  <w:num w:numId="118">
    <w:abstractNumId w:val="109"/>
  </w:num>
  <w:num w:numId="119">
    <w:abstractNumId w:val="44"/>
  </w:num>
  <w:num w:numId="120">
    <w:abstractNumId w:val="82"/>
  </w:num>
  <w:num w:numId="121">
    <w:abstractNumId w:val="123"/>
  </w:num>
  <w:num w:numId="122">
    <w:abstractNumId w:val="98"/>
  </w:num>
  <w:num w:numId="123">
    <w:abstractNumId w:val="188"/>
  </w:num>
  <w:num w:numId="124">
    <w:abstractNumId w:val="88"/>
  </w:num>
  <w:num w:numId="125">
    <w:abstractNumId w:val="94"/>
  </w:num>
  <w:num w:numId="126">
    <w:abstractNumId w:val="1"/>
  </w:num>
  <w:num w:numId="127">
    <w:abstractNumId w:val="92"/>
  </w:num>
  <w:num w:numId="128">
    <w:abstractNumId w:val="66"/>
  </w:num>
  <w:num w:numId="129">
    <w:abstractNumId w:val="119"/>
  </w:num>
  <w:num w:numId="130">
    <w:abstractNumId w:val="115"/>
  </w:num>
  <w:num w:numId="131">
    <w:abstractNumId w:val="33"/>
  </w:num>
  <w:num w:numId="132">
    <w:abstractNumId w:val="72"/>
  </w:num>
  <w:num w:numId="133">
    <w:abstractNumId w:val="173"/>
  </w:num>
  <w:num w:numId="134">
    <w:abstractNumId w:val="189"/>
  </w:num>
  <w:num w:numId="135">
    <w:abstractNumId w:val="103"/>
  </w:num>
  <w:num w:numId="136">
    <w:abstractNumId w:val="104"/>
  </w:num>
  <w:num w:numId="137">
    <w:abstractNumId w:val="16"/>
  </w:num>
  <w:num w:numId="138">
    <w:abstractNumId w:val="45"/>
  </w:num>
  <w:num w:numId="139">
    <w:abstractNumId w:val="144"/>
  </w:num>
  <w:num w:numId="140">
    <w:abstractNumId w:val="190"/>
  </w:num>
  <w:num w:numId="141">
    <w:abstractNumId w:val="113"/>
  </w:num>
  <w:num w:numId="142">
    <w:abstractNumId w:val="150"/>
  </w:num>
  <w:num w:numId="143">
    <w:abstractNumId w:val="192"/>
  </w:num>
  <w:num w:numId="144">
    <w:abstractNumId w:val="81"/>
  </w:num>
  <w:num w:numId="145">
    <w:abstractNumId w:val="145"/>
  </w:num>
  <w:num w:numId="146">
    <w:abstractNumId w:val="25"/>
  </w:num>
  <w:num w:numId="147">
    <w:abstractNumId w:val="10"/>
  </w:num>
  <w:num w:numId="148">
    <w:abstractNumId w:val="151"/>
  </w:num>
  <w:num w:numId="149">
    <w:abstractNumId w:val="183"/>
  </w:num>
  <w:num w:numId="150">
    <w:abstractNumId w:val="168"/>
  </w:num>
  <w:num w:numId="151">
    <w:abstractNumId w:val="46"/>
  </w:num>
  <w:num w:numId="152">
    <w:abstractNumId w:val="68"/>
  </w:num>
  <w:num w:numId="153">
    <w:abstractNumId w:val="167"/>
  </w:num>
  <w:num w:numId="154">
    <w:abstractNumId w:val="8"/>
  </w:num>
  <w:num w:numId="155">
    <w:abstractNumId w:val="2"/>
  </w:num>
  <w:num w:numId="156">
    <w:abstractNumId w:val="84"/>
  </w:num>
  <w:num w:numId="157">
    <w:abstractNumId w:val="132"/>
  </w:num>
  <w:num w:numId="158">
    <w:abstractNumId w:val="131"/>
  </w:num>
  <w:num w:numId="159">
    <w:abstractNumId w:val="40"/>
  </w:num>
  <w:num w:numId="160">
    <w:abstractNumId w:val="67"/>
  </w:num>
  <w:num w:numId="161">
    <w:abstractNumId w:val="162"/>
  </w:num>
  <w:num w:numId="162">
    <w:abstractNumId w:val="64"/>
  </w:num>
  <w:num w:numId="163">
    <w:abstractNumId w:val="93"/>
  </w:num>
  <w:num w:numId="164">
    <w:abstractNumId w:val="142"/>
  </w:num>
  <w:num w:numId="165">
    <w:abstractNumId w:val="4"/>
  </w:num>
  <w:num w:numId="166">
    <w:abstractNumId w:val="7"/>
  </w:num>
  <w:num w:numId="167">
    <w:abstractNumId w:val="106"/>
  </w:num>
  <w:num w:numId="168">
    <w:abstractNumId w:val="164"/>
  </w:num>
  <w:num w:numId="169">
    <w:abstractNumId w:val="152"/>
  </w:num>
  <w:num w:numId="170">
    <w:abstractNumId w:val="187"/>
  </w:num>
  <w:num w:numId="171">
    <w:abstractNumId w:val="101"/>
  </w:num>
  <w:num w:numId="172">
    <w:abstractNumId w:val="43"/>
  </w:num>
  <w:num w:numId="173">
    <w:abstractNumId w:val="22"/>
  </w:num>
  <w:num w:numId="174">
    <w:abstractNumId w:val="116"/>
  </w:num>
  <w:num w:numId="175">
    <w:abstractNumId w:val="193"/>
  </w:num>
  <w:num w:numId="176">
    <w:abstractNumId w:val="96"/>
  </w:num>
  <w:num w:numId="177">
    <w:abstractNumId w:val="169"/>
  </w:num>
  <w:num w:numId="178">
    <w:abstractNumId w:val="107"/>
  </w:num>
  <w:num w:numId="179">
    <w:abstractNumId w:val="171"/>
  </w:num>
  <w:num w:numId="180">
    <w:abstractNumId w:val="58"/>
  </w:num>
  <w:num w:numId="181">
    <w:abstractNumId w:val="158"/>
  </w:num>
  <w:num w:numId="182">
    <w:abstractNumId w:val="47"/>
  </w:num>
  <w:num w:numId="183">
    <w:abstractNumId w:val="73"/>
  </w:num>
  <w:num w:numId="184">
    <w:abstractNumId w:val="110"/>
  </w:num>
  <w:num w:numId="185">
    <w:abstractNumId w:val="156"/>
  </w:num>
  <w:num w:numId="186">
    <w:abstractNumId w:val="36"/>
  </w:num>
  <w:num w:numId="187">
    <w:abstractNumId w:val="65"/>
  </w:num>
  <w:num w:numId="188">
    <w:abstractNumId w:val="165"/>
  </w:num>
  <w:num w:numId="189">
    <w:abstractNumId w:val="111"/>
  </w:num>
  <w:num w:numId="190">
    <w:abstractNumId w:val="38"/>
  </w:num>
  <w:num w:numId="191">
    <w:abstractNumId w:val="11"/>
  </w:num>
  <w:num w:numId="192">
    <w:abstractNumId w:val="63"/>
  </w:num>
  <w:num w:numId="193">
    <w:abstractNumId w:val="74"/>
  </w:num>
  <w:num w:numId="194">
    <w:abstractNumId w:val="184"/>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7E59"/>
    <w:rsid w:val="00080265"/>
    <w:rsid w:val="00080A69"/>
    <w:rsid w:val="000839A0"/>
    <w:rsid w:val="000865AD"/>
    <w:rsid w:val="00087983"/>
    <w:rsid w:val="00091F8B"/>
    <w:rsid w:val="00095C5F"/>
    <w:rsid w:val="000A4FAE"/>
    <w:rsid w:val="000A6E38"/>
    <w:rsid w:val="000B0074"/>
    <w:rsid w:val="000C1B8F"/>
    <w:rsid w:val="000C371B"/>
    <w:rsid w:val="000C49C5"/>
    <w:rsid w:val="000D5C53"/>
    <w:rsid w:val="000F3195"/>
    <w:rsid w:val="000F6C8E"/>
    <w:rsid w:val="00100D36"/>
    <w:rsid w:val="00103E3C"/>
    <w:rsid w:val="00105A96"/>
    <w:rsid w:val="00105B19"/>
    <w:rsid w:val="00106F7D"/>
    <w:rsid w:val="0010713C"/>
    <w:rsid w:val="001101CE"/>
    <w:rsid w:val="00113BC5"/>
    <w:rsid w:val="001369F0"/>
    <w:rsid w:val="00137AC6"/>
    <w:rsid w:val="00140884"/>
    <w:rsid w:val="00151220"/>
    <w:rsid w:val="00153307"/>
    <w:rsid w:val="0015515C"/>
    <w:rsid w:val="001613BA"/>
    <w:rsid w:val="00163625"/>
    <w:rsid w:val="00165270"/>
    <w:rsid w:val="00166D89"/>
    <w:rsid w:val="00167872"/>
    <w:rsid w:val="00167B52"/>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2FC5"/>
    <w:rsid w:val="00236EBD"/>
    <w:rsid w:val="00241F2B"/>
    <w:rsid w:val="002426A3"/>
    <w:rsid w:val="00242EA4"/>
    <w:rsid w:val="00244832"/>
    <w:rsid w:val="00250EDF"/>
    <w:rsid w:val="00252E6B"/>
    <w:rsid w:val="00253C48"/>
    <w:rsid w:val="002567C9"/>
    <w:rsid w:val="002571C1"/>
    <w:rsid w:val="002670A7"/>
    <w:rsid w:val="002728BD"/>
    <w:rsid w:val="00274D37"/>
    <w:rsid w:val="0028210D"/>
    <w:rsid w:val="002835A7"/>
    <w:rsid w:val="0029169A"/>
    <w:rsid w:val="00296C4B"/>
    <w:rsid w:val="0029706F"/>
    <w:rsid w:val="002A73AD"/>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2068"/>
    <w:rsid w:val="00322BBB"/>
    <w:rsid w:val="00324EB1"/>
    <w:rsid w:val="00325AC6"/>
    <w:rsid w:val="00325D43"/>
    <w:rsid w:val="003279B0"/>
    <w:rsid w:val="00331358"/>
    <w:rsid w:val="003314C8"/>
    <w:rsid w:val="003319AF"/>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77DB"/>
    <w:rsid w:val="00487F66"/>
    <w:rsid w:val="00492276"/>
    <w:rsid w:val="00493DE7"/>
    <w:rsid w:val="004A0CD4"/>
    <w:rsid w:val="004A61A2"/>
    <w:rsid w:val="004B1053"/>
    <w:rsid w:val="004B2FFB"/>
    <w:rsid w:val="004C6F87"/>
    <w:rsid w:val="004C777F"/>
    <w:rsid w:val="004D1639"/>
    <w:rsid w:val="004D1D90"/>
    <w:rsid w:val="004D3A9C"/>
    <w:rsid w:val="004D767E"/>
    <w:rsid w:val="004E14C0"/>
    <w:rsid w:val="004E1678"/>
    <w:rsid w:val="004E1BB2"/>
    <w:rsid w:val="004E2EB8"/>
    <w:rsid w:val="004E32B6"/>
    <w:rsid w:val="004E3431"/>
    <w:rsid w:val="004E352F"/>
    <w:rsid w:val="004E466C"/>
    <w:rsid w:val="004E4965"/>
    <w:rsid w:val="004F0A0D"/>
    <w:rsid w:val="004F1450"/>
    <w:rsid w:val="004F1F56"/>
    <w:rsid w:val="004F5384"/>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594"/>
    <w:rsid w:val="00545B8A"/>
    <w:rsid w:val="00547A7B"/>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A324B"/>
    <w:rsid w:val="005B04E7"/>
    <w:rsid w:val="005B0F28"/>
    <w:rsid w:val="005B379F"/>
    <w:rsid w:val="005B4534"/>
    <w:rsid w:val="005C206F"/>
    <w:rsid w:val="005C53A9"/>
    <w:rsid w:val="005C661E"/>
    <w:rsid w:val="005C7A52"/>
    <w:rsid w:val="005D0F14"/>
    <w:rsid w:val="005D3AF6"/>
    <w:rsid w:val="005E3F9A"/>
    <w:rsid w:val="005E559A"/>
    <w:rsid w:val="005F1E57"/>
    <w:rsid w:val="005F5287"/>
    <w:rsid w:val="005F5DD8"/>
    <w:rsid w:val="00601ADA"/>
    <w:rsid w:val="0060273C"/>
    <w:rsid w:val="006043D1"/>
    <w:rsid w:val="00606173"/>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86D79"/>
    <w:rsid w:val="006A37DC"/>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0C10"/>
    <w:rsid w:val="007415B2"/>
    <w:rsid w:val="00741F1A"/>
    <w:rsid w:val="00744041"/>
    <w:rsid w:val="007551C1"/>
    <w:rsid w:val="007573D0"/>
    <w:rsid w:val="007640E7"/>
    <w:rsid w:val="00766F2E"/>
    <w:rsid w:val="007725CB"/>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172B"/>
    <w:rsid w:val="008525AE"/>
    <w:rsid w:val="00854440"/>
    <w:rsid w:val="00855955"/>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3ADE"/>
    <w:rsid w:val="008F462D"/>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3F94"/>
    <w:rsid w:val="009757C1"/>
    <w:rsid w:val="00975F05"/>
    <w:rsid w:val="00976605"/>
    <w:rsid w:val="00977118"/>
    <w:rsid w:val="009802FB"/>
    <w:rsid w:val="00980BB2"/>
    <w:rsid w:val="00987B89"/>
    <w:rsid w:val="00987D62"/>
    <w:rsid w:val="00992C9C"/>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B02005"/>
    <w:rsid w:val="00B0240D"/>
    <w:rsid w:val="00B025B0"/>
    <w:rsid w:val="00B06AA0"/>
    <w:rsid w:val="00B139FC"/>
    <w:rsid w:val="00B20294"/>
    <w:rsid w:val="00B22458"/>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5A8C"/>
    <w:rsid w:val="00B8619A"/>
    <w:rsid w:val="00B86917"/>
    <w:rsid w:val="00B94B67"/>
    <w:rsid w:val="00B975E6"/>
    <w:rsid w:val="00BA6CE1"/>
    <w:rsid w:val="00BB226A"/>
    <w:rsid w:val="00BB28E3"/>
    <w:rsid w:val="00BB4566"/>
    <w:rsid w:val="00BB6FB4"/>
    <w:rsid w:val="00BC2EF5"/>
    <w:rsid w:val="00BC350B"/>
    <w:rsid w:val="00BC5970"/>
    <w:rsid w:val="00BC675F"/>
    <w:rsid w:val="00BD458D"/>
    <w:rsid w:val="00BD5BC9"/>
    <w:rsid w:val="00BE36F7"/>
    <w:rsid w:val="00BE44F4"/>
    <w:rsid w:val="00BE63F3"/>
    <w:rsid w:val="00BF12C9"/>
    <w:rsid w:val="00BF35C8"/>
    <w:rsid w:val="00BF58E5"/>
    <w:rsid w:val="00BF6D65"/>
    <w:rsid w:val="00C0077D"/>
    <w:rsid w:val="00C0345F"/>
    <w:rsid w:val="00C06963"/>
    <w:rsid w:val="00C15CDA"/>
    <w:rsid w:val="00C165F7"/>
    <w:rsid w:val="00C24948"/>
    <w:rsid w:val="00C2577C"/>
    <w:rsid w:val="00C270B3"/>
    <w:rsid w:val="00C27AE4"/>
    <w:rsid w:val="00C32F38"/>
    <w:rsid w:val="00C4315C"/>
    <w:rsid w:val="00C513C4"/>
    <w:rsid w:val="00C534D1"/>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32F1"/>
    <w:rsid w:val="00D058A3"/>
    <w:rsid w:val="00D10F47"/>
    <w:rsid w:val="00D1527A"/>
    <w:rsid w:val="00D15822"/>
    <w:rsid w:val="00D16802"/>
    <w:rsid w:val="00D2195D"/>
    <w:rsid w:val="00D302FA"/>
    <w:rsid w:val="00D32DE2"/>
    <w:rsid w:val="00D40F8B"/>
    <w:rsid w:val="00D41D6F"/>
    <w:rsid w:val="00D47AE2"/>
    <w:rsid w:val="00D52B86"/>
    <w:rsid w:val="00D5355E"/>
    <w:rsid w:val="00D53C2D"/>
    <w:rsid w:val="00D53C9E"/>
    <w:rsid w:val="00D55F13"/>
    <w:rsid w:val="00D57545"/>
    <w:rsid w:val="00D633E0"/>
    <w:rsid w:val="00D749EA"/>
    <w:rsid w:val="00D76BE1"/>
    <w:rsid w:val="00D81561"/>
    <w:rsid w:val="00D82334"/>
    <w:rsid w:val="00D83552"/>
    <w:rsid w:val="00D83A71"/>
    <w:rsid w:val="00D83A7E"/>
    <w:rsid w:val="00D85F42"/>
    <w:rsid w:val="00D862E5"/>
    <w:rsid w:val="00D905E7"/>
    <w:rsid w:val="00D94404"/>
    <w:rsid w:val="00D977BF"/>
    <w:rsid w:val="00DA35A3"/>
    <w:rsid w:val="00DA48B2"/>
    <w:rsid w:val="00DB17BF"/>
    <w:rsid w:val="00DB3082"/>
    <w:rsid w:val="00DB37ED"/>
    <w:rsid w:val="00DB54D3"/>
    <w:rsid w:val="00DC3B71"/>
    <w:rsid w:val="00DD7351"/>
    <w:rsid w:val="00DE10B2"/>
    <w:rsid w:val="00DE35A5"/>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6D"/>
    <w:rsid w:val="00E437F3"/>
    <w:rsid w:val="00E44946"/>
    <w:rsid w:val="00E45005"/>
    <w:rsid w:val="00E466C4"/>
    <w:rsid w:val="00E505CE"/>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07B95"/>
    <w:rsid w:val="00F11809"/>
    <w:rsid w:val="00F15E81"/>
    <w:rsid w:val="00F16ECC"/>
    <w:rsid w:val="00F21CDE"/>
    <w:rsid w:val="00F21D87"/>
    <w:rsid w:val="00F35FE4"/>
    <w:rsid w:val="00F45145"/>
    <w:rsid w:val="00F465F9"/>
    <w:rsid w:val="00F51434"/>
    <w:rsid w:val="00F57C91"/>
    <w:rsid w:val="00F57FF4"/>
    <w:rsid w:val="00F616E3"/>
    <w:rsid w:val="00F63024"/>
    <w:rsid w:val="00F65500"/>
    <w:rsid w:val="00F6761B"/>
    <w:rsid w:val="00F73DE0"/>
    <w:rsid w:val="00F81EB1"/>
    <w:rsid w:val="00F83992"/>
    <w:rsid w:val="00F84771"/>
    <w:rsid w:val="00F93A6F"/>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B4"/>
    <w:rsid w:val="000A51B4"/>
    <w:rsid w:val="002155DF"/>
    <w:rsid w:val="004B4C0A"/>
    <w:rsid w:val="00551326"/>
    <w:rsid w:val="0096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5D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5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432</Pages>
  <Words>86107</Words>
  <Characters>490810</Characters>
  <Application>Microsoft Office Word</Application>
  <DocSecurity>0</DocSecurity>
  <Lines>4090</Lines>
  <Paragraphs>1151</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575766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9</cp:revision>
  <cp:lastPrinted>2017-05-17T00:25:00Z</cp:lastPrinted>
  <dcterms:created xsi:type="dcterms:W3CDTF">2017-07-19T01:23:00Z</dcterms:created>
  <dcterms:modified xsi:type="dcterms:W3CDTF">2017-07-19T02:22:00Z</dcterms:modified>
</cp:coreProperties>
</file>