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bookmarkStart w:id="0" w:name="_GoBack"/>
      <w:bookmarkEnd w:id="0"/>
      <w:r>
        <w:rPr>
          <w:b/>
          <w:bCs/>
        </w:rPr>
        <w:t>v</w:t>
      </w:r>
      <w:r w:rsidR="00C214DA">
        <w:rPr>
          <w:b/>
          <w:bCs/>
        </w:rPr>
        <w:t>3</w:t>
      </w:r>
      <w:r>
        <w:rPr>
          <w:b/>
          <w:bCs/>
        </w:rPr>
        <w:t>.</w:t>
      </w:r>
      <w:r w:rsidR="0028009E">
        <w:rPr>
          <w:b/>
          <w:bCs/>
        </w:rPr>
        <w:t>16</w:t>
      </w:r>
      <w:r w:rsidR="00451A26">
        <w:rPr>
          <w:b/>
          <w:bCs/>
        </w:rPr>
        <w:t xml:space="preserve"> </w:t>
      </w:r>
      <w:r w:rsidR="0028009E">
        <w:t>4</w:t>
      </w:r>
      <w:r>
        <w:t xml:space="preserve"> </w:t>
      </w:r>
      <w:r w:rsidR="0028009E">
        <w:t>October</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8C2847"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8C2847"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8C2847"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8C2847"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8C2847"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8C2847"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8C2847"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8C2847"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8C2847"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8C2847"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8C2847"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8C2847"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8C284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8C2847"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8C2847"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8C2847"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8C2847"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8C2847"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8C2847"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8C2847"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8C2847"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8C2847"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8C2847"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8C2847"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8C2847"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8C2847"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C2847"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8C2847"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8C2847"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8C2847"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8C2847"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8C2847"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8C2847"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6864612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8C2847"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6864612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8C2847"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8C2847"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8C2847"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8C2847"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8C2847"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8C2847"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8C2847"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8C2847"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8C2847"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8C2847"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8C2847"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8C2847"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8C2847"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8C2847"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8C2847"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8C2847"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8C2847"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8C2847"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8C2847"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8C2847"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8C2847"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8C2847"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8C2847"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m:t>
                  </m:r>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8C2847"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8C2847"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stub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m:t>
        </m:r>
        <m:r>
          <w:rPr>
            <w:rFonts w:ascii="Cambria Math" w:hAnsi="Cambria Math"/>
          </w:rPr>
          <m:t>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8C2847"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8C2847"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8C2847"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8C2847"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8C2847"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8C2847"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8C2847"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8C2847"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8C2847"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m:t>
                  </m:r>
                  <m:r>
                    <w:rPr>
                      <w:rFonts w:ascii="Cambria Math" w:hAnsi="Cambria Math"/>
                    </w:rPr>
                    <m:t>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8C2847"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m:t>
          </m:r>
          <m:r>
            <w:rPr>
              <w:rFonts w:ascii="Cambria Math" w:hAnsi="Cambria Math"/>
            </w:rPr>
            <m:t>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8C2847"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8C2847"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8C2847"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8C2847"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8C2847"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m:t>
              </m:r>
              <m:r>
                <w:rPr>
                  <w:rFonts w:ascii="Cambria Math" w:hAnsi="Cambria Math"/>
                </w:rPr>
                <m:t>PE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8C2847"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8C2847"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8C2847"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8C2847"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8C2847"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8C2847"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8C2847"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8C2847"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8C2847"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8C2847"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8C2847"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8C2847"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8C2847"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8C2847"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8C2847"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8C2847"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8C2847"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8C2847"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8C2847"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8C2847"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8C2847"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8C2847"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8C2847"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8C2847"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8C2847"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8C2847"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8C2847"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8C2847"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8C2847"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8C2847"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8C2847"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m:t>
                      </m:r>
                      <m:r>
                        <w:rPr>
                          <w:rFonts w:ascii="Cambria Math" w:hAnsi="Cambria Math"/>
                        </w:rPr>
                        <m:t>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8C2847"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8C2847"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8C2847"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8C2847"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8C2847"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8C2847"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8C2847"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8C2847"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8C2847"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8C2847"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8C2847"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8C2847"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8C2847"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8C2847"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8C2847"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8C2847"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8C2847"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8C2847"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8C2847"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8C2847"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8C2847"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8C2847"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8C2847"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8C2847"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8C2847"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8C2847"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8C2847"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8C2847"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8C2847"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m:t>
        </m:r>
        <m:r>
          <w:rPr>
            <w:rFonts w:ascii="Cambria Math" w:hAnsi="Cambria Math"/>
          </w:rPr>
          <m:t>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8C2847"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8C2847"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8C2847"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8C2847"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8C2847"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8C2847"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8C2847"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8C2847"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8C2847"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8C2847"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8C2847"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8C2847"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8C2847"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8C2847"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8C2847"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8C2847"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8C2847"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8C2847"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m:t>
                      </m:r>
                      <m:r>
                        <w:rPr>
                          <w:rFonts w:ascii="Cambria Math" w:hAnsi="Cambria Math"/>
                        </w:rPr>
                        <m:t>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8C2847"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8C2847"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8C2847"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8C2847"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8C2847"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8C2847"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8C2847"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6931FB" w:rsidRPr="002B2074" w:rsidRDefault="008C2847"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8C2847"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8C2847"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8C2847"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8C2847"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8C2847"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8C2847"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r>
                            <w:rPr>
                              <w:rFonts w:ascii="Cambria Math" w:hAnsi="Cambria Math"/>
                            </w:rPr>
                            <m:t>EPE, -AENE</m:t>
                          </m:r>
                        </m:e>
                      </m:d>
                    </m:e>
                  </m:func>
                </m:den>
              </m:f>
            </m:e>
          </m:d>
        </m:oMath>
      </m:oMathPara>
    </w:p>
    <w:p w:rsidR="00F1608D" w:rsidRDefault="00F1608D" w:rsidP="00F1608D">
      <w:pPr>
        <w:pStyle w:val="ListParagraph"/>
        <w:spacing w:after="200" w:line="360" w:lineRule="auto"/>
        <w:ind w:left="360"/>
      </w:pPr>
    </w:p>
    <w:p w:rsidR="004C57FC" w:rsidRPr="00F1608D" w:rsidRDefault="008C2847"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8C2847"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8C2847"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8C2847"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8C2847"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8C2847"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8C2847"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8C2847"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8C2847"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8C2847"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8C2847"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8C2847"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8C2847"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8C2847"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8C2847"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8C2847"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8C2847"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8C2847"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8C2847"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8C2847"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8C2847"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8C2847"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m:t>
        </m:r>
        <m:r>
          <w:rPr>
            <w:rFonts w:ascii="Cambria Math" w:hAnsi="Cambria Math"/>
          </w:rPr>
          <m:t>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8C2847"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8C2847"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8C2847"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8C2847"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8C2847"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8C2847"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8C2847"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8C2847"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8C2847"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8C2847"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8C2847"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8C2847"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8C2847"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8C2847"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8C2847"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8C2847"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8C2847"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8C2847"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8C2847"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8C2847"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8C2847"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8C2847"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8C2847"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8C2847"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8C2847"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8C2847"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8C2847"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8C2847"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8C284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8C284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8C284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m:t>
                          </m:r>
                          <m:r>
                            <w:rPr>
                              <w:rFonts w:ascii="Cambria Math" w:hAnsi="Cambria Math"/>
                            </w:rPr>
                            <m:t>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8C284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m:t>
                                          </m:r>
                                          <m:r>
                                            <w:rPr>
                                              <w:rFonts w:ascii="Cambria Math" w:hAnsi="Cambria Math"/>
                                            </w:rPr>
                                            <m:t>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8C284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8C284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8C2847"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8C2847"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8C2847"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8C2847"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m:t>
                      </m:r>
                      <m:r>
                        <w:rPr>
                          <w:rFonts w:ascii="Cambria Math" w:hAnsi="Cambria Math"/>
                        </w:rPr>
                        <m:t>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m:t>
                      </m:r>
                      <m:r>
                        <w:rPr>
                          <w:rFonts w:ascii="Cambria Math" w:hAnsi="Cambria Math"/>
                        </w:rPr>
                        <m:t>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8C284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8C284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8C284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C284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8C284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8C284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8C284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8C2847"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C2847"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8C2847"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8C2847"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8C2847"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8C2847"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8C2847"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8C2847"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8C2847"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C284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C284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C284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8C284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8C284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8C2847"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C284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8C284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8C2847"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8C2847"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8C2847"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8C2847"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8C284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8C2847"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8C2847"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8C2847"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8C2847"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8C2847"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8C2847"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8C2847"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m:t>
        </m:r>
        <m:r>
          <w:rPr>
            <w:rFonts w:ascii="Cambria Math" w:hAnsi="Cambria Math"/>
          </w:rPr>
          <m:t>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C284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C2847"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8C2847"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8C2847"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8C2847"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8C2847"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CVA equals the credit valuation adjustment that the bank has recognized in its balance sheet valuation of any OTC derivatives contract in its netting set. For the purposes of this 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8C2847"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8C2847"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m:t>
              </m:r>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8C2847"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m:t>
                                  </m:r>
                                  <m:r>
                                    <w:rPr>
                                      <w:rFonts w:ascii="Cambria Math" w:hAnsi="Cambria Math"/>
                                      <w:u w:val="single"/>
                                    </w:rPr>
                                    <m:t>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8C2847"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8C2847"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8C284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8C2847"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8C2847"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8C284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8C284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8C284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8C2847"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8C2847"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8C2847"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m:t>
          </m:r>
          <m:r>
            <w:rPr>
              <w:rFonts w:ascii="Cambria Math" w:hAnsi="Cambria Math"/>
            </w:rPr>
            <m:t>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m:t>
          </m:r>
          <m:r>
            <w:rPr>
              <w:rFonts w:ascii="Cambria Math" w:hAnsi="Cambria Math"/>
            </w:rPr>
            <m:t>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8C2847"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8C2847"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8C2847"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8C2847"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8C2847"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8C2847"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8C2847"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8C2847"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8C2847"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8C2847"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8C2847"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8C2847"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8C2847"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8C2847"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8C284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8C284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8C2847"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8C2847"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8C2847"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8C2847"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8C2847"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8C2847"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8C2847"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8C2847"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8C284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8C2847"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8C284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8C2847"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8C2847"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m:t>
                      </m:r>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8C2847"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8C2847"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8C2847"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8C2847"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8C2847"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8C2847"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8C2847"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8C2847"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8C2847"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8C2847"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8C2847"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8C2847"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e>
          </m:d>
        </m:oMath>
      </m:oMathPara>
    </w:p>
    <w:p w:rsidR="004D767E" w:rsidRDefault="004D767E" w:rsidP="004D767E">
      <w:pPr>
        <w:pStyle w:val="ListParagraph"/>
        <w:spacing w:line="360" w:lineRule="auto"/>
        <w:ind w:left="360"/>
      </w:pPr>
    </w:p>
    <w:p w:rsidR="001A0093" w:rsidRDefault="008C2847"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8C2847"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8C2847"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8C2847"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8C2847"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8C2847"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8C2847"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8C2847"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8C2847"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8C2847"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8C2847"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8C2847"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8C2847"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8C2847"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8C2847"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8C284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8C284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8C284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8C284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8C2847"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8C2847"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8C2847"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8C2847"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8C2847"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8C2847"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8C2847"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8C2847"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8C2847"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8C2847"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8C2847"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8C2847"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8C2847"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8C2847"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8C2847"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8C2847"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8C2847"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8C284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8C284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8C284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8C284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8C284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8C2847"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8C284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C284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C284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8C284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C284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8C2847"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8C2847"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8C2847"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8C2847"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8C2847"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8C2847"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8C2847"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8C2847"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8C2847"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m:t>
                          </m:r>
                          <m:r>
                            <w:rPr>
                              <w:rFonts w:ascii="Cambria Math" w:hAnsi="Cambria Math"/>
                              <w:vanish/>
                            </w:rPr>
                            <m:t>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8C2847"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8C2847"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8C2847"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8C2847"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8C2847"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8C2847"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8C2847"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8C2847"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8C2847"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8C2847"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8C2847"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8C2847"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8C2847"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8C2847"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8C2847"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8C2847"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8C2847"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8C284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8C284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8C284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8C284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8C284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8C2847"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8C2847"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8C2847"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8C2847"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8C2847"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8C2847"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8C2847"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8C2847"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8C2847"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8C2847"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8C2847"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8C2847"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8C2847"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8C2847"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8C2847"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8C2847"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8C2847"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8C2847"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8C2847"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8C2847"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8C2847"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72"/>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847" w:rsidRDefault="008C2847" w:rsidP="008F462D">
      <w:r>
        <w:separator/>
      </w:r>
    </w:p>
  </w:endnote>
  <w:endnote w:type="continuationSeparator" w:id="0">
    <w:p w:rsidR="008C2847" w:rsidRDefault="008C2847"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28009E" w:rsidRDefault="0028009E">
        <w:pPr>
          <w:pStyle w:val="Footer"/>
          <w:jc w:val="center"/>
        </w:pPr>
        <w:r>
          <w:fldChar w:fldCharType="begin"/>
        </w:r>
        <w:r>
          <w:instrText xml:space="preserve"> PAGE   \* MERGEFORMAT </w:instrText>
        </w:r>
        <w:r>
          <w:fldChar w:fldCharType="separate"/>
        </w:r>
        <w:r w:rsidR="002775D7">
          <w:rPr>
            <w:noProof/>
          </w:rPr>
          <w:t>176</w:t>
        </w:r>
        <w:r>
          <w:rPr>
            <w:noProof/>
          </w:rPr>
          <w:fldChar w:fldCharType="end"/>
        </w:r>
      </w:p>
    </w:sdtContent>
  </w:sdt>
  <w:p w:rsidR="00B82F71" w:rsidRDefault="00B82F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847" w:rsidRDefault="008C2847" w:rsidP="008F462D">
      <w:r>
        <w:separator/>
      </w:r>
    </w:p>
  </w:footnote>
  <w:footnote w:type="continuationSeparator" w:id="0">
    <w:p w:rsidR="008C2847" w:rsidRDefault="008C2847"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9E" w:rsidRDefault="0028009E">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28009E" w:rsidRDefault="002800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9">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1">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3">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1">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8"/>
  </w:num>
  <w:num w:numId="2">
    <w:abstractNumId w:val="82"/>
  </w:num>
  <w:num w:numId="3">
    <w:abstractNumId w:val="172"/>
  </w:num>
  <w:num w:numId="4">
    <w:abstractNumId w:val="59"/>
  </w:num>
  <w:num w:numId="5">
    <w:abstractNumId w:val="56"/>
  </w:num>
  <w:num w:numId="6">
    <w:abstractNumId w:val="135"/>
  </w:num>
  <w:num w:numId="7">
    <w:abstractNumId w:val="200"/>
  </w:num>
  <w:num w:numId="8">
    <w:abstractNumId w:val="160"/>
  </w:num>
  <w:num w:numId="9">
    <w:abstractNumId w:val="158"/>
  </w:num>
  <w:num w:numId="10">
    <w:abstractNumId w:val="65"/>
  </w:num>
  <w:num w:numId="11">
    <w:abstractNumId w:val="87"/>
  </w:num>
  <w:num w:numId="12">
    <w:abstractNumId w:val="3"/>
  </w:num>
  <w:num w:numId="13">
    <w:abstractNumId w:val="9"/>
  </w:num>
  <w:num w:numId="14">
    <w:abstractNumId w:val="166"/>
  </w:num>
  <w:num w:numId="15">
    <w:abstractNumId w:val="93"/>
  </w:num>
  <w:num w:numId="16">
    <w:abstractNumId w:val="170"/>
  </w:num>
  <w:num w:numId="17">
    <w:abstractNumId w:val="27"/>
  </w:num>
  <w:num w:numId="18">
    <w:abstractNumId w:val="190"/>
  </w:num>
  <w:num w:numId="19">
    <w:abstractNumId w:val="177"/>
  </w:num>
  <w:num w:numId="20">
    <w:abstractNumId w:val="55"/>
  </w:num>
  <w:num w:numId="21">
    <w:abstractNumId w:val="13"/>
  </w:num>
  <w:num w:numId="22">
    <w:abstractNumId w:val="132"/>
  </w:num>
  <w:num w:numId="23">
    <w:abstractNumId w:val="192"/>
  </w:num>
  <w:num w:numId="24">
    <w:abstractNumId w:val="26"/>
  </w:num>
  <w:num w:numId="25">
    <w:abstractNumId w:val="157"/>
  </w:num>
  <w:num w:numId="26">
    <w:abstractNumId w:val="147"/>
  </w:num>
  <w:num w:numId="27">
    <w:abstractNumId w:val="129"/>
  </w:num>
  <w:num w:numId="28">
    <w:abstractNumId w:val="40"/>
  </w:num>
  <w:num w:numId="29">
    <w:abstractNumId w:val="128"/>
  </w:num>
  <w:num w:numId="30">
    <w:abstractNumId w:val="20"/>
  </w:num>
  <w:num w:numId="31">
    <w:abstractNumId w:val="185"/>
  </w:num>
  <w:num w:numId="32">
    <w:abstractNumId w:val="53"/>
  </w:num>
  <w:num w:numId="33">
    <w:abstractNumId w:val="191"/>
  </w:num>
  <w:num w:numId="34">
    <w:abstractNumId w:val="14"/>
  </w:num>
  <w:num w:numId="35">
    <w:abstractNumId w:val="6"/>
  </w:num>
  <w:num w:numId="36">
    <w:abstractNumId w:val="123"/>
  </w:num>
  <w:num w:numId="37">
    <w:abstractNumId w:val="144"/>
  </w:num>
  <w:num w:numId="38">
    <w:abstractNumId w:val="57"/>
  </w:num>
  <w:num w:numId="39">
    <w:abstractNumId w:val="189"/>
  </w:num>
  <w:num w:numId="40">
    <w:abstractNumId w:val="30"/>
  </w:num>
  <w:num w:numId="41">
    <w:abstractNumId w:val="28"/>
  </w:num>
  <w:num w:numId="42">
    <w:abstractNumId w:val="33"/>
  </w:num>
  <w:num w:numId="43">
    <w:abstractNumId w:val="131"/>
  </w:num>
  <w:num w:numId="44">
    <w:abstractNumId w:val="140"/>
  </w:num>
  <w:num w:numId="45">
    <w:abstractNumId w:val="62"/>
  </w:num>
  <w:num w:numId="46">
    <w:abstractNumId w:val="66"/>
  </w:num>
  <w:num w:numId="47">
    <w:abstractNumId w:val="141"/>
  </w:num>
  <w:num w:numId="48">
    <w:abstractNumId w:val="171"/>
  </w:num>
  <w:num w:numId="49">
    <w:abstractNumId w:val="64"/>
  </w:num>
  <w:num w:numId="50">
    <w:abstractNumId w:val="164"/>
  </w:num>
  <w:num w:numId="51">
    <w:abstractNumId w:val="109"/>
  </w:num>
  <w:num w:numId="52">
    <w:abstractNumId w:val="205"/>
  </w:num>
  <w:num w:numId="53">
    <w:abstractNumId w:val="165"/>
  </w:num>
  <w:num w:numId="54">
    <w:abstractNumId w:val="107"/>
  </w:num>
  <w:num w:numId="55">
    <w:abstractNumId w:val="102"/>
  </w:num>
  <w:num w:numId="56">
    <w:abstractNumId w:val="174"/>
  </w:num>
  <w:num w:numId="57">
    <w:abstractNumId w:val="36"/>
  </w:num>
  <w:num w:numId="58">
    <w:abstractNumId w:val="136"/>
  </w:num>
  <w:num w:numId="59">
    <w:abstractNumId w:val="96"/>
  </w:num>
  <w:num w:numId="60">
    <w:abstractNumId w:val="92"/>
  </w:num>
  <w:num w:numId="61">
    <w:abstractNumId w:val="98"/>
  </w:num>
  <w:num w:numId="62">
    <w:abstractNumId w:val="125"/>
  </w:num>
  <w:num w:numId="63">
    <w:abstractNumId w:val="24"/>
  </w:num>
  <w:num w:numId="64">
    <w:abstractNumId w:val="145"/>
  </w:num>
  <w:num w:numId="65">
    <w:abstractNumId w:val="119"/>
  </w:num>
  <w:num w:numId="66">
    <w:abstractNumId w:val="186"/>
  </w:num>
  <w:num w:numId="67">
    <w:abstractNumId w:val="15"/>
  </w:num>
  <w:num w:numId="68">
    <w:abstractNumId w:val="78"/>
  </w:num>
  <w:num w:numId="69">
    <w:abstractNumId w:val="5"/>
  </w:num>
  <w:num w:numId="70">
    <w:abstractNumId w:val="85"/>
  </w:num>
  <w:num w:numId="71">
    <w:abstractNumId w:val="44"/>
  </w:num>
  <w:num w:numId="72">
    <w:abstractNumId w:val="32"/>
  </w:num>
  <w:num w:numId="73">
    <w:abstractNumId w:val="67"/>
  </w:num>
  <w:num w:numId="74">
    <w:abstractNumId w:val="114"/>
  </w:num>
  <w:num w:numId="75">
    <w:abstractNumId w:val="188"/>
  </w:num>
  <w:num w:numId="76">
    <w:abstractNumId w:val="61"/>
  </w:num>
  <w:num w:numId="77">
    <w:abstractNumId w:val="17"/>
  </w:num>
  <w:num w:numId="78">
    <w:abstractNumId w:val="104"/>
  </w:num>
  <w:num w:numId="79">
    <w:abstractNumId w:val="54"/>
  </w:num>
  <w:num w:numId="80">
    <w:abstractNumId w:val="133"/>
  </w:num>
  <w:num w:numId="81">
    <w:abstractNumId w:val="84"/>
  </w:num>
  <w:num w:numId="82">
    <w:abstractNumId w:val="86"/>
  </w:num>
  <w:num w:numId="83">
    <w:abstractNumId w:val="58"/>
  </w:num>
  <w:num w:numId="84">
    <w:abstractNumId w:val="45"/>
  </w:num>
  <w:num w:numId="85">
    <w:abstractNumId w:val="97"/>
  </w:num>
  <w:num w:numId="86">
    <w:abstractNumId w:val="29"/>
  </w:num>
  <w:num w:numId="87">
    <w:abstractNumId w:val="150"/>
  </w:num>
  <w:num w:numId="88">
    <w:abstractNumId w:val="106"/>
  </w:num>
  <w:num w:numId="89">
    <w:abstractNumId w:val="187"/>
  </w:num>
  <w:num w:numId="90">
    <w:abstractNumId w:val="159"/>
  </w:num>
  <w:num w:numId="91">
    <w:abstractNumId w:val="35"/>
  </w:num>
  <w:num w:numId="92">
    <w:abstractNumId w:val="19"/>
  </w:num>
  <w:num w:numId="93">
    <w:abstractNumId w:val="60"/>
  </w:num>
  <w:num w:numId="94">
    <w:abstractNumId w:val="139"/>
  </w:num>
  <w:num w:numId="95">
    <w:abstractNumId w:val="183"/>
  </w:num>
  <w:num w:numId="96">
    <w:abstractNumId w:val="23"/>
  </w:num>
  <w:num w:numId="97">
    <w:abstractNumId w:val="146"/>
  </w:num>
  <w:num w:numId="98">
    <w:abstractNumId w:val="18"/>
  </w:num>
  <w:num w:numId="99">
    <w:abstractNumId w:val="151"/>
  </w:num>
  <w:num w:numId="100">
    <w:abstractNumId w:val="137"/>
  </w:num>
  <w:num w:numId="101">
    <w:abstractNumId w:val="154"/>
  </w:num>
  <w:num w:numId="102">
    <w:abstractNumId w:val="194"/>
  </w:num>
  <w:num w:numId="103">
    <w:abstractNumId w:val="38"/>
  </w:num>
  <w:num w:numId="104">
    <w:abstractNumId w:val="168"/>
  </w:num>
  <w:num w:numId="105">
    <w:abstractNumId w:val="76"/>
  </w:num>
  <w:num w:numId="106">
    <w:abstractNumId w:val="0"/>
  </w:num>
  <w:num w:numId="107">
    <w:abstractNumId w:val="12"/>
  </w:num>
  <w:num w:numId="108">
    <w:abstractNumId w:val="149"/>
  </w:num>
  <w:num w:numId="109">
    <w:abstractNumId w:val="83"/>
  </w:num>
  <w:num w:numId="110">
    <w:abstractNumId w:val="90"/>
  </w:num>
  <w:num w:numId="111">
    <w:abstractNumId w:val="77"/>
  </w:num>
  <w:num w:numId="112">
    <w:abstractNumId w:val="148"/>
  </w:num>
  <w:num w:numId="113">
    <w:abstractNumId w:val="21"/>
  </w:num>
  <w:num w:numId="114">
    <w:abstractNumId w:val="181"/>
  </w:num>
  <w:num w:numId="115">
    <w:abstractNumId w:val="94"/>
  </w:num>
  <w:num w:numId="116">
    <w:abstractNumId w:val="152"/>
  </w:num>
  <w:num w:numId="117">
    <w:abstractNumId w:val="199"/>
  </w:num>
  <w:num w:numId="118">
    <w:abstractNumId w:val="120"/>
  </w:num>
  <w:num w:numId="119">
    <w:abstractNumId w:val="49"/>
  </w:num>
  <w:num w:numId="120">
    <w:abstractNumId w:val="89"/>
  </w:num>
  <w:num w:numId="121">
    <w:abstractNumId w:val="134"/>
  </w:num>
  <w:num w:numId="122">
    <w:abstractNumId w:val="105"/>
  </w:num>
  <w:num w:numId="123">
    <w:abstractNumId w:val="202"/>
  </w:num>
  <w:num w:numId="124">
    <w:abstractNumId w:val="95"/>
  </w:num>
  <w:num w:numId="125">
    <w:abstractNumId w:val="101"/>
  </w:num>
  <w:num w:numId="126">
    <w:abstractNumId w:val="1"/>
  </w:num>
  <w:num w:numId="127">
    <w:abstractNumId w:val="99"/>
  </w:num>
  <w:num w:numId="128">
    <w:abstractNumId w:val="71"/>
  </w:num>
  <w:num w:numId="129">
    <w:abstractNumId w:val="130"/>
  </w:num>
  <w:num w:numId="130">
    <w:abstractNumId w:val="126"/>
  </w:num>
  <w:num w:numId="131">
    <w:abstractNumId w:val="34"/>
  </w:num>
  <w:num w:numId="132">
    <w:abstractNumId w:val="79"/>
  </w:num>
  <w:num w:numId="133">
    <w:abstractNumId w:val="184"/>
  </w:num>
  <w:num w:numId="134">
    <w:abstractNumId w:val="203"/>
  </w:num>
  <w:num w:numId="135">
    <w:abstractNumId w:val="112"/>
  </w:num>
  <w:num w:numId="136">
    <w:abstractNumId w:val="113"/>
  </w:num>
  <w:num w:numId="137">
    <w:abstractNumId w:val="16"/>
  </w:num>
  <w:num w:numId="138">
    <w:abstractNumId w:val="50"/>
  </w:num>
  <w:num w:numId="139">
    <w:abstractNumId w:val="155"/>
  </w:num>
  <w:num w:numId="140">
    <w:abstractNumId w:val="204"/>
  </w:num>
  <w:num w:numId="141">
    <w:abstractNumId w:val="124"/>
  </w:num>
  <w:num w:numId="142">
    <w:abstractNumId w:val="161"/>
  </w:num>
  <w:num w:numId="143">
    <w:abstractNumId w:val="206"/>
  </w:num>
  <w:num w:numId="144">
    <w:abstractNumId w:val="88"/>
  </w:num>
  <w:num w:numId="145">
    <w:abstractNumId w:val="156"/>
  </w:num>
  <w:num w:numId="146">
    <w:abstractNumId w:val="25"/>
  </w:num>
  <w:num w:numId="147">
    <w:abstractNumId w:val="10"/>
  </w:num>
  <w:num w:numId="148">
    <w:abstractNumId w:val="162"/>
  </w:num>
  <w:num w:numId="149">
    <w:abstractNumId w:val="196"/>
  </w:num>
  <w:num w:numId="150">
    <w:abstractNumId w:val="179"/>
  </w:num>
  <w:num w:numId="151">
    <w:abstractNumId w:val="51"/>
  </w:num>
  <w:num w:numId="152">
    <w:abstractNumId w:val="73"/>
  </w:num>
  <w:num w:numId="153">
    <w:abstractNumId w:val="178"/>
  </w:num>
  <w:num w:numId="154">
    <w:abstractNumId w:val="8"/>
  </w:num>
  <w:num w:numId="155">
    <w:abstractNumId w:val="2"/>
  </w:num>
  <w:num w:numId="156">
    <w:abstractNumId w:val="91"/>
  </w:num>
  <w:num w:numId="157">
    <w:abstractNumId w:val="143"/>
  </w:num>
  <w:num w:numId="158">
    <w:abstractNumId w:val="142"/>
  </w:num>
  <w:num w:numId="159">
    <w:abstractNumId w:val="43"/>
  </w:num>
  <w:num w:numId="160">
    <w:abstractNumId w:val="72"/>
  </w:num>
  <w:num w:numId="161">
    <w:abstractNumId w:val="173"/>
  </w:num>
  <w:num w:numId="162">
    <w:abstractNumId w:val="69"/>
  </w:num>
  <w:num w:numId="163">
    <w:abstractNumId w:val="100"/>
  </w:num>
  <w:num w:numId="164">
    <w:abstractNumId w:val="153"/>
  </w:num>
  <w:num w:numId="165">
    <w:abstractNumId w:val="4"/>
  </w:num>
  <w:num w:numId="166">
    <w:abstractNumId w:val="7"/>
  </w:num>
  <w:num w:numId="167">
    <w:abstractNumId w:val="116"/>
  </w:num>
  <w:num w:numId="168">
    <w:abstractNumId w:val="175"/>
  </w:num>
  <w:num w:numId="169">
    <w:abstractNumId w:val="163"/>
  </w:num>
  <w:num w:numId="170">
    <w:abstractNumId w:val="201"/>
  </w:num>
  <w:num w:numId="171">
    <w:abstractNumId w:val="108"/>
  </w:num>
  <w:num w:numId="172">
    <w:abstractNumId w:val="46"/>
  </w:num>
  <w:num w:numId="173">
    <w:abstractNumId w:val="22"/>
  </w:num>
  <w:num w:numId="174">
    <w:abstractNumId w:val="127"/>
  </w:num>
  <w:num w:numId="175">
    <w:abstractNumId w:val="207"/>
  </w:num>
  <w:num w:numId="176">
    <w:abstractNumId w:val="103"/>
  </w:num>
  <w:num w:numId="177">
    <w:abstractNumId w:val="180"/>
  </w:num>
  <w:num w:numId="178">
    <w:abstractNumId w:val="117"/>
  </w:num>
  <w:num w:numId="179">
    <w:abstractNumId w:val="182"/>
  </w:num>
  <w:num w:numId="180">
    <w:abstractNumId w:val="63"/>
  </w:num>
  <w:num w:numId="181">
    <w:abstractNumId w:val="169"/>
  </w:num>
  <w:num w:numId="182">
    <w:abstractNumId w:val="52"/>
  </w:num>
  <w:num w:numId="183">
    <w:abstractNumId w:val="80"/>
  </w:num>
  <w:num w:numId="184">
    <w:abstractNumId w:val="121"/>
  </w:num>
  <w:num w:numId="185">
    <w:abstractNumId w:val="167"/>
  </w:num>
  <w:num w:numId="186">
    <w:abstractNumId w:val="37"/>
  </w:num>
  <w:num w:numId="187">
    <w:abstractNumId w:val="70"/>
  </w:num>
  <w:num w:numId="188">
    <w:abstractNumId w:val="176"/>
  </w:num>
  <w:num w:numId="189">
    <w:abstractNumId w:val="122"/>
  </w:num>
  <w:num w:numId="190">
    <w:abstractNumId w:val="39"/>
  </w:num>
  <w:num w:numId="191">
    <w:abstractNumId w:val="11"/>
  </w:num>
  <w:num w:numId="192">
    <w:abstractNumId w:val="68"/>
  </w:num>
  <w:num w:numId="193">
    <w:abstractNumId w:val="81"/>
  </w:num>
  <w:num w:numId="194">
    <w:abstractNumId w:val="197"/>
  </w:num>
  <w:num w:numId="195">
    <w:abstractNumId w:val="42"/>
  </w:num>
  <w:num w:numId="196">
    <w:abstractNumId w:val="193"/>
  </w:num>
  <w:num w:numId="197">
    <w:abstractNumId w:val="74"/>
  </w:num>
  <w:num w:numId="198">
    <w:abstractNumId w:val="48"/>
  </w:num>
  <w:num w:numId="199">
    <w:abstractNumId w:val="198"/>
  </w:num>
  <w:num w:numId="200">
    <w:abstractNumId w:val="41"/>
  </w:num>
  <w:num w:numId="201">
    <w:abstractNumId w:val="47"/>
  </w:num>
  <w:num w:numId="202">
    <w:abstractNumId w:val="118"/>
  </w:num>
  <w:num w:numId="203">
    <w:abstractNumId w:val="111"/>
  </w:num>
  <w:num w:numId="204">
    <w:abstractNumId w:val="75"/>
  </w:num>
  <w:num w:numId="205">
    <w:abstractNumId w:val="195"/>
  </w:num>
  <w:num w:numId="206">
    <w:abstractNumId w:val="31"/>
  </w:num>
  <w:num w:numId="207">
    <w:abstractNumId w:val="110"/>
  </w:num>
  <w:num w:numId="208">
    <w:abstractNumId w:val="115"/>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6DD3"/>
    <w:rsid w:val="00077E59"/>
    <w:rsid w:val="00080265"/>
    <w:rsid w:val="00080A69"/>
    <w:rsid w:val="000839A0"/>
    <w:rsid w:val="000848DA"/>
    <w:rsid w:val="00085DAD"/>
    <w:rsid w:val="000865AD"/>
    <w:rsid w:val="00087983"/>
    <w:rsid w:val="00091F8B"/>
    <w:rsid w:val="00095C5F"/>
    <w:rsid w:val="000A4FAE"/>
    <w:rsid w:val="000A6E38"/>
    <w:rsid w:val="000B0074"/>
    <w:rsid w:val="000B1BA5"/>
    <w:rsid w:val="000B6828"/>
    <w:rsid w:val="000C1B8F"/>
    <w:rsid w:val="000C371B"/>
    <w:rsid w:val="000C49C5"/>
    <w:rsid w:val="000D5C53"/>
    <w:rsid w:val="000F3195"/>
    <w:rsid w:val="000F6C8E"/>
    <w:rsid w:val="00100D36"/>
    <w:rsid w:val="00103E3C"/>
    <w:rsid w:val="0010438C"/>
    <w:rsid w:val="00105A96"/>
    <w:rsid w:val="00105B19"/>
    <w:rsid w:val="00106F7D"/>
    <w:rsid w:val="0010713C"/>
    <w:rsid w:val="001101CE"/>
    <w:rsid w:val="00113BC5"/>
    <w:rsid w:val="00116CA9"/>
    <w:rsid w:val="001369F0"/>
    <w:rsid w:val="00137AC6"/>
    <w:rsid w:val="00140884"/>
    <w:rsid w:val="00151220"/>
    <w:rsid w:val="00153307"/>
    <w:rsid w:val="0015515C"/>
    <w:rsid w:val="001613BA"/>
    <w:rsid w:val="00163625"/>
    <w:rsid w:val="00165270"/>
    <w:rsid w:val="00166D89"/>
    <w:rsid w:val="00167872"/>
    <w:rsid w:val="00167B52"/>
    <w:rsid w:val="001722D7"/>
    <w:rsid w:val="00176A5A"/>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1F3658"/>
    <w:rsid w:val="00202BF1"/>
    <w:rsid w:val="00206443"/>
    <w:rsid w:val="00215B22"/>
    <w:rsid w:val="002207E3"/>
    <w:rsid w:val="00224CFB"/>
    <w:rsid w:val="00232FC5"/>
    <w:rsid w:val="00233604"/>
    <w:rsid w:val="00236EBD"/>
    <w:rsid w:val="00241F2B"/>
    <w:rsid w:val="00241F92"/>
    <w:rsid w:val="002426A3"/>
    <w:rsid w:val="00242EA4"/>
    <w:rsid w:val="00244832"/>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73AD"/>
    <w:rsid w:val="002B2074"/>
    <w:rsid w:val="002B48A0"/>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0925"/>
    <w:rsid w:val="00321B81"/>
    <w:rsid w:val="00322068"/>
    <w:rsid w:val="00322BBB"/>
    <w:rsid w:val="00324EB1"/>
    <w:rsid w:val="00325AC6"/>
    <w:rsid w:val="00325D43"/>
    <w:rsid w:val="003279B0"/>
    <w:rsid w:val="00331358"/>
    <w:rsid w:val="003314C8"/>
    <w:rsid w:val="003319AF"/>
    <w:rsid w:val="00331F68"/>
    <w:rsid w:val="00332335"/>
    <w:rsid w:val="00333B3E"/>
    <w:rsid w:val="00337B9B"/>
    <w:rsid w:val="00337FA0"/>
    <w:rsid w:val="0034393C"/>
    <w:rsid w:val="00350497"/>
    <w:rsid w:val="00351301"/>
    <w:rsid w:val="00354F45"/>
    <w:rsid w:val="003568B0"/>
    <w:rsid w:val="00356FDD"/>
    <w:rsid w:val="003579EF"/>
    <w:rsid w:val="00365C6C"/>
    <w:rsid w:val="003705EC"/>
    <w:rsid w:val="00373D86"/>
    <w:rsid w:val="00375834"/>
    <w:rsid w:val="003779D2"/>
    <w:rsid w:val="003843EC"/>
    <w:rsid w:val="00385075"/>
    <w:rsid w:val="003855A2"/>
    <w:rsid w:val="00385939"/>
    <w:rsid w:val="003906AB"/>
    <w:rsid w:val="00392585"/>
    <w:rsid w:val="00397E59"/>
    <w:rsid w:val="003A66D4"/>
    <w:rsid w:val="003B0659"/>
    <w:rsid w:val="003B230D"/>
    <w:rsid w:val="003B237B"/>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6D0C"/>
    <w:rsid w:val="004877DB"/>
    <w:rsid w:val="00487F66"/>
    <w:rsid w:val="0049062C"/>
    <w:rsid w:val="00492276"/>
    <w:rsid w:val="00493DE7"/>
    <w:rsid w:val="004A0CD4"/>
    <w:rsid w:val="004A61A2"/>
    <w:rsid w:val="004A7582"/>
    <w:rsid w:val="004B1053"/>
    <w:rsid w:val="004B2FFB"/>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F56"/>
    <w:rsid w:val="004F5384"/>
    <w:rsid w:val="004F543B"/>
    <w:rsid w:val="005059CE"/>
    <w:rsid w:val="00507F3D"/>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2859"/>
    <w:rsid w:val="0054384C"/>
    <w:rsid w:val="00544737"/>
    <w:rsid w:val="00545594"/>
    <w:rsid w:val="00545B8A"/>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A1843"/>
    <w:rsid w:val="005A324B"/>
    <w:rsid w:val="005A4A34"/>
    <w:rsid w:val="005B04E7"/>
    <w:rsid w:val="005B0F28"/>
    <w:rsid w:val="005B379F"/>
    <w:rsid w:val="005B4534"/>
    <w:rsid w:val="005C206F"/>
    <w:rsid w:val="005C53A9"/>
    <w:rsid w:val="005C661E"/>
    <w:rsid w:val="005C78A5"/>
    <w:rsid w:val="005C7A52"/>
    <w:rsid w:val="005D0F14"/>
    <w:rsid w:val="005D3AF6"/>
    <w:rsid w:val="005E3F9A"/>
    <w:rsid w:val="005E559A"/>
    <w:rsid w:val="005F1E57"/>
    <w:rsid w:val="005F5287"/>
    <w:rsid w:val="005F565E"/>
    <w:rsid w:val="005F5DD8"/>
    <w:rsid w:val="00601ADA"/>
    <w:rsid w:val="0060273C"/>
    <w:rsid w:val="006043D1"/>
    <w:rsid w:val="00606173"/>
    <w:rsid w:val="00606910"/>
    <w:rsid w:val="00614312"/>
    <w:rsid w:val="00616E48"/>
    <w:rsid w:val="00620960"/>
    <w:rsid w:val="00622F18"/>
    <w:rsid w:val="00623380"/>
    <w:rsid w:val="00623730"/>
    <w:rsid w:val="006250C5"/>
    <w:rsid w:val="00625B3B"/>
    <w:rsid w:val="0063410C"/>
    <w:rsid w:val="0063634F"/>
    <w:rsid w:val="006414B8"/>
    <w:rsid w:val="006435BE"/>
    <w:rsid w:val="00651276"/>
    <w:rsid w:val="00654F9D"/>
    <w:rsid w:val="0066414A"/>
    <w:rsid w:val="006703B2"/>
    <w:rsid w:val="00673D82"/>
    <w:rsid w:val="00676437"/>
    <w:rsid w:val="006842C6"/>
    <w:rsid w:val="0068502A"/>
    <w:rsid w:val="00685B0C"/>
    <w:rsid w:val="00686D79"/>
    <w:rsid w:val="006931FB"/>
    <w:rsid w:val="00695BC9"/>
    <w:rsid w:val="006A37DC"/>
    <w:rsid w:val="006A4FE6"/>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072D"/>
    <w:rsid w:val="0070274C"/>
    <w:rsid w:val="00703E6F"/>
    <w:rsid w:val="007041E7"/>
    <w:rsid w:val="00707B1C"/>
    <w:rsid w:val="00710E9A"/>
    <w:rsid w:val="00715EE1"/>
    <w:rsid w:val="00720ADD"/>
    <w:rsid w:val="00722DFA"/>
    <w:rsid w:val="0073023B"/>
    <w:rsid w:val="0074006C"/>
    <w:rsid w:val="00740C10"/>
    <w:rsid w:val="007415B2"/>
    <w:rsid w:val="00741F1A"/>
    <w:rsid w:val="00744041"/>
    <w:rsid w:val="007551C1"/>
    <w:rsid w:val="00756E1B"/>
    <w:rsid w:val="007573D0"/>
    <w:rsid w:val="007640E7"/>
    <w:rsid w:val="00766F2E"/>
    <w:rsid w:val="007725CB"/>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2CC8"/>
    <w:rsid w:val="008237E2"/>
    <w:rsid w:val="008253F3"/>
    <w:rsid w:val="00826ED9"/>
    <w:rsid w:val="00831295"/>
    <w:rsid w:val="00831741"/>
    <w:rsid w:val="00835955"/>
    <w:rsid w:val="0085172B"/>
    <w:rsid w:val="008525AE"/>
    <w:rsid w:val="00854440"/>
    <w:rsid w:val="00855955"/>
    <w:rsid w:val="008618EB"/>
    <w:rsid w:val="00866F93"/>
    <w:rsid w:val="008671B2"/>
    <w:rsid w:val="00870B3A"/>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2847"/>
    <w:rsid w:val="008C37CB"/>
    <w:rsid w:val="008C6064"/>
    <w:rsid w:val="008C63C0"/>
    <w:rsid w:val="008D56A2"/>
    <w:rsid w:val="008E5A6F"/>
    <w:rsid w:val="008F175A"/>
    <w:rsid w:val="008F3ADE"/>
    <w:rsid w:val="008F462D"/>
    <w:rsid w:val="008F492E"/>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18D4"/>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4019"/>
    <w:rsid w:val="009A4F80"/>
    <w:rsid w:val="009A755B"/>
    <w:rsid w:val="009B1191"/>
    <w:rsid w:val="009B350D"/>
    <w:rsid w:val="009B40E8"/>
    <w:rsid w:val="009B4E7B"/>
    <w:rsid w:val="009C274C"/>
    <w:rsid w:val="009C31EA"/>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20F3"/>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B02005"/>
    <w:rsid w:val="00B0240D"/>
    <w:rsid w:val="00B025B0"/>
    <w:rsid w:val="00B06AA0"/>
    <w:rsid w:val="00B139FC"/>
    <w:rsid w:val="00B20294"/>
    <w:rsid w:val="00B22458"/>
    <w:rsid w:val="00B23FB5"/>
    <w:rsid w:val="00B243A0"/>
    <w:rsid w:val="00B24EE6"/>
    <w:rsid w:val="00B270D6"/>
    <w:rsid w:val="00B334F7"/>
    <w:rsid w:val="00B3417C"/>
    <w:rsid w:val="00B4593F"/>
    <w:rsid w:val="00B4720B"/>
    <w:rsid w:val="00B47E3E"/>
    <w:rsid w:val="00B5212D"/>
    <w:rsid w:val="00B53ECF"/>
    <w:rsid w:val="00B57288"/>
    <w:rsid w:val="00B57F4A"/>
    <w:rsid w:val="00B65779"/>
    <w:rsid w:val="00B73030"/>
    <w:rsid w:val="00B7496E"/>
    <w:rsid w:val="00B7598E"/>
    <w:rsid w:val="00B82F71"/>
    <w:rsid w:val="00B83D9A"/>
    <w:rsid w:val="00B85A8C"/>
    <w:rsid w:val="00B8619A"/>
    <w:rsid w:val="00B86917"/>
    <w:rsid w:val="00B94B67"/>
    <w:rsid w:val="00B975E6"/>
    <w:rsid w:val="00BA04DE"/>
    <w:rsid w:val="00BA6CE1"/>
    <w:rsid w:val="00BB19AC"/>
    <w:rsid w:val="00BB226A"/>
    <w:rsid w:val="00BB28E3"/>
    <w:rsid w:val="00BB4566"/>
    <w:rsid w:val="00BB6FB4"/>
    <w:rsid w:val="00BC2EF5"/>
    <w:rsid w:val="00BC350B"/>
    <w:rsid w:val="00BC5970"/>
    <w:rsid w:val="00BC675F"/>
    <w:rsid w:val="00BD2F0C"/>
    <w:rsid w:val="00BD458D"/>
    <w:rsid w:val="00BD5BC9"/>
    <w:rsid w:val="00BE1026"/>
    <w:rsid w:val="00BE36F7"/>
    <w:rsid w:val="00BE44F4"/>
    <w:rsid w:val="00BE63F3"/>
    <w:rsid w:val="00BE7C40"/>
    <w:rsid w:val="00BF12C9"/>
    <w:rsid w:val="00BF35C8"/>
    <w:rsid w:val="00BF58E5"/>
    <w:rsid w:val="00BF6D65"/>
    <w:rsid w:val="00C0077D"/>
    <w:rsid w:val="00C0345F"/>
    <w:rsid w:val="00C06963"/>
    <w:rsid w:val="00C15CDA"/>
    <w:rsid w:val="00C165F7"/>
    <w:rsid w:val="00C214DA"/>
    <w:rsid w:val="00C24948"/>
    <w:rsid w:val="00C2577C"/>
    <w:rsid w:val="00C270B3"/>
    <w:rsid w:val="00C27AE4"/>
    <w:rsid w:val="00C32F38"/>
    <w:rsid w:val="00C359B4"/>
    <w:rsid w:val="00C4315C"/>
    <w:rsid w:val="00C513C4"/>
    <w:rsid w:val="00C534D1"/>
    <w:rsid w:val="00C60973"/>
    <w:rsid w:val="00C6242C"/>
    <w:rsid w:val="00C62CF2"/>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2957"/>
    <w:rsid w:val="00CF32F1"/>
    <w:rsid w:val="00CF35B3"/>
    <w:rsid w:val="00D00E05"/>
    <w:rsid w:val="00D058A3"/>
    <w:rsid w:val="00D10F47"/>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77BF"/>
    <w:rsid w:val="00DA35A3"/>
    <w:rsid w:val="00DA48B2"/>
    <w:rsid w:val="00DB17BF"/>
    <w:rsid w:val="00DB3082"/>
    <w:rsid w:val="00DB37ED"/>
    <w:rsid w:val="00DB54D3"/>
    <w:rsid w:val="00DC349E"/>
    <w:rsid w:val="00DC3B71"/>
    <w:rsid w:val="00DD3D2C"/>
    <w:rsid w:val="00DD7351"/>
    <w:rsid w:val="00DE10B2"/>
    <w:rsid w:val="00DE35A5"/>
    <w:rsid w:val="00DE55EB"/>
    <w:rsid w:val="00DF66FB"/>
    <w:rsid w:val="00E0176D"/>
    <w:rsid w:val="00E1147C"/>
    <w:rsid w:val="00E11BC1"/>
    <w:rsid w:val="00E144EB"/>
    <w:rsid w:val="00E176E4"/>
    <w:rsid w:val="00E225D7"/>
    <w:rsid w:val="00E30E62"/>
    <w:rsid w:val="00E32219"/>
    <w:rsid w:val="00E32CFE"/>
    <w:rsid w:val="00E36319"/>
    <w:rsid w:val="00E37E86"/>
    <w:rsid w:val="00E43176"/>
    <w:rsid w:val="00E43204"/>
    <w:rsid w:val="00E4376D"/>
    <w:rsid w:val="00E437F3"/>
    <w:rsid w:val="00E44946"/>
    <w:rsid w:val="00E45005"/>
    <w:rsid w:val="00E466C4"/>
    <w:rsid w:val="00E505CE"/>
    <w:rsid w:val="00E51BB6"/>
    <w:rsid w:val="00E544C6"/>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35FE4"/>
    <w:rsid w:val="00F45145"/>
    <w:rsid w:val="00F465F9"/>
    <w:rsid w:val="00F51434"/>
    <w:rsid w:val="00F57C91"/>
    <w:rsid w:val="00F57FF4"/>
    <w:rsid w:val="00F616E3"/>
    <w:rsid w:val="00F62A09"/>
    <w:rsid w:val="00F63024"/>
    <w:rsid w:val="00F65500"/>
    <w:rsid w:val="00F6761B"/>
    <w:rsid w:val="00F73DE0"/>
    <w:rsid w:val="00F81EB1"/>
    <w:rsid w:val="00F83992"/>
    <w:rsid w:val="00F84771"/>
    <w:rsid w:val="00F93A6F"/>
    <w:rsid w:val="00FB5734"/>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177</Pages>
  <Words>92008</Words>
  <Characters>524450</Characters>
  <Application>Microsoft Office Word</Application>
  <DocSecurity>0</DocSecurity>
  <Lines>4370</Lines>
  <Paragraphs>1230</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615228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3</cp:revision>
  <cp:lastPrinted>2017-05-17T00:25:00Z</cp:lastPrinted>
  <dcterms:created xsi:type="dcterms:W3CDTF">2017-10-04T21:49:00Z</dcterms:created>
  <dcterms:modified xsi:type="dcterms:W3CDTF">2017-10-04T22:07:00Z</dcterms:modified>
</cp:coreProperties>
</file>