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933" w:rsidRDefault="00816933" w:rsidP="0040341A">
      <w:pPr>
        <w:pStyle w:val="Footer"/>
        <w:tabs>
          <w:tab w:val="clear" w:pos="4320"/>
          <w:tab w:val="clear" w:pos="8640"/>
        </w:tabs>
        <w:spacing w:line="360" w:lineRule="auto"/>
        <w:jc w:val="both"/>
      </w:pPr>
      <w:bookmarkStart w:id="0" w:name="_GoBack"/>
      <w:bookmarkEnd w:id="0"/>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jc w:val="center"/>
      </w:pPr>
      <w:r>
        <w:rPr>
          <w:noProof/>
        </w:rPr>
        <w:drawing>
          <wp:inline distT="0" distB="0" distL="0" distR="0" wp14:anchorId="38F1EEF7" wp14:editId="34695718">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Pr="0029152C" w:rsidRDefault="00816933" w:rsidP="00816933">
      <w:pPr>
        <w:pStyle w:val="Heading1"/>
        <w:jc w:val="center"/>
        <w:rPr>
          <w:sz w:val="36"/>
          <w:szCs w:val="36"/>
          <w:u w:val="none"/>
        </w:rPr>
      </w:pPr>
      <w:r>
        <w:rPr>
          <w:sz w:val="36"/>
          <w:szCs w:val="36"/>
          <w:u w:val="none"/>
        </w:rPr>
        <w:t>Collateral Valuation and XVA Generation</w:t>
      </w:r>
      <w:r w:rsidRPr="0029152C">
        <w:rPr>
          <w:sz w:val="36"/>
          <w:szCs w:val="36"/>
          <w:u w:val="none"/>
        </w:rPr>
        <w:t xml:space="preserve"> in DR</w:t>
      </w:r>
      <w:r w:rsidR="0028009E">
        <w:rPr>
          <w:sz w:val="36"/>
          <w:szCs w:val="36"/>
          <w:u w:val="none"/>
        </w:rPr>
        <w:t>O</w:t>
      </w:r>
      <w:r w:rsidRPr="0029152C">
        <w:rPr>
          <w:sz w:val="36"/>
          <w:szCs w:val="36"/>
          <w:u w:val="none"/>
        </w:rPr>
        <w:t>P</w:t>
      </w:r>
    </w:p>
    <w:p w:rsidR="00816933" w:rsidRDefault="00816933" w:rsidP="00816933">
      <w:pPr>
        <w:spacing w:line="360" w:lineRule="auto"/>
        <w:ind w:left="360"/>
        <w:jc w:val="center"/>
      </w:pPr>
      <w:r>
        <w:rPr>
          <w:b/>
          <w:bCs/>
        </w:rPr>
        <w:t>v</w:t>
      </w:r>
      <w:r w:rsidR="00C214DA">
        <w:rPr>
          <w:b/>
          <w:bCs/>
        </w:rPr>
        <w:t>3</w:t>
      </w:r>
      <w:r>
        <w:rPr>
          <w:b/>
          <w:bCs/>
        </w:rPr>
        <w:t>.</w:t>
      </w:r>
      <w:r w:rsidR="00AF621C">
        <w:rPr>
          <w:b/>
          <w:bCs/>
        </w:rPr>
        <w:t>33</w:t>
      </w:r>
      <w:r w:rsidR="00451A26">
        <w:rPr>
          <w:b/>
          <w:bCs/>
        </w:rPr>
        <w:t xml:space="preserve"> </w:t>
      </w:r>
      <w:r w:rsidR="00C91088">
        <w:t>20</w:t>
      </w:r>
      <w:r>
        <w:t xml:space="preserve"> </w:t>
      </w:r>
      <w:r w:rsidR="00AF621C">
        <w:t>February</w:t>
      </w:r>
      <w:r>
        <w:t xml:space="preserve"> 201</w:t>
      </w:r>
      <w:r w:rsidR="00AF621C">
        <w:t>8</w:t>
      </w:r>
    </w:p>
    <w:p w:rsidR="00816933" w:rsidRDefault="00816933" w:rsidP="00816933">
      <w:pPr>
        <w:spacing w:line="360" w:lineRule="auto"/>
        <w:ind w:left="360"/>
        <w:jc w:val="center"/>
      </w:pPr>
    </w:p>
    <w:p w:rsidR="00816933" w:rsidRDefault="00816933" w:rsidP="00816933">
      <w:pPr>
        <w:spacing w:line="360" w:lineRule="auto"/>
        <w:ind w:left="360"/>
        <w:jc w:val="center"/>
      </w:pPr>
    </w:p>
    <w:p w:rsidR="00816933" w:rsidRDefault="00816933" w:rsidP="00816933">
      <w:pPr>
        <w:spacing w:after="160" w:line="259" w:lineRule="auto"/>
        <w:rPr>
          <w:sz w:val="28"/>
        </w:rPr>
      </w:pPr>
      <w:r>
        <w:rPr>
          <w:b/>
          <w:bCs/>
        </w:rPr>
        <w:br w:type="page"/>
      </w:r>
    </w:p>
    <w:p w:rsidR="00397E59" w:rsidRDefault="00397E59" w:rsidP="00397E59">
      <w:pPr>
        <w:pStyle w:val="Heading2"/>
        <w:jc w:val="center"/>
        <w:rPr>
          <w:sz w:val="32"/>
        </w:rPr>
      </w:pPr>
    </w:p>
    <w:p w:rsidR="00397E59" w:rsidRDefault="00397E59" w:rsidP="00397E59">
      <w:pPr>
        <w:pStyle w:val="Heading2"/>
        <w:jc w:val="center"/>
        <w:rPr>
          <w:sz w:val="32"/>
        </w:rPr>
      </w:pPr>
      <w:r>
        <w:rPr>
          <w:sz w:val="32"/>
        </w:rPr>
        <w:t>Collateralized Agreements and Derivatives Valuation</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Background</w:t>
      </w:r>
    </w:p>
    <w:p w:rsidR="00397E59" w:rsidRDefault="00397E59" w:rsidP="00397E59">
      <w:pPr>
        <w:spacing w:line="360" w:lineRule="auto"/>
      </w:pPr>
    </w:p>
    <w:p w:rsidR="00397E59" w:rsidRDefault="00397E59" w:rsidP="008A18B1">
      <w:pPr>
        <w:numPr>
          <w:ilvl w:val="0"/>
          <w:numId w:val="6"/>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397E59" w:rsidRDefault="00397E59" w:rsidP="008A18B1">
      <w:pPr>
        <w:numPr>
          <w:ilvl w:val="0"/>
          <w:numId w:val="6"/>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(2010c), Fujii and Takahashi (2011a, 2011b), Castagna (2012), Henrard (2013)).</w:t>
      </w:r>
    </w:p>
    <w:p w:rsidR="00397E59" w:rsidRDefault="00397E59" w:rsidP="008A18B1">
      <w:pPr>
        <w:numPr>
          <w:ilvl w:val="0"/>
          <w:numId w:val="6"/>
        </w:numPr>
        <w:spacing w:line="360" w:lineRule="auto"/>
      </w:pPr>
      <w:r>
        <w:rPr>
          <w:u w:val="single"/>
        </w:rPr>
        <w:t>Treatments of CVA/DVA</w:t>
      </w:r>
      <w:r>
        <w:t>: Partial collateralization results in non-zero counter-party risk, and these cases are covered in Burgard and Kjaer (2011a, 2011b), Brigo, Pallavicini, Buescu, and Liu (2012), Crpey (2012a), Crpey (2012b). Considerations regarding the risk of an “average” counter-party are treated in Morini (2009).</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Introduction and Motivation</w:t>
      </w:r>
    </w:p>
    <w:p w:rsidR="00397E59" w:rsidRDefault="00397E59" w:rsidP="00397E59">
      <w:pPr>
        <w:spacing w:line="360" w:lineRule="auto"/>
      </w:pPr>
    </w:p>
    <w:p w:rsidR="00397E59" w:rsidRDefault="00397E59" w:rsidP="008A18B1">
      <w:pPr>
        <w:numPr>
          <w:ilvl w:val="0"/>
          <w:numId w:val="7"/>
        </w:numPr>
        <w:spacing w:line="360" w:lineRule="auto"/>
      </w:pPr>
      <w:r>
        <w:rPr>
          <w:u w:val="single"/>
        </w:rPr>
        <w:t>Counter party Credit Risk Free Asset</w:t>
      </w:r>
      <w:r>
        <w:t>: Closest to a counterparty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397E59" w:rsidRDefault="00397E59" w:rsidP="008A18B1">
      <w:pPr>
        <w:numPr>
          <w:ilvl w:val="0"/>
          <w:numId w:val="7"/>
        </w:numPr>
        <w:spacing w:line="360" w:lineRule="auto"/>
      </w:pPr>
      <w:r>
        <w:rPr>
          <w:u w:val="single"/>
        </w:rPr>
        <w:lastRenderedPageBreak/>
        <w:t>Collateralized Asset Process</w:t>
      </w:r>
      <w:r>
        <w:t>: At the inception of a fully collateralized trade, there is no cash exchange, i.e., the upfront payment amount is returned back as collateral. Further, in exchange for the continuous pay streams above, the trade can be cancelled at any time with zero net value for either side.</w:t>
      </w:r>
    </w:p>
    <w:p w:rsidR="00397E59" w:rsidRDefault="00397E59" w:rsidP="008A18B1">
      <w:pPr>
        <w:numPr>
          <w:ilvl w:val="0"/>
          <w:numId w:val="7"/>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97E59" w:rsidRDefault="00397E59" w:rsidP="008A18B1">
      <w:pPr>
        <w:numPr>
          <w:ilvl w:val="0"/>
          <w:numId w:val="7"/>
        </w:numPr>
        <w:spacing w:line="360" w:lineRule="auto"/>
      </w:pPr>
      <w:r>
        <w:rPr>
          <w:u w:val="single"/>
        </w:rPr>
        <w:t>Collateral Cash Flows</w:t>
      </w:r>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t xml:space="preserve"> to </w:t>
      </w:r>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now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xml:space="preserve">) is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Two Collateralized Assets</w:t>
      </w:r>
    </w:p>
    <w:p w:rsidR="00397E59" w:rsidRDefault="00397E59" w:rsidP="00397E59">
      <w:pPr>
        <w:spacing w:line="360" w:lineRule="auto"/>
      </w:pPr>
    </w:p>
    <w:p w:rsidR="00397E59" w:rsidRDefault="00397E59" w:rsidP="008A18B1">
      <w:pPr>
        <w:numPr>
          <w:ilvl w:val="0"/>
          <w:numId w:val="8"/>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397E59" w:rsidRDefault="00397E59" w:rsidP="00397E59">
      <w:pPr>
        <w:spacing w:line="360" w:lineRule="auto"/>
        <w:ind w:left="360"/>
      </w:pPr>
    </w:p>
    <w:p w:rsidR="00397E59" w:rsidRDefault="00397E59" w:rsidP="00397E59">
      <w:pPr>
        <w:spacing w:line="360" w:lineRule="auto"/>
        <w:ind w:left="360"/>
      </w:pPr>
      <w:r>
        <w:t>for</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i=1, 2</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Hedge Portfolio</w:t>
      </w:r>
      <w:r>
        <w:t>: Say that the corresponding collateralized account for each of these assets has the dynamics</w:t>
      </w:r>
    </w:p>
    <w:p w:rsidR="00397E59" w:rsidRPr="0012304F" w:rsidRDefault="00397E59" w:rsidP="00397E59">
      <w:pPr>
        <w:spacing w:line="360" w:lineRule="auto"/>
        <w:ind w:left="360"/>
      </w:pPr>
      <m:oMathPara>
        <m:oMathParaPr>
          <m:jc m:val="center"/>
        </m:oMathParaPr>
        <m:oMath>
          <m:r>
            <m:rPr>
              <m:sty m:val="p"/>
            </m:rPr>
            <w:rPr>
              <w:rFonts w:ascii="Cambria Math" w:hAnsi="Cambria Math"/>
            </w:rPr>
            <w:lastRenderedPageBreak/>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1</m:t>
        </m:r>
      </m:oMath>
      <w:r>
        <w:t>. The net change in the real world collateralized portfolio of these two assets is:</w:t>
      </w:r>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Application of the Collateral Rules</w:t>
      </w:r>
      <w:r>
        <w:t xml:space="preserve">: The above amount is known at time </w:t>
      </w:r>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397E59" w:rsidRDefault="00397E59" w:rsidP="00397E59">
      <w:pPr>
        <w:spacing w:line="360" w:lineRule="auto"/>
        <w:ind w:left="360"/>
        <w:rPr>
          <w:u w:val="single"/>
        </w:rPr>
      </w:pPr>
    </w:p>
    <w:p w:rsidR="00397E59" w:rsidRPr="0012304F" w:rsidRDefault="005D6A21"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397E59" w:rsidRDefault="00397E59" w:rsidP="008A18B1">
      <w:pPr>
        <w:numPr>
          <w:ilvl w:val="0"/>
          <w:numId w:val="8"/>
        </w:numPr>
        <w:spacing w:line="360" w:lineRule="auto"/>
      </w:pPr>
      <w:r>
        <w:rPr>
          <w:u w:val="single"/>
        </w:rPr>
        <w:t>Measure Change</w:t>
      </w:r>
      <w:r>
        <w:t xml:space="preserve">: Create a new measure </w:t>
      </w:r>
      <m:oMath>
        <m:r>
          <w:rPr>
            <w:rFonts w:ascii="Cambria Math" w:hAnsi="Cambria Math"/>
          </w:rPr>
          <m:t>t</m:t>
        </m:r>
      </m:oMath>
      <w:r>
        <w:t xml:space="preserve"> where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In this new measure, the individual assets grow as</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using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397E59" w:rsidRDefault="00397E59" w:rsidP="00397E59">
      <w:pPr>
        <w:spacing w:line="360" w:lineRule="auto"/>
        <w:ind w:left="360"/>
      </w:pPr>
    </w:p>
    <w:p w:rsidR="00397E59" w:rsidRPr="0012304F" w:rsidRDefault="005D6A21"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As may be observed, measure </w:t>
      </w:r>
      <m:oMath>
        <m:r>
          <w:rPr>
            <w:rFonts w:ascii="Cambria Math" w:hAnsi="Cambria Math"/>
          </w:rPr>
          <m:t>Q</m:t>
        </m:r>
      </m:oMath>
      <w:r>
        <w:t xml:space="preserve"> looks like the traditional risk neutral measure.</w:t>
      </w:r>
    </w:p>
    <w:p w:rsidR="00397E59" w:rsidRDefault="00397E59" w:rsidP="008A18B1">
      <w:pPr>
        <w:numPr>
          <w:ilvl w:val="0"/>
          <w:numId w:val="8"/>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asset-specific within changing any of our principal conclusions, and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397E59" w:rsidRDefault="00397E59" w:rsidP="00397E59">
      <w:pPr>
        <w:spacing w:line="360" w:lineRule="auto"/>
        <w:ind w:left="360"/>
        <w:rPr>
          <w:u w:val="single"/>
        </w:rPr>
      </w:pPr>
    </w:p>
    <w:p w:rsidR="00397E59" w:rsidRPr="0012304F" w:rsidRDefault="005D6A21"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Examples would be, say, a stock collateralized at its repo rate (or other funding rate), while the derivative would be collateralized at it collateral rate (e.g., Piterbarg (2010)).</w:t>
      </w:r>
    </w:p>
    <w:p w:rsidR="00397E59" w:rsidRDefault="00397E59" w:rsidP="008A18B1">
      <w:pPr>
        <w:numPr>
          <w:ilvl w:val="0"/>
          <w:numId w:val="8"/>
        </w:numPr>
        <w:spacing w:line="360" w:lineRule="auto"/>
      </w:pPr>
      <w:r>
        <w:rPr>
          <w:u w:val="single"/>
        </w:rPr>
        <w:t>Other Variants</w:t>
      </w:r>
      <w:r>
        <w:t>: Other collateralization variants include varying collateral processes, different counter-parties etc. Typically all these only end up varying the drift, thus you get</w:t>
      </w:r>
    </w:p>
    <w:p w:rsidR="00397E59" w:rsidRDefault="00397E59" w:rsidP="00397E59">
      <w:pPr>
        <w:spacing w:line="360" w:lineRule="auto"/>
        <w:ind w:left="360"/>
        <w:rPr>
          <w:u w:val="single"/>
        </w:rPr>
      </w:pPr>
    </w:p>
    <w:p w:rsidR="00397E59" w:rsidRPr="0012304F" w:rsidRDefault="005D6A21"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397E59" w:rsidRDefault="00397E59" w:rsidP="00397E59">
      <w:pPr>
        <w:spacing w:line="360" w:lineRule="auto"/>
        <w:ind w:left="360"/>
      </w:pPr>
    </w:p>
    <w:p w:rsidR="00397E59" w:rsidRDefault="00397E59" w:rsidP="00397E59">
      <w:pPr>
        <w:spacing w:line="360" w:lineRule="auto"/>
        <w:ind w:left="360"/>
      </w:pPr>
      <w:r>
        <w:t>Of course, the collateralization drift can also be stochastic. This measure change from collateralization scheme #1 to collateralization scheme #2 induces a drift to the scheme #2 as</w:t>
      </w:r>
    </w:p>
    <w:p w:rsidR="00397E59" w:rsidRDefault="00397E59" w:rsidP="00397E59">
      <w:pPr>
        <w:spacing w:line="360" w:lineRule="auto"/>
        <w:ind w:left="360"/>
      </w:pPr>
    </w:p>
    <w:p w:rsidR="00397E59" w:rsidRPr="0012304F" w:rsidRDefault="005D6A21"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Many Collateralized Assets</w:t>
      </w:r>
      <w:r>
        <w:t xml:space="preserve">: Will quickly flip through this, as Piterbarg (2012) spells out the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397E59" w:rsidRDefault="00397E59" w:rsidP="00397E59">
      <w:pPr>
        <w:spacing w:line="360" w:lineRule="auto"/>
        <w:ind w:left="360"/>
      </w:pPr>
    </w:p>
    <w:p w:rsidR="00397E59" w:rsidRDefault="00397E59" w:rsidP="00397E59">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397E59" w:rsidRDefault="00397E59" w:rsidP="00397E59">
      <w:pPr>
        <w:spacing w:line="360" w:lineRule="auto"/>
        <w:ind w:left="360"/>
      </w:pPr>
    </w:p>
    <w:p w:rsidR="00397E59" w:rsidRDefault="005D6A21"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397E59" w:rsidRDefault="00397E59" w:rsidP="00397E59">
      <w:pPr>
        <w:spacing w:line="360" w:lineRule="auto"/>
        <w:ind w:left="360"/>
      </w:pPr>
      <w:r>
        <w:t>Using the collateral cash flow matching arguments presented above, we get</w:t>
      </w:r>
    </w:p>
    <w:p w:rsidR="00397E59" w:rsidRDefault="00397E59" w:rsidP="00397E59">
      <w:pPr>
        <w:spacing w:line="360" w:lineRule="auto"/>
        <w:ind w:left="360"/>
      </w:pPr>
    </w:p>
    <w:p w:rsidR="00397E59" w:rsidRDefault="005D6A21"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397E59" w:rsidRDefault="00397E59" w:rsidP="00397E59">
      <w:pPr>
        <w:spacing w:line="360" w:lineRule="auto"/>
        <w:ind w:left="360"/>
      </w:pPr>
      <w:r>
        <w:t xml:space="preserve">Measure Change =&gt; As before, there exists a measure </w:t>
      </w:r>
      <m:oMath>
        <m:r>
          <w:rPr>
            <w:rFonts w:ascii="Cambria Math" w:hAnsi="Cambria Math"/>
          </w:rPr>
          <m:t>Q</m:t>
        </m:r>
      </m:oMath>
      <w:r>
        <w:t xml:space="preserve"> with the drift vector </w:t>
      </w:r>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such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individual assets follow </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Setup of the Collateral Curve Dynamics</w:t>
      </w:r>
    </w:p>
    <w:p w:rsidR="00397E59" w:rsidRDefault="00397E59" w:rsidP="00397E59">
      <w:pPr>
        <w:spacing w:line="360" w:lineRule="auto"/>
      </w:pPr>
    </w:p>
    <w:p w:rsidR="00397E59" w:rsidRDefault="00397E59" w:rsidP="008A18B1">
      <w:pPr>
        <w:pStyle w:val="ListParagraph"/>
        <w:numPr>
          <w:ilvl w:val="0"/>
          <w:numId w:val="65"/>
        </w:numPr>
        <w:spacing w:line="360" w:lineRule="auto"/>
      </w:pPr>
      <w:r w:rsidRPr="000074A9">
        <w:rPr>
          <w:u w:val="single"/>
        </w:rPr>
        <w:t>Short-Rate Collateral Curve</w:t>
      </w:r>
      <w:r>
        <w:t xml:space="preserve">: Piterbarg (2010) considers the risk-free curve for lending, a curve that corresponds to the safest available collateral (cash). The corresponding short rate is denoted by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 where </w:t>
      </w:r>
      <m:oMath>
        <m:r>
          <w:rPr>
            <w:rFonts w:ascii="Cambria Math" w:hAnsi="Cambria Math"/>
          </w:rPr>
          <m:t>C</m:t>
        </m:r>
      </m:oMath>
      <w:r>
        <w:t xml:space="preserve"> stands for CSA, since the assumption is that this is the agreed upon overnight rate paid among collateral dealers under the CSA.</w:t>
      </w:r>
    </w:p>
    <w:p w:rsidR="00451A26" w:rsidRDefault="00397E59" w:rsidP="008A18B1">
      <w:pPr>
        <w:pStyle w:val="ListParagraph"/>
        <w:numPr>
          <w:ilvl w:val="0"/>
          <w:numId w:val="65"/>
        </w:numPr>
        <w:spacing w:line="360" w:lineRule="auto"/>
      </w:pPr>
      <w:r>
        <w:rPr>
          <w:u w:val="single"/>
        </w:rPr>
        <w:t>HJM Parametrization of the Collateral Curve</w:t>
      </w:r>
      <w:r w:rsidRPr="000074A9">
        <w:t>:</w:t>
      </w:r>
      <w:r>
        <w:t xml:space="preserve"> It is convenient to parametrize term curves in terms of discount factors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p>
    <w:p w:rsidR="00451A26" w:rsidRDefault="00451A26" w:rsidP="00451A26">
      <w:pPr>
        <w:pStyle w:val="ListParagraph"/>
        <w:spacing w:line="360" w:lineRule="auto"/>
        <w:ind w:left="360"/>
        <w:rPr>
          <w:u w:val="single"/>
        </w:rPr>
      </w:pPr>
    </w:p>
    <w:p w:rsidR="00451A26" w:rsidRPr="00451A26" w:rsidRDefault="00451A26" w:rsidP="00451A26">
      <w:pPr>
        <w:pStyle w:val="ListParagraph"/>
        <w:spacing w:line="360" w:lineRule="auto"/>
        <w:ind w:left="360"/>
      </w:pPr>
      <m:oMathPara>
        <m:oMath>
          <m:r>
            <w:rPr>
              <w:rFonts w:ascii="Cambria Math" w:hAnsi="Cambria Math"/>
            </w:rPr>
            <m:t xml:space="preserve"> 0 ≤t≤T&lt;∞</m:t>
          </m:r>
        </m:oMath>
      </m:oMathPara>
    </w:p>
    <w:p w:rsidR="00451A26" w:rsidRDefault="00451A26" w:rsidP="00451A26">
      <w:pPr>
        <w:pStyle w:val="ListParagraph"/>
        <w:spacing w:line="360" w:lineRule="auto"/>
        <w:ind w:left="360"/>
      </w:pPr>
    </w:p>
    <w:p w:rsidR="00397E59" w:rsidRDefault="00451A26" w:rsidP="00451A26">
      <w:pPr>
        <w:pStyle w:val="ListParagraph"/>
        <w:spacing w:line="360" w:lineRule="auto"/>
        <w:ind w:left="360"/>
      </w:pPr>
      <w:r>
        <w:lastRenderedPageBreak/>
        <w:t>s</w:t>
      </w:r>
      <w:r w:rsidR="00397E59">
        <w:t>tandard HJM theory applies with the following dynamics for the yield curve:</w:t>
      </w:r>
    </w:p>
    <w:p w:rsidR="00397E59" w:rsidRDefault="00397E59" w:rsidP="00397E59">
      <w:pPr>
        <w:pStyle w:val="ListParagraph"/>
        <w:spacing w:line="360" w:lineRule="auto"/>
        <w:ind w:left="360"/>
        <w:rPr>
          <w:u w:val="single"/>
        </w:rPr>
      </w:pPr>
    </w:p>
    <w:p w:rsidR="00397E59" w:rsidRDefault="005D6A21"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t xml:space="preserve"> is a </w:t>
      </w:r>
      <m:oMath>
        <m:r>
          <w:rPr>
            <w:rFonts w:ascii="Cambria Math" w:hAnsi="Cambria Math"/>
          </w:rPr>
          <m:t>d</m:t>
        </m:r>
      </m:oMath>
      <w:r>
        <w:t xml:space="preserve">-dimensional Brownina motion under the risk-neutral measure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C</m:t>
            </m:r>
          </m:sub>
        </m:sSub>
      </m:oMath>
      <w:r>
        <w:t xml:space="preserve"> is a vector-valued, </w:t>
      </w:r>
      <m:oMath>
        <m:r>
          <w:rPr>
            <w:rFonts w:ascii="Cambria Math" w:hAnsi="Cambria Math"/>
          </w:rPr>
          <m:t>d</m:t>
        </m:r>
      </m:oMath>
      <w:r>
        <w:t>-dimensional stochastic process.</w:t>
      </w:r>
    </w:p>
    <w:p w:rsidR="00451A26" w:rsidRDefault="00397E59" w:rsidP="008A18B1">
      <w:pPr>
        <w:pStyle w:val="ListParagraph"/>
        <w:numPr>
          <w:ilvl w:val="0"/>
          <w:numId w:val="65"/>
        </w:numPr>
        <w:spacing w:line="360" w:lineRule="auto"/>
      </w:pPr>
      <w:r>
        <w:rPr>
          <w:u w:val="single"/>
        </w:rPr>
        <w:t>Asset-specific Funding/Repo Rate</w:t>
      </w:r>
      <w:r w:rsidRPr="007444D4">
        <w:t>:</w:t>
      </w:r>
      <w:r>
        <w:t xml:space="preserve"> Piterbarg (2010) considers derivative contracts on a particular asset where the price process is denoted</w:t>
      </w:r>
    </w:p>
    <w:p w:rsidR="00451A26" w:rsidRDefault="00451A26" w:rsidP="00451A26">
      <w:pPr>
        <w:pStyle w:val="ListParagraph"/>
        <w:spacing w:line="360" w:lineRule="auto"/>
        <w:ind w:left="360"/>
        <w:rPr>
          <w:u w:val="single"/>
        </w:rPr>
      </w:pPr>
    </w:p>
    <w:p w:rsidR="00451A26" w:rsidRDefault="00397E59" w:rsidP="00451A26">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 xml:space="preserve">The short-rate on funding secured by this asset is </w:t>
      </w:r>
      <m:oMath>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w:t>
      </w:r>
      <m:oMath>
        <m:r>
          <w:rPr>
            <w:rFonts w:ascii="Cambria Math" w:hAnsi="Cambria Math"/>
          </w:rPr>
          <m:t>R</m:t>
        </m:r>
      </m:oMath>
      <w:r>
        <w:t xml:space="preserve"> for repo).</w:t>
      </w:r>
    </w:p>
    <w:p w:rsidR="00451A26" w:rsidRDefault="00397E59" w:rsidP="008A18B1">
      <w:pPr>
        <w:pStyle w:val="ListParagraph"/>
        <w:numPr>
          <w:ilvl w:val="0"/>
          <w:numId w:val="65"/>
        </w:numPr>
        <w:spacing w:line="360" w:lineRule="auto"/>
      </w:pPr>
      <w:r>
        <w:rPr>
          <w:u w:val="single"/>
        </w:rPr>
        <w:t>Rates for Unsecured Funding</w:t>
      </w:r>
      <w:r w:rsidRPr="007444D4">
        <w:t>:</w:t>
      </w:r>
      <w:r>
        <w:t xml:space="preserve"> Finally the short-rate f</w:t>
      </w:r>
      <w:r w:rsidR="00451A26">
        <w:t>or unsecured funding is denoted</w:t>
      </w:r>
    </w:p>
    <w:p w:rsidR="00451A26" w:rsidRDefault="00451A26" w:rsidP="00451A26">
      <w:pPr>
        <w:pStyle w:val="ListParagraph"/>
        <w:spacing w:line="360" w:lineRule="auto"/>
        <w:ind w:left="360"/>
        <w:rPr>
          <w:u w:val="single"/>
        </w:rPr>
      </w:pPr>
    </w:p>
    <w:p w:rsidR="00451A26" w:rsidRDefault="005D6A21" w:rsidP="00451A26">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As a rule, it would be expected that</w:t>
      </w:r>
    </w:p>
    <w:p w:rsidR="00397E59" w:rsidRDefault="00397E59" w:rsidP="00397E59">
      <w:pPr>
        <w:pStyle w:val="ListParagraph"/>
        <w:spacing w:line="360" w:lineRule="auto"/>
        <w:ind w:left="360"/>
        <w:rPr>
          <w:u w:val="single"/>
        </w:rPr>
      </w:pPr>
    </w:p>
    <w:p w:rsidR="00397E59" w:rsidRPr="00B3691E" w:rsidRDefault="005D6A21"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5"/>
        </w:numPr>
        <w:spacing w:line="360" w:lineRule="auto"/>
      </w:pPr>
      <w:r>
        <w:rPr>
          <w:u w:val="single"/>
        </w:rPr>
        <w:t>Funding Spread as a Default Premium</w:t>
      </w:r>
      <w:r w:rsidRPr="007444D4">
        <w:t>:</w:t>
      </w:r>
      <w:r>
        <w:t xml:space="preserve"> The existence of non-zero short rate spreads between short-rates of different collateral can be cast in the language of credit risk, by introducing joint defaults between the bank and the various assets used as collateral for funding.</w:t>
      </w:r>
    </w:p>
    <w:p w:rsidR="00397E59" w:rsidRDefault="00397E59" w:rsidP="008A18B1">
      <w:pPr>
        <w:pStyle w:val="ListParagraph"/>
        <w:numPr>
          <w:ilvl w:val="0"/>
          <w:numId w:val="65"/>
        </w:numPr>
        <w:spacing w:line="360" w:lineRule="auto"/>
      </w:pPr>
      <w:r>
        <w:rPr>
          <w:u w:val="single"/>
        </w:rPr>
        <w:t>Default Intensity of the Bank</w:t>
      </w:r>
      <w:r w:rsidRPr="007444D4">
        <w:t>:</w:t>
      </w:r>
      <w:r>
        <w:t xml:space="preserve"> In particular, the funding spread</w:t>
      </w:r>
    </w:p>
    <w:p w:rsidR="00397E59" w:rsidRDefault="00397E59" w:rsidP="00397E59">
      <w:pPr>
        <w:pStyle w:val="ListParagraph"/>
        <w:spacing w:line="360" w:lineRule="auto"/>
        <w:ind w:left="360"/>
        <w:rPr>
          <w:u w:val="single"/>
        </w:rPr>
      </w:pPr>
    </w:p>
    <w:p w:rsidR="00397E59" w:rsidRDefault="005D6A21"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can be thought of as the stochastic intensity of default of the bank. The dynamics of the intensity is pursued in Gregory (2009) and Burgard and Kjaer (2009), while Piterbarg (2009) postulates the dynamics of the funding curves directly instead.</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Collateralized Black-Scholes Formulation</w:t>
      </w:r>
    </w:p>
    <w:p w:rsidR="00397E59" w:rsidRDefault="00397E59" w:rsidP="00397E59">
      <w:pPr>
        <w:spacing w:line="360" w:lineRule="auto"/>
      </w:pPr>
    </w:p>
    <w:p w:rsidR="00397E59" w:rsidRDefault="00397E59" w:rsidP="008A18B1">
      <w:pPr>
        <w:pStyle w:val="ListParagraph"/>
        <w:numPr>
          <w:ilvl w:val="0"/>
          <w:numId w:val="66"/>
        </w:numPr>
        <w:spacing w:line="360" w:lineRule="auto"/>
      </w:pPr>
      <w:r w:rsidRPr="00FB4039">
        <w:rPr>
          <w:u w:val="single"/>
        </w:rPr>
        <w:t>Dynamics of the Derivative Value</w:t>
      </w:r>
      <w:r>
        <w:t xml:space="preserve">: This section examines how the regular Black-Scholes pricing methodology changes in the presence of CSA. Let </w:t>
      </w:r>
      <m:oMath>
        <m:r>
          <w:rPr>
            <w:rFonts w:ascii="Cambria Math" w:hAnsi="Cambria Math"/>
          </w:rPr>
          <m:t>S</m:t>
        </m:r>
        <m:d>
          <m:dPr>
            <m:ctrlPr>
              <w:rPr>
                <w:rFonts w:ascii="Cambria Math" w:hAnsi="Cambria Math"/>
                <w:i/>
              </w:rPr>
            </m:ctrlPr>
          </m:dPr>
          <m:e>
            <m:r>
              <w:rPr>
                <w:rFonts w:ascii="Cambria Math" w:hAnsi="Cambria Math"/>
              </w:rPr>
              <m:t>t</m:t>
            </m:r>
          </m:e>
        </m:d>
      </m:oMath>
      <w:r>
        <w:t xml:space="preserve"> be an asset that follows in real-world the dynamics</w:t>
      </w:r>
    </w:p>
    <w:p w:rsidR="00397E59" w:rsidRDefault="00397E59" w:rsidP="00397E59">
      <w:pPr>
        <w:pStyle w:val="ListParagraph"/>
        <w:spacing w:line="360" w:lineRule="auto"/>
        <w:ind w:left="360"/>
        <w:rPr>
          <w:u w:val="single"/>
        </w:rPr>
      </w:pPr>
    </w:p>
    <w:p w:rsidR="00397E59" w:rsidRPr="0061255C" w:rsidRDefault="005D6A21"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Full Change in the Derivative Value</w:t>
      </w:r>
      <w:r>
        <w:t xml:space="preserve">: Let </w:t>
      </w:r>
      <m:oMath>
        <m:r>
          <w:rPr>
            <w:rFonts w:ascii="Cambria Math" w:hAnsi="Cambria Math"/>
          </w:rPr>
          <m:t>V</m:t>
        </m:r>
        <m:d>
          <m:dPr>
            <m:ctrlPr>
              <w:rPr>
                <w:rFonts w:ascii="Cambria Math" w:hAnsi="Cambria Math"/>
                <w:i/>
              </w:rPr>
            </m:ctrlPr>
          </m:dPr>
          <m:e>
            <m:r>
              <w:rPr>
                <w:rFonts w:ascii="Cambria Math" w:hAnsi="Cambria Math"/>
              </w:rPr>
              <m:t>t, S</m:t>
            </m:r>
          </m:e>
        </m:d>
      </m:oMath>
      <w:r>
        <w:t xml:space="preserve"> be a derivative on the asset. By Ito’s lemma it follows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m:rPr>
            <m:scr m:val="script"/>
          </m:rPr>
          <w:rPr>
            <w:rFonts w:ascii="Cambria Math" w:hAnsi="Cambria Math"/>
          </w:rPr>
          <m:t>L</m:t>
        </m:r>
      </m:oMath>
      <w:r>
        <w:t xml:space="preserve"> is the standard pricing operator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m:rPr>
              <m:scr m:val="script"/>
            </m:rPr>
            <w:rPr>
              <w:rFonts w:ascii="Cambria Math" w:hAnsi="Cambria Math"/>
            </w:rPr>
            <m:t>L=</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is the option’s delta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lastRenderedPageBreak/>
        <w:t>Full/Partial Collateral Cash Account</w:t>
      </w:r>
      <w:r>
        <w:t xml:space="preserve">: Let </w:t>
      </w:r>
      <m:oMath>
        <m:r>
          <w:rPr>
            <w:rFonts w:ascii="Cambria Math" w:hAnsi="Cambria Math"/>
          </w:rPr>
          <m:t>C</m:t>
        </m:r>
        <m:d>
          <m:dPr>
            <m:ctrlPr>
              <w:rPr>
                <w:rFonts w:ascii="Cambria Math" w:hAnsi="Cambria Math"/>
                <w:i/>
              </w:rPr>
            </m:ctrlPr>
          </m:dPr>
          <m:e>
            <m:r>
              <w:rPr>
                <w:rFonts w:ascii="Cambria Math" w:hAnsi="Cambria Math"/>
              </w:rPr>
              <m:t>t</m:t>
            </m:r>
          </m:e>
        </m:d>
      </m:oMath>
      <w:r>
        <w:t xml:space="preserve"> be the collateral, i.e., the cash held in the collateral account, at time </w:t>
      </w:r>
      <m:oMath>
        <m:r>
          <w:rPr>
            <w:rFonts w:ascii="Cambria Math" w:hAnsi="Cambria Math"/>
          </w:rPr>
          <m:t>t</m:t>
        </m:r>
      </m:oMath>
      <w:r>
        <w:t xml:space="preserve"> against the derivative. For flexibility this amount may be different from </w:t>
      </w:r>
      <m:oMath>
        <m:r>
          <w:rPr>
            <w:rFonts w:ascii="Cambria Math" w:hAnsi="Cambria Math"/>
          </w:rPr>
          <m:t>V</m:t>
        </m:r>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66"/>
        </w:numPr>
        <w:spacing w:line="360" w:lineRule="auto"/>
      </w:pPr>
      <w:r>
        <w:rPr>
          <w:u w:val="single"/>
        </w:rPr>
        <w:t>Replicating Portfolio for the Derivative Payoff</w:t>
      </w:r>
      <w:r w:rsidRPr="00FB4039">
        <w:t>:</w:t>
      </w:r>
      <w:r>
        <w:t xml:space="preserve"> To replicate the derivative at time </w:t>
      </w:r>
      <m:oMath>
        <m:r>
          <w:rPr>
            <w:rFonts w:ascii="Cambria Math" w:hAnsi="Cambria Math"/>
          </w:rPr>
          <m:t>t</m:t>
        </m:r>
      </m:oMath>
      <w:r>
        <w:t xml:space="preserve"> we hold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units of the asset and </w:t>
      </w:r>
      <m:oMath>
        <m:r>
          <w:rPr>
            <w:rFonts w:ascii="Cambria Math" w:hAnsi="Cambria Math"/>
          </w:rPr>
          <m:t>γ</m:t>
        </m:r>
        <m:d>
          <m:dPr>
            <m:ctrlPr>
              <w:rPr>
                <w:rFonts w:ascii="Cambria Math" w:hAnsi="Cambria Math"/>
                <w:i/>
              </w:rPr>
            </m:ctrlPr>
          </m:dPr>
          <m:e>
            <m:r>
              <w:rPr>
                <w:rFonts w:ascii="Cambria Math" w:hAnsi="Cambria Math"/>
              </w:rPr>
              <m:t>t</m:t>
            </m:r>
          </m:e>
        </m:d>
      </m:oMath>
      <w:r>
        <w:t xml:space="preserve"> units of cash. The value of the replication portfolio, which we denote by </w:t>
      </w:r>
      <m:oMath>
        <m:r>
          <m:rPr>
            <m:sty m:val="p"/>
          </m:rPr>
          <w:rPr>
            <w:rFonts w:ascii="Cambria Math" w:hAnsi="Cambria Math"/>
          </w:rPr>
          <m:t>Π</m:t>
        </m:r>
        <m:d>
          <m:dPr>
            <m:ctrlPr>
              <w:rPr>
                <w:rFonts w:ascii="Cambria Math" w:hAnsi="Cambria Math"/>
                <w:i/>
              </w:rPr>
            </m:ctrlPr>
          </m:dPr>
          <m:e>
            <m:r>
              <w:rPr>
                <w:rFonts w:ascii="Cambria Math" w:hAnsi="Cambria Math"/>
              </w:rPr>
              <m:t>t</m:t>
            </m:r>
          </m:e>
        </m:d>
      </m:oMath>
      <w:r>
        <w:t xml:space="preserve"> is equal to</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Π</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Decomposition of the Cash Account</w:t>
      </w:r>
      <w:r>
        <w:t xml:space="preserve">: The cash amount </w:t>
      </w:r>
      <m:oMath>
        <m:r>
          <w:rPr>
            <w:rFonts w:ascii="Cambria Math" w:hAnsi="Cambria Math"/>
          </w:rPr>
          <m:t>γ</m:t>
        </m:r>
        <m:d>
          <m:dPr>
            <m:ctrlPr>
              <w:rPr>
                <w:rFonts w:ascii="Cambria Math" w:hAnsi="Cambria Math"/>
                <w:i/>
              </w:rPr>
            </m:ctrlPr>
          </m:dPr>
          <m:e>
            <m:r>
              <w:rPr>
                <w:rFonts w:ascii="Cambria Math" w:hAnsi="Cambria Math"/>
              </w:rPr>
              <m:t>t</m:t>
            </m:r>
          </m:e>
        </m:d>
      </m:oMath>
      <w:r>
        <w:t xml:space="preserve"> is split among a number of accounts;</w:t>
      </w:r>
    </w:p>
    <w:p w:rsidR="00397E59" w:rsidRDefault="00397E59" w:rsidP="008A18B1">
      <w:pPr>
        <w:pStyle w:val="ListParagraph"/>
        <w:numPr>
          <w:ilvl w:val="1"/>
          <w:numId w:val="66"/>
        </w:numPr>
        <w:spacing w:line="360" w:lineRule="auto"/>
      </w:pPr>
      <w:r>
        <w:t xml:space="preserve">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is in collateral</w:t>
      </w:r>
    </w:p>
    <w:p w:rsidR="00397E59" w:rsidRDefault="00397E59" w:rsidP="008A18B1">
      <w:pPr>
        <w:pStyle w:val="ListParagraph"/>
        <w:numPr>
          <w:ilvl w:val="1"/>
          <w:numId w:val="66"/>
        </w:numPr>
        <w:spacing w:line="360" w:lineRule="auto"/>
      </w:pPr>
      <w:r>
        <w:t xml:space="preserve">Amount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needs to be borrowed/lent from the treasury desk</w:t>
      </w:r>
    </w:p>
    <w:p w:rsidR="00397E59" w:rsidRDefault="00397E59" w:rsidP="008A18B1">
      <w:pPr>
        <w:pStyle w:val="ListParagraph"/>
        <w:numPr>
          <w:ilvl w:val="1"/>
          <w:numId w:val="66"/>
        </w:numPr>
        <w:spacing w:line="360" w:lineRule="auto"/>
      </w:pPr>
      <w:r>
        <w:t xml:space="preserve">Amount </w:t>
      </w:r>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w:r>
        <w:t xml:space="preserve"> is borrowed to finance the purchase of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assets. It is secured by the assets purchased.</w:t>
      </w:r>
    </w:p>
    <w:p w:rsidR="00397E59" w:rsidRDefault="00397E59" w:rsidP="008A18B1">
      <w:pPr>
        <w:pStyle w:val="ListParagraph"/>
        <w:numPr>
          <w:ilvl w:val="1"/>
          <w:numId w:val="66"/>
        </w:numPr>
        <w:spacing w:line="360" w:lineRule="auto"/>
      </w:pPr>
      <w:r>
        <w:t xml:space="preserve">The assets pay dividend at the rate </w:t>
      </w:r>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p>
    <w:p w:rsidR="00397E59" w:rsidRDefault="00397E59" w:rsidP="008A18B1">
      <w:pPr>
        <w:pStyle w:val="ListParagraph"/>
        <w:numPr>
          <w:ilvl w:val="0"/>
          <w:numId w:val="66"/>
        </w:numPr>
        <w:spacing w:line="360" w:lineRule="auto"/>
      </w:pPr>
      <w:r>
        <w:rPr>
          <w:u w:val="single"/>
        </w:rPr>
        <w:t>Full Growth of the Cash Account</w:t>
      </w:r>
      <w:r>
        <w:t>: The growth of all the cash accounts is given by</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Applying the Self-Financing Criterion</w:t>
      </w:r>
      <w:r>
        <w:t>: On the other hand,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using the self-financing criterion one gets</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w:lastRenderedPageBreak/>
            <m:t>g</m:t>
          </m:r>
          <m:d>
            <m:dPr>
              <m:ctrlPr>
                <w:rPr>
                  <w:rFonts w:ascii="Cambria Math" w:hAnsi="Cambria Math"/>
                  <w:i/>
                </w:rPr>
              </m:ctrlPr>
            </m:dPr>
            <m:e>
              <m:r>
                <w:rPr>
                  <w:rFonts w:ascii="Cambria Math" w:hAnsi="Cambria Math"/>
                </w:rPr>
                <m:t>t</m:t>
              </m:r>
            </m:e>
          </m:d>
          <m:r>
            <w:rPr>
              <w:rFonts w:ascii="Cambria Math" w:hAnsi="Cambria Math"/>
            </w:rPr>
            <m:t>∆t=∆V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becomes, by Ito’s lemma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m:rPr>
              <m:scr m:val="script"/>
            </m:rPr>
            <w:rPr>
              <w:rFonts w:ascii="Cambria Math" w:hAnsi="Cambria Math"/>
            </w:rPr>
            <m:t>= 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Funding/Collateral Derivative Valuation PDE</w:t>
      </w:r>
      <w:r>
        <w:t>: Thus one obtains</w:t>
      </w:r>
    </w:p>
    <w:p w:rsidR="00397E59" w:rsidRDefault="00397E59" w:rsidP="00397E59">
      <w:pPr>
        <w:pStyle w:val="ListParagraph"/>
        <w:spacing w:line="360" w:lineRule="auto"/>
        <w:ind w:left="360"/>
        <w:rPr>
          <w:u w:val="single"/>
        </w:rPr>
      </w:pPr>
    </w:p>
    <w:p w:rsidR="00397E59" w:rsidRPr="0061255C" w:rsidRDefault="005D6A21" w:rsidP="00397E5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after re-arrangement results in</w:t>
      </w:r>
    </w:p>
    <w:p w:rsidR="00397E59" w:rsidRDefault="00397E59" w:rsidP="00397E59">
      <w:pPr>
        <w:pStyle w:val="ListParagraph"/>
        <w:spacing w:line="360" w:lineRule="auto"/>
        <w:ind w:left="360"/>
      </w:pPr>
    </w:p>
    <w:p w:rsidR="00397E59" w:rsidRPr="0061255C" w:rsidRDefault="005D6A21" w:rsidP="00397E59">
      <w:pPr>
        <w:pStyle w:val="ListParagraph"/>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Solution Using Feynman-Kac Integral</w:t>
      </w:r>
      <w:r>
        <w:t>: The solution may be obtained by essentially following the steps that lead to the Feynman-Kac formula (Karatzas and Shreve (1997)) and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the measure in which the asset grows at the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r>
        <w:t>, that is</w:t>
      </w:r>
    </w:p>
    <w:p w:rsidR="00397E59" w:rsidRDefault="00397E59" w:rsidP="00397E59">
      <w:pPr>
        <w:pStyle w:val="ListParagraph"/>
        <w:spacing w:line="360" w:lineRule="auto"/>
        <w:ind w:left="360"/>
      </w:pPr>
    </w:p>
    <w:p w:rsidR="00397E59" w:rsidRPr="0061255C" w:rsidRDefault="005D6A21"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The Right “Risk-Free” Rate</w:t>
      </w:r>
      <w:r>
        <w:t xml:space="preserve">: Note that if the probability space is rich enough, it can be taken to be the same risk-neutral measure </w:t>
      </w:r>
      <m:oMath>
        <m:r>
          <w:rPr>
            <w:rFonts w:ascii="Cambria Math" w:hAnsi="Cambria Math"/>
          </w:rPr>
          <m:t>P</m:t>
        </m:r>
      </m:oMath>
      <w:r>
        <w:t xml:space="preserve"> in</w:t>
      </w:r>
    </w:p>
    <w:p w:rsidR="00397E59" w:rsidRDefault="00397E59" w:rsidP="00397E59">
      <w:pPr>
        <w:pStyle w:val="ListParagraph"/>
        <w:spacing w:line="360" w:lineRule="auto"/>
        <w:ind w:left="360"/>
        <w:rPr>
          <w:u w:val="single"/>
        </w:rPr>
      </w:pPr>
    </w:p>
    <w:p w:rsidR="00397E59" w:rsidRDefault="005D6A21"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Thus this derivation validates the view of Barden (2009) (and Hull (2006)) that the repo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is the right “risk-free” rate to use when valuing derivatives on </w:t>
      </w:r>
      <m:oMath>
        <m:r>
          <w:rPr>
            <w:rFonts w:ascii="Cambria Math" w:hAnsi="Cambria Math"/>
          </w:rPr>
          <m:t>S</m:t>
        </m:r>
        <m:d>
          <m:dPr>
            <m:ctrlPr>
              <w:rPr>
                <w:rFonts w:ascii="Cambria Math" w:hAnsi="Cambria Math"/>
                <w:i/>
              </w:rPr>
            </m:ctrlPr>
          </m:dPr>
          <m:e>
            <m:r>
              <w:rPr>
                <w:rFonts w:ascii="Cambria Math" w:hAnsi="Cambria Math"/>
              </w:rPr>
              <m:t>t</m:t>
            </m:r>
          </m:e>
        </m:d>
      </m:oMath>
      <w:r>
        <w:t>.</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Collateralization and Funding Derivative Valuation</w:t>
      </w:r>
    </w:p>
    <w:p w:rsidR="00397E59" w:rsidRDefault="00397E59" w:rsidP="00397E59">
      <w:pPr>
        <w:spacing w:line="360" w:lineRule="auto"/>
      </w:pPr>
    </w:p>
    <w:p w:rsidR="00397E59" w:rsidRDefault="00397E59" w:rsidP="008A18B1">
      <w:pPr>
        <w:pStyle w:val="ListParagraph"/>
        <w:numPr>
          <w:ilvl w:val="0"/>
          <w:numId w:val="67"/>
        </w:numPr>
        <w:spacing w:line="360" w:lineRule="auto"/>
      </w:pPr>
      <w:r w:rsidRPr="00072337">
        <w:rPr>
          <w:u w:val="single"/>
        </w:rPr>
        <w:t>Incremental Change in the Derivative Value</w:t>
      </w:r>
      <w:r>
        <w:t xml:space="preserve">: By re-arranging the Feynman-Kac expression above for </w:t>
      </w:r>
      <m:oMath>
        <m:r>
          <w:rPr>
            <w:rFonts w:ascii="Cambria Math" w:hAnsi="Cambria Math"/>
          </w:rPr>
          <m:t>V</m:t>
        </m:r>
        <m:d>
          <m:dPr>
            <m:ctrlPr>
              <w:rPr>
                <w:rFonts w:ascii="Cambria Math" w:hAnsi="Cambria Math"/>
                <w:i/>
              </w:rPr>
            </m:ctrlPr>
          </m:dPr>
          <m:e>
            <m:r>
              <w:rPr>
                <w:rFonts w:ascii="Cambria Math" w:hAnsi="Cambria Math"/>
              </w:rPr>
              <m:t>t</m:t>
            </m:r>
          </m:e>
        </m:d>
      </m:oMath>
      <w:r>
        <w:t xml:space="preserve"> one obtains another useful expression for the valuation of the derivative:</w:t>
      </w:r>
    </w:p>
    <w:p w:rsidR="00397E59" w:rsidRDefault="00397E59" w:rsidP="00397E59">
      <w:pPr>
        <w:pStyle w:val="ListParagraph"/>
        <w:spacing w:line="360" w:lineRule="auto"/>
        <w:ind w:left="360"/>
        <w:rPr>
          <w:u w:val="single"/>
        </w:rPr>
      </w:pPr>
    </w:p>
    <w:p w:rsidR="00397E59" w:rsidRPr="00222323"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can be seen that</w:t>
      </w:r>
    </w:p>
    <w:p w:rsidR="00397E59" w:rsidRDefault="00397E59" w:rsidP="00397E59">
      <w:pPr>
        <w:pStyle w:val="ListParagraph"/>
        <w:spacing w:line="360" w:lineRule="auto"/>
        <w:ind w:left="360"/>
      </w:pPr>
    </w:p>
    <w:p w:rsidR="00397E59" w:rsidRPr="00222323" w:rsidRDefault="005D6A21"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7"/>
        </w:numPr>
        <w:spacing w:line="360" w:lineRule="auto"/>
      </w:pPr>
      <w:r>
        <w:rPr>
          <w:u w:val="single"/>
        </w:rPr>
        <w:t>Derivative Value Under Full Collateralization</w:t>
      </w:r>
      <w:r>
        <w:t xml:space="preserve">: Thus the rate of growth in the derivative security is the funding spread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applied to the collateral. In particular, if the collateral is equal to the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then</w:t>
      </w:r>
    </w:p>
    <w:p w:rsidR="00397E59" w:rsidRDefault="00397E59" w:rsidP="00397E59">
      <w:pPr>
        <w:pStyle w:val="ListParagraph"/>
        <w:spacing w:line="360" w:lineRule="auto"/>
        <w:ind w:left="360"/>
        <w:rPr>
          <w:u w:val="single"/>
        </w:rPr>
      </w:pPr>
    </w:p>
    <w:p w:rsidR="00397E59" w:rsidRDefault="005D6A21"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therefore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derivative value grows at the risk free (i.e., collateral) rate. The final value is the only payment that appears in the discounted expression as the other payments net out given the assumption of full collateralization. This is consistent with the drift in</w:t>
      </w:r>
    </w:p>
    <w:p w:rsidR="00397E59" w:rsidRDefault="00397E59" w:rsidP="00397E59">
      <w:pPr>
        <w:pStyle w:val="ListParagraph"/>
        <w:spacing w:line="360" w:lineRule="auto"/>
        <w:ind w:left="360"/>
      </w:pPr>
    </w:p>
    <w:p w:rsidR="00397E59" w:rsidRDefault="005D6A21"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r>
        <w:t xml:space="preserve"> corresponds to the deposits secured by cash collateral.</w:t>
      </w:r>
    </w:p>
    <w:p w:rsidR="00397E59" w:rsidRDefault="00397E59" w:rsidP="008A18B1">
      <w:pPr>
        <w:pStyle w:val="ListParagraph"/>
        <w:numPr>
          <w:ilvl w:val="0"/>
          <w:numId w:val="67"/>
        </w:numPr>
        <w:spacing w:line="360" w:lineRule="auto"/>
      </w:pPr>
      <w:r>
        <w:rPr>
          <w:u w:val="single"/>
        </w:rPr>
        <w:t>Derived Value Under Unsecured Trading</w:t>
      </w:r>
      <w:r w:rsidRPr="006C02E1">
        <w:t>:</w:t>
      </w:r>
      <w:r>
        <w:t xml:space="preserve"> On the other hand if the collateral is zero then</w:t>
      </w:r>
    </w:p>
    <w:p w:rsidR="00397E59" w:rsidRDefault="00397E59" w:rsidP="00397E59">
      <w:pPr>
        <w:pStyle w:val="ListParagraph"/>
        <w:spacing w:line="360" w:lineRule="auto"/>
        <w:ind w:left="360"/>
        <w:rPr>
          <w:u w:val="single"/>
        </w:rPr>
      </w:pPr>
    </w:p>
    <w:p w:rsidR="00397E59" w:rsidRDefault="005D6A21"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rate of growth is equal to the bank’s unsecured funding rate, or, using the credit risk language, adjusted for the probability of the bank default.</w:t>
      </w:r>
    </w:p>
    <w:p w:rsidR="00397E59" w:rsidRDefault="00397E59" w:rsidP="008A18B1">
      <w:pPr>
        <w:pStyle w:val="ListParagraph"/>
        <w:numPr>
          <w:ilvl w:val="0"/>
          <w:numId w:val="67"/>
        </w:numPr>
        <w:spacing w:line="360" w:lineRule="auto"/>
      </w:pPr>
      <w:r>
        <w:rPr>
          <w:u w:val="single"/>
        </w:rPr>
        <w:t>Collateral and Funding Measure Numeraires</w:t>
      </w:r>
      <w:r w:rsidRPr="00EC517D">
        <w:t>:</w:t>
      </w:r>
      <w:r>
        <w:t xml:space="preserve"> Therefore the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could be handled using the measure that corresponds to the risk free bond</w:t>
      </w:r>
    </w:p>
    <w:p w:rsidR="00397E59" w:rsidRDefault="00397E59" w:rsidP="00397E59">
      <w:pPr>
        <w:pStyle w:val="ListParagraph"/>
        <w:spacing w:line="360" w:lineRule="auto"/>
        <w:ind w:left="360"/>
      </w:pPr>
    </w:p>
    <w:p w:rsidR="00397E59" w:rsidRDefault="005D6A21"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a numeraire, and likewise, the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corresponds to the risky bond</w:t>
      </w:r>
    </w:p>
    <w:p w:rsidR="00397E59" w:rsidRDefault="00397E59" w:rsidP="00397E59">
      <w:pPr>
        <w:pStyle w:val="ListParagraph"/>
        <w:spacing w:line="360" w:lineRule="auto"/>
        <w:ind w:left="360"/>
      </w:pPr>
    </w:p>
    <w:p w:rsidR="00397E59" w:rsidRDefault="005D6A21"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a numeraire.</w:t>
      </w:r>
    </w:p>
    <w:p w:rsidR="00397E59" w:rsidRDefault="00397E59" w:rsidP="008A18B1">
      <w:pPr>
        <w:pStyle w:val="ListParagraph"/>
        <w:numPr>
          <w:ilvl w:val="0"/>
          <w:numId w:val="67"/>
        </w:numPr>
        <w:spacing w:line="360" w:lineRule="auto"/>
      </w:pPr>
      <w:r>
        <w:rPr>
          <w:u w:val="single"/>
        </w:rPr>
        <w:t>Portfolio Effects of the Collateral Position</w:t>
      </w:r>
      <w:r w:rsidRPr="00EC517D">
        <w:t>:</w:t>
      </w:r>
      <w:r>
        <w:t xml:space="preserve"> When two dealers are trading with each other the collateral is applied to the overall value of the portfolio between them with the positive exposures on some trades offsetting the negative exposures on the other trades (so-called netting). Hence the valuation of individual trades should take into account the collateral position of the whole portfolio.</w:t>
      </w:r>
    </w:p>
    <w:p w:rsidR="00397E59" w:rsidRDefault="00397E59" w:rsidP="008A18B1">
      <w:pPr>
        <w:pStyle w:val="ListParagraph"/>
        <w:numPr>
          <w:ilvl w:val="0"/>
          <w:numId w:val="67"/>
        </w:numPr>
        <w:spacing w:line="360" w:lineRule="auto"/>
      </w:pPr>
      <w:r>
        <w:rPr>
          <w:u w:val="single"/>
        </w:rPr>
        <w:t>Simplification of Full Collateralization/Trading</w:t>
      </w:r>
      <w:r w:rsidRPr="00EC517D">
        <w:t>:</w:t>
      </w:r>
      <w:r>
        <w:t xml:space="preserve"> Fortunately in the simples case of the collateral being a linear function of the exact value of the portfolio - the case that includes both the no-collateral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well as the full collateral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the value of the portfolio is just the sum of the values of the individual trades (with the collateral attributed to the trades by the same linear function). This easily follows from the pricing formula linearity of </w:t>
      </w:r>
      <m:oMath>
        <m:r>
          <w:rPr>
            <w:rFonts w:ascii="Cambria Math" w:hAnsi="Cambria Math"/>
          </w:rPr>
          <m:t>C</m:t>
        </m:r>
      </m:oMath>
      <w:r>
        <w:t xml:space="preserve"> and </w:t>
      </w:r>
      <m:oMath>
        <m:r>
          <w:rPr>
            <w:rFonts w:ascii="Cambria Math" w:hAnsi="Cambria Math"/>
          </w:rPr>
          <m:t>V</m:t>
        </m:r>
      </m:oMath>
      <w:r>
        <w:t xml:space="preserve">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lastRenderedPageBreak/>
        <w:t>Collateral PDE Formulation</w:t>
      </w:r>
    </w:p>
    <w:p w:rsidR="00397E59" w:rsidRDefault="00397E59" w:rsidP="00397E59">
      <w:pPr>
        <w:spacing w:line="360" w:lineRule="auto"/>
      </w:pPr>
    </w:p>
    <w:p w:rsidR="00397E59" w:rsidRDefault="00397E59" w:rsidP="008A18B1">
      <w:pPr>
        <w:numPr>
          <w:ilvl w:val="0"/>
          <w:numId w:val="2"/>
        </w:numPr>
        <w:spacing w:line="360" w:lineRule="auto"/>
      </w:pPr>
      <w:r>
        <w:rPr>
          <w:u w:val="single"/>
        </w:rPr>
        <w:t>PDE Collateralization Treatments</w:t>
      </w:r>
      <w:r>
        <w:t>: Bjork (2009), Piterbarg (2010), Castagna (2011), Fujii and Takahashi (2011a, 2011b), Henrard (2012), Piterbarg (2012), Ametrano and Bianchetti (2013), and Han, He, and Zhang (2013) extend the no-arbitrage to the collateralization case.</w:t>
      </w:r>
    </w:p>
    <w:p w:rsidR="00397E59" w:rsidRDefault="00397E59" w:rsidP="008A18B1">
      <w:pPr>
        <w:numPr>
          <w:ilvl w:val="0"/>
          <w:numId w:val="2"/>
        </w:numPr>
        <w:spacing w:line="360" w:lineRule="auto"/>
      </w:pPr>
      <w:r>
        <w:rPr>
          <w:u w:val="single"/>
        </w:rPr>
        <w:t>Review of Derivative PDE Using Replication</w:t>
      </w:r>
      <w:r>
        <w:t xml:space="preserve">: The derivative that is replicated using </w:t>
      </w:r>
      <m:oMath>
        <m:r>
          <w:rPr>
            <w:rFonts w:ascii="Cambria Math" w:hAnsi="Cambria Math"/>
          </w:rPr>
          <m:t>n</m:t>
        </m:r>
      </m:oMath>
      <w:r>
        <w:t xml:space="preserve"> assets and a bond via</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V=nS+B</m:t>
          </m:r>
        </m:oMath>
      </m:oMathPara>
    </w:p>
    <w:p w:rsidR="00397E59" w:rsidRDefault="00397E59" w:rsidP="00397E59">
      <w:pPr>
        <w:spacing w:line="360" w:lineRule="auto"/>
        <w:ind w:left="360"/>
      </w:pPr>
    </w:p>
    <w:p w:rsidR="00397E59" w:rsidRDefault="00397E59" w:rsidP="00397E59">
      <w:pPr>
        <w:spacing w:line="360" w:lineRule="auto"/>
        <w:ind w:left="360"/>
      </w:pPr>
      <w:r>
        <w:t>undergoes the evolution through the self-financing formulation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∆V=n</m:t>
          </m:r>
          <m:r>
            <m:rPr>
              <m:sty m:val="p"/>
            </m:rPr>
            <w:rPr>
              <w:rFonts w:ascii="Cambria Math" w:hAnsi="Cambria Math"/>
            </w:rPr>
            <m:t>Δ</m:t>
          </m:r>
          <m:r>
            <w:rPr>
              <w:rFonts w:ascii="Cambria Math" w:hAnsi="Cambria Math"/>
            </w:rPr>
            <m:t>S+∆B</m:t>
          </m:r>
        </m:oMath>
      </m:oMathPara>
    </w:p>
    <w:p w:rsidR="00397E59" w:rsidRDefault="00397E59" w:rsidP="00397E59">
      <w:pPr>
        <w:spacing w:line="360" w:lineRule="auto"/>
        <w:ind w:left="360"/>
      </w:pPr>
    </w:p>
    <w:p w:rsidR="00397E59" w:rsidRDefault="00397E59" w:rsidP="00397E59">
      <w:pPr>
        <w:spacing w:line="360" w:lineRule="auto"/>
        <w:ind w:left="360"/>
      </w:pPr>
      <w:r>
        <w:t>This is matched to the derivative change</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397E59" w:rsidRDefault="00397E59" w:rsidP="00397E59">
      <w:pPr>
        <w:spacing w:line="360" w:lineRule="auto"/>
        <w:ind w:left="360"/>
      </w:pPr>
    </w:p>
    <w:p w:rsidR="00397E59" w:rsidRDefault="00397E59" w:rsidP="00397E59">
      <w:pPr>
        <w:spacing w:line="360" w:lineRule="auto"/>
        <w:ind w:left="360"/>
      </w:pPr>
      <w:r>
        <w:t>Equating the two, setting</w:t>
      </w:r>
    </w:p>
    <w:p w:rsidR="00397E59" w:rsidRDefault="00397E59" w:rsidP="00397E59">
      <w:pPr>
        <w:spacing w:line="360" w:lineRule="auto"/>
        <w:ind w:left="360"/>
      </w:pPr>
    </w:p>
    <w:p w:rsidR="00397E59" w:rsidRPr="00B54D1B" w:rsidRDefault="005D6A21"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397E59" w:rsidRDefault="00397E59" w:rsidP="00397E59">
      <w:pPr>
        <w:spacing w:line="360" w:lineRule="auto"/>
        <w:ind w:left="360"/>
      </w:pPr>
    </w:p>
    <w:p w:rsidR="00397E59" w:rsidRDefault="00397E59" w:rsidP="00397E59">
      <w:pPr>
        <w:spacing w:line="360" w:lineRule="auto"/>
        <w:ind w:left="360"/>
      </w:pPr>
      <w:r>
        <w:t>to eliminate stochasticity, and noticing that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∆B=rB∆t</m:t>
          </m:r>
        </m:oMath>
      </m:oMathPara>
    </w:p>
    <w:p w:rsidR="00397E59" w:rsidRDefault="00397E59" w:rsidP="00397E59">
      <w:pPr>
        <w:spacing w:line="360" w:lineRule="auto"/>
        <w:ind w:left="360"/>
      </w:pPr>
    </w:p>
    <w:p w:rsidR="00397E59" w:rsidRDefault="00397E59" w:rsidP="00397E59">
      <w:pPr>
        <w:spacing w:line="360" w:lineRule="auto"/>
        <w:ind w:left="360"/>
      </w:pPr>
      <w:r>
        <w:t>we get</w:t>
      </w:r>
    </w:p>
    <w:p w:rsidR="00397E59" w:rsidRDefault="00397E59" w:rsidP="00397E59">
      <w:pPr>
        <w:spacing w:line="360" w:lineRule="auto"/>
        <w:ind w:left="360"/>
      </w:pPr>
    </w:p>
    <w:p w:rsidR="00397E59" w:rsidRPr="00B54D1B" w:rsidRDefault="005D6A21" w:rsidP="00397E59">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397E59" w:rsidRDefault="00397E59" w:rsidP="00397E59">
      <w:pPr>
        <w:spacing w:line="360" w:lineRule="auto"/>
        <w:ind w:left="360"/>
      </w:pPr>
    </w:p>
    <w:p w:rsidR="00397E59" w:rsidRDefault="00397E59" w:rsidP="00397E59">
      <w:pPr>
        <w:spacing w:line="360" w:lineRule="auto"/>
        <w:ind w:left="360"/>
      </w:pPr>
      <w:r>
        <w:t xml:space="preserve">Using the expression for </w:t>
      </w:r>
      <m:oMath>
        <m:r>
          <w:rPr>
            <w:rFonts w:ascii="Cambria Math" w:hAnsi="Cambria Math"/>
          </w:rPr>
          <m:t>V</m:t>
        </m:r>
      </m:oMath>
      <w:r>
        <w:t>, this may be re-composed as the Black-Scholes PDE from</w:t>
      </w:r>
    </w:p>
    <w:p w:rsidR="00397E59" w:rsidRDefault="00397E59" w:rsidP="00397E59">
      <w:pPr>
        <w:spacing w:line="360" w:lineRule="auto"/>
        <w:ind w:left="360"/>
      </w:pPr>
    </w:p>
    <w:p w:rsidR="00397E59" w:rsidRPr="00B54D1B" w:rsidRDefault="005D6A21"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397E59" w:rsidRDefault="00397E59" w:rsidP="00397E59">
      <w:pPr>
        <w:spacing w:line="360" w:lineRule="auto"/>
        <w:ind w:left="360"/>
      </w:pPr>
    </w:p>
    <w:p w:rsidR="00397E59" w:rsidRDefault="00397E59" w:rsidP="00397E59">
      <w:pPr>
        <w:spacing w:line="360" w:lineRule="auto"/>
        <w:ind w:left="360"/>
      </w:pPr>
      <w:r>
        <w:t>(Harrison and Kreps (1979), Harrison and Pliska (1981), Harrison and Pliska (1983)).</w:t>
      </w:r>
    </w:p>
    <w:p w:rsidR="00397E59" w:rsidRDefault="00397E59" w:rsidP="008A18B1">
      <w:pPr>
        <w:numPr>
          <w:ilvl w:val="0"/>
          <w:numId w:val="2"/>
        </w:numPr>
        <w:spacing w:line="360" w:lineRule="auto"/>
      </w:pPr>
      <w:r>
        <w:rPr>
          <w:u w:val="single"/>
        </w:rPr>
        <w:t>Derivative Replication with Collateral Account</w:t>
      </w:r>
      <w:r>
        <w:t>: The replication strategy now involves the assets, the bank funding account, and the collateral account.</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C≡V</m:t>
          </m:r>
        </m:oMath>
      </m:oMathPara>
    </w:p>
    <w:p w:rsidR="00397E59" w:rsidRDefault="00397E59" w:rsidP="00397E59">
      <w:pPr>
        <w:spacing w:line="360" w:lineRule="auto"/>
        <w:ind w:left="360"/>
      </w:pPr>
    </w:p>
    <w:p w:rsidR="00397E59" w:rsidRDefault="00397E59" w:rsidP="00397E59">
      <w:pPr>
        <w:spacing w:line="360" w:lineRule="auto"/>
        <w:ind w:left="360"/>
      </w:pPr>
      <w:r>
        <w:t>Further</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397E59" w:rsidRDefault="00397E59" w:rsidP="00397E59">
      <w:pPr>
        <w:spacing w:line="360" w:lineRule="auto"/>
        <w:ind w:left="360"/>
      </w:pPr>
    </w:p>
    <w:p w:rsidR="00397E59" w:rsidRDefault="00397E59" w:rsidP="00397E59">
      <w:pPr>
        <w:spacing w:line="360" w:lineRule="auto"/>
        <w:ind w:left="360"/>
      </w:pPr>
      <w:r>
        <w:t>and</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397E59" w:rsidRDefault="00397E59" w:rsidP="00397E59">
      <w:pPr>
        <w:spacing w:line="360" w:lineRule="auto"/>
        <w:ind w:left="360"/>
      </w:pPr>
    </w:p>
    <w:p w:rsidR="00397E59" w:rsidRDefault="00397E59" w:rsidP="008A18B1">
      <w:pPr>
        <w:numPr>
          <w:ilvl w:val="0"/>
          <w:numId w:val="2"/>
        </w:numPr>
        <w:spacing w:line="360" w:lineRule="auto"/>
      </w:pPr>
      <w:r>
        <w:rPr>
          <w:u w:val="single"/>
        </w:rPr>
        <w:t>Derivative Value Change</w:t>
      </w:r>
      <w:r>
        <w:t>: Applying the self-financing condition</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Using the perfect collateral condition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V=aS+B+V</m:t>
          </m:r>
        </m:oMath>
      </m:oMathPara>
    </w:p>
    <w:p w:rsidR="00397E59" w:rsidRDefault="00397E59" w:rsidP="00397E59">
      <w:pPr>
        <w:spacing w:line="360" w:lineRule="auto"/>
        <w:ind w:left="360"/>
      </w:pPr>
    </w:p>
    <w:p w:rsidR="00397E59" w:rsidRDefault="00397E59" w:rsidP="00397E59">
      <w:pPr>
        <w:spacing w:line="360" w:lineRule="auto"/>
        <w:ind w:left="360"/>
      </w:pPr>
      <w:r>
        <w:t>which implies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B=-aS</m:t>
          </m:r>
        </m:oMath>
      </m:oMathPara>
    </w:p>
    <w:p w:rsidR="00397E59" w:rsidRDefault="00397E59" w:rsidP="00397E59">
      <w:pPr>
        <w:spacing w:line="360" w:lineRule="auto"/>
        <w:ind w:left="360"/>
      </w:pPr>
    </w:p>
    <w:p w:rsidR="00397E59" w:rsidRDefault="00397E59" w:rsidP="00397E59">
      <w:pPr>
        <w:spacing w:line="360" w:lineRule="auto"/>
        <w:ind w:left="360"/>
      </w:pPr>
      <w:r>
        <w:t>Thus</w:t>
      </w:r>
    </w:p>
    <w:p w:rsidR="00397E59" w:rsidRDefault="00397E59" w:rsidP="00397E59">
      <w:pPr>
        <w:spacing w:line="360" w:lineRule="auto"/>
        <w:ind w:left="360"/>
      </w:pPr>
    </w:p>
    <w:p w:rsidR="00397E59" w:rsidRDefault="00397E59" w:rsidP="00397E59">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r>
        <w:t>results in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We refer to the quantity</w:t>
      </w:r>
    </w:p>
    <w:p w:rsidR="00397E59" w:rsidRDefault="00397E59" w:rsidP="00397E59">
      <w:pPr>
        <w:spacing w:line="360" w:lineRule="auto"/>
        <w:ind w:left="360"/>
      </w:pPr>
    </w:p>
    <w:p w:rsidR="00397E59" w:rsidRPr="00B54D1B" w:rsidRDefault="00397E59" w:rsidP="00397E59">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19788B" w:rsidRDefault="00397E59" w:rsidP="00397E59">
      <w:pPr>
        <w:spacing w:line="360" w:lineRule="auto"/>
        <w:ind w:left="360"/>
      </w:pPr>
      <w:r>
        <w:t>as the cash account.</w:t>
      </w:r>
    </w:p>
    <w:p w:rsidR="00397E59" w:rsidRDefault="00397E59" w:rsidP="008A18B1">
      <w:pPr>
        <w:numPr>
          <w:ilvl w:val="0"/>
          <w:numId w:val="2"/>
        </w:numPr>
        <w:spacing w:line="360" w:lineRule="auto"/>
      </w:pPr>
      <w:r>
        <w:rPr>
          <w:u w:val="single"/>
        </w:rPr>
        <w:t>The Collateralization PDE</w:t>
      </w:r>
      <w:r>
        <w: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Setting</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w:lastRenderedPageBreak/>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397E59" w:rsidRDefault="00397E59" w:rsidP="00397E59">
      <w:pPr>
        <w:spacing w:line="360" w:lineRule="auto"/>
        <w:ind w:left="360"/>
      </w:pPr>
    </w:p>
    <w:p w:rsidR="00397E59" w:rsidRDefault="00397E59" w:rsidP="00397E59">
      <w:pPr>
        <w:spacing w:line="360" w:lineRule="auto"/>
        <w:ind w:left="360"/>
      </w:pPr>
      <w:r>
        <w:t>we get</w:t>
      </w:r>
    </w:p>
    <w:p w:rsidR="00397E59" w:rsidRDefault="00397E59" w:rsidP="00397E59">
      <w:pPr>
        <w:spacing w:line="360" w:lineRule="auto"/>
        <w:ind w:left="360"/>
      </w:pPr>
    </w:p>
    <w:p w:rsidR="00397E59" w:rsidRPr="00B54D1B" w:rsidRDefault="005D6A21"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spacing w:line="360" w:lineRule="auto"/>
        <w:ind w:left="360"/>
      </w:pPr>
    </w:p>
    <w:p w:rsidR="00397E59" w:rsidRDefault="00397E59" w:rsidP="00397E59">
      <w:pPr>
        <w:spacing w:line="360" w:lineRule="auto"/>
        <w:ind w:left="360"/>
      </w:pPr>
      <w:r>
        <w:t>Re-casting using the appropriate measure terminology,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397E59" w:rsidRDefault="00397E59" w:rsidP="00397E59">
      <w:pPr>
        <w:spacing w:line="360" w:lineRule="auto"/>
        <w:ind w:left="360"/>
      </w:pPr>
    </w:p>
    <w:p w:rsidR="00397E59" w:rsidRDefault="00397E59" w:rsidP="00397E59">
      <w:pPr>
        <w:spacing w:line="360" w:lineRule="auto"/>
        <w:ind w:left="360"/>
      </w:pPr>
      <w:r>
        <w:t>where</w:t>
      </w:r>
    </w:p>
    <w:p w:rsidR="00397E59" w:rsidRDefault="00397E59" w:rsidP="00397E59">
      <w:pPr>
        <w:spacing w:line="360" w:lineRule="auto"/>
        <w:ind w:left="360"/>
      </w:pPr>
    </w:p>
    <w:p w:rsidR="00397E59" w:rsidRPr="00B54D1B" w:rsidRDefault="005D6A21" w:rsidP="00397E59">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Forward Contract Valuation</w:t>
      </w:r>
    </w:p>
    <w:p w:rsidR="00397E59" w:rsidRDefault="00397E59" w:rsidP="00397E59">
      <w:pPr>
        <w:spacing w:line="360" w:lineRule="auto"/>
      </w:pPr>
    </w:p>
    <w:p w:rsidR="00397E59" w:rsidRDefault="00397E59" w:rsidP="008A18B1">
      <w:pPr>
        <w:pStyle w:val="ListParagraph"/>
        <w:numPr>
          <w:ilvl w:val="0"/>
          <w:numId w:val="68"/>
        </w:numPr>
        <w:spacing w:line="360" w:lineRule="auto"/>
      </w:pPr>
      <w:proofErr w:type="spellStart"/>
      <w:r w:rsidRPr="00EB45AC">
        <w:rPr>
          <w:u w:val="single"/>
        </w:rPr>
        <w:t>Repo’d</w:t>
      </w:r>
      <w:proofErr w:type="spellEnd"/>
      <w:r w:rsidRPr="00EB45AC">
        <w:rPr>
          <w:u w:val="single"/>
        </w:rPr>
        <w:t xml:space="preserve"> Zero Strike Call Option</w:t>
      </w:r>
      <w:r>
        <w:t>:</w:t>
      </w:r>
    </w:p>
    <w:p w:rsidR="00397E59" w:rsidRDefault="00397E59" w:rsidP="008A18B1">
      <w:pPr>
        <w:pStyle w:val="ListParagraph"/>
        <w:numPr>
          <w:ilvl w:val="1"/>
          <w:numId w:val="68"/>
        </w:numPr>
        <w:spacing w:line="360" w:lineRule="auto"/>
      </w:pPr>
      <w:r>
        <w:t xml:space="preserve">Asset Delivery at Future Time =&gt; Possibly the simplest derivative contract on an asset is the promise to deliver this asset at a given future time </w:t>
      </w:r>
      <m:oMath>
        <m:r>
          <w:rPr>
            <w:rFonts w:ascii="Cambria Math" w:hAnsi="Cambria Math"/>
          </w:rPr>
          <m:t>T</m:t>
        </m:r>
      </m:oMath>
      <w:r>
        <w:t xml:space="preserve">. The contract should be seen as a zero strike call option with expiry </w:t>
      </w:r>
      <m:oMath>
        <m:r>
          <w:rPr>
            <w:rFonts w:ascii="Cambria Math" w:hAnsi="Cambria Math"/>
          </w:rPr>
          <m:t>T</m:t>
        </m:r>
      </m:oMath>
      <w:r>
        <w:t>. In the standard theory, of course, the value of the derivative is the same as the value of the asset itself (in the absence of dividends).</w:t>
      </w:r>
    </w:p>
    <w:p w:rsidR="00397E59" w:rsidRDefault="00397E59" w:rsidP="008A18B1">
      <w:pPr>
        <w:pStyle w:val="ListParagraph"/>
        <w:numPr>
          <w:ilvl w:val="1"/>
          <w:numId w:val="68"/>
        </w:numPr>
        <w:spacing w:line="360" w:lineRule="auto"/>
      </w:pPr>
      <w:r>
        <w:t>Forwards Value and Derivative Value =&gt; The payout of the derivative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and the value at time </w:t>
      </w:r>
      <m:oMath>
        <m:r>
          <w:rPr>
            <w:rFonts w:ascii="Cambria Math" w:hAnsi="Cambria Math"/>
          </w:rPr>
          <m:t>t</m:t>
        </m:r>
      </m:oMath>
      <w:r>
        <w:t>, assuming no CSA, is given by</w:t>
      </w:r>
    </w:p>
    <w:p w:rsidR="00397E59" w:rsidRDefault="00397E59" w:rsidP="00397E59">
      <w:pPr>
        <w:pStyle w:val="ListParagraph"/>
        <w:spacing w:line="360" w:lineRule="auto"/>
        <w:ind w:left="1080"/>
      </w:pPr>
    </w:p>
    <w:p w:rsidR="00397E59" w:rsidRDefault="005D6A21"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 the other hand, if</w:t>
      </w:r>
    </w:p>
    <w:p w:rsidR="00397E59" w:rsidRDefault="00397E59" w:rsidP="00397E59">
      <w:pPr>
        <w:pStyle w:val="ListParagraph"/>
        <w:spacing w:line="360" w:lineRule="auto"/>
        <w:ind w:left="1080"/>
      </w:pPr>
    </w:p>
    <w:p w:rsidR="00397E59" w:rsidRDefault="005D6A21"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 follows from</w:t>
      </w:r>
    </w:p>
    <w:p w:rsidR="00397E59" w:rsidRDefault="00397E59" w:rsidP="00397E59">
      <w:pPr>
        <w:pStyle w:val="ListParagraph"/>
        <w:spacing w:line="360" w:lineRule="auto"/>
        <w:ind w:left="1080"/>
      </w:pPr>
    </w:p>
    <w:p w:rsidR="00397E59" w:rsidRPr="002E27F5" w:rsidRDefault="005D6A21" w:rsidP="00397E59">
      <w:pPr>
        <w:pStyle w:val="ListParagraph"/>
        <w:spacing w:line="360" w:lineRule="auto"/>
        <w:ind w:left="108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 clearly</w:t>
      </w:r>
    </w:p>
    <w:p w:rsidR="00397E59" w:rsidRDefault="00397E59" w:rsidP="00397E59">
      <w:pPr>
        <w:pStyle w:val="ListParagraph"/>
        <w:spacing w:line="360" w:lineRule="auto"/>
        <w:ind w:left="1080"/>
      </w:pPr>
    </w:p>
    <w:p w:rsidR="00397E59" w:rsidRPr="002E27F5" w:rsidRDefault="005D6A21"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Repo Impact on the Value =&gt; The difference in the value between the derivative and the asset are now easily understood as the zero-strike call-option carries the credit risk of the bank, while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does not. Or, in the language of funding,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can be used to secure the funding – which is reflected in the corresponding repo rate applied – while </w:t>
      </w:r>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oMath>
      <w:r>
        <w:t xml:space="preserve"> cannot be used for such a purpose.</w:t>
      </w:r>
    </w:p>
    <w:p w:rsidR="00397E59" w:rsidRDefault="00397E59" w:rsidP="008A18B1">
      <w:pPr>
        <w:pStyle w:val="ListParagraph"/>
        <w:numPr>
          <w:ilvl w:val="0"/>
          <w:numId w:val="68"/>
        </w:numPr>
        <w:spacing w:line="360" w:lineRule="auto"/>
      </w:pPr>
      <w:r>
        <w:rPr>
          <w:u w:val="single"/>
        </w:rPr>
        <w:t>No-CSA Forwards Valuation</w:t>
      </w:r>
      <w:r>
        <w:t>:</w:t>
      </w:r>
    </w:p>
    <w:p w:rsidR="00397E59" w:rsidRDefault="00397E59" w:rsidP="008A18B1">
      <w:pPr>
        <w:pStyle w:val="ListParagraph"/>
        <w:numPr>
          <w:ilvl w:val="1"/>
          <w:numId w:val="68"/>
        </w:numPr>
        <w:spacing w:line="360" w:lineRule="auto"/>
      </w:pPr>
      <w:r>
        <w:t xml:space="preserve">Forwards Contract without CSA =&gt; This section considers a forward contract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where at a time </w:t>
      </w:r>
      <m:oMath>
        <m:r>
          <w:rPr>
            <w:rFonts w:ascii="Cambria Math" w:hAnsi="Cambria Math"/>
          </w:rPr>
          <m:t>t</m:t>
        </m:r>
      </m:oMath>
      <w:r>
        <w:t xml:space="preserve"> the bank agrees to deliver the asset at time </w:t>
      </w:r>
      <m:oMath>
        <m:r>
          <w:rPr>
            <w:rFonts w:ascii="Cambria Math" w:hAnsi="Cambria Math"/>
          </w:rPr>
          <m:t>T</m:t>
        </m:r>
      </m:oMath>
      <w:r>
        <w:t xml:space="preserve"> against a cash payment at time </w:t>
      </w:r>
      <m:oMath>
        <m:r>
          <w:rPr>
            <w:rFonts w:ascii="Cambria Math" w:hAnsi="Cambria Math"/>
          </w:rPr>
          <m:t>T</m:t>
        </m:r>
      </m:oMath>
      <w:r>
        <w:t>.</w:t>
      </w:r>
    </w:p>
    <w:p w:rsidR="00397E59" w:rsidRDefault="00397E59" w:rsidP="008A18B1">
      <w:pPr>
        <w:pStyle w:val="ListParagraph"/>
        <w:numPr>
          <w:ilvl w:val="1"/>
          <w:numId w:val="68"/>
        </w:numPr>
        <w:spacing w:line="360" w:lineRule="auto"/>
      </w:pPr>
      <w:r>
        <w:lastRenderedPageBreak/>
        <w:t xml:space="preserve">No-CSA Forward Contract Definition =&gt; A no-CSA forward contract could be seen as a derivative with payout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at a time </w:t>
      </w:r>
      <m:oMath>
        <m:r>
          <w:rPr>
            <w:rFonts w:ascii="Cambria Math" w:hAnsi="Cambria Math"/>
          </w:rPr>
          <m:t>T</m:t>
        </m:r>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the forward price at a time </w:t>
      </w:r>
      <m:oMath>
        <m:r>
          <w:rPr>
            <w:rFonts w:ascii="Cambria Math" w:hAnsi="Cambria Math"/>
          </w:rPr>
          <m:t>t</m:t>
        </m:r>
      </m:oMath>
      <w:r>
        <w:t xml:space="preserve"> for a delivery at </w:t>
      </w:r>
      <m:oMath>
        <m:r>
          <w:rPr>
            <w:rFonts w:ascii="Cambria Math" w:hAnsi="Cambria Math"/>
          </w:rPr>
          <m:t>T</m:t>
        </m:r>
      </m:oMath>
      <w:r>
        <w:t>. As the forward contract is cost free, we have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that</w:t>
      </w:r>
    </w:p>
    <w:p w:rsidR="00397E59" w:rsidRDefault="00397E59" w:rsidP="00397E59">
      <w:pPr>
        <w:pStyle w:val="ListParagraph"/>
        <w:spacing w:line="360" w:lineRule="auto"/>
        <w:ind w:left="1080"/>
      </w:pPr>
    </w:p>
    <w:p w:rsidR="00397E59" w:rsidRPr="005B17D0" w:rsidRDefault="00397E59" w:rsidP="00397E59">
      <w:pPr>
        <w:pStyle w:val="ListParagraph"/>
        <w:spacing w:line="360" w:lineRule="auto"/>
        <w:ind w:left="1080"/>
      </w:pPr>
      <m:oMathPara>
        <m:oMath>
          <m:r>
            <w:rPr>
              <w:rFonts w:ascii="Cambria Math" w:hAnsi="Cambria Math"/>
            </w:rPr>
            <m:t>0=</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 we get</w:t>
      </w:r>
    </w:p>
    <w:p w:rsidR="00397E59" w:rsidRDefault="00397E59" w:rsidP="00397E59">
      <w:pPr>
        <w:pStyle w:val="ListParagraph"/>
        <w:spacing w:line="360" w:lineRule="auto"/>
        <w:ind w:left="1080"/>
      </w:pPr>
    </w:p>
    <w:p w:rsidR="00397E59" w:rsidRPr="005B17D0" w:rsidRDefault="005D6A21"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Valuation of the No-CSA Forward =&gt; From the above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define</w:t>
      </w:r>
    </w:p>
    <w:p w:rsidR="00397E59" w:rsidRDefault="00397E59" w:rsidP="00397E59">
      <w:pPr>
        <w:pStyle w:val="ListParagraph"/>
        <w:spacing w:line="360" w:lineRule="auto"/>
        <w:ind w:left="1080"/>
      </w:pPr>
    </w:p>
    <w:p w:rsidR="00397E59" w:rsidRDefault="005D6A21"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Note that this is essentially a credit-risky bond issued by the bank. Thus the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can be re-written as</w:t>
      </w:r>
    </w:p>
    <w:p w:rsidR="00397E59" w:rsidRDefault="00397E59" w:rsidP="00397E59">
      <w:pPr>
        <w:pStyle w:val="ListParagraph"/>
        <w:spacing w:line="360" w:lineRule="auto"/>
        <w:ind w:left="1080"/>
      </w:pPr>
    </w:p>
    <w:p w:rsidR="00397E59" w:rsidRDefault="005D6A21"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the measure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m:t>
            </m:r>
          </m:sub>
        </m:sSub>
      </m:oMath>
      <w:r>
        <w:t xml:space="preserve"> is defined by the numeraire </w:t>
      </w:r>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oMath>
      <w:r>
        <w:t xml:space="preserve"> as</w:t>
      </w:r>
    </w:p>
    <w:p w:rsidR="00397E59" w:rsidRDefault="00397E59" w:rsidP="00397E59">
      <w:pPr>
        <w:pStyle w:val="ListParagraph"/>
        <w:spacing w:line="360" w:lineRule="auto"/>
        <w:ind w:left="1080"/>
      </w:pPr>
    </w:p>
    <w:p w:rsidR="00397E59" w:rsidRDefault="005D6A21" w:rsidP="00397E59">
      <w:pPr>
        <w:pStyle w:val="ListParagraph"/>
        <w:spacing w:line="360" w:lineRule="auto"/>
        <w:ind w:left="1080"/>
      </w:pPr>
      <m:oMathPara>
        <m:oMath>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is a </w:t>
      </w:r>
      <m:oMath>
        <m:r>
          <w:rPr>
            <w:rFonts w:ascii="Cambria Math" w:hAnsi="Cambria Math"/>
          </w:rPr>
          <m:t>P</m:t>
        </m:r>
      </m:oMath>
      <w:r>
        <w:t xml:space="preserve">-martingale. Thereby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a </w:t>
      </w:r>
      <m:oMath>
        <m:acc>
          <m:accPr>
            <m:chr m:val="̃"/>
            <m:ctrlPr>
              <w:rPr>
                <w:rFonts w:ascii="Cambria Math" w:hAnsi="Cambria Math"/>
                <w:i/>
              </w:rPr>
            </m:ctrlPr>
          </m:accPr>
          <m:e>
            <m:r>
              <w:rPr>
                <w:rFonts w:ascii="Cambria Math" w:hAnsi="Cambria Math"/>
              </w:rPr>
              <m:t>P</m:t>
            </m:r>
          </m:e>
        </m:acc>
      </m:oMath>
      <w:r>
        <w:t>-martingale.</w:t>
      </w:r>
    </w:p>
    <w:p w:rsidR="00397E59" w:rsidRDefault="00397E59" w:rsidP="008A18B1">
      <w:pPr>
        <w:pStyle w:val="ListParagraph"/>
        <w:numPr>
          <w:ilvl w:val="1"/>
          <w:numId w:val="68"/>
        </w:numPr>
        <w:spacing w:line="360" w:lineRule="auto"/>
      </w:pPr>
      <w:r>
        <w:t xml:space="preserve">No-CSA Forward Probability Measure =&gt; Note that the value of the asset under no-CSA at time </w:t>
      </w:r>
      <m:oMath>
        <m:r>
          <w:rPr>
            <w:rFonts w:ascii="Cambria Math" w:hAnsi="Cambria Math"/>
          </w:rPr>
          <m:t>t</m:t>
        </m:r>
      </m:oMath>
      <w:r>
        <w:t xml:space="preserve"> is given by</w:t>
      </w:r>
    </w:p>
    <w:p w:rsidR="00397E59" w:rsidRDefault="00397E59" w:rsidP="00397E59">
      <w:pPr>
        <w:pStyle w:val="ListParagraph"/>
        <w:spacing w:line="360" w:lineRule="auto"/>
        <w:ind w:left="1080"/>
      </w:pPr>
    </w:p>
    <w:p w:rsidR="00397E59" w:rsidRDefault="005D6A21" w:rsidP="00397E59">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to be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it could be calculated simply by taking the expected value of the payout in the risky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Forwards Contract with CSA</w:t>
      </w:r>
      <w:r>
        <w:t>:</w:t>
      </w:r>
    </w:p>
    <w:p w:rsidR="00397E59" w:rsidRDefault="00397E59" w:rsidP="008A18B1">
      <w:pPr>
        <w:pStyle w:val="ListParagraph"/>
        <w:numPr>
          <w:ilvl w:val="1"/>
          <w:numId w:val="68"/>
        </w:numPr>
        <w:spacing w:line="360" w:lineRule="auto"/>
      </w:pPr>
      <w:r>
        <w:t xml:space="preserve">Full CSA Forward Contract Definition =&gt; Now let us consider a forward contract covered by a CSA where we assume that the collateral posted </w:t>
      </w:r>
      <m:oMath>
        <m:r>
          <w:rPr>
            <w:rFonts w:ascii="Cambria Math" w:hAnsi="Cambria Math"/>
          </w:rPr>
          <m:t>C</m:t>
        </m:r>
      </m:oMath>
      <w:r>
        <w:t xml:space="preserve"> is always equal to the value of the contract.</w:t>
      </w:r>
    </w:p>
    <w:p w:rsidR="00397E59" w:rsidRDefault="00397E59" w:rsidP="008A18B1">
      <w:pPr>
        <w:pStyle w:val="ListParagraph"/>
        <w:numPr>
          <w:ilvl w:val="1"/>
          <w:numId w:val="68"/>
        </w:numPr>
        <w:spacing w:line="360" w:lineRule="auto"/>
      </w:pPr>
      <w:r>
        <w:t xml:space="preserve">Valuation of the CSA-Based Forward =&gt; Let the forward price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be fixed at </w:t>
      </w:r>
      <m:oMath>
        <m:r>
          <w:rPr>
            <w:rFonts w:ascii="Cambria Math" w:hAnsi="Cambria Math"/>
          </w:rPr>
          <m:t>t</m:t>
        </m:r>
      </m:oMath>
      <w:r>
        <w:t>; then the value from</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0=V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 we get</w:t>
      </w:r>
    </w:p>
    <w:p w:rsidR="00397E59" w:rsidRDefault="00397E59" w:rsidP="00397E59">
      <w:pPr>
        <w:pStyle w:val="ListParagraph"/>
        <w:spacing w:line="360" w:lineRule="auto"/>
        <w:ind w:left="1080"/>
      </w:pPr>
    </w:p>
    <w:p w:rsidR="00397E59" w:rsidRDefault="005D6A21"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Comparing this with</w:t>
      </w:r>
    </w:p>
    <w:p w:rsidR="00397E59" w:rsidRDefault="00397E59" w:rsidP="00397E59">
      <w:pPr>
        <w:pStyle w:val="ListParagraph"/>
        <w:spacing w:line="360" w:lineRule="auto"/>
        <w:ind w:left="1080"/>
      </w:pPr>
    </w:p>
    <w:p w:rsidR="00397E59" w:rsidRDefault="005D6A21"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we see that</w:t>
      </w:r>
    </w:p>
    <w:p w:rsidR="00397E59" w:rsidRDefault="00397E59" w:rsidP="00397E59">
      <w:pPr>
        <w:pStyle w:val="ListParagraph"/>
        <w:spacing w:line="360" w:lineRule="auto"/>
        <w:ind w:left="1080"/>
      </w:pPr>
    </w:p>
    <w:p w:rsidR="00397E59" w:rsidRDefault="005D6A21"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By the arguments similar to the no-CSA case we obtain</w:t>
      </w:r>
    </w:p>
    <w:p w:rsidR="00397E59" w:rsidRDefault="00397E59" w:rsidP="00397E59">
      <w:pPr>
        <w:pStyle w:val="ListParagraph"/>
        <w:spacing w:line="360" w:lineRule="auto"/>
        <w:ind w:left="1080"/>
      </w:pPr>
    </w:p>
    <w:p w:rsidR="00397E59" w:rsidRDefault="005D6A21"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 xml:space="preserve"> is the standard </w:t>
      </w:r>
      <m:oMath>
        <m:r>
          <w:rPr>
            <w:rFonts w:ascii="Cambria Math" w:hAnsi="Cambria Math"/>
          </w:rPr>
          <m:t>T</m:t>
        </m:r>
      </m:oMath>
      <w:r>
        <w:t>-forward measure – that is a measure defined by</w:t>
      </w:r>
    </w:p>
    <w:p w:rsidR="00397E59" w:rsidRDefault="00397E59" w:rsidP="00397E59">
      <w:pPr>
        <w:pStyle w:val="ListParagraph"/>
        <w:spacing w:line="360" w:lineRule="auto"/>
        <w:ind w:left="1080"/>
      </w:pPr>
    </w:p>
    <w:p w:rsidR="00397E59" w:rsidRDefault="005D6A21"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 its numeraire.</w:t>
      </w:r>
    </w:p>
    <w:p w:rsidR="00397E59" w:rsidRDefault="00397E59" w:rsidP="008A18B1">
      <w:pPr>
        <w:pStyle w:val="ListParagraph"/>
        <w:numPr>
          <w:ilvl w:val="1"/>
          <w:numId w:val="68"/>
        </w:numPr>
        <w:spacing w:line="360" w:lineRule="auto"/>
      </w:pPr>
      <w:r>
        <w:t xml:space="preserve">CSA Based Forward Probability Measure =&gt; Note that the value of an asset under CSA at a time </w:t>
      </w:r>
      <m:oMath>
        <m:r>
          <w:rPr>
            <w:rFonts w:ascii="Cambria Math" w:hAnsi="Cambria Math"/>
          </w:rPr>
          <m:t>t</m:t>
        </m:r>
      </m:oMath>
      <w:r>
        <w:t xml:space="preserve"> with a payout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it could be simply calculated by taking the expected value of the payout in the risk-free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Calculating CSA Convexity Adjustment</w:t>
      </w:r>
      <w:r>
        <w:t>:</w:t>
      </w:r>
    </w:p>
    <w:p w:rsidR="00397E59" w:rsidRDefault="00397E59" w:rsidP="008A18B1">
      <w:pPr>
        <w:pStyle w:val="ListParagraph"/>
        <w:numPr>
          <w:ilvl w:val="1"/>
          <w:numId w:val="68"/>
        </w:numPr>
        <w:spacing w:line="360" w:lineRule="auto"/>
      </w:pPr>
      <w:r>
        <w:t>The Funding Basis Spread Numeraire =&gt; This section focusses on the difference between the CSA and the non-CSA forward prices. It can be seen that</w:t>
      </w:r>
    </w:p>
    <w:p w:rsidR="00397E59" w:rsidRDefault="00397E59" w:rsidP="00397E59">
      <w:pPr>
        <w:pStyle w:val="ListParagraph"/>
        <w:spacing w:line="360" w:lineRule="auto"/>
        <w:ind w:left="1080"/>
      </w:pPr>
    </w:p>
    <w:p w:rsidR="00397E59" w:rsidRDefault="005D6A21"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where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is a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-martingale, as</w:t>
      </w:r>
    </w:p>
    <w:p w:rsidR="00397E59" w:rsidRDefault="00397E59" w:rsidP="00397E59">
      <w:pPr>
        <w:pStyle w:val="ListParagraph"/>
        <w:spacing w:line="360" w:lineRule="auto"/>
        <w:ind w:left="1080"/>
      </w:pPr>
    </w:p>
    <w:p w:rsidR="00397E59" w:rsidRPr="00381DBD"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CSA vs. no-CSA Convexity =&gt; It can be noted trivially that</w:t>
      </w:r>
    </w:p>
    <w:p w:rsidR="00397E59" w:rsidRDefault="00397E59" w:rsidP="00397E59">
      <w:pPr>
        <w:pStyle w:val="ListParagraph"/>
        <w:spacing w:line="360" w:lineRule="auto"/>
        <w:ind w:left="1080"/>
      </w:pPr>
    </w:p>
    <w:p w:rsidR="00397E59" w:rsidRPr="00381DBD" w:rsidRDefault="005D6A21"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w:t>
      </w:r>
    </w:p>
    <w:p w:rsidR="00397E59" w:rsidRDefault="00397E59" w:rsidP="00397E59">
      <w:pPr>
        <w:pStyle w:val="ListParagraph"/>
        <w:spacing w:line="360" w:lineRule="auto"/>
        <w:ind w:left="1080"/>
      </w:pPr>
    </w:p>
    <w:p w:rsidR="00397E59" w:rsidRPr="00381DBD" w:rsidRDefault="005D6A21"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e>
              </m:d>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w:rPr>
                  <w:rFonts w:ascii="Cambria Math" w:hAnsi="Cambria Math"/>
                </w:rPr>
                <m:t>Covariance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 xml:space="preserve">Funding Spread Dynamical Model =&gt; To obtain the actual value of the adjustment the joint dynamics of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oMath>
      <w:r>
        <w:t xml:space="preserve"> and </w:t>
      </w:r>
      <m:oMath>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 u≥t</m:t>
        </m:r>
      </m:oMath>
      <w:r>
        <w:t xml:space="preserve"> needs to be postulated. A simple model presented later shows the results of these corrections.</w:t>
      </w:r>
    </w:p>
    <w:p w:rsidR="00397E59" w:rsidRDefault="00397E59" w:rsidP="008A18B1">
      <w:pPr>
        <w:pStyle w:val="ListParagraph"/>
        <w:numPr>
          <w:ilvl w:val="0"/>
          <w:numId w:val="68"/>
        </w:numPr>
        <w:spacing w:line="360" w:lineRule="auto"/>
      </w:pPr>
      <w:r>
        <w:rPr>
          <w:u w:val="single"/>
        </w:rPr>
        <w:t>Futures vs. CSA Forward Contracts</w:t>
      </w:r>
      <w:r>
        <w:t>:</w:t>
      </w:r>
    </w:p>
    <w:p w:rsidR="00397E59" w:rsidRDefault="00397E59" w:rsidP="008A18B1">
      <w:pPr>
        <w:pStyle w:val="ListParagraph"/>
        <w:numPr>
          <w:ilvl w:val="1"/>
          <w:numId w:val="68"/>
        </w:numPr>
        <w:spacing w:line="360" w:lineRule="auto"/>
      </w:pPr>
      <w:r>
        <w:t>Futures vs. CSA Forward – Similarity =&gt; At first sight the forward contract under CSA looks like a futures contract on the asset. With the futures contract, the daily price difference gets credited/debited to the margin account. In the same way, as the forward prices move, a CSA forward contract also specifies that money exchanges hands.</w:t>
      </w:r>
    </w:p>
    <w:p w:rsidR="00397E59" w:rsidRDefault="00397E59" w:rsidP="008A18B1">
      <w:pPr>
        <w:pStyle w:val="ListParagraph"/>
        <w:numPr>
          <w:ilvl w:val="1"/>
          <w:numId w:val="68"/>
        </w:numPr>
        <w:spacing w:line="360" w:lineRule="auto"/>
      </w:pPr>
      <w:r>
        <w:t>Futures vs. CSA Forward – Differences =&gt; There is, however, an important difference. Consider the value of the forward contract at</w:t>
      </w:r>
    </w:p>
    <w:p w:rsidR="00397E59" w:rsidRDefault="00397E59" w:rsidP="00397E59">
      <w:pPr>
        <w:pStyle w:val="ListParagraph"/>
        <w:spacing w:line="360" w:lineRule="auto"/>
        <w:ind w:left="1080"/>
      </w:pPr>
    </w:p>
    <w:p w:rsidR="00397E59" w:rsidRPr="006F5971" w:rsidRDefault="005D6A21" w:rsidP="00397E59">
      <w:pPr>
        <w:pStyle w:val="ListParagraph"/>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 contract that was entered at time </w:t>
      </w:r>
      <m:oMath>
        <m:r>
          <w:rPr>
            <w:rFonts w:ascii="Cambria Math" w:hAnsi="Cambria Math"/>
          </w:rPr>
          <m:t>t</m:t>
        </m:r>
      </m:oMath>
      <w:r>
        <w:t>, so</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m:t>
                      </m:r>
                      <m:r>
                        <w:rPr>
                          <w:rFonts w:ascii="Cambria Math" w:hAnsi="Cambria Math"/>
                        </w:rPr>
                        <m:t>u</m:t>
                      </m:r>
                    </m:e>
                  </m:nary>
                </m:sup>
              </m:sSup>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From</w:t>
      </w:r>
    </w:p>
    <w:p w:rsidR="00397E59" w:rsidRDefault="00397E59" w:rsidP="00397E59">
      <w:pPr>
        <w:pStyle w:val="ListParagraph"/>
        <w:spacing w:line="360" w:lineRule="auto"/>
        <w:ind w:left="1080"/>
      </w:pPr>
    </w:p>
    <w:p w:rsidR="00397E59" w:rsidRDefault="005D6A21"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gets</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Pr="006F5971" w:rsidRDefault="00397E59" w:rsidP="00397E59">
      <w:pPr>
        <w:pStyle w:val="ListParagraph"/>
        <w:spacing w:line="360" w:lineRule="auto"/>
        <w:ind w:left="1080"/>
      </w:pPr>
      <w:r>
        <w:t xml:space="preserve">so the difference between the contract values on </w:t>
      </w:r>
      <m:oMath>
        <m:r>
          <w:rPr>
            <w:rFonts w:ascii="Cambria Math" w:hAnsi="Cambria Math"/>
          </w:rPr>
          <m:t>t</m:t>
        </m:r>
      </m:oMath>
      <w:r>
        <w:t xml:space="preserve"> and </w:t>
      </w:r>
      <m:oMath>
        <m:r>
          <w:rPr>
            <w:rFonts w:ascii="Cambria Math" w:hAnsi="Cambria Math"/>
          </w:rPr>
          <m:t>t'</m:t>
        </m:r>
      </m:oMath>
      <w:r>
        <w:t xml:space="preserve"> that exchanges hands on </w:t>
      </w:r>
      <m:oMath>
        <m:r>
          <w:rPr>
            <w:rFonts w:ascii="Cambria Math" w:hAnsi="Cambria Math"/>
          </w:rPr>
          <m:t>t'</m:t>
        </m:r>
      </m:oMath>
      <w:r>
        <w:t xml:space="preserve"> is equal to the discounted </w:t>
      </w:r>
      <m:oMath>
        <m:r>
          <w:rPr>
            <w:rFonts w:ascii="Cambria Math" w:hAnsi="Cambria Math"/>
          </w:rPr>
          <m:t>T</m:t>
        </m:r>
      </m:oMath>
      <w:r>
        <w:t xml:space="preserve"> difference in the forward prices. For a futures contract the difference will not be discounted.</w:t>
      </w:r>
    </w:p>
    <w:p w:rsidR="00397E59" w:rsidRDefault="00397E59" w:rsidP="008A18B1">
      <w:pPr>
        <w:pStyle w:val="ListParagraph"/>
        <w:numPr>
          <w:ilvl w:val="1"/>
          <w:numId w:val="68"/>
        </w:numPr>
        <w:spacing w:line="360" w:lineRule="auto"/>
      </w:pPr>
      <w:r>
        <w:t>Futures vs. CSA Forward Convexity =&gt; Therefore the types of convexity seen in the futures contract are different from those seen in the CSA vs. non-CSA forward contracts, a conclusion different from those reached by Johannes and Sundaresan (2007).</w:t>
      </w:r>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European Style Options</w:t>
      </w:r>
    </w:p>
    <w:p w:rsidR="00397E59" w:rsidRDefault="00397E59" w:rsidP="00397E59">
      <w:pPr>
        <w:spacing w:line="360" w:lineRule="auto"/>
      </w:pPr>
    </w:p>
    <w:p w:rsidR="00397E59" w:rsidRDefault="00397E59" w:rsidP="008A18B1">
      <w:pPr>
        <w:pStyle w:val="ListParagraph"/>
        <w:numPr>
          <w:ilvl w:val="0"/>
          <w:numId w:val="69"/>
        </w:numPr>
        <w:spacing w:line="360" w:lineRule="auto"/>
      </w:pPr>
      <w:r w:rsidRPr="00BE45B9">
        <w:rPr>
          <w:u w:val="single"/>
        </w:rPr>
        <w:t>CSA vs. non-CSA Pricing</w:t>
      </w:r>
      <w:r>
        <w:t>:</w:t>
      </w:r>
    </w:p>
    <w:p w:rsidR="00397E59" w:rsidRDefault="00397E59" w:rsidP="008A18B1">
      <w:pPr>
        <w:pStyle w:val="ListParagraph"/>
        <w:numPr>
          <w:ilvl w:val="1"/>
          <w:numId w:val="69"/>
        </w:numPr>
        <w:spacing w:line="360" w:lineRule="auto"/>
      </w:pPr>
      <w:r>
        <w:t xml:space="preserve">Basic European Option Pricing Setup =&gt; Consider a European style option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with a strike </w:t>
      </w:r>
      <m:oMath>
        <m:r>
          <w:rPr>
            <w:rFonts w:ascii="Cambria Math" w:hAnsi="Cambria Math"/>
          </w:rPr>
          <m:t>K</m:t>
        </m:r>
      </m:oMath>
      <w:r>
        <w:t>. Depending on the presence of absence of CSA we get two prices:</w:t>
      </w:r>
    </w:p>
    <w:p w:rsidR="00397E59" w:rsidRDefault="00397E59" w:rsidP="00397E59">
      <w:pPr>
        <w:pStyle w:val="ListParagraph"/>
        <w:spacing w:line="360" w:lineRule="auto"/>
        <w:ind w:left="1080"/>
      </w:pPr>
    </w:p>
    <w:p w:rsidR="00397E59" w:rsidRDefault="005D6A21"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5D6A21"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 xml:space="preserve">where for the CSA case we assume that the collateral posted </w:t>
      </w:r>
      <m:oMath>
        <m:r>
          <w:rPr>
            <w:rFonts w:ascii="Cambria Math" w:hAnsi="Cambria Math"/>
          </w:rPr>
          <m:t>C</m:t>
        </m:r>
      </m:oMath>
      <w:r>
        <w:t xml:space="preserve"> is always equal to the option value </w:t>
      </w:r>
      <m:oMath>
        <m:sSub>
          <m:sSubPr>
            <m:ctrlPr>
              <w:rPr>
                <w:rFonts w:ascii="Cambria Math" w:hAnsi="Cambria Math"/>
                <w:i/>
              </w:rPr>
            </m:ctrlPr>
          </m:sSubPr>
          <m:e>
            <m:r>
              <w:rPr>
                <w:rFonts w:ascii="Cambria Math" w:hAnsi="Cambria Math"/>
              </w:rPr>
              <m:t>V</m:t>
            </m:r>
          </m:e>
          <m:sub>
            <m:r>
              <w:rPr>
                <w:rFonts w:ascii="Cambria Math" w:hAnsi="Cambria Math"/>
              </w:rPr>
              <m:t>CSA</m:t>
            </m:r>
          </m:sub>
        </m:sSub>
      </m:oMath>
      <w:r>
        <w:t>.</w:t>
      </w:r>
    </w:p>
    <w:p w:rsidR="00397E59" w:rsidRDefault="00397E59" w:rsidP="008A18B1">
      <w:pPr>
        <w:pStyle w:val="ListParagraph"/>
        <w:numPr>
          <w:ilvl w:val="1"/>
          <w:numId w:val="69"/>
        </w:numPr>
        <w:spacing w:line="360" w:lineRule="auto"/>
      </w:pPr>
      <w:r>
        <w:t>CSA vs. non-CSA Numeraires =&gt; By the same measure change arguments as in the previous sections we get</w:t>
      </w:r>
    </w:p>
    <w:p w:rsidR="00397E59" w:rsidRDefault="00397E59" w:rsidP="00397E59">
      <w:pPr>
        <w:pStyle w:val="ListParagraph"/>
        <w:spacing w:line="360" w:lineRule="auto"/>
        <w:ind w:left="1080"/>
      </w:pPr>
    </w:p>
    <w:p w:rsidR="00397E59" w:rsidRPr="00C4528B" w:rsidRDefault="005D6A21"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Pr="00C4528B" w:rsidRDefault="005D6A21"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CSA vs. non-CSA Raw Moments =&gt; The difference between the measures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oMath>
      <w: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oMath>
      <w:r>
        <w:t xml:space="preserve"> not only manifests itself in the mean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 as already established – but also reveals itself in the characteristics of the distribution of </w:t>
      </w:r>
      <m:oMath>
        <m:r>
          <w:rPr>
            <w:rFonts w:ascii="Cambria Math" w:hAnsi="Cambria Math"/>
          </w:rPr>
          <m:t>S</m:t>
        </m:r>
        <m:d>
          <m:dPr>
            <m:ctrlPr>
              <w:rPr>
                <w:rFonts w:ascii="Cambria Math" w:hAnsi="Cambria Math"/>
                <w:i/>
              </w:rPr>
            </m:ctrlPr>
          </m:dPr>
          <m:e>
            <m:r>
              <w:rPr>
                <w:rFonts w:ascii="Cambria Math" w:hAnsi="Cambria Math"/>
              </w:rPr>
              <m:t>∙</m:t>
            </m:r>
          </m:e>
        </m:d>
      </m:oMath>
      <w:r>
        <w:t xml:space="preserve"> such as its variance and higher moments.</w:t>
      </w:r>
    </w:p>
    <w:p w:rsidR="00397E59" w:rsidRDefault="00397E59" w:rsidP="008A18B1">
      <w:pPr>
        <w:pStyle w:val="ListParagraph"/>
        <w:numPr>
          <w:ilvl w:val="0"/>
          <w:numId w:val="69"/>
        </w:numPr>
        <w:spacing w:line="360" w:lineRule="auto"/>
      </w:pPr>
      <w:r>
        <w:rPr>
          <w:u w:val="single"/>
        </w:rPr>
        <w:t>Distribution Impact of Convexity Adjustment</w:t>
      </w:r>
      <w:r>
        <w:t>:</w:t>
      </w:r>
    </w:p>
    <w:p w:rsidR="00397E59" w:rsidRDefault="00397E59" w:rsidP="008A18B1">
      <w:pPr>
        <w:pStyle w:val="ListParagraph"/>
        <w:numPr>
          <w:ilvl w:val="1"/>
          <w:numId w:val="69"/>
        </w:numPr>
        <w:spacing w:line="360" w:lineRule="auto"/>
      </w:pPr>
      <w:r>
        <w:t xml:space="preserve">No-CSA European Option Price =&gt; To see ow a change of measure affects the distribution of </w:t>
      </w:r>
      <m:oMath>
        <m:r>
          <w:rPr>
            <w:rFonts w:ascii="Cambria Math" w:hAnsi="Cambria Math"/>
          </w:rPr>
          <m:t>S</m:t>
        </m:r>
        <m:d>
          <m:dPr>
            <m:ctrlPr>
              <w:rPr>
                <w:rFonts w:ascii="Cambria Math" w:hAnsi="Cambria Math"/>
                <w:i/>
              </w:rPr>
            </m:ctrlPr>
          </m:dPr>
          <m:e>
            <m:r>
              <w:rPr>
                <w:rFonts w:ascii="Cambria Math" w:hAnsi="Cambria Math"/>
              </w:rPr>
              <m:t>∙</m:t>
            </m:r>
          </m:e>
        </m:d>
      </m:oMath>
      <w:r>
        <w:t>, using</w:t>
      </w:r>
    </w:p>
    <w:p w:rsidR="00397E59" w:rsidRDefault="00397E59" w:rsidP="00397E59">
      <w:pPr>
        <w:pStyle w:val="ListParagraph"/>
        <w:spacing w:line="360" w:lineRule="auto"/>
        <w:ind w:left="1080"/>
      </w:pPr>
    </w:p>
    <w:p w:rsidR="00397E59" w:rsidRDefault="005D6A21"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has</w:t>
      </w:r>
    </w:p>
    <w:p w:rsidR="00397E59" w:rsidRDefault="00397E59" w:rsidP="00397E59">
      <w:pPr>
        <w:pStyle w:val="ListParagraph"/>
        <w:spacing w:line="360" w:lineRule="auto"/>
        <w:ind w:left="1080"/>
      </w:pPr>
    </w:p>
    <w:p w:rsidR="00397E59" w:rsidRDefault="005D6A21"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defined as</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w:lastRenderedPageBreak/>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Conditional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Option Price =&gt; From this, by conditioning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one obtains</w:t>
      </w:r>
    </w:p>
    <w:p w:rsidR="00397E59" w:rsidRDefault="00397E59" w:rsidP="00397E59">
      <w:pPr>
        <w:pStyle w:val="ListParagraph"/>
        <w:spacing w:line="360" w:lineRule="auto"/>
        <w:ind w:left="1080"/>
      </w:pPr>
    </w:p>
    <w:p w:rsidR="00397E59" w:rsidRDefault="005D6A21"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the deterministic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is given by</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=x</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Linearization of the Conditional Funding Basis =&gt; Using the approach of Antonov and Arneguy (2009), Piterbarg (2010) approximates the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by a function that is linear in </w:t>
      </w:r>
      <m:oMath>
        <m:r>
          <w:rPr>
            <w:rFonts w:ascii="Cambria Math" w:hAnsi="Cambria Math"/>
          </w:rPr>
          <m:t>x</m:t>
        </m:r>
      </m:oMath>
      <w:r>
        <w:t>;</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x</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and obtains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by minimizing the squared differences while using the fact that</w:t>
      </w:r>
    </w:p>
    <w:p w:rsidR="00397E59" w:rsidRDefault="00397E59" w:rsidP="00397E59">
      <w:pPr>
        <w:pStyle w:val="ListParagraph"/>
        <w:spacing w:line="360" w:lineRule="auto"/>
        <w:ind w:left="1080"/>
      </w:pPr>
    </w:p>
    <w:p w:rsidR="00397E59" w:rsidRDefault="005D6A21"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5D6A21"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w:t>
      </w:r>
    </w:p>
    <w:p w:rsidR="00397E59" w:rsidRDefault="00397E59" w:rsidP="00397E59">
      <w:pPr>
        <w:pStyle w:val="ListParagraph"/>
        <w:spacing w:line="360" w:lineRule="auto"/>
        <w:ind w:left="1080"/>
      </w:pPr>
    </w:p>
    <w:p w:rsidR="00397E59" w:rsidRPr="00733926" w:rsidRDefault="005D6A21"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Pr="007D6003" w:rsidRDefault="005D6A21"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Slop of the Conditional Funding Basis Distribution =&gt; Recognizing the term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as the convexity adjustment of the forward between the n-CSA and the CSA versions of </w:t>
      </w:r>
      <m:oMath>
        <m:r>
          <w:rPr>
            <w:rFonts w:ascii="Cambria Math" w:hAnsi="Cambria Math"/>
          </w:rPr>
          <m:t>F</m:t>
        </m:r>
        <m:d>
          <m:dPr>
            <m:ctrlPr>
              <w:rPr>
                <w:rFonts w:ascii="Cambria Math" w:hAnsi="Cambria Math"/>
                <w:i/>
              </w:rPr>
            </m:ctrlPr>
          </m:dPr>
          <m:e>
            <m:r>
              <w:rPr>
                <w:rFonts w:ascii="Cambria Math" w:hAnsi="Cambria Math"/>
              </w:rPr>
              <m:t>t, T</m:t>
            </m:r>
          </m:e>
        </m:d>
      </m:oMath>
      <w:r>
        <w:t xml:space="preserve"> one can write</w:t>
      </w:r>
    </w:p>
    <w:p w:rsidR="00397E59" w:rsidRDefault="00397E59" w:rsidP="00397E59">
      <w:pPr>
        <w:pStyle w:val="ListParagraph"/>
        <w:spacing w:line="360" w:lineRule="auto"/>
        <w:ind w:left="1080"/>
      </w:pPr>
    </w:p>
    <w:p w:rsidR="00397E59" w:rsidRPr="007C5244" w:rsidRDefault="005D6A21"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Collateral vs. Funding Measure Relation =&gt; Differentiating</w:t>
      </w:r>
    </w:p>
    <w:p w:rsidR="00397E59" w:rsidRDefault="00397E59" w:rsidP="00397E59">
      <w:pPr>
        <w:pStyle w:val="ListParagraph"/>
        <w:spacing w:line="360" w:lineRule="auto"/>
        <w:ind w:left="1080"/>
      </w:pPr>
    </w:p>
    <w:p w:rsidR="00397E59" w:rsidRDefault="005D6A21"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twice with respect to </w:t>
      </w:r>
      <m:oMath>
        <m:r>
          <w:rPr>
            <w:rFonts w:ascii="Cambria Math" w:hAnsi="Cambria Math"/>
          </w:rPr>
          <m:t>K</m:t>
        </m:r>
      </m:oMath>
      <w:r>
        <w:t xml:space="preserve"> one obtains the probability density functions (PDFs)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two measures as</w:t>
      </w:r>
    </w:p>
    <w:p w:rsidR="00397E59" w:rsidRDefault="00397E59" w:rsidP="00397E59">
      <w:pPr>
        <w:pStyle w:val="ListParagraph"/>
        <w:spacing w:line="360" w:lineRule="auto"/>
        <w:ind w:left="1080"/>
      </w:pPr>
    </w:p>
    <w:p w:rsidR="00397E59" w:rsidRDefault="005D6A21" w:rsidP="00397E59">
      <w:pPr>
        <w:pStyle w:val="ListParagraph"/>
        <w:spacing w:line="360" w:lineRule="auto"/>
        <w:ind w:left="1080"/>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K</m:t>
              </m:r>
            </m:e>
          </m:d>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the PDF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no-CSA measure is obtained by the density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CSA measure by multiplying it with a linear function. It is not hard to see that the main impact of such a transformation is on the slope of the volatility smile of </w:t>
      </w:r>
      <m:oMath>
        <m:r>
          <w:rPr>
            <w:rFonts w:ascii="Cambria Math" w:hAnsi="Cambria Math"/>
          </w:rPr>
          <m:t>S</m:t>
        </m:r>
        <m:d>
          <m:dPr>
            <m:ctrlPr>
              <w:rPr>
                <w:rFonts w:ascii="Cambria Math" w:hAnsi="Cambria Math"/>
                <w:i/>
              </w:rPr>
            </m:ctrlPr>
          </m:dPr>
          <m:e>
            <m:r>
              <w:rPr>
                <w:rFonts w:ascii="Cambria Math" w:hAnsi="Cambria Math"/>
              </w:rPr>
              <m:t>∙</m:t>
            </m:r>
          </m:e>
        </m:d>
      </m:oMath>
      <w:r>
        <w:t>.</w:t>
      </w:r>
    </w:p>
    <w:p w:rsidR="00397E59" w:rsidRDefault="00397E59" w:rsidP="008A18B1">
      <w:pPr>
        <w:pStyle w:val="ListParagraph"/>
        <w:numPr>
          <w:ilvl w:val="0"/>
          <w:numId w:val="69"/>
        </w:numPr>
        <w:spacing w:line="360" w:lineRule="auto"/>
      </w:pPr>
      <w:r>
        <w:rPr>
          <w:u w:val="single"/>
        </w:rPr>
        <w:lastRenderedPageBreak/>
        <w:t>Stochastic Funding Model</w:t>
      </w:r>
      <w:r>
        <w:t>: This section considers a simple stochastic funding model to estimate the impact of collateral rules on forwards and options. Consider an asset that follows a log-normal process</w:t>
      </w:r>
    </w:p>
    <w:p w:rsidR="00397E59" w:rsidRDefault="00397E59" w:rsidP="00397E59">
      <w:pPr>
        <w:pStyle w:val="ListParagraph"/>
        <w:spacing w:line="360" w:lineRule="auto"/>
        <w:ind w:left="360"/>
        <w:rPr>
          <w:u w:val="single"/>
        </w:rPr>
      </w:pPr>
    </w:p>
    <w:p w:rsidR="00397E59" w:rsidRDefault="005D6A21"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a funding spread that follows a simple one-factor Gaussian model of interest rates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w:t>
      </w:r>
    </w:p>
    <w:p w:rsidR="00397E59" w:rsidRDefault="00397E59" w:rsidP="00397E59">
      <w:pPr>
        <w:pStyle w:val="ListParagraph"/>
        <w:spacing w:line="360" w:lineRule="auto"/>
        <w:ind w:left="360"/>
      </w:pPr>
    </w:p>
    <w:p w:rsidR="00397E59" w:rsidRDefault="005D6A21" w:rsidP="00397E59">
      <w:pPr>
        <w:pStyle w:val="ListParagraph"/>
        <w:spacing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e>
          </m:d>
          <m:r>
            <w:rPr>
              <w:rFonts w:ascii="Cambria Math" w:hAnsi="Cambria Math"/>
            </w:rPr>
            <m:t>=ρ∆t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ρ</m:t>
        </m:r>
      </m:oMath>
      <w:r>
        <w:t xml:space="preserve"> is the correlation between the asset price and the funding spread.</w:t>
      </w:r>
    </w:p>
    <w:p w:rsidR="00397E59" w:rsidRDefault="00397E59" w:rsidP="008A18B1">
      <w:pPr>
        <w:pStyle w:val="ListParagraph"/>
        <w:numPr>
          <w:ilvl w:val="1"/>
          <w:numId w:val="69"/>
        </w:numPr>
        <w:spacing w:line="360" w:lineRule="auto"/>
      </w:pPr>
      <w:r>
        <w:t xml:space="preserve">Evolution of </w:t>
      </w:r>
      <m:oMath>
        <m:sSub>
          <m:sSubPr>
            <m:ctrlPr>
              <w:rPr>
                <w:rFonts w:ascii="Cambria Math" w:hAnsi="Cambria Math"/>
                <w:i/>
              </w:rPr>
            </m:ctrlPr>
          </m:sSubPr>
          <m:e>
            <m:r>
              <w:rPr>
                <w:rFonts w:ascii="Cambria Math" w:hAnsi="Cambria Math"/>
              </w:rPr>
              <m:t>F</m:t>
            </m:r>
          </m:e>
          <m:sub>
            <m:r>
              <w:rPr>
                <w:rFonts w:ascii="Cambria Math" w:hAnsi="Cambria Math"/>
              </w:rPr>
              <m:t>CSA</m:t>
            </m:r>
          </m:sub>
        </m:sSub>
      </m:oMath>
      <w:r>
        <w:t xml:space="preserve"> under </w:t>
      </w:r>
      <m:oMath>
        <m:r>
          <w:rPr>
            <w:rFonts w:ascii="Cambria Math" w:hAnsi="Cambria Math"/>
          </w:rPr>
          <m:t>P</m:t>
        </m:r>
      </m:oMath>
      <w:r>
        <w:t xml:space="preserve"> =&gt; It is also assumed for simplicity that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are deterministic, and</w:t>
      </w:r>
    </w:p>
    <w:p w:rsidR="00397E59" w:rsidRDefault="00397E59" w:rsidP="00397E59">
      <w:pPr>
        <w:pStyle w:val="ListParagraph"/>
        <w:spacing w:line="360" w:lineRule="auto"/>
        <w:ind w:left="1080"/>
      </w:pPr>
    </w:p>
    <w:p w:rsidR="00397E59" w:rsidRDefault="005D6A21"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5D6A21"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5D6A21"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with </w:t>
      </w:r>
      <m:oMath>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w:r>
        <w:t xml:space="preserve"> being a Brownian motion under the risk-neutral measure </w:t>
      </w:r>
      <m:oMath>
        <m:r>
          <w:rPr>
            <w:rFonts w:ascii="Cambria Math" w:hAnsi="Cambria Math"/>
          </w:rPr>
          <m:t>P</m:t>
        </m:r>
      </m:oMath>
      <w:r>
        <w:t>.</w:t>
      </w:r>
    </w:p>
    <w:p w:rsidR="00397E59" w:rsidRDefault="00397E59" w:rsidP="008A18B1">
      <w:pPr>
        <w:pStyle w:val="ListParagraph"/>
        <w:numPr>
          <w:ilvl w:val="1"/>
          <w:numId w:val="69"/>
        </w:numPr>
        <w:spacing w:line="360" w:lineRule="auto"/>
      </w:pPr>
      <w:r>
        <w:lastRenderedPageBreak/>
        <w:t>Evolution of the Credit-Risky Numeraire =&gt; On the other hand</w:t>
      </w:r>
    </w:p>
    <w:p w:rsidR="00397E59" w:rsidRDefault="00397E59" w:rsidP="00397E59">
      <w:pPr>
        <w:pStyle w:val="ListParagraph"/>
        <w:spacing w:line="360" w:lineRule="auto"/>
        <w:ind w:left="1080"/>
      </w:pPr>
    </w:p>
    <w:p w:rsidR="00397E59" w:rsidRPr="00D16907" w:rsidRDefault="005D6A21"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where</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ctrlPr>
                        <w:rPr>
                          <w:rFonts w:ascii="Cambria Math" w:hAnsi="Cambria Math"/>
                          <w:i/>
                        </w:rPr>
                      </m:ctrlPr>
                    </m:dPr>
                    <m:e>
                      <m:r>
                        <w:rPr>
                          <w:rFonts w:ascii="Cambria Math" w:hAnsi="Cambria Math"/>
                        </w:rPr>
                        <m:t>T-t</m:t>
                      </m:r>
                    </m:e>
                  </m:d>
                </m:sup>
              </m:sSup>
            </m:num>
            <m:den>
              <m:sSub>
                <m:sSubPr>
                  <m:ctrlPr>
                    <w:rPr>
                      <w:rFonts w:ascii="Cambria Math" w:hAnsi="Cambria Math"/>
                      <w:i/>
                    </w:rPr>
                  </m:ctrlPr>
                </m:sSubPr>
                <m:e>
                  <m:r>
                    <w:rPr>
                      <w:rFonts w:ascii="Cambria Math" w:hAnsi="Cambria Math"/>
                    </w:rPr>
                    <m:t>ℵ</m:t>
                  </m:r>
                </m:e>
                <m:sub>
                  <m:r>
                    <w:rPr>
                      <w:rFonts w:ascii="Cambria Math" w:hAnsi="Cambria Math"/>
                    </w:rPr>
                    <m:t>F</m:t>
                  </m:r>
                </m:sub>
              </m:sSub>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Funding Spread =&gt; As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a martingale under </w:t>
      </w:r>
      <m:oMath>
        <m:r>
          <w:rPr>
            <w:rFonts w:ascii="Cambria Math" w:hAnsi="Cambria Math"/>
          </w:rPr>
          <m:t>P</m:t>
        </m:r>
      </m:oMath>
      <w:r>
        <w:t xml:space="preserve"> (since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deterministic, the measures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coincide) one has from</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that</w:t>
      </w:r>
    </w:p>
    <w:p w:rsidR="00397E59" w:rsidRDefault="00397E59" w:rsidP="00397E59">
      <w:pPr>
        <w:pStyle w:val="ListParagraph"/>
        <w:spacing w:line="360" w:lineRule="auto"/>
        <w:ind w:left="1080"/>
      </w:pPr>
    </w:p>
    <w:p w:rsidR="00397E59" w:rsidRPr="00D16907" w:rsidRDefault="005D6A21" w:rsidP="00397E59">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Convexity Adjustment =&gt; Both </w:t>
      </w:r>
      <m:oMath>
        <m:r>
          <w:rPr>
            <w:rFonts w:ascii="Cambria Math" w:hAnsi="Cambria Math"/>
          </w:rPr>
          <m:t>M</m:t>
        </m:r>
        <m:d>
          <m:dPr>
            <m:ctrlPr>
              <w:rPr>
                <w:rFonts w:ascii="Cambria Math" w:hAnsi="Cambria Math"/>
                <w:i/>
              </w:rPr>
            </m:ctrlPr>
          </m:dPr>
          <m:e>
            <m:r>
              <w:rPr>
                <w:rFonts w:ascii="Cambria Math" w:hAnsi="Cambria Math"/>
              </w:rPr>
              <m:t>t, T</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are martingales under </w:t>
      </w:r>
      <m:oMath>
        <m:r>
          <w:rPr>
            <w:rFonts w:ascii="Cambria Math" w:hAnsi="Cambria Math"/>
          </w:rPr>
          <m:t>P</m:t>
        </m:r>
      </m:oMath>
      <w:r>
        <w:t xml:space="preserve"> so it follows that</w:t>
      </w:r>
    </w:p>
    <w:p w:rsidR="00397E59" w:rsidRDefault="00397E59" w:rsidP="00397E59">
      <w:pPr>
        <w:pStyle w:val="ListParagraph"/>
        <w:spacing w:line="360" w:lineRule="auto"/>
        <w:ind w:left="1080"/>
      </w:pPr>
    </w:p>
    <w:p w:rsidR="00397E59" w:rsidRDefault="005D6A21" w:rsidP="00397E59">
      <w:pPr>
        <w:pStyle w:val="ListParagraph"/>
        <w:spacing w:line="360" w:lineRule="auto"/>
        <w:ind w:left="108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num>
            <m:den>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Using the fact that</w:t>
      </w:r>
    </w:p>
    <w:p w:rsidR="00397E59" w:rsidRDefault="00397E59" w:rsidP="00397E59">
      <w:pPr>
        <w:pStyle w:val="ListParagraph"/>
        <w:spacing w:line="360" w:lineRule="auto"/>
        <w:ind w:left="1080"/>
      </w:pPr>
    </w:p>
    <w:p w:rsidR="00397E59" w:rsidRDefault="005D6A21"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0, 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gets</w:t>
      </w:r>
    </w:p>
    <w:p w:rsidR="00397E59" w:rsidRDefault="00397E59" w:rsidP="00397E59">
      <w:pPr>
        <w:pStyle w:val="ListParagraph"/>
        <w:spacing w:line="360" w:lineRule="auto"/>
        <w:ind w:left="1080"/>
      </w:pPr>
    </w:p>
    <w:p w:rsidR="00397E59" w:rsidRDefault="005D6A21"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dt</m:t>
                  </m:r>
                </m:e>
              </m:nary>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f>
                <m:fPr>
                  <m:ctrlPr>
                    <w:rPr>
                      <w:rFonts w:ascii="Cambria Math" w:hAnsi="Cambria Math"/>
                      <w:i/>
                    </w:rPr>
                  </m:ctrlPr>
                </m:fPr>
                <m:num>
                  <m:r>
                    <w:rPr>
                      <w:rFonts w:ascii="Cambria Math" w:hAnsi="Cambria Math"/>
                    </w:rPr>
                    <m:t>T-b</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ℵ</m:t>
                      </m:r>
                    </m:e>
                    <m:sub>
                      <m:r>
                        <w:rPr>
                          <w:rFonts w:ascii="Cambria Math" w:hAnsi="Cambria Math"/>
                        </w:rPr>
                        <m:t>F</m:t>
                      </m:r>
                    </m:sub>
                  </m:sSub>
                </m:den>
              </m:f>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 in the case</w:t>
      </w:r>
    </w:p>
    <w:p w:rsidR="00397E59" w:rsidRDefault="00397E59" w:rsidP="00397E59">
      <w:pPr>
        <w:pStyle w:val="ListParagraph"/>
        <w:spacing w:line="360" w:lineRule="auto"/>
        <w:ind w:left="1080"/>
      </w:pPr>
    </w:p>
    <w:p w:rsidR="00397E59" w:rsidRPr="002B1DC5" w:rsidRDefault="005D6A21" w:rsidP="00397E59">
      <w:pPr>
        <w:pStyle w:val="ListParagraph"/>
        <w:spacing w:line="360" w:lineRule="auto"/>
        <w:ind w:left="1080"/>
      </w:pPr>
      <m:oMathPara>
        <m:oMath>
          <m:sSub>
            <m:sSubPr>
              <m:ctrlPr>
                <w:rPr>
                  <w:rFonts w:ascii="Cambria Math" w:hAnsi="Cambria Math"/>
                  <w:i/>
                </w:rPr>
              </m:ctrlPr>
            </m:sSubPr>
            <m:e>
              <m:r>
                <w:rPr>
                  <w:rFonts w:ascii="Cambria Math" w:hAnsi="Cambria Math"/>
                </w:rPr>
                <m:t>ℵ</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pPr>
    </w:p>
    <w:p w:rsidR="00397E59" w:rsidRPr="002B1DC5" w:rsidRDefault="005D6A21"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-1</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Tenor Dependence of Convexity Correction =&gt; Note that the adjustment grows roughly as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t>. A similar formula was obtained by Barden (2009) using a model in which the funding spread was functionally linked to the value of the asset.</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Cross Currency Model</w:t>
      </w:r>
    </w:p>
    <w:p w:rsidR="00397E59" w:rsidRDefault="00397E59" w:rsidP="00397E59">
      <w:pPr>
        <w:spacing w:line="360" w:lineRule="auto"/>
      </w:pPr>
    </w:p>
    <w:p w:rsidR="00397E59" w:rsidRDefault="00397E59" w:rsidP="008A18B1">
      <w:pPr>
        <w:numPr>
          <w:ilvl w:val="0"/>
          <w:numId w:val="5"/>
        </w:numPr>
        <w:spacing w:line="360" w:lineRule="auto"/>
      </w:pPr>
      <w:r>
        <w:rPr>
          <w:u w:val="single"/>
        </w:rPr>
        <w:t>LCH.ClearNet Collateral Rules</w:t>
      </w:r>
      <w:r>
        <w:t>: Single currency trades (currently mostly swaps) are collateralized in their own currencies, but multi-currency trades (e.g., cross currency swaps) are typically collateralized in USD.</w:t>
      </w:r>
    </w:p>
    <w:p w:rsidR="00397E59" w:rsidRDefault="00397E59" w:rsidP="008A18B1">
      <w:pPr>
        <w:numPr>
          <w:ilvl w:val="0"/>
          <w:numId w:val="5"/>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397E59" w:rsidRDefault="00397E59" w:rsidP="008A18B1">
      <w:pPr>
        <w:numPr>
          <w:ilvl w:val="0"/>
          <w:numId w:val="5"/>
        </w:numPr>
        <w:spacing w:line="360" w:lineRule="auto"/>
      </w:pPr>
      <w:r>
        <w:rPr>
          <w:u w:val="single"/>
        </w:rPr>
        <w:t>Foreign Bonds Collateralized in Domestic Currency</w:t>
      </w:r>
      <w:r>
        <w:t xml:space="preserve">: Consider a foreign zero-coupon bond collateralized with domestic collateral. The price of this zero coupon bond in foreign currency is </w:t>
      </w:r>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397E59" w:rsidRDefault="00397E59" w:rsidP="008A18B1">
      <w:pPr>
        <w:pStyle w:val="ListParagraph"/>
        <w:numPr>
          <w:ilvl w:val="0"/>
          <w:numId w:val="5"/>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collateral account cash flow growth is</w:t>
      </w:r>
    </w:p>
    <w:p w:rsidR="00397E59" w:rsidRDefault="00397E59" w:rsidP="00397E59">
      <w:pPr>
        <w:pStyle w:val="ListParagraph"/>
        <w:spacing w:line="360" w:lineRule="auto"/>
        <w:ind w:left="360"/>
      </w:pPr>
    </w:p>
    <w:p w:rsidR="00397E59" w:rsidRPr="00B54D1B" w:rsidRDefault="00397E59" w:rsidP="00397E59">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contention by Piterbarg (2012) is that there is no relation between the collateralization rates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5"/>
        </w:numPr>
        <w:spacing w:line="360" w:lineRule="auto"/>
      </w:pPr>
      <w:r w:rsidRPr="00B54677">
        <w:rPr>
          <w:u w:val="single"/>
        </w:rPr>
        <w:t>Collateralization Using Domestic Collateral</w:t>
      </w:r>
      <w:r>
        <w:t>:</w:t>
      </w:r>
    </w:p>
    <w:p w:rsidR="00397E59" w:rsidRDefault="00397E59" w:rsidP="00397E59">
      <w:pPr>
        <w:spacing w:line="360" w:lineRule="auto"/>
        <w:ind w:left="720"/>
        <w:rPr>
          <w:u w:val="single"/>
        </w:rPr>
      </w:pPr>
    </w:p>
    <w:p w:rsidR="00397E59" w:rsidRPr="00B54D1B" w:rsidRDefault="005D6A21" w:rsidP="00397E59">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397E59">
      <w:pPr>
        <w:spacing w:line="360" w:lineRule="auto"/>
        <w:ind w:left="720"/>
      </w:pPr>
      <w:r>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397E59" w:rsidRDefault="00397E59" w:rsidP="00397E59">
      <w:pPr>
        <w:spacing w:line="360" w:lineRule="auto"/>
        <w:ind w:left="720"/>
      </w:pPr>
    </w:p>
    <w:p w:rsidR="00397E59" w:rsidRPr="00B54D1B" w:rsidRDefault="00397E59" w:rsidP="00397E59">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Pr="00B54D1B" w:rsidRDefault="005D6A21"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5D6A21"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Default="00397E59" w:rsidP="008A18B1">
      <w:pPr>
        <w:numPr>
          <w:ilvl w:val="0"/>
          <w:numId w:val="5"/>
        </w:numPr>
        <w:spacing w:line="360" w:lineRule="auto"/>
      </w:pPr>
      <w:r w:rsidRPr="00B766F5">
        <w:rPr>
          <w:u w:val="single"/>
        </w:rPr>
        <w:lastRenderedPageBreak/>
        <w:t>Collateralization Using Foreign Collateral</w:t>
      </w:r>
      <w:r>
        <w:t>:</w:t>
      </w:r>
    </w:p>
    <w:p w:rsidR="00397E59" w:rsidRDefault="00397E59" w:rsidP="00397E59">
      <w:pPr>
        <w:spacing w:line="360" w:lineRule="auto"/>
        <w:ind w:left="360"/>
        <w:rPr>
          <w:u w:val="single"/>
        </w:rPr>
      </w:pPr>
    </w:p>
    <w:p w:rsidR="00397E59" w:rsidRPr="00B54D1B" w:rsidRDefault="005D6A21" w:rsidP="00397E59">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p>
    <w:p w:rsidR="00397E59" w:rsidRDefault="00397E59" w:rsidP="00397E59">
      <w:pPr>
        <w:spacing w:line="360" w:lineRule="auto"/>
        <w:ind w:left="360"/>
      </w:pPr>
    </w:p>
    <w:p w:rsidR="00397E59" w:rsidRPr="00B54D1B" w:rsidRDefault="005D6A21" w:rsidP="00397E59">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ind w:left="360"/>
      </w:pPr>
    </w:p>
    <w:p w:rsidR="00397E59" w:rsidRPr="00B54D1B" w:rsidRDefault="005D6A21"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5D6A21" w:rsidP="00397E59">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pPr>
    </w:p>
    <w:p w:rsidR="00397E59" w:rsidRDefault="005D6A21" w:rsidP="008A18B1">
      <w:pPr>
        <w:numPr>
          <w:ilvl w:val="0"/>
          <w:numId w:val="5"/>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and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Numeraires</w:t>
      </w:r>
      <w:r w:rsidR="00397E59">
        <w:t>: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while these building blocks are primarily only discounting oriented – securities with forward/floater leg may also require a quanto adjustment to be applied.</w:t>
      </w:r>
    </w:p>
    <w:p w:rsidR="00397E59" w:rsidRDefault="00397E59" w:rsidP="008A18B1">
      <w:pPr>
        <w:numPr>
          <w:ilvl w:val="0"/>
          <w:numId w:val="5"/>
        </w:numPr>
        <w:spacing w:line="360" w:lineRule="auto"/>
      </w:pPr>
      <w:r>
        <w:rPr>
          <w:u w:val="single"/>
        </w:rPr>
        <w:t>Cross Currency Model Parameters</w:t>
      </w:r>
      <w:r>
        <w:t>: All the model parameters and the process dynamical parameters in the set of equations above can be independently observed.</w:t>
      </w:r>
    </w:p>
    <w:p w:rsidR="00397E59" w:rsidRDefault="00397E59" w:rsidP="008A18B1">
      <w:pPr>
        <w:numPr>
          <w:ilvl w:val="0"/>
          <w:numId w:val="5"/>
        </w:numPr>
        <w:spacing w:line="360" w:lineRule="auto"/>
      </w:pPr>
      <w:r>
        <w:rPr>
          <w:u w:val="single"/>
        </w:rPr>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w:lastRenderedPageBreak/>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(2011a, 2011b)) – viz., they are instantaneous FX collateralization rate using the foreign collateral.</w:t>
      </w:r>
    </w:p>
    <w:p w:rsidR="00397E59" w:rsidRDefault="00397E59" w:rsidP="008A18B1">
      <w:pPr>
        <w:numPr>
          <w:ilvl w:val="0"/>
          <w:numId w:val="5"/>
        </w:numPr>
        <w:spacing w:line="360" w:lineRule="auto"/>
      </w:pPr>
      <w:r>
        <w:rPr>
          <w:u w:val="single"/>
        </w:rPr>
        <w:t>Forward Forex Contract Collateralized with Domestic Collateral</w:t>
      </w:r>
      <w:r>
        <w:t>: This contract pays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397E59" w:rsidRDefault="00397E59" w:rsidP="00397E59">
      <w:pPr>
        <w:spacing w:line="360" w:lineRule="auto"/>
        <w:ind w:left="360"/>
      </w:pPr>
    </w:p>
    <w:p w:rsidR="00397E59" w:rsidRDefault="00397E59" w:rsidP="00397E59">
      <w:pPr>
        <w:spacing w:line="360" w:lineRule="auto"/>
        <w:ind w:left="360"/>
      </w:pPr>
      <w:r>
        <w:t>in the domestic currency, and is collateralized using the domestic collateral. Thus</w:t>
      </w:r>
    </w:p>
    <w:p w:rsidR="00397E59" w:rsidRDefault="00397E59" w:rsidP="00397E59">
      <w:pPr>
        <w:spacing w:line="360" w:lineRule="auto"/>
        <w:ind w:left="360"/>
      </w:pPr>
    </w:p>
    <w:p w:rsidR="00397E59" w:rsidRPr="00B54D1B" w:rsidRDefault="005D6A21"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v:imagedata r:id="rId9" o:title=""/>
          </v:shape>
          <o:OLEObject Type="Embed" ProgID="Equation.3" ShapeID="_x0000_i1025" DrawAspect="Content" ObjectID="_1580664789" r:id="rId10"/>
        </w:object>
      </w:r>
      <w:r>
        <w:t>for this contract is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397E59" w:rsidRPr="00E3750D" w:rsidRDefault="00397E59" w:rsidP="00397E59">
      <w:pPr>
        <w:spacing w:line="360" w:lineRule="auto"/>
        <w:ind w:left="360"/>
      </w:pPr>
    </w:p>
    <w:p w:rsidR="00397E59" w:rsidRDefault="00397E59" w:rsidP="008A18B1">
      <w:pPr>
        <w:numPr>
          <w:ilvl w:val="0"/>
          <w:numId w:val="5"/>
        </w:numPr>
        <w:spacing w:line="360" w:lineRule="auto"/>
      </w:pPr>
      <w:r>
        <w:rPr>
          <w:u w:val="single"/>
        </w:rPr>
        <w:t>Forward Forex Contract Collateralized with Foreign Collateral</w:t>
      </w:r>
      <w:r>
        <w:t xml:space="preserve">: This contract pays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397E59" w:rsidRDefault="00397E59" w:rsidP="00397E59">
      <w:pPr>
        <w:spacing w:line="360" w:lineRule="auto"/>
        <w:ind w:left="360"/>
        <w:rPr>
          <w:u w:val="single"/>
        </w:rPr>
      </w:pPr>
    </w:p>
    <w:p w:rsidR="00397E59" w:rsidRPr="00B54D1B" w:rsidRDefault="005D6A21"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 id="_x0000_i1026" type="#_x0000_t75" style="width:14.25pt;height:14.25pt" o:ole="">
            <v:imagedata r:id="rId9" o:title=""/>
          </v:shape>
          <o:OLEObject Type="Embed" ProgID="Equation.3" ShapeID="_x0000_i1026" DrawAspect="Content" ObjectID="_1580664790" r:id="rId11"/>
        </w:object>
      </w:r>
      <w:r>
        <w:t>for this contract is</w:t>
      </w:r>
    </w:p>
    <w:p w:rsidR="00397E59" w:rsidRPr="00B54D1B"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397E59" w:rsidRPr="00B54D1B" w:rsidRDefault="00397E59" w:rsidP="00397E59">
      <w:pPr>
        <w:spacing w:line="360" w:lineRule="auto"/>
        <w:ind w:left="360"/>
      </w:pPr>
    </w:p>
    <w:p w:rsidR="00397E59" w:rsidRDefault="00397E59" w:rsidP="008A18B1">
      <w:pPr>
        <w:numPr>
          <w:ilvl w:val="0"/>
          <w:numId w:val="5"/>
        </w:numPr>
        <w:spacing w:line="360" w:lineRule="auto"/>
      </w:pPr>
      <w:r>
        <w:rPr>
          <w:u w:val="single"/>
        </w:rPr>
        <w:lastRenderedPageBreak/>
        <w:t>Same Currency Collateralization</w:t>
      </w:r>
      <w:r>
        <w:t>:</w:t>
      </w:r>
    </w:p>
    <w:p w:rsidR="00397E59" w:rsidRDefault="00397E59" w:rsidP="00397E59">
      <w:pPr>
        <w:spacing w:line="360" w:lineRule="auto"/>
        <w:ind w:left="360"/>
        <w:rPr>
          <w:u w:val="single"/>
        </w:rPr>
      </w:pPr>
    </w:p>
    <w:p w:rsidR="00397E59" w:rsidRPr="00B54D1B" w:rsidRDefault="005D6A21"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397E59" w:rsidRDefault="00397E59" w:rsidP="00397E59">
      <w:pPr>
        <w:spacing w:line="360" w:lineRule="auto"/>
        <w:ind w:left="360"/>
      </w:pPr>
    </w:p>
    <w:p w:rsidR="00397E59" w:rsidRDefault="00397E59" w:rsidP="00397E59">
      <w:pPr>
        <w:spacing w:line="360" w:lineRule="auto"/>
        <w:ind w:left="360"/>
      </w:pPr>
      <w:r>
        <w:t>and</w:t>
      </w:r>
    </w:p>
    <w:p w:rsidR="00397E59" w:rsidRDefault="00397E59" w:rsidP="00397E59">
      <w:pPr>
        <w:spacing w:line="360" w:lineRule="auto"/>
        <w:ind w:left="360"/>
      </w:pPr>
    </w:p>
    <w:p w:rsidR="00397E59" w:rsidRPr="00B54D1B" w:rsidRDefault="005D6A21"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domestically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397E59" w:rsidRDefault="00397E59" w:rsidP="008A18B1">
      <w:pPr>
        <w:numPr>
          <w:ilvl w:val="0"/>
          <w:numId w:val="5"/>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Choice Model</w:t>
      </w:r>
    </w:p>
    <w:p w:rsidR="00397E59" w:rsidRDefault="00397E59" w:rsidP="00397E59">
      <w:pPr>
        <w:spacing w:line="360" w:lineRule="auto"/>
      </w:pPr>
    </w:p>
    <w:p w:rsidR="00397E59" w:rsidRDefault="00397E59" w:rsidP="008A18B1">
      <w:pPr>
        <w:numPr>
          <w:ilvl w:val="0"/>
          <w:numId w:val="3"/>
        </w:numPr>
        <w:spacing w:line="360" w:lineRule="auto"/>
      </w:pPr>
      <w:r>
        <w:rPr>
          <w:u w:val="single"/>
        </w:rPr>
        <w:t>Setup</w:t>
      </w:r>
      <w:r>
        <w:t>: Here, an American style path-dependent collateral is chosen at every incremental step by opting for the collateral among the choices available that maximizes the incremental collateral cash flow.</w:t>
      </w:r>
    </w:p>
    <w:p w:rsidR="00397E59" w:rsidRDefault="00397E59" w:rsidP="008A18B1">
      <w:pPr>
        <w:numPr>
          <w:ilvl w:val="0"/>
          <w:numId w:val="3"/>
        </w:numPr>
        <w:spacing w:line="360" w:lineRule="auto"/>
      </w:pPr>
      <w:r>
        <w:rPr>
          <w:u w:val="single"/>
        </w:rPr>
        <w:t>Motivation</w:t>
      </w:r>
      <w:r>
        <w:t xml:space="preserve">: Collateralization at the domestic collateral accrual rate is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becomes </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397E59" w:rsidRDefault="00397E59" w:rsidP="00397E59">
      <w:pPr>
        <w:spacing w:line="360" w:lineRule="auto"/>
        <w:ind w:left="360"/>
        <w:rPr>
          <w:u w:val="single"/>
        </w:rPr>
      </w:pPr>
    </w:p>
    <w:p w:rsidR="00397E59" w:rsidRPr="00B54D1B" w:rsidRDefault="005D6A21" w:rsidP="00397E59">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397E59" w:rsidRDefault="00397E59" w:rsidP="00397E59">
      <w:pPr>
        <w:spacing w:line="360" w:lineRule="auto"/>
        <w:ind w:left="360"/>
      </w:pPr>
    </w:p>
    <w:p w:rsidR="00397E59" w:rsidRDefault="00397E59" w:rsidP="00397E59">
      <w:pPr>
        <w:spacing w:line="360" w:lineRule="auto"/>
        <w:ind w:left="360"/>
      </w:pPr>
      <w:r>
        <w:t>We begin by setting</w:t>
      </w:r>
    </w:p>
    <w:p w:rsidR="00397E59" w:rsidRDefault="00397E59" w:rsidP="00397E59">
      <w:pPr>
        <w:spacing w:line="360" w:lineRule="auto"/>
        <w:ind w:left="360"/>
      </w:pPr>
    </w:p>
    <w:p w:rsidR="00397E59" w:rsidRPr="00B314D2" w:rsidRDefault="005D6A21"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8A18B1">
      <w:pPr>
        <w:numPr>
          <w:ilvl w:val="0"/>
          <w:numId w:val="3"/>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397E59" w:rsidRDefault="00397E59" w:rsidP="00397E59">
      <w:pPr>
        <w:spacing w:line="360" w:lineRule="auto"/>
        <w:ind w:left="360"/>
        <w:rPr>
          <w:u w:val="single"/>
        </w:rPr>
      </w:pPr>
    </w:p>
    <w:p w:rsidR="00397E59" w:rsidRPr="00B314D2" w:rsidRDefault="005D6A21"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Pr="00B963F2" w:rsidRDefault="00397E59" w:rsidP="00397E59">
      <w:pPr>
        <w:spacing w:line="360" w:lineRule="auto"/>
        <w:ind w:left="360"/>
      </w:pPr>
    </w:p>
    <w:p w:rsidR="00397E59" w:rsidRDefault="00397E59" w:rsidP="00397E59">
      <w:pPr>
        <w:spacing w:line="360" w:lineRule="auto"/>
        <w:ind w:left="360"/>
      </w:pPr>
      <w:r>
        <w:t>This entity has a drift</w:t>
      </w:r>
    </w:p>
    <w:p w:rsidR="00397E59" w:rsidRDefault="00397E59" w:rsidP="00397E59">
      <w:pPr>
        <w:spacing w:line="360" w:lineRule="auto"/>
        <w:ind w:left="360"/>
      </w:pPr>
    </w:p>
    <w:p w:rsidR="00397E59" w:rsidRPr="00B314D2" w:rsidRDefault="005D6A21"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First of all, the dynamics of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397E59" w:rsidRDefault="00397E59" w:rsidP="008A18B1">
      <w:pPr>
        <w:numPr>
          <w:ilvl w:val="0"/>
          <w:numId w:val="4"/>
        </w:numPr>
        <w:spacing w:line="360" w:lineRule="auto"/>
      </w:pPr>
      <w:r>
        <w:t>Using</w:t>
      </w:r>
    </w:p>
    <w:p w:rsidR="00397E59" w:rsidRDefault="00397E59" w:rsidP="00397E59">
      <w:pPr>
        <w:spacing w:line="360" w:lineRule="auto"/>
        <w:ind w:left="720"/>
      </w:pPr>
    </w:p>
    <w:p w:rsidR="00397E59" w:rsidRPr="00B314D2" w:rsidRDefault="005D6A21" w:rsidP="00397E59">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Default="00397E59" w:rsidP="00397E59">
      <w:pPr>
        <w:spacing w:line="360" w:lineRule="auto"/>
        <w:ind w:left="720"/>
      </w:pPr>
    </w:p>
    <w:p w:rsidR="00397E59" w:rsidRDefault="00397E59" w:rsidP="00397E59">
      <w:pPr>
        <w:spacing w:line="360" w:lineRule="auto"/>
        <w:ind w:left="720"/>
      </w:pPr>
      <w:r>
        <w:t>it is fairly straightforward to show that</w:t>
      </w:r>
    </w:p>
    <w:p w:rsidR="00397E59" w:rsidRDefault="00397E59" w:rsidP="00397E59">
      <w:pPr>
        <w:spacing w:line="360" w:lineRule="auto"/>
        <w:ind w:left="720"/>
      </w:pPr>
    </w:p>
    <w:p w:rsidR="00397E59" w:rsidRPr="00B314D2" w:rsidRDefault="005D6A21" w:rsidP="00397E59">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720"/>
      </w:pPr>
    </w:p>
    <w:p w:rsidR="00397E59" w:rsidRDefault="00397E59" w:rsidP="00397E59">
      <w:pPr>
        <w:spacing w:line="360" w:lineRule="auto"/>
        <w:ind w:left="720"/>
      </w:pPr>
      <w:r>
        <w:t>where</w:t>
      </w:r>
    </w:p>
    <w:p w:rsidR="00397E59" w:rsidRDefault="00397E59" w:rsidP="00397E59">
      <w:pPr>
        <w:spacing w:line="360" w:lineRule="auto"/>
        <w:ind w:left="720"/>
      </w:pPr>
    </w:p>
    <w:p w:rsidR="00397E59" w:rsidRPr="00B314D2" w:rsidRDefault="005D6A21" w:rsidP="00397E59">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8A18B1">
      <w:pPr>
        <w:numPr>
          <w:ilvl w:val="0"/>
          <w:numId w:val="3"/>
        </w:numPr>
        <w:spacing w:line="360" w:lineRule="auto"/>
      </w:pPr>
      <w:r>
        <w:rPr>
          <w:u w:val="single"/>
        </w:rPr>
        <w:t xml:space="preserve">Piterbarg (2012) Expression for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Piterbarg (2012) employs a combination of HJM machinery as listed above and additional techniques outlined in Andersen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3"/>
        </w:numPr>
        <w:spacing w:line="360" w:lineRule="auto"/>
      </w:pPr>
      <w:r>
        <w:rPr>
          <w:u w:val="single"/>
        </w:rPr>
        <w:t xml:space="preserve">Collateral Choice - Deterministic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time increment. Piterbarg (2012) demonstrates this in his framework by turning the volatility explicitly down to zero.</w:t>
      </w:r>
    </w:p>
    <w:p w:rsidR="00397E59" w:rsidRDefault="00397E59" w:rsidP="008A18B1">
      <w:pPr>
        <w:numPr>
          <w:ilvl w:val="0"/>
          <w:numId w:val="3"/>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397E59" w:rsidRDefault="00397E59" w:rsidP="00397E59">
      <w:pPr>
        <w:spacing w:line="360" w:lineRule="auto"/>
        <w:ind w:left="360"/>
        <w:rPr>
          <w:u w:val="single"/>
        </w:rPr>
      </w:pPr>
    </w:p>
    <w:p w:rsidR="00397E59" w:rsidRPr="00B314D2" w:rsidRDefault="005D6A21"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397E59" w:rsidRDefault="00397E59" w:rsidP="00397E59">
      <w:pPr>
        <w:spacing w:line="360" w:lineRule="auto"/>
        <w:ind w:left="360"/>
      </w:pPr>
    </w:p>
    <w:p w:rsidR="00397E59" w:rsidRDefault="00397E59" w:rsidP="00397E59">
      <w:pPr>
        <w:spacing w:line="360" w:lineRule="auto"/>
        <w:ind w:left="360"/>
      </w:pPr>
      <w:r>
        <w:t>where</w:t>
      </w:r>
    </w:p>
    <w:p w:rsidR="00397E59" w:rsidRDefault="00397E59" w:rsidP="00397E59">
      <w:pPr>
        <w:spacing w:line="360" w:lineRule="auto"/>
        <w:ind w:left="360"/>
      </w:pPr>
    </w:p>
    <w:p w:rsidR="00397E59" w:rsidRPr="00B314D2" w:rsidRDefault="00397E59" w:rsidP="00397E59">
      <w:pPr>
        <w:spacing w:line="360" w:lineRule="auto"/>
        <w:ind w:left="360"/>
      </w:pPr>
      <m:oMathPara>
        <m:oMath>
          <m:r>
            <w:rPr>
              <w:rFonts w:ascii="Cambria Math" w:hAnsi="Cambria Math"/>
            </w:rPr>
            <m:t>j=1, ⋯, r</m:t>
          </m:r>
        </m:oMath>
      </m:oMathPara>
    </w:p>
    <w:p w:rsidR="00397E59" w:rsidRDefault="00397E59" w:rsidP="00397E59">
      <w:pPr>
        <w:spacing w:line="360" w:lineRule="auto"/>
        <w:ind w:left="360"/>
      </w:pPr>
    </w:p>
    <w:p w:rsidR="00397E59" w:rsidRDefault="00397E59" w:rsidP="00397E59">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397E59" w:rsidRDefault="00397E59" w:rsidP="008A18B1">
      <w:pPr>
        <w:numPr>
          <w:ilvl w:val="0"/>
          <w:numId w:val="4"/>
        </w:numPr>
        <w:spacing w:line="360" w:lineRule="auto"/>
      </w:pPr>
      <w:r>
        <w:t>Advantages of using deterministic collateral choices =&gt; All the advantages stem from the computational simplicity. They are:</w:t>
      </w:r>
    </w:p>
    <w:p w:rsidR="00397E59" w:rsidRDefault="00397E59" w:rsidP="008A18B1">
      <w:pPr>
        <w:numPr>
          <w:ilvl w:val="1"/>
          <w:numId w:val="4"/>
        </w:numPr>
        <w:spacing w:line="360" w:lineRule="auto"/>
      </w:pPr>
      <w:r>
        <w:t>More than one collateral currency may be used, thus optimizing over the multiple collateral choices (USD, GBP, EUR, JPY, etc.)</w:t>
      </w:r>
    </w:p>
    <w:p w:rsidR="00397E59" w:rsidRDefault="00397E59" w:rsidP="008A18B1">
      <w:pPr>
        <w:numPr>
          <w:ilvl w:val="1"/>
          <w:numId w:val="4"/>
        </w:numPr>
        <w:spacing w:line="360" w:lineRule="auto"/>
      </w:pPr>
      <w:r>
        <w:t>Empirical Curve Representations using splining techniques may be usable</w:t>
      </w:r>
    </w:p>
    <w:p w:rsidR="00397E59" w:rsidRDefault="00397E59" w:rsidP="008A18B1">
      <w:pPr>
        <w:numPr>
          <w:ilvl w:val="0"/>
          <w:numId w:val="3"/>
        </w:numPr>
        <w:spacing w:line="360" w:lineRule="auto"/>
      </w:pPr>
      <w:r>
        <w:rPr>
          <w:u w:val="single"/>
        </w:rPr>
        <w:lastRenderedPageBreak/>
        <w:t>Valuing the Collateral Choice Option</w:t>
      </w:r>
      <w:r>
        <w:t>: The value we seek is of the form</w:t>
      </w:r>
    </w:p>
    <w:p w:rsidR="00397E59" w:rsidRDefault="00397E59" w:rsidP="00397E59">
      <w:pPr>
        <w:spacing w:line="360" w:lineRule="auto"/>
        <w:ind w:left="360"/>
        <w:rPr>
          <w:u w:val="single"/>
        </w:rPr>
      </w:pPr>
    </w:p>
    <w:p w:rsidR="00397E59" w:rsidRPr="00B314D2" w:rsidRDefault="005D6A21"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397E59" w:rsidRDefault="00397E59" w:rsidP="008A18B1">
      <w:pPr>
        <w:numPr>
          <w:ilvl w:val="0"/>
          <w:numId w:val="4"/>
        </w:numPr>
        <w:spacing w:line="360" w:lineRule="auto"/>
      </w:pPr>
      <w:r>
        <w:t>Closed Form =&gt; Typically</w:t>
      </w:r>
    </w:p>
    <w:p w:rsidR="00397E59" w:rsidRDefault="00397E59" w:rsidP="00397E59">
      <w:pPr>
        <w:spacing w:line="360" w:lineRule="auto"/>
        <w:ind w:left="720"/>
      </w:pPr>
    </w:p>
    <w:p w:rsidR="00397E59" w:rsidRPr="00B314D2" w:rsidRDefault="005D6A21"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has to be computed using Monte-Carlo or a PDE, therefore we seek an alternative fast analytic approximation. By Jensen’s inequality, Piterbarg (2012) noticed that</w:t>
      </w:r>
    </w:p>
    <w:p w:rsidR="00397E59" w:rsidRDefault="00397E59" w:rsidP="00397E59">
      <w:pPr>
        <w:spacing w:line="360" w:lineRule="auto"/>
        <w:ind w:left="720"/>
      </w:pPr>
    </w:p>
    <w:p w:rsidR="00397E59" w:rsidRPr="00B314D2" w:rsidRDefault="005D6A21"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397E59" w:rsidRDefault="00397E59" w:rsidP="00397E59">
      <w:pPr>
        <w:spacing w:line="360" w:lineRule="auto"/>
        <w:ind w:left="720"/>
      </w:pPr>
    </w:p>
    <w:p w:rsidR="00397E59" w:rsidRDefault="00397E59" w:rsidP="00397E59">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397E59" w:rsidRDefault="00397E59" w:rsidP="00397E59">
      <w:pPr>
        <w:spacing w:line="360" w:lineRule="auto"/>
        <w:ind w:left="720"/>
      </w:pPr>
    </w:p>
    <w:p w:rsidR="00397E59" w:rsidRPr="00B314D2" w:rsidRDefault="005D6A21"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Piterbarg (2012) performs a full set of comparison to demonstrate that these approximations behave favorably with the Monte-Carlo under several situations.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Default="00397E59" w:rsidP="008A18B1">
      <w:pPr>
        <w:pStyle w:val="Footer"/>
        <w:numPr>
          <w:ilvl w:val="0"/>
          <w:numId w:val="1"/>
        </w:numPr>
        <w:tabs>
          <w:tab w:val="clear" w:pos="4320"/>
          <w:tab w:val="clear" w:pos="8640"/>
        </w:tabs>
        <w:spacing w:line="360" w:lineRule="auto"/>
      </w:pPr>
      <w:r>
        <w:t xml:space="preserve">Ametrano, F., and M. Bianchetti (2013): </w:t>
      </w:r>
      <w:hyperlink r:id="rId12" w:history="1">
        <w:r>
          <w:rPr>
            <w:rStyle w:val="Hyperlink"/>
          </w:rPr>
          <w:t>Everything You Always Wanted to Know About Multiple Interest Rate Curve Bootstrapping but Were Afraid to Ask</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Andersen, L., and V. Piterbarg (2010): </w:t>
      </w:r>
      <w:r>
        <w:rPr>
          <w:i/>
          <w:iCs/>
        </w:rPr>
        <w:t>Interest Rate Modeling – Volume I: Foundations Vanilla Models</w:t>
      </w:r>
      <w:r>
        <w:t xml:space="preserve">, </w:t>
      </w:r>
      <w:r>
        <w:rPr>
          <w:b/>
          <w:bCs/>
        </w:rPr>
        <w:t>Atlantic Financial Press</w:t>
      </w:r>
      <w:r>
        <w:t>.</w:t>
      </w:r>
    </w:p>
    <w:p w:rsidR="00397E59" w:rsidRDefault="00397E59" w:rsidP="008A18B1">
      <w:pPr>
        <w:pStyle w:val="Footer"/>
        <w:numPr>
          <w:ilvl w:val="0"/>
          <w:numId w:val="1"/>
        </w:numPr>
        <w:tabs>
          <w:tab w:val="clear" w:pos="4320"/>
          <w:tab w:val="clear" w:pos="8640"/>
        </w:tabs>
        <w:spacing w:line="360" w:lineRule="auto"/>
      </w:pPr>
      <w:r>
        <w:t xml:space="preserve">Antonov, A., and M. Arneguy (2009): </w:t>
      </w:r>
      <w:hyperlink r:id="rId13" w:history="1">
        <w:r w:rsidRPr="007D6003">
          <w:rPr>
            <w:rStyle w:val="Hyperlink"/>
          </w:rPr>
          <w:t>Analytical Formulas for Pricing CMS Products in the LIBOR Market Model with the Stochastic Volatility</w:t>
        </w:r>
      </w:hyperlink>
      <w:r>
        <w:t xml:space="preserve"> </w:t>
      </w:r>
      <w:r>
        <w:rPr>
          <w:b/>
        </w:rPr>
        <w:t>eSSRN</w:t>
      </w:r>
      <w:r>
        <w:t>.</w:t>
      </w:r>
    </w:p>
    <w:p w:rsidR="00397E59" w:rsidRPr="00AA6D93" w:rsidRDefault="00397E59" w:rsidP="008A18B1">
      <w:pPr>
        <w:pStyle w:val="Footer"/>
        <w:numPr>
          <w:ilvl w:val="0"/>
          <w:numId w:val="1"/>
        </w:numPr>
        <w:tabs>
          <w:tab w:val="clear" w:pos="4320"/>
          <w:tab w:val="clear" w:pos="8640"/>
        </w:tabs>
        <w:spacing w:line="360" w:lineRule="auto"/>
        <w:rPr>
          <w:szCs w:val="36"/>
        </w:rPr>
      </w:pPr>
      <w:r>
        <w:t xml:space="preserve">Barden, P. (2009): </w:t>
      </w:r>
      <w:r>
        <w:rPr>
          <w:szCs w:val="36"/>
        </w:rPr>
        <w:t xml:space="preserve">Equity Forward Prices in the Presence of Funding Spreads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397E59" w:rsidRDefault="00397E59" w:rsidP="008A18B1">
      <w:pPr>
        <w:pStyle w:val="Footer"/>
        <w:numPr>
          <w:ilvl w:val="0"/>
          <w:numId w:val="1"/>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4"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Burgard, C., and M. Kjaer (2009): Modeling and Successful Management of Credit-Counterparty Risk of Derivative Portfolios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397E59" w:rsidRDefault="00397E59" w:rsidP="008A18B1">
      <w:pPr>
        <w:pStyle w:val="Footer"/>
        <w:numPr>
          <w:ilvl w:val="0"/>
          <w:numId w:val="1"/>
        </w:numPr>
        <w:tabs>
          <w:tab w:val="clear" w:pos="4320"/>
          <w:tab w:val="clear" w:pos="8640"/>
        </w:tabs>
        <w:spacing w:line="360" w:lineRule="auto"/>
        <w:rPr>
          <w:szCs w:val="36"/>
        </w:rPr>
      </w:pPr>
      <w:r>
        <w:t>Burgard, C., and M. Kjaer</w:t>
      </w:r>
      <w:r>
        <w:rPr>
          <w:szCs w:val="36"/>
        </w:rPr>
        <w:t xml:space="preserve"> (2011b): </w:t>
      </w:r>
      <w:hyperlink r:id="rId15"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(2011): </w:t>
      </w:r>
      <w:hyperlink r:id="rId16"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(2012): </w:t>
      </w:r>
      <w:hyperlink r:id="rId17" w:history="1">
        <w:r>
          <w:rPr>
            <w:rStyle w:val="Hyperlink"/>
            <w:szCs w:val="36"/>
          </w:rPr>
          <w:t>Pricing of Collateralized Derivatives Contracts When More than One Currency are Involved: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(2012a): </w:t>
      </w:r>
      <w:hyperlink r:id="rId18" w:history="1">
        <w:r>
          <w:rPr>
            <w:rStyle w:val="Hyperlink"/>
            <w:szCs w:val="36"/>
          </w:rPr>
          <w:t>Bilateral Counterparty Risk under Funding Constraints - Part I: Pricing.</w:t>
        </w:r>
      </w:hyperlink>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(2012b): </w:t>
      </w:r>
      <w:hyperlink r:id="rId19" w:history="1">
        <w:r>
          <w:rPr>
            <w:rStyle w:val="Hyperlink"/>
            <w:szCs w:val="36"/>
          </w:rPr>
          <w:t>Bilateral Counterparty Risk under Funding Constraints - Part II: CVA.</w:t>
        </w:r>
      </w:hyperlink>
    </w:p>
    <w:p w:rsidR="00397E59" w:rsidRDefault="00397E59" w:rsidP="008A18B1">
      <w:pPr>
        <w:pStyle w:val="Footer"/>
        <w:numPr>
          <w:ilvl w:val="0"/>
          <w:numId w:val="1"/>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20"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21"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22"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and A. Takahashi</w:t>
      </w:r>
      <w:r>
        <w:rPr>
          <w:szCs w:val="36"/>
        </w:rPr>
        <w:t xml:space="preserve"> (2011a): </w:t>
      </w:r>
      <w:hyperlink r:id="rId23" w:history="1">
        <w:r>
          <w:rPr>
            <w:rStyle w:val="Hyperlink"/>
            <w:szCs w:val="36"/>
          </w:rPr>
          <w:t>Clean Valuation Framework for the USD Silo</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lastRenderedPageBreak/>
        <w:t>Fujii, M., and A. Takahashi</w:t>
      </w:r>
      <w:r>
        <w:rPr>
          <w:szCs w:val="36"/>
        </w:rPr>
        <w:t xml:space="preserve"> (2011b): Choice of Collateral Currency </w:t>
      </w:r>
      <w:r>
        <w:rPr>
          <w:i/>
          <w:iCs/>
        </w:rPr>
        <w:t xml:space="preserve">Risk </w:t>
      </w:r>
      <w:r>
        <w:rPr>
          <w:szCs w:val="36"/>
        </w:rPr>
        <w:t>120-125.</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Gregory, J. (2009): Being Two-faced over Counter-party Risk </w:t>
      </w:r>
      <w:proofErr w:type="spellStart"/>
      <w:r>
        <w:rPr>
          <w:i/>
          <w:szCs w:val="36"/>
        </w:rPr>
        <w:t>Risk</w:t>
      </w:r>
      <w:proofErr w:type="spellEnd"/>
      <w:r>
        <w:rPr>
          <w:szCs w:val="36"/>
        </w:rPr>
        <w:t xml:space="preserve"> 86-90.</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Han, M., Y. He, and H. Zhang (2013): </w:t>
      </w:r>
      <w:hyperlink r:id="rId24" w:history="1">
        <w:r>
          <w:rPr>
            <w:rStyle w:val="Hyperlink"/>
            <w:i/>
            <w:iCs/>
            <w:szCs w:val="36"/>
          </w:rPr>
          <w:t>A Note on Discounting and Funding Value Adjustments for Derivatives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397E59" w:rsidRDefault="00397E59" w:rsidP="008A18B1">
      <w:pPr>
        <w:pStyle w:val="Footer"/>
        <w:numPr>
          <w:ilvl w:val="0"/>
          <w:numId w:val="1"/>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397E59" w:rsidRDefault="00397E59" w:rsidP="008A18B1">
      <w:pPr>
        <w:pStyle w:val="Footer"/>
        <w:numPr>
          <w:ilvl w:val="0"/>
          <w:numId w:val="1"/>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Henrard, M. (2012): </w:t>
      </w:r>
      <w:hyperlink r:id="rId25" w:history="1">
        <w:r>
          <w:rPr>
            <w:rStyle w:val="Hyperlink"/>
            <w:i/>
            <w:iCs/>
            <w:szCs w:val="36"/>
          </w:rPr>
          <w:t>Multi-Curves: Variations on a Theme</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397E59" w:rsidRDefault="00397E59" w:rsidP="008A18B1">
      <w:pPr>
        <w:pStyle w:val="Footer"/>
        <w:numPr>
          <w:ilvl w:val="0"/>
          <w:numId w:val="1"/>
        </w:numPr>
        <w:tabs>
          <w:tab w:val="clear" w:pos="4320"/>
          <w:tab w:val="clear" w:pos="8640"/>
        </w:tabs>
        <w:spacing w:line="360" w:lineRule="auto"/>
      </w:pPr>
      <w:r>
        <w:t xml:space="preserve">ISDA (2009): </w:t>
      </w:r>
      <w:hyperlink r:id="rId26" w:history="1">
        <w:r>
          <w:rPr>
            <w:rStyle w:val="Hyperlink"/>
            <w:i/>
            <w:iCs/>
          </w:rPr>
          <w:t>ISDA Margin Survey</w:t>
        </w:r>
      </w:hyperlink>
      <w:r>
        <w:t>.</w:t>
      </w:r>
    </w:p>
    <w:p w:rsidR="00397E59" w:rsidRDefault="00397E59" w:rsidP="008A18B1">
      <w:pPr>
        <w:pStyle w:val="Footer"/>
        <w:numPr>
          <w:ilvl w:val="0"/>
          <w:numId w:val="1"/>
        </w:numPr>
        <w:tabs>
          <w:tab w:val="clear" w:pos="4320"/>
          <w:tab w:val="clear" w:pos="8640"/>
        </w:tabs>
        <w:spacing w:line="360" w:lineRule="auto"/>
      </w:pPr>
      <w:r>
        <w:t xml:space="preserve">ISDA (2011): </w:t>
      </w:r>
      <w:hyperlink r:id="rId27" w:history="1">
        <w:r>
          <w:rPr>
            <w:rStyle w:val="Hyperlink"/>
            <w:i/>
            <w:iCs/>
          </w:rPr>
          <w:t>The Standard CSA: A Proposal for Standard Bilateral Collateralization of OTC Derivatives</w:t>
        </w:r>
      </w:hyperlink>
      <w:r>
        <w:t>.</w:t>
      </w:r>
    </w:p>
    <w:p w:rsidR="00397E59" w:rsidRDefault="00397E59" w:rsidP="008A18B1">
      <w:pPr>
        <w:pStyle w:val="Footer"/>
        <w:numPr>
          <w:ilvl w:val="0"/>
          <w:numId w:val="1"/>
        </w:numPr>
        <w:tabs>
          <w:tab w:val="clear" w:pos="4320"/>
          <w:tab w:val="clear" w:pos="8640"/>
        </w:tabs>
        <w:spacing w:line="360" w:lineRule="auto"/>
      </w:pPr>
      <w:r>
        <w:t xml:space="preserve">Johannes, M., and S. Sundaresan (2007): Pricing Collateralized Swaps </w:t>
      </w:r>
      <w:r>
        <w:rPr>
          <w:i/>
        </w:rPr>
        <w:t>Journal of Finance</w:t>
      </w:r>
      <w:r>
        <w:t xml:space="preserve"> </w:t>
      </w:r>
      <w:r>
        <w:rPr>
          <w:b/>
        </w:rPr>
        <w:t xml:space="preserve"> 62</w:t>
      </w:r>
      <w:r>
        <w:t xml:space="preserve"> 383-410.</w:t>
      </w:r>
    </w:p>
    <w:p w:rsidR="00397E59" w:rsidRDefault="00397E59" w:rsidP="008A18B1">
      <w:pPr>
        <w:pStyle w:val="Footer"/>
        <w:numPr>
          <w:ilvl w:val="0"/>
          <w:numId w:val="1"/>
        </w:numPr>
        <w:tabs>
          <w:tab w:val="clear" w:pos="4320"/>
          <w:tab w:val="clear" w:pos="8640"/>
        </w:tabs>
        <w:spacing w:line="360" w:lineRule="auto"/>
      </w:pPr>
      <w:r>
        <w:t xml:space="preserve">Karatzas, I., and S. Shreve (1997): </w:t>
      </w:r>
      <w:r>
        <w:rPr>
          <w:i/>
        </w:rPr>
        <w:t>Brownian Motion and Stochastic Calculus</w:t>
      </w:r>
      <w:r>
        <w:t xml:space="preserve"> </w:t>
      </w:r>
      <w:r>
        <w:rPr>
          <w:b/>
        </w:rPr>
        <w:t>Springer</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Macey, G. (2011): </w:t>
      </w:r>
      <w:hyperlink r:id="rId28" w:history="1">
        <w:r>
          <w:rPr>
            <w:rStyle w:val="Hyperlink"/>
            <w:i/>
            <w:iCs/>
            <w:szCs w:val="36"/>
          </w:rPr>
          <w:t>Pricing with Standard CSA Defined Currency Buckets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Morini, M. (2009): </w:t>
      </w:r>
      <w:hyperlink r:id="rId29" w:history="1">
        <w:r>
          <w:rPr>
            <w:rStyle w:val="Hyperlink"/>
            <w:i/>
            <w:iCs/>
            <w:szCs w:val="36"/>
          </w:rPr>
          <w:t>Solving the Puzzle in the Interest-Rate Market</w:t>
        </w:r>
      </w:hyperlink>
      <w:r>
        <w:rPr>
          <w:szCs w:val="36"/>
        </w:rPr>
        <w:t xml:space="preserve"> </w:t>
      </w:r>
      <w:r>
        <w:rPr>
          <w:b/>
          <w:bCs/>
          <w:szCs w:val="36"/>
        </w:rPr>
        <w:t>SSRN Library</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Pallavicini, A., and M. Tarenghi (2010): </w:t>
      </w:r>
      <w:hyperlink r:id="rId30"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pPr>
      <w:r>
        <w:t>Piterbarg, S. (2010)</w:t>
      </w:r>
      <w:r>
        <w:rPr>
          <w:szCs w:val="20"/>
          <w:lang w:val="en"/>
        </w:rPr>
        <w:t xml:space="preserve">: </w:t>
      </w:r>
      <w:r>
        <w:t>Funding Beyond Discounting: Collateral Agreements and Derivatives Pricing</w:t>
      </w:r>
      <w:r>
        <w:rPr>
          <w:szCs w:val="20"/>
          <w:lang w:val="en"/>
        </w:rPr>
        <w:t xml:space="preserve"> </w:t>
      </w:r>
      <w:r>
        <w:rPr>
          <w:i/>
          <w:iCs/>
          <w:szCs w:val="20"/>
          <w:lang w:val="en"/>
        </w:rPr>
        <w:t xml:space="preserve">Risk </w:t>
      </w:r>
      <w:r>
        <w:rPr>
          <w:szCs w:val="20"/>
          <w:lang w:val="en"/>
        </w:rPr>
        <w:t>97-102.</w:t>
      </w:r>
    </w:p>
    <w:p w:rsidR="00397E59" w:rsidRDefault="00397E59" w:rsidP="008A18B1">
      <w:pPr>
        <w:pStyle w:val="Footer"/>
        <w:numPr>
          <w:ilvl w:val="0"/>
          <w:numId w:val="1"/>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 xml:space="preserve">Risk </w:t>
      </w:r>
      <w:r>
        <w:rPr>
          <w:szCs w:val="20"/>
          <w:lang w:val="en"/>
        </w:rPr>
        <w:t>58-63.</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F83992" w:rsidRDefault="00F83992">
      <w:pPr>
        <w:spacing w:after="200" w:line="276" w:lineRule="auto"/>
        <w:rPr>
          <w:sz w:val="32"/>
        </w:rPr>
      </w:pPr>
      <w:r>
        <w:rPr>
          <w:sz w:val="32"/>
        </w:rPr>
        <w:br w:type="page"/>
      </w:r>
    </w:p>
    <w:p w:rsidR="008F462D" w:rsidRPr="008F462D" w:rsidRDefault="008F462D" w:rsidP="008F462D">
      <w:pPr>
        <w:spacing w:after="200" w:line="360" w:lineRule="auto"/>
      </w:pPr>
    </w:p>
    <w:p w:rsidR="008F462D" w:rsidRPr="008F462D" w:rsidRDefault="00416ECC" w:rsidP="008F462D">
      <w:pPr>
        <w:spacing w:after="200" w:line="360" w:lineRule="auto"/>
        <w:jc w:val="center"/>
        <w:rPr>
          <w:b/>
          <w:sz w:val="32"/>
          <w:szCs w:val="32"/>
        </w:rPr>
      </w:pPr>
      <w:r>
        <w:rPr>
          <w:b/>
          <w:sz w:val="32"/>
          <w:szCs w:val="32"/>
        </w:rPr>
        <w:t>Cross Asset</w:t>
      </w:r>
      <w:r w:rsidR="008F462D" w:rsidRPr="008F462D">
        <w:rPr>
          <w:b/>
          <w:sz w:val="32"/>
          <w:szCs w:val="32"/>
        </w:rPr>
        <w:t xml:space="preserve"> Random Number Generator</w:t>
      </w:r>
    </w:p>
    <w:p w:rsidR="008F462D" w:rsidRDefault="008F462D" w:rsidP="008F462D">
      <w:pPr>
        <w:spacing w:after="200" w:line="360" w:lineRule="auto"/>
      </w:pPr>
    </w:p>
    <w:p w:rsidR="008F462D" w:rsidRPr="008F462D" w:rsidRDefault="008F462D" w:rsidP="008F462D">
      <w:pPr>
        <w:spacing w:after="200" w:line="360" w:lineRule="auto"/>
        <w:rPr>
          <w:b/>
          <w:sz w:val="28"/>
          <w:szCs w:val="28"/>
        </w:rPr>
      </w:pPr>
      <w:r>
        <w:br/>
      </w:r>
      <w:r w:rsidRPr="008F462D">
        <w:rPr>
          <w:b/>
          <w:sz w:val="28"/>
          <w:szCs w:val="28"/>
        </w:rPr>
        <w:t>Introduction</w:t>
      </w:r>
    </w:p>
    <w:p w:rsidR="008F462D" w:rsidRDefault="008F462D" w:rsidP="008F462D">
      <w:pPr>
        <w:spacing w:after="200" w:line="360" w:lineRule="auto"/>
      </w:pPr>
    </w:p>
    <w:p w:rsidR="008F462D" w:rsidRDefault="008F462D" w:rsidP="00D83552">
      <w:pPr>
        <w:pStyle w:val="ListParagraph"/>
        <w:numPr>
          <w:ilvl w:val="0"/>
          <w:numId w:val="96"/>
        </w:numPr>
        <w:spacing w:after="200" w:line="360" w:lineRule="auto"/>
      </w:pPr>
      <w:r w:rsidRPr="008F462D">
        <w:rPr>
          <w:u w:val="single"/>
        </w:rPr>
        <w:t>Centralized Random Number Generation Methodology</w:t>
      </w:r>
      <w:r>
        <w:t>: This chapter describes the methodology and the implementation of the Centralized Random Generator, and its usage in DRIP’s XVA framework.</w:t>
      </w:r>
    </w:p>
    <w:p w:rsidR="008F462D" w:rsidRDefault="008F462D" w:rsidP="00D83552">
      <w:pPr>
        <w:pStyle w:val="ListParagraph"/>
        <w:numPr>
          <w:ilvl w:val="0"/>
          <w:numId w:val="96"/>
        </w:numPr>
        <w:spacing w:after="200" w:line="360" w:lineRule="auto"/>
      </w:pPr>
      <w:r>
        <w:rPr>
          <w:u w:val="single"/>
        </w:rPr>
        <w:t>Market Risk Factor Random Numbers</w:t>
      </w:r>
      <w:r w:rsidRPr="008F462D">
        <w:t>:</w:t>
      </w:r>
      <w:r>
        <w:t xml:space="preserve"> The Central Random Generator is the central price for establishing a cross-asset framework in DRIP’s XVA framework. In the market generation step of the XVA framework, each market risk factor is simulated using the centralized random numbers.</w:t>
      </w:r>
    </w:p>
    <w:p w:rsidR="008F462D" w:rsidRDefault="008F462D" w:rsidP="008F462D">
      <w:pPr>
        <w:spacing w:after="200" w:line="360" w:lineRule="auto"/>
      </w:pPr>
    </w:p>
    <w:p w:rsidR="008F462D" w:rsidRDefault="008F462D" w:rsidP="008F462D">
      <w:pPr>
        <w:spacing w:after="200" w:line="360" w:lineRule="auto"/>
      </w:pPr>
    </w:p>
    <w:p w:rsidR="008F462D" w:rsidRPr="0054384C" w:rsidRDefault="008F462D" w:rsidP="008F462D">
      <w:pPr>
        <w:spacing w:after="200" w:line="360" w:lineRule="auto"/>
        <w:rPr>
          <w:b/>
          <w:sz w:val="28"/>
          <w:szCs w:val="28"/>
        </w:rPr>
      </w:pPr>
      <w:r w:rsidRPr="0054384C">
        <w:rPr>
          <w:b/>
          <w:sz w:val="28"/>
          <w:szCs w:val="28"/>
        </w:rPr>
        <w:t>Centralized Random Number Generator</w:t>
      </w:r>
    </w:p>
    <w:p w:rsidR="008F462D" w:rsidRDefault="008F462D" w:rsidP="008F462D">
      <w:pPr>
        <w:spacing w:after="200" w:line="360" w:lineRule="auto"/>
      </w:pPr>
    </w:p>
    <w:p w:rsidR="0054384C" w:rsidRDefault="008F462D" w:rsidP="00D83552">
      <w:pPr>
        <w:pStyle w:val="ListParagraph"/>
        <w:numPr>
          <w:ilvl w:val="0"/>
          <w:numId w:val="97"/>
        </w:numPr>
        <w:spacing w:after="200" w:line="360" w:lineRule="auto"/>
      </w:pPr>
      <w:r w:rsidRPr="0054384C">
        <w:rPr>
          <w:u w:val="single"/>
        </w:rPr>
        <w:t>Centralized Random Number Generation Module</w:t>
      </w:r>
      <w:r>
        <w:t xml:space="preserve">: </w:t>
      </w:r>
      <w:r w:rsidR="0054384C">
        <w:t>The centralized random number generation module is responsible for producing the incremental shocks of major market risk factors between consecutive CVA simulation dates, taking into account the correlations between these risk factors.</w:t>
      </w:r>
    </w:p>
    <w:p w:rsidR="0054384C" w:rsidRDefault="0054384C" w:rsidP="00D83552">
      <w:pPr>
        <w:pStyle w:val="ListParagraph"/>
        <w:numPr>
          <w:ilvl w:val="0"/>
          <w:numId w:val="97"/>
        </w:numPr>
        <w:spacing w:after="200" w:line="360" w:lineRule="auto"/>
      </w:pPr>
      <w:r>
        <w:rPr>
          <w:u w:val="single"/>
        </w:rPr>
        <w:t>Factor/Time/Path Random Increments</w:t>
      </w:r>
      <w:r w:rsidRPr="0054384C">
        <w:t>:</w:t>
      </w:r>
      <w:r>
        <w:t xml:space="preserve"> Each factor includes a sufficient number of time steps, paths, and components if needed (principal components or multiple factors). The module outputs standard normal random numbers to represent the shocks (increments) at each time step for each path and each component.</w:t>
      </w:r>
    </w:p>
    <w:p w:rsidR="0054384C" w:rsidRDefault="0054384C" w:rsidP="00D83552">
      <w:pPr>
        <w:pStyle w:val="ListParagraph"/>
        <w:numPr>
          <w:ilvl w:val="0"/>
          <w:numId w:val="97"/>
        </w:numPr>
        <w:spacing w:after="200" w:line="360" w:lineRule="auto"/>
      </w:pPr>
      <w:r>
        <w:rPr>
          <w:u w:val="single"/>
        </w:rPr>
        <w:lastRenderedPageBreak/>
        <w:t>Cross Sectional Factor Correlations Incorporation</w:t>
      </w:r>
      <w:r w:rsidRPr="0054384C">
        <w:t>:</w:t>
      </w:r>
      <w:r>
        <w:t xml:space="preserve"> For each individual risk factor, random factors are mutually independent across time steps, paths, and components. For distinct market risk factors, the random numbers incorporate cross-sectional correlations between them.</w:t>
      </w:r>
    </w:p>
    <w:p w:rsidR="0079129B" w:rsidRDefault="0079129B" w:rsidP="0079129B">
      <w:pPr>
        <w:spacing w:after="200" w:line="360" w:lineRule="auto"/>
      </w:pPr>
    </w:p>
    <w:p w:rsidR="0079129B" w:rsidRDefault="0079129B" w:rsidP="0079129B">
      <w:pPr>
        <w:spacing w:after="200" w:line="360" w:lineRule="auto"/>
      </w:pPr>
    </w:p>
    <w:p w:rsidR="0079129B" w:rsidRPr="0079129B" w:rsidRDefault="0079129B" w:rsidP="0079129B">
      <w:pPr>
        <w:spacing w:after="200" w:line="360" w:lineRule="auto"/>
        <w:rPr>
          <w:b/>
          <w:sz w:val="28"/>
          <w:szCs w:val="28"/>
        </w:rPr>
      </w:pPr>
      <w:r w:rsidRPr="0079129B">
        <w:rPr>
          <w:b/>
          <w:sz w:val="28"/>
          <w:szCs w:val="28"/>
        </w:rPr>
        <w:t>Data Structures</w:t>
      </w:r>
    </w:p>
    <w:p w:rsidR="0079129B" w:rsidRDefault="0079129B" w:rsidP="0079129B">
      <w:pPr>
        <w:spacing w:after="200" w:line="360" w:lineRule="auto"/>
      </w:pPr>
    </w:p>
    <w:p w:rsidR="0079129B" w:rsidRDefault="0079129B" w:rsidP="00D83552">
      <w:pPr>
        <w:pStyle w:val="ListParagraph"/>
        <w:numPr>
          <w:ilvl w:val="0"/>
          <w:numId w:val="98"/>
        </w:numPr>
        <w:spacing w:after="200" w:line="360" w:lineRule="auto"/>
      </w:pPr>
      <w:r w:rsidRPr="0079129B">
        <w:rPr>
          <w:u w:val="single"/>
        </w:rPr>
        <w:t>The Random Sequence Component ID</w:t>
      </w:r>
      <w:r>
        <w:t>: For any risk factor, each random number produced is labeled by a component ID (tenor ID), a time step index, and a path index. These components are typically strings, such as “PC1” (the first principal component), or “3M” (the 3M tenor).</w:t>
      </w:r>
    </w:p>
    <w:p w:rsidR="0079129B" w:rsidRDefault="0079129B" w:rsidP="00D83552">
      <w:pPr>
        <w:pStyle w:val="ListParagraph"/>
        <w:numPr>
          <w:ilvl w:val="0"/>
          <w:numId w:val="98"/>
        </w:numPr>
        <w:spacing w:after="200" w:line="360" w:lineRule="auto"/>
      </w:pPr>
      <w:r>
        <w:rPr>
          <w:u w:val="single"/>
        </w:rPr>
        <w:t>The Random Sequence Date Index</w:t>
      </w:r>
      <w:r w:rsidRPr="0079129B">
        <w:t>:</w:t>
      </w:r>
      <w:r>
        <w:t xml:space="preserve"> A time step index is an ordinal number to </w:t>
      </w:r>
      <w:r w:rsidR="00E43204">
        <w:t>denote the order of the CVA dates, starting from 0. The CVA dates are also attached to the random number matrix.</w:t>
      </w:r>
    </w:p>
    <w:p w:rsidR="00E43204" w:rsidRDefault="00E43204" w:rsidP="00D83552">
      <w:pPr>
        <w:pStyle w:val="ListParagraph"/>
        <w:numPr>
          <w:ilvl w:val="0"/>
          <w:numId w:val="98"/>
        </w:numPr>
        <w:spacing w:after="200" w:line="360" w:lineRule="auto"/>
      </w:pPr>
      <w:r>
        <w:rPr>
          <w:u w:val="single"/>
        </w:rPr>
        <w:t>The Random Sequence Path Index</w:t>
      </w:r>
      <w:r w:rsidRPr="00E43204">
        <w:t>:</w:t>
      </w:r>
      <w:r>
        <w:t xml:space="preserve"> The path index is also an ordinal number used to label the paths in the simulation, starting from 0.</w:t>
      </w:r>
    </w:p>
    <w:p w:rsidR="00E43204" w:rsidRDefault="00E43204" w:rsidP="00E43204">
      <w:pPr>
        <w:spacing w:after="200" w:line="360" w:lineRule="auto"/>
      </w:pPr>
    </w:p>
    <w:p w:rsidR="00E43204" w:rsidRDefault="00E43204" w:rsidP="00E43204">
      <w:pPr>
        <w:spacing w:after="200" w:line="360" w:lineRule="auto"/>
      </w:pPr>
    </w:p>
    <w:p w:rsidR="00E43204" w:rsidRPr="00E43204" w:rsidRDefault="00E43204" w:rsidP="00E43204">
      <w:pPr>
        <w:spacing w:after="200" w:line="360" w:lineRule="auto"/>
        <w:rPr>
          <w:b/>
          <w:sz w:val="28"/>
          <w:szCs w:val="28"/>
        </w:rPr>
      </w:pPr>
      <w:r w:rsidRPr="00E43204">
        <w:rPr>
          <w:b/>
          <w:sz w:val="28"/>
          <w:szCs w:val="28"/>
        </w:rPr>
        <w:t>Factor Model for Correlation Handling</w:t>
      </w:r>
    </w:p>
    <w:p w:rsidR="00E43204" w:rsidRDefault="00E43204" w:rsidP="00E43204">
      <w:pPr>
        <w:spacing w:after="200" w:line="360" w:lineRule="auto"/>
      </w:pPr>
    </w:p>
    <w:p w:rsidR="00E43204" w:rsidRDefault="00E43204" w:rsidP="00D83552">
      <w:pPr>
        <w:pStyle w:val="ListParagraph"/>
        <w:numPr>
          <w:ilvl w:val="0"/>
          <w:numId w:val="99"/>
        </w:numPr>
        <w:spacing w:after="200" w:line="360" w:lineRule="auto"/>
      </w:pPr>
      <w:r w:rsidRPr="00E43204">
        <w:rPr>
          <w:u w:val="single"/>
        </w:rPr>
        <w:t>Two-Tier Risk Factor Model</w:t>
      </w:r>
      <w:r>
        <w:t>: To model the correlation structure of the risk factors, a two-tier factor-risk model is used. The risk factors are classified into two groups – the primary (driving) market risk factors and the secondary risk factors – which are determined by their importance in terms of their market risk impact as well as the bank’s exposure.</w:t>
      </w:r>
    </w:p>
    <w:p w:rsidR="00E43204" w:rsidRDefault="00E43204" w:rsidP="00D83552">
      <w:pPr>
        <w:pStyle w:val="ListParagraph"/>
        <w:numPr>
          <w:ilvl w:val="0"/>
          <w:numId w:val="99"/>
        </w:numPr>
        <w:spacing w:after="200" w:line="360" w:lineRule="auto"/>
      </w:pPr>
      <w:r>
        <w:rPr>
          <w:u w:val="single"/>
        </w:rPr>
        <w:lastRenderedPageBreak/>
        <w:t>Modeling Primary/Secondary Risk Factors</w:t>
      </w:r>
      <w:r w:rsidRPr="00E43204">
        <w:t>:</w:t>
      </w:r>
      <w:r>
        <w:t xml:space="preserve"> The correlation between the primary market risk factors are modeled using a full correlation matrix. The secondary market risk factors are modeled as dependent factors on the primary market risk factor so that their correlations are derived from the latter.</w:t>
      </w:r>
    </w:p>
    <w:p w:rsidR="002E7F8B" w:rsidRDefault="002E7F8B" w:rsidP="002E7F8B">
      <w:pPr>
        <w:spacing w:after="200" w:line="360" w:lineRule="auto"/>
      </w:pPr>
    </w:p>
    <w:p w:rsidR="002E7F8B" w:rsidRDefault="002E7F8B" w:rsidP="002E7F8B">
      <w:pPr>
        <w:spacing w:after="200" w:line="360" w:lineRule="auto"/>
      </w:pPr>
    </w:p>
    <w:p w:rsidR="002E7F8B" w:rsidRPr="00440108" w:rsidRDefault="002E7F8B" w:rsidP="002E7F8B">
      <w:pPr>
        <w:spacing w:after="200" w:line="360" w:lineRule="auto"/>
        <w:rPr>
          <w:b/>
          <w:sz w:val="28"/>
          <w:szCs w:val="28"/>
        </w:rPr>
      </w:pPr>
      <w:r w:rsidRPr="00440108">
        <w:rPr>
          <w:b/>
          <w:sz w:val="28"/>
          <w:szCs w:val="28"/>
        </w:rPr>
        <w:t>Variance Reduction</w:t>
      </w:r>
    </w:p>
    <w:p w:rsidR="002E7F8B" w:rsidRDefault="002E7F8B" w:rsidP="002E7F8B">
      <w:pPr>
        <w:spacing w:after="200" w:line="360" w:lineRule="auto"/>
      </w:pPr>
    </w:p>
    <w:p w:rsidR="00514A9C" w:rsidRDefault="002E7F8B" w:rsidP="00D83552">
      <w:pPr>
        <w:pStyle w:val="ListParagraph"/>
        <w:numPr>
          <w:ilvl w:val="0"/>
          <w:numId w:val="100"/>
        </w:numPr>
        <w:spacing w:after="200" w:line="360" w:lineRule="auto"/>
      </w:pPr>
      <w:r w:rsidRPr="00440108">
        <w:rPr>
          <w:u w:val="single"/>
        </w:rPr>
        <w:t>Generating the Antithetic Variable Sequence</w:t>
      </w:r>
      <w:r>
        <w:t xml:space="preserve">: The random number generator is capable of sampling the antithetic variable sequence. It is a common practice to use antithetic variables in Monte Carlo as a variance reduction technique. In the output of random numbers with antithetic variables, the </w:t>
      </w:r>
      <m:oMath>
        <m:sSup>
          <m:sSupPr>
            <m:ctrlPr>
              <w:rPr>
                <w:rFonts w:ascii="Cambria Math" w:hAnsi="Cambria Math"/>
                <w:i/>
              </w:rPr>
            </m:ctrlPr>
          </m:sSupPr>
          <m:e>
            <m:d>
              <m:dPr>
                <m:ctrlPr>
                  <w:rPr>
                    <w:rFonts w:ascii="Cambria Math" w:hAnsi="Cambria Math"/>
                    <w:i/>
                  </w:rPr>
                </m:ctrlPr>
              </m:dPr>
              <m:e>
                <m:r>
                  <w:rPr>
                    <w:rFonts w:ascii="Cambria Math" w:hAnsi="Cambria Math"/>
                  </w:rPr>
                  <m:t>2p+1</m:t>
                </m:r>
              </m:e>
            </m:d>
          </m:e>
          <m:sup>
            <m:r>
              <w:rPr>
                <w:rFonts w:ascii="Cambria Math" w:hAnsi="Cambria Math"/>
              </w:rPr>
              <m:t>th</m:t>
            </m:r>
          </m:sup>
        </m:sSup>
      </m:oMath>
      <w:r>
        <w:t xml:space="preserve"> path is the negative of the </w:t>
      </w:r>
      <m:oMath>
        <m:sSup>
          <m:sSupPr>
            <m:ctrlPr>
              <w:rPr>
                <w:rFonts w:ascii="Cambria Math" w:hAnsi="Cambria Math"/>
                <w:i/>
              </w:rPr>
            </m:ctrlPr>
          </m:sSupPr>
          <m:e>
            <m:d>
              <m:dPr>
                <m:ctrlPr>
                  <w:rPr>
                    <w:rFonts w:ascii="Cambria Math" w:hAnsi="Cambria Math"/>
                    <w:i/>
                  </w:rPr>
                </m:ctrlPr>
              </m:dPr>
              <m:e>
                <m:r>
                  <w:rPr>
                    <w:rFonts w:ascii="Cambria Math" w:hAnsi="Cambria Math"/>
                  </w:rPr>
                  <m:t>2p</m:t>
                </m:r>
              </m:e>
            </m:d>
          </m:e>
          <m:sup>
            <m:r>
              <w:rPr>
                <w:rFonts w:ascii="Cambria Math" w:hAnsi="Cambria Math"/>
              </w:rPr>
              <m:t>th</m:t>
            </m:r>
          </m:sup>
        </m:sSup>
      </m:oMath>
      <w:r>
        <w:t xml:space="preserve"> path</w:t>
      </w:r>
    </w:p>
    <w:p w:rsidR="00514A9C" w:rsidRDefault="00514A9C" w:rsidP="00514A9C">
      <w:pPr>
        <w:pStyle w:val="ListParagraph"/>
        <w:spacing w:after="200" w:line="360" w:lineRule="auto"/>
        <w:ind w:left="360"/>
        <w:rPr>
          <w:u w:val="single"/>
        </w:rPr>
      </w:pPr>
    </w:p>
    <w:p w:rsidR="002E7F8B" w:rsidRPr="00514A9C" w:rsidRDefault="00440108" w:rsidP="00514A9C">
      <w:pPr>
        <w:pStyle w:val="ListParagraph"/>
        <w:spacing w:after="200" w:line="360" w:lineRule="auto"/>
        <w:ind w:left="360"/>
      </w:pPr>
      <m:oMathPara>
        <m:oMath>
          <m:r>
            <w:rPr>
              <w:rFonts w:ascii="Cambria Math" w:hAnsi="Cambria Math"/>
            </w:rPr>
            <m:t>p=0, 1, 2, ⋯</m:t>
          </m:r>
        </m:oMath>
      </m:oMathPara>
    </w:p>
    <w:p w:rsidR="00514A9C" w:rsidRDefault="00514A9C" w:rsidP="00514A9C">
      <w:pPr>
        <w:pStyle w:val="ListParagraph"/>
        <w:spacing w:after="200" w:line="360" w:lineRule="auto"/>
        <w:ind w:left="360"/>
      </w:pPr>
    </w:p>
    <w:p w:rsidR="00440108" w:rsidRDefault="00440108" w:rsidP="00D83552">
      <w:pPr>
        <w:pStyle w:val="ListParagraph"/>
        <w:numPr>
          <w:ilvl w:val="0"/>
          <w:numId w:val="100"/>
        </w:numPr>
        <w:spacing w:after="200" w:line="360" w:lineRule="auto"/>
      </w:pPr>
      <w:r>
        <w:rPr>
          <w:u w:val="single"/>
        </w:rPr>
        <w:t>Variance Reduction with Quadratic Resampling</w:t>
      </w:r>
      <w:r>
        <w:t>: In some instances, it is desired that the standard deviation of the generated random numbers to be exactly equal to one, to reduce the Monte Carlo errors. This can be achieved by quadratic resampling.</w:t>
      </w:r>
    </w:p>
    <w:p w:rsidR="00440108" w:rsidRDefault="00440108" w:rsidP="00D83552">
      <w:pPr>
        <w:pStyle w:val="ListParagraph"/>
        <w:numPr>
          <w:ilvl w:val="0"/>
          <w:numId w:val="100"/>
        </w:numPr>
        <w:spacing w:after="200" w:line="360" w:lineRule="auto"/>
      </w:pPr>
      <w:r>
        <w:rPr>
          <w:u w:val="single"/>
        </w:rPr>
        <w:t>Quadratic Resampling - The Two Steps</w:t>
      </w:r>
      <w:r w:rsidRPr="00440108">
        <w:t>:</w:t>
      </w:r>
      <w:r>
        <w:t xml:space="preserve"> For a sequence of random numbers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T-1</m:t>
            </m:r>
          </m:sub>
        </m:sSub>
      </m:oMath>
      <w:r>
        <w:t xml:space="preserve"> the quadratic resampling follows the two step procedure outlined below.</w:t>
      </w:r>
    </w:p>
    <w:p w:rsidR="00440108" w:rsidRDefault="00440108" w:rsidP="00D83552">
      <w:pPr>
        <w:pStyle w:val="ListParagraph"/>
        <w:numPr>
          <w:ilvl w:val="0"/>
          <w:numId w:val="100"/>
        </w:numPr>
        <w:spacing w:after="200" w:line="360" w:lineRule="auto"/>
      </w:pPr>
      <w:r>
        <w:rPr>
          <w:u w:val="single"/>
        </w:rPr>
        <w:t>Sub-dividing the sequence into Blocks</w:t>
      </w:r>
      <w:r w:rsidRPr="00440108">
        <w:t>:</w:t>
      </w:r>
      <w:r>
        <w:t xml:space="preserve"> First, the random numbers sequence is divide into blocks of size </w:t>
      </w:r>
      <m:oMath>
        <m:r>
          <w:rPr>
            <w:rFonts w:ascii="Cambria Math" w:hAnsi="Cambria Math"/>
          </w:rPr>
          <m:t>N</m:t>
        </m:r>
      </m:oMath>
      <w:r>
        <w:t xml:space="preserve"> where </w:t>
      </w:r>
      <m:oMath>
        <m:r>
          <w:rPr>
            <w:rFonts w:ascii="Cambria Math" w:hAnsi="Cambria Math"/>
          </w:rPr>
          <m:t>N</m:t>
        </m:r>
      </m:oMath>
      <w:r>
        <w:t xml:space="preserve"> is typically large, but no greater than the length of the random number sequence </w:t>
      </w:r>
      <m:oMath>
        <m:r>
          <w:rPr>
            <w:rFonts w:ascii="Cambria Math" w:hAnsi="Cambria Math"/>
          </w:rPr>
          <m:t>T</m:t>
        </m:r>
      </m:oMath>
      <w:r>
        <w:t xml:space="preserve">. If </w:t>
      </w:r>
      <m:oMath>
        <m:r>
          <w:rPr>
            <w:rFonts w:ascii="Cambria Math" w:hAnsi="Cambria Math"/>
          </w:rPr>
          <m:t>T</m:t>
        </m:r>
      </m:oMath>
      <w:r>
        <w:t xml:space="preserve"> is not a multiple of </w:t>
      </w:r>
      <m:oMath>
        <m:r>
          <w:rPr>
            <w:rFonts w:ascii="Cambria Math" w:hAnsi="Cambria Math"/>
          </w:rPr>
          <m:t>N</m:t>
        </m:r>
      </m:oMath>
      <w:r>
        <w:t xml:space="preserve">, then the last block will be incomplete, i.e., it contains less than </w:t>
      </w:r>
      <m:oMath>
        <m:r>
          <w:rPr>
            <w:rFonts w:ascii="Cambria Math" w:hAnsi="Cambria Math"/>
          </w:rPr>
          <m:t>N</m:t>
        </m:r>
      </m:oMath>
      <w:r>
        <w:t xml:space="preserve"> numbers, and it will be excluded from the resampling.</w:t>
      </w:r>
    </w:p>
    <w:p w:rsidR="00514A9C" w:rsidRDefault="00440108" w:rsidP="00D83552">
      <w:pPr>
        <w:pStyle w:val="ListParagraph"/>
        <w:numPr>
          <w:ilvl w:val="0"/>
          <w:numId w:val="100"/>
        </w:numPr>
        <w:spacing w:after="200" w:line="360" w:lineRule="auto"/>
      </w:pPr>
      <w:r>
        <w:rPr>
          <w:u w:val="single"/>
        </w:rPr>
        <w:t>Mean-Centering across the Block</w:t>
      </w:r>
      <w:r w:rsidRPr="00440108">
        <w:t>:</w:t>
      </w:r>
      <w:r>
        <w:t xml:space="preserve"> Without loss of generality, it is assumed that the sequence is generated with antithetic sampling, i.e.,</w:t>
      </w:r>
    </w:p>
    <w:p w:rsidR="00514A9C" w:rsidRDefault="00514A9C" w:rsidP="00514A9C">
      <w:pPr>
        <w:pStyle w:val="ListParagraph"/>
        <w:spacing w:after="200" w:line="360" w:lineRule="auto"/>
        <w:ind w:left="360"/>
        <w:rPr>
          <w:u w:val="single"/>
        </w:rPr>
      </w:pPr>
    </w:p>
    <w:p w:rsidR="00514A9C" w:rsidRDefault="005D6A21"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2p+1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2p</m:t>
              </m:r>
            </m:sub>
          </m:sSub>
        </m:oMath>
      </m:oMathPara>
    </w:p>
    <w:p w:rsidR="00514A9C" w:rsidRDefault="00514A9C" w:rsidP="00514A9C">
      <w:pPr>
        <w:pStyle w:val="ListParagraph"/>
        <w:spacing w:after="200" w:line="360" w:lineRule="auto"/>
        <w:ind w:left="360"/>
      </w:pPr>
    </w:p>
    <w:p w:rsidR="00440108" w:rsidRDefault="00440108" w:rsidP="00514A9C">
      <w:pPr>
        <w:pStyle w:val="ListParagraph"/>
        <w:spacing w:after="200" w:line="360" w:lineRule="auto"/>
        <w:ind w:left="360"/>
      </w:pPr>
      <w:r>
        <w:t xml:space="preserve">and </w:t>
      </w:r>
      <m:oMath>
        <m:r>
          <w:rPr>
            <w:rFonts w:ascii="Cambria Math" w:hAnsi="Cambria Math"/>
          </w:rPr>
          <m:t>N</m:t>
        </m:r>
      </m:oMath>
      <w:r>
        <w:t xml:space="preserve"> is even, so that for each complete block, the average is zero. </w:t>
      </w:r>
      <w:r w:rsidR="008938F6">
        <w:t>Otherwise a mean-centering adjustment can be made to make it zero.</w:t>
      </w:r>
    </w:p>
    <w:p w:rsidR="00514A9C" w:rsidRDefault="008938F6" w:rsidP="00D83552">
      <w:pPr>
        <w:pStyle w:val="ListParagraph"/>
        <w:numPr>
          <w:ilvl w:val="0"/>
          <w:numId w:val="100"/>
        </w:numPr>
        <w:spacing w:after="200" w:line="360" w:lineRule="auto"/>
      </w:pPr>
      <w:r>
        <w:rPr>
          <w:u w:val="single"/>
        </w:rPr>
        <w:t>Variance Scaling inside the Block</w:t>
      </w:r>
      <w:r w:rsidRPr="008938F6">
        <w:t>:</w:t>
      </w:r>
      <w:r>
        <w:t xml:space="preserve"> Then inside each complete block </w:t>
      </w:r>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iN+1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i+1</m:t>
                </m:r>
              </m:e>
            </m:d>
            <m:r>
              <w:rPr>
                <w:rFonts w:ascii="Cambria Math" w:hAnsi="Cambria Math"/>
              </w:rPr>
              <m:t>N-1</m:t>
            </m:r>
          </m:sub>
        </m:sSub>
      </m:oMath>
    </w:p>
    <w:p w:rsidR="00514A9C" w:rsidRDefault="00514A9C" w:rsidP="00514A9C">
      <w:pPr>
        <w:pStyle w:val="ListParagraph"/>
        <w:spacing w:after="200" w:line="360" w:lineRule="auto"/>
        <w:ind w:left="360"/>
        <w:rPr>
          <w:u w:val="single"/>
        </w:rPr>
      </w:pPr>
    </w:p>
    <w:p w:rsidR="00514A9C" w:rsidRDefault="008938F6" w:rsidP="00514A9C">
      <w:pPr>
        <w:pStyle w:val="ListParagraph"/>
        <w:spacing w:after="200" w:line="360" w:lineRule="auto"/>
        <w:ind w:left="360"/>
      </w:pPr>
      <m:oMathPara>
        <m:oMath>
          <m:r>
            <w:rPr>
              <w:rFonts w:ascii="Cambria Math" w:hAnsi="Cambria Math"/>
            </w:rPr>
            <m:t>0≤i≤</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r>
            <w:rPr>
              <w:rFonts w:ascii="Cambria Math" w:hAnsi="Cambria Math"/>
            </w:rPr>
            <m:t>-1</m:t>
          </m:r>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w:r>
        <w:t>let</w:t>
      </w:r>
    </w:p>
    <w:p w:rsidR="00514A9C" w:rsidRDefault="00514A9C" w:rsidP="00514A9C">
      <w:pPr>
        <w:pStyle w:val="ListParagraph"/>
        <w:spacing w:after="200" w:line="360" w:lineRule="auto"/>
        <w:ind w:left="360"/>
      </w:pPr>
    </w:p>
    <w:p w:rsidR="00514A9C" w:rsidRDefault="005D6A21"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denote the standard deviation.</w:t>
      </w:r>
    </w:p>
    <w:p w:rsidR="00514A9C" w:rsidRDefault="008938F6" w:rsidP="00D83552">
      <w:pPr>
        <w:pStyle w:val="ListParagraph"/>
        <w:numPr>
          <w:ilvl w:val="0"/>
          <w:numId w:val="100"/>
        </w:numPr>
        <w:spacing w:after="200" w:line="360" w:lineRule="auto"/>
      </w:pPr>
      <w:r>
        <w:rPr>
          <w:u w:val="single"/>
        </w:rPr>
        <w:t>Unbiased Estimate of the Standard Deviation</w:t>
      </w:r>
      <w:r w:rsidRPr="008938F6">
        <w:t>:</w:t>
      </w:r>
      <w:r>
        <w:t xml:space="preserve"> Another definition of the standard deviation is</w:t>
      </w:r>
    </w:p>
    <w:p w:rsidR="00514A9C" w:rsidRDefault="00514A9C" w:rsidP="00514A9C">
      <w:pPr>
        <w:pStyle w:val="ListParagraph"/>
        <w:spacing w:after="200" w:line="360" w:lineRule="auto"/>
        <w:ind w:left="360"/>
        <w:rPr>
          <w:u w:val="single"/>
        </w:rPr>
      </w:pPr>
    </w:p>
    <w:p w:rsidR="00514A9C" w:rsidRDefault="005D6A21"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These two definitions yield little difference when </w:t>
      </w:r>
      <m:oMath>
        <m:r>
          <w:rPr>
            <w:rFonts w:ascii="Cambria Math" w:hAnsi="Cambria Math"/>
          </w:rPr>
          <m:t>N</m:t>
        </m:r>
      </m:oMath>
      <w:r>
        <w:t xml:space="preserve"> is large.</w:t>
      </w:r>
    </w:p>
    <w:p w:rsidR="00514A9C" w:rsidRDefault="008938F6" w:rsidP="00D83552">
      <w:pPr>
        <w:pStyle w:val="ListParagraph"/>
        <w:numPr>
          <w:ilvl w:val="0"/>
          <w:numId w:val="100"/>
        </w:numPr>
        <w:spacing w:after="200" w:line="360" w:lineRule="auto"/>
      </w:pPr>
      <w:r>
        <w:rPr>
          <w:u w:val="single"/>
        </w:rPr>
        <w:t>The Quadratically Resampled Random Sequence</w:t>
      </w:r>
      <w:r w:rsidRPr="008938F6">
        <w:t>:</w:t>
      </w:r>
      <w:r>
        <w:t xml:space="preserve"> The quadratically resampled random numbers then are</w:t>
      </w:r>
    </w:p>
    <w:p w:rsidR="00514A9C" w:rsidRDefault="00514A9C" w:rsidP="00514A9C">
      <w:pPr>
        <w:pStyle w:val="ListParagraph"/>
        <w:spacing w:after="200" w:line="360" w:lineRule="auto"/>
        <w:ind w:left="360"/>
        <w:rPr>
          <w:u w:val="single"/>
        </w:rPr>
      </w:pPr>
    </w:p>
    <w:p w:rsidR="00514A9C" w:rsidRDefault="005D6A21" w:rsidP="00514A9C">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iN+j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iN+j</m:t>
                  </m:r>
                </m:sub>
              </m:sSub>
            </m:num>
            <m:den>
              <m:sSub>
                <m:sSubPr>
                  <m:ctrlPr>
                    <w:rPr>
                      <w:rFonts w:ascii="Cambria Math" w:hAnsi="Cambria Math"/>
                      <w:i/>
                    </w:rPr>
                  </m:ctrlPr>
                </m:sSubPr>
                <m:e>
                  <m:r>
                    <w:rPr>
                      <w:rFonts w:ascii="Cambria Math" w:hAnsi="Cambria Math"/>
                    </w:rPr>
                    <m:t>s</m:t>
                  </m:r>
                </m:e>
                <m:sub>
                  <m:r>
                    <w:rPr>
                      <w:rFonts w:ascii="Cambria Math" w:hAnsi="Cambria Math"/>
                    </w:rPr>
                    <m:t>i</m:t>
                  </m:r>
                </m:sub>
              </m:sSub>
            </m:den>
          </m:f>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m:oMathPara>
        <m:oMath>
          <m:r>
            <w:rPr>
              <w:rFonts w:ascii="Cambria Math" w:hAnsi="Cambria Math"/>
            </w:rPr>
            <m:t>j=0, ⋯, N-1</m:t>
          </m:r>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lastRenderedPageBreak/>
        <w:t xml:space="preserve">It is straightforward to verify that taking a sequence of length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0</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kN-1</m:t>
                </m:r>
              </m:sub>
            </m:sSub>
          </m:e>
        </m:d>
      </m:oMath>
      <w:r>
        <w:t xml:space="preserve">, it standard deviation is </w:t>
      </w:r>
      <m:oMath>
        <m:r>
          <w:rPr>
            <w:rFonts w:ascii="Cambria Math" w:hAnsi="Cambria Math"/>
          </w:rPr>
          <m:t>1</m:t>
        </m:r>
      </m:oMath>
      <w:r>
        <w:t xml:space="preserve">, where </w:t>
      </w:r>
      <m:oMath>
        <m:r>
          <w:rPr>
            <w:rFonts w:ascii="Cambria Math" w:hAnsi="Cambria Math"/>
          </w:rPr>
          <m:t>k</m:t>
        </m:r>
      </m:oMath>
      <w:r>
        <w:t xml:space="preserve"> is a positive integer.</w:t>
      </w:r>
    </w:p>
    <w:p w:rsidR="00514A9C" w:rsidRDefault="00514A9C" w:rsidP="00514A9C">
      <w:pPr>
        <w:spacing w:after="200" w:line="360" w:lineRule="auto"/>
      </w:pPr>
    </w:p>
    <w:p w:rsidR="00514A9C" w:rsidRDefault="00514A9C" w:rsidP="00514A9C">
      <w:pPr>
        <w:spacing w:after="200" w:line="360" w:lineRule="auto"/>
      </w:pPr>
    </w:p>
    <w:p w:rsidR="00514A9C" w:rsidRPr="00514A9C" w:rsidRDefault="00514A9C" w:rsidP="00514A9C">
      <w:pPr>
        <w:spacing w:after="200" w:line="360" w:lineRule="auto"/>
        <w:rPr>
          <w:b/>
          <w:sz w:val="28"/>
          <w:szCs w:val="28"/>
        </w:rPr>
      </w:pPr>
      <w:r w:rsidRPr="00514A9C">
        <w:rPr>
          <w:b/>
          <w:sz w:val="28"/>
          <w:szCs w:val="28"/>
        </w:rPr>
        <w:t>Implementation – The Scope of the Risk Factors</w:t>
      </w:r>
    </w:p>
    <w:p w:rsidR="00514A9C" w:rsidRDefault="00514A9C" w:rsidP="00514A9C">
      <w:pPr>
        <w:spacing w:after="200" w:line="360" w:lineRule="auto"/>
      </w:pPr>
    </w:p>
    <w:p w:rsidR="00514A9C" w:rsidRDefault="00514A9C" w:rsidP="00D83552">
      <w:pPr>
        <w:pStyle w:val="ListParagraph"/>
        <w:numPr>
          <w:ilvl w:val="0"/>
          <w:numId w:val="101"/>
        </w:numPr>
        <w:spacing w:after="200" w:line="360" w:lineRule="auto"/>
      </w:pPr>
      <w:r w:rsidRPr="00514A9C">
        <w:rPr>
          <w:u w:val="single"/>
        </w:rPr>
        <w:t>The Primary Market Risk Factors</w:t>
      </w:r>
      <w:r>
        <w:t>: The risk factors considered in the random number generator are aligned with the asset classes, including the bench-mark interest rates (forward curves), foreign exchange rates, equity indexes and stock prices, commodity futures prices, CDS indexes, inflation rates, etc. and they are consistent with the risk drivers in typical productions of risk reports in each asset class.</w:t>
      </w:r>
    </w:p>
    <w:p w:rsidR="00580D81" w:rsidRDefault="00580D81" w:rsidP="00D83552">
      <w:pPr>
        <w:pStyle w:val="ListParagraph"/>
        <w:numPr>
          <w:ilvl w:val="0"/>
          <w:numId w:val="101"/>
        </w:numPr>
        <w:spacing w:after="200" w:line="360" w:lineRule="auto"/>
      </w:pPr>
      <w:r>
        <w:rPr>
          <w:u w:val="single"/>
        </w:rPr>
        <w:t>Pre-generation of Random Numbers</w:t>
      </w:r>
      <w:r w:rsidRPr="00580D81">
        <w:t>:</w:t>
      </w:r>
      <w:r>
        <w:t xml:space="preserve"> To hasten the CVA generation, given the large number of risk factors, the random numbers for the risk factors are pre-generated before th</w:t>
      </w:r>
      <w:r w:rsidR="001613BA">
        <w:t>e CVA</w:t>
      </w:r>
      <w:r>
        <w:t xml:space="preserve"> market </w:t>
      </w:r>
      <w:r w:rsidR="001613BA">
        <w:t>generation step is initiated. I particular, random numbers can be pre-generated and stored in a system infrastructure and can be accessed upon request.</w:t>
      </w:r>
    </w:p>
    <w:p w:rsidR="001613BA" w:rsidRDefault="001613BA" w:rsidP="00D83552">
      <w:pPr>
        <w:pStyle w:val="ListParagraph"/>
        <w:numPr>
          <w:ilvl w:val="0"/>
          <w:numId w:val="101"/>
        </w:numPr>
        <w:spacing w:after="200" w:line="360" w:lineRule="auto"/>
      </w:pPr>
      <w:r>
        <w:rPr>
          <w:u w:val="single"/>
        </w:rPr>
        <w:t>On-Demand Random Number Generation</w:t>
      </w:r>
      <w:r w:rsidRPr="001613BA">
        <w:t>:</w:t>
      </w:r>
      <w:r>
        <w:t xml:space="preserve"> For those risk factors that do not have these pre-generated random numbers, random numbers can be generated at the run time when the CVA market generation is initiated.</w:t>
      </w:r>
    </w:p>
    <w:p w:rsidR="001613BA" w:rsidRDefault="001613BA" w:rsidP="00D83552">
      <w:pPr>
        <w:pStyle w:val="ListParagraph"/>
        <w:numPr>
          <w:ilvl w:val="0"/>
          <w:numId w:val="101"/>
        </w:numPr>
        <w:spacing w:after="200" w:line="360" w:lineRule="auto"/>
      </w:pPr>
      <w:r>
        <w:rPr>
          <w:u w:val="single"/>
        </w:rPr>
        <w:t>Rates Primary Market Risk Factor</w:t>
      </w:r>
      <w:r w:rsidRPr="001613BA">
        <w:t>:</w:t>
      </w:r>
      <w:r>
        <w:t xml:space="preserve"> Forward rate curves for the major currencies are considered the risk factors, which includes the ones listed below.</w:t>
      </w:r>
    </w:p>
    <w:p w:rsidR="001613BA" w:rsidRDefault="001613BA" w:rsidP="00D83552">
      <w:pPr>
        <w:pStyle w:val="ListParagraph"/>
        <w:numPr>
          <w:ilvl w:val="0"/>
          <w:numId w:val="101"/>
        </w:numPr>
        <w:spacing w:after="200" w:line="360" w:lineRule="auto"/>
      </w:pPr>
      <w:r>
        <w:rPr>
          <w:u w:val="single"/>
        </w:rPr>
        <w:t>3M LIBOR Forward Rate States</w:t>
      </w:r>
      <w:r w:rsidRPr="001613BA">
        <w:t>:</w:t>
      </w:r>
      <w:r>
        <w:t xml:space="preserve"> Forward rate curves for 3M LIBOR for USD, EUR, GBP, JPY, and CHF are the primary risk factors.</w:t>
      </w:r>
    </w:p>
    <w:p w:rsidR="001613BA" w:rsidRDefault="001613BA" w:rsidP="00D83552">
      <w:pPr>
        <w:pStyle w:val="ListParagraph"/>
        <w:numPr>
          <w:ilvl w:val="0"/>
          <w:numId w:val="101"/>
        </w:numPr>
        <w:spacing w:after="200" w:line="360" w:lineRule="auto"/>
      </w:pPr>
      <w:r>
        <w:rPr>
          <w:u w:val="single"/>
        </w:rPr>
        <w:t>xM LIBOR Forward Rate States</w:t>
      </w:r>
      <w:r w:rsidRPr="001613BA">
        <w:t>:</w:t>
      </w:r>
      <w:r>
        <w:t xml:space="preserve"> Forward rate curves for LIBOR at other tenors.</w:t>
      </w:r>
    </w:p>
    <w:p w:rsidR="001613BA" w:rsidRDefault="001613BA" w:rsidP="00D83552">
      <w:pPr>
        <w:pStyle w:val="ListParagraph"/>
        <w:numPr>
          <w:ilvl w:val="0"/>
          <w:numId w:val="101"/>
        </w:numPr>
        <w:spacing w:after="200" w:line="360" w:lineRule="auto"/>
      </w:pPr>
      <w:r>
        <w:rPr>
          <w:u w:val="single"/>
        </w:rPr>
        <w:t>Non-G5 DM IBOR Forwards</w:t>
      </w:r>
      <w:r w:rsidRPr="001613BA">
        <w:t>:</w:t>
      </w:r>
      <w:r>
        <w:t xml:space="preserve"> Forward rate curves for other major currencies that are not listed in LIBOR (such as AUD, CAD, etc.)</w:t>
      </w:r>
    </w:p>
    <w:p w:rsidR="001613BA" w:rsidRDefault="001613BA" w:rsidP="00D83552">
      <w:pPr>
        <w:pStyle w:val="ListParagraph"/>
        <w:numPr>
          <w:ilvl w:val="0"/>
          <w:numId w:val="101"/>
        </w:numPr>
        <w:spacing w:after="200" w:line="360" w:lineRule="auto"/>
      </w:pPr>
      <w:r>
        <w:rPr>
          <w:u w:val="single"/>
        </w:rPr>
        <w:t>FX Primary Market Risk Factor</w:t>
      </w:r>
      <w:r w:rsidRPr="001613BA">
        <w:t>:</w:t>
      </w:r>
      <w:r>
        <w:t xml:space="preserve"> The spot FX rate for G10 currencies EUR, JPY, GBP, CHF, AUD, NZD, CAD, SEK, and NOK. For example, in Calypso, the foreign exchange rates all </w:t>
      </w:r>
      <w:r>
        <w:lastRenderedPageBreak/>
        <w:t>use USD as the base currency. In addition, other currencies that are available in Calypso are included, including CNY, DKK, HKD, etc.</w:t>
      </w:r>
    </w:p>
    <w:p w:rsidR="001613BA" w:rsidRDefault="001613BA" w:rsidP="00D83552">
      <w:pPr>
        <w:pStyle w:val="ListParagraph"/>
        <w:numPr>
          <w:ilvl w:val="0"/>
          <w:numId w:val="101"/>
        </w:numPr>
        <w:spacing w:after="200" w:line="360" w:lineRule="auto"/>
      </w:pPr>
      <w:r>
        <w:rPr>
          <w:u w:val="single"/>
        </w:rPr>
        <w:t>Equity Primary Market Risk Factor</w:t>
      </w:r>
      <w:r w:rsidRPr="001613BA">
        <w:t>:</w:t>
      </w:r>
      <w:r>
        <w:t xml:space="preserve"> The risk factors in the equity space is</w:t>
      </w:r>
      <w:r w:rsidR="00EA73C3">
        <w:t xml:space="preserve"> primarily</w:t>
      </w:r>
      <w:r>
        <w:t xml:space="preserve"> S&amp;P 500, since over 80% of the gross equity delt</w:t>
      </w:r>
      <w:r w:rsidR="00EA73C3">
        <w:t>a</w:t>
      </w:r>
      <w:r>
        <w:t>s for typical equity derivatives books is in .SPX.</w:t>
      </w:r>
    </w:p>
    <w:p w:rsidR="00EA73C3" w:rsidRDefault="00EA73C3" w:rsidP="00D83552">
      <w:pPr>
        <w:pStyle w:val="ListParagraph"/>
        <w:numPr>
          <w:ilvl w:val="0"/>
          <w:numId w:val="101"/>
        </w:numPr>
        <w:spacing w:after="200" w:line="360" w:lineRule="auto"/>
      </w:pPr>
      <w:r>
        <w:rPr>
          <w:u w:val="single"/>
        </w:rPr>
        <w:t>Equity Secondary Market Risk Factor</w:t>
      </w:r>
      <w:r w:rsidRPr="00EA73C3">
        <w:t>:</w:t>
      </w:r>
      <w:r>
        <w:t xml:space="preserve"> Other equity indices and individual stocks, such as AAPL, BRK.B, MET etc. are assigned as secondary (dependent) risk factors.</w:t>
      </w:r>
    </w:p>
    <w:p w:rsidR="00EA73C3" w:rsidRDefault="00EA73C3" w:rsidP="00D83552">
      <w:pPr>
        <w:pStyle w:val="ListParagraph"/>
        <w:numPr>
          <w:ilvl w:val="0"/>
          <w:numId w:val="101"/>
        </w:numPr>
        <w:spacing w:after="200" w:line="360" w:lineRule="auto"/>
      </w:pPr>
      <w:r>
        <w:rPr>
          <w:u w:val="single"/>
        </w:rPr>
        <w:t>Commodity Primary Market Risk Factor</w:t>
      </w:r>
      <w:r w:rsidRPr="00EA73C3">
        <w:t>:</w:t>
      </w:r>
      <w:r>
        <w:t xml:space="preserve"> The risk factors are commodities futures curves such as WTI, BRT, and CGOLD. Each commodities futures type will have at least one futures curve being assigned as the primary risk factor – the rest can be assigned as secondary risk factors. For important basis curves (e.g., natural gas at major locations), they will also be assigned as the primary risk factor.</w:t>
      </w:r>
    </w:p>
    <w:p w:rsidR="00EA73C3" w:rsidRDefault="00EA73C3" w:rsidP="00D83552">
      <w:pPr>
        <w:pStyle w:val="ListParagraph"/>
        <w:numPr>
          <w:ilvl w:val="0"/>
          <w:numId w:val="101"/>
        </w:numPr>
        <w:spacing w:after="200" w:line="360" w:lineRule="auto"/>
      </w:pPr>
      <w:r>
        <w:rPr>
          <w:u w:val="single"/>
        </w:rPr>
        <w:t>Credit Primary Market Risk Factor</w:t>
      </w:r>
      <w:r w:rsidRPr="00EA73C3">
        <w:t>:</w:t>
      </w:r>
      <w:r>
        <w:t xml:space="preserve"> Credit default swap indexes, such as CDX.NA.IG, CDX.NA.HY, iTRAXX Europe, etc. are used as primary risk factors.</w:t>
      </w:r>
    </w:p>
    <w:p w:rsidR="00EA73C3" w:rsidRDefault="00EA73C3" w:rsidP="00D83552">
      <w:pPr>
        <w:pStyle w:val="ListParagraph"/>
        <w:numPr>
          <w:ilvl w:val="0"/>
          <w:numId w:val="101"/>
        </w:numPr>
        <w:spacing w:after="200" w:line="360" w:lineRule="auto"/>
      </w:pPr>
      <w:r>
        <w:rPr>
          <w:u w:val="single"/>
        </w:rPr>
        <w:t>Inflation Primary Market Risk Factor</w:t>
      </w:r>
      <w:r w:rsidRPr="00EA73C3">
        <w:t>:</w:t>
      </w:r>
      <w:r>
        <w:t xml:space="preserve"> CPI-U (consumer price index for all urban consumers) is included as the primary market factor for inflation risk. CPI-U is the reference index for TIPS and other inflation swaps.</w:t>
      </w:r>
    </w:p>
    <w:p w:rsidR="00337FA0" w:rsidRDefault="00337FA0" w:rsidP="00337FA0">
      <w:pPr>
        <w:spacing w:after="200" w:line="360" w:lineRule="auto"/>
      </w:pPr>
    </w:p>
    <w:p w:rsidR="00337FA0" w:rsidRDefault="00337FA0" w:rsidP="00337FA0">
      <w:pPr>
        <w:spacing w:after="200" w:line="360" w:lineRule="auto"/>
      </w:pPr>
    </w:p>
    <w:p w:rsidR="00337FA0" w:rsidRPr="00BD458D" w:rsidRDefault="00337FA0" w:rsidP="00337FA0">
      <w:pPr>
        <w:spacing w:after="200" w:line="360" w:lineRule="auto"/>
        <w:rPr>
          <w:b/>
          <w:sz w:val="28"/>
          <w:szCs w:val="28"/>
        </w:rPr>
      </w:pPr>
      <w:r w:rsidRPr="00BD458D">
        <w:rPr>
          <w:b/>
          <w:sz w:val="28"/>
          <w:szCs w:val="28"/>
        </w:rPr>
        <w:t>Implementation – The Correlation Matrix</w:t>
      </w:r>
    </w:p>
    <w:p w:rsidR="00337FA0" w:rsidRDefault="00337FA0" w:rsidP="00337FA0">
      <w:pPr>
        <w:spacing w:after="200" w:line="360" w:lineRule="auto"/>
      </w:pPr>
    </w:p>
    <w:p w:rsidR="00337FA0" w:rsidRDefault="00337FA0" w:rsidP="00D83552">
      <w:pPr>
        <w:pStyle w:val="ListParagraph"/>
        <w:numPr>
          <w:ilvl w:val="0"/>
          <w:numId w:val="102"/>
        </w:numPr>
        <w:spacing w:after="200" w:line="360" w:lineRule="auto"/>
      </w:pPr>
      <w:r w:rsidRPr="00BD458D">
        <w:rPr>
          <w:u w:val="single"/>
        </w:rPr>
        <w:t>Correlations between Primary Market Factors</w:t>
      </w:r>
      <w:r>
        <w:t xml:space="preserve">: </w:t>
      </w:r>
      <w:r w:rsidR="00BD458D">
        <w:t>The correlation coefficients between the primary market risk factors are obtained from multiple sources as shown in the table below, e.g., the correlations between rates and FX spot are obtained from Calypso.</w:t>
      </w:r>
    </w:p>
    <w:p w:rsidR="00BD458D" w:rsidRDefault="00BD458D" w:rsidP="00D83552">
      <w:pPr>
        <w:pStyle w:val="ListParagraph"/>
        <w:numPr>
          <w:ilvl w:val="0"/>
          <w:numId w:val="102"/>
        </w:numPr>
        <w:spacing w:after="200" w:line="360" w:lineRule="auto"/>
      </w:pPr>
      <w:r>
        <w:rPr>
          <w:u w:val="single"/>
        </w:rPr>
        <w:t>Source of DRIP Correlation Coefficients</w:t>
      </w:r>
      <w:r w:rsidRPr="00BD458D">
        <w:t>:</w:t>
      </w:r>
    </w:p>
    <w:tbl>
      <w:tblPr>
        <w:tblStyle w:val="TableGrid"/>
        <w:tblW w:w="0" w:type="auto"/>
        <w:tblLook w:val="04A0" w:firstRow="1" w:lastRow="0" w:firstColumn="1" w:lastColumn="0" w:noHBand="0" w:noVBand="1"/>
      </w:tblPr>
      <w:tblGrid>
        <w:gridCol w:w="1431"/>
        <w:gridCol w:w="1343"/>
        <w:gridCol w:w="1343"/>
        <w:gridCol w:w="1430"/>
        <w:gridCol w:w="1343"/>
        <w:gridCol w:w="1343"/>
        <w:gridCol w:w="1343"/>
      </w:tblGrid>
      <w:tr w:rsidR="00BD458D" w:rsidTr="00BD458D">
        <w:tc>
          <w:tcPr>
            <w:tcW w:w="1368" w:type="dxa"/>
            <w:vAlign w:val="center"/>
          </w:tcPr>
          <w:p w:rsidR="00BD458D" w:rsidRPr="00BD458D" w:rsidRDefault="00BD458D" w:rsidP="00BD458D">
            <w:pPr>
              <w:spacing w:after="200" w:line="360" w:lineRule="auto"/>
              <w:jc w:val="center"/>
              <w:rPr>
                <w:b/>
              </w:rPr>
            </w:pPr>
          </w:p>
        </w:tc>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Pr="00BD458D" w:rsidRDefault="00BD458D" w:rsidP="00BD458D">
            <w:pPr>
              <w:spacing w:after="200" w:line="360" w:lineRule="auto"/>
              <w:jc w:val="center"/>
              <w:rPr>
                <w:b/>
              </w:rPr>
            </w:pPr>
            <w:r>
              <w:rPr>
                <w:b/>
              </w:rPr>
              <w:t>Equity</w:t>
            </w:r>
          </w:p>
        </w:tc>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Pr="00BD458D" w:rsidRDefault="00BD458D" w:rsidP="00BD458D">
            <w:pPr>
              <w:spacing w:after="200" w:line="360" w:lineRule="auto"/>
              <w:jc w:val="center"/>
              <w:rPr>
                <w:b/>
              </w:rPr>
            </w:pPr>
            <w:r>
              <w:rPr>
                <w:b/>
              </w:rPr>
              <w:t>Inflation</w:t>
            </w:r>
          </w:p>
        </w:tc>
      </w:tr>
      <w:tr w:rsidR="00BD458D" w:rsidTr="00BD458D">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lastRenderedPageBreak/>
              <w:t>FX</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Perimeter</w:t>
            </w:r>
          </w:p>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Equity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Inflation</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bl>
    <w:p w:rsidR="00BD458D" w:rsidRDefault="00BD458D" w:rsidP="00BD458D">
      <w:pPr>
        <w:spacing w:after="200" w:line="360" w:lineRule="auto"/>
      </w:pPr>
    </w:p>
    <w:p w:rsidR="00BD458D" w:rsidRDefault="00BD458D" w:rsidP="00D83552">
      <w:pPr>
        <w:pStyle w:val="ListParagraph"/>
        <w:numPr>
          <w:ilvl w:val="0"/>
          <w:numId w:val="102"/>
        </w:numPr>
        <w:spacing w:after="200" w:line="360" w:lineRule="auto"/>
      </w:pPr>
      <w:r w:rsidRPr="00BD458D">
        <w:rPr>
          <w:u w:val="single"/>
        </w:rPr>
        <w:t>Correlations across Major Commodities Futures</w:t>
      </w:r>
      <w:r>
        <w:t>: Correlations between the prompt contracts of the major commodities futures are obtained from Perimeter (market implied correlation from European basket options on commodity pairs), while all other correlation coefficients are estimated from historical data.</w:t>
      </w:r>
    </w:p>
    <w:p w:rsidR="00BD458D" w:rsidRDefault="00BD458D" w:rsidP="00D83552">
      <w:pPr>
        <w:pStyle w:val="ListParagraph"/>
        <w:numPr>
          <w:ilvl w:val="0"/>
          <w:numId w:val="102"/>
        </w:numPr>
        <w:spacing w:after="200" w:line="360" w:lineRule="auto"/>
      </w:pPr>
      <w:r>
        <w:rPr>
          <w:u w:val="single"/>
        </w:rPr>
        <w:t>Log-Normal Historical Returns Correlation</w:t>
      </w:r>
      <w:r w:rsidRPr="00BD458D">
        <w:t>:</w:t>
      </w:r>
      <w:r>
        <w:t xml:space="preserve"> Pearson correlation with multiple years of historical data based on lognormal returns are computed. Correlation matrix can typically be updated on a monthly basis (or as needed).</w:t>
      </w:r>
    </w:p>
    <w:p w:rsidR="00BD458D" w:rsidRDefault="00BD458D" w:rsidP="00D83552">
      <w:pPr>
        <w:pStyle w:val="ListParagraph"/>
        <w:numPr>
          <w:ilvl w:val="0"/>
          <w:numId w:val="102"/>
        </w:numPr>
        <w:spacing w:after="200" w:line="360" w:lineRule="auto"/>
      </w:pPr>
      <w:r>
        <w:rPr>
          <w:u w:val="single"/>
        </w:rPr>
        <w:t>Validity of Pooled Correlation Matrices</w:t>
      </w:r>
      <w:r w:rsidRPr="00BD458D">
        <w:t>:</w:t>
      </w:r>
      <w:r>
        <w:t xml:space="preserve"> As some of the correlation coefficients are obtained from Calypso/Perimeter, </w:t>
      </w:r>
      <w:r w:rsidR="00CC454E">
        <w:t>and others are calculated from historical data, when they are pooled, the validity of the correlation matrices (e.g., positive definiteness, as well as numerical singularity) needs to be checked.</w:t>
      </w:r>
    </w:p>
    <w:p w:rsidR="00CC454E" w:rsidRDefault="00CC454E" w:rsidP="00D83552">
      <w:pPr>
        <w:pStyle w:val="ListParagraph"/>
        <w:numPr>
          <w:ilvl w:val="0"/>
          <w:numId w:val="102"/>
        </w:numPr>
        <w:spacing w:after="200" w:line="360" w:lineRule="auto"/>
      </w:pPr>
      <w:r>
        <w:rPr>
          <w:u w:val="single"/>
        </w:rPr>
        <w:t>Conversion to Nearest Correlation Matrix</w:t>
      </w:r>
      <w:r w:rsidRPr="00CC454E">
        <w:t>:</w:t>
      </w:r>
      <w:r>
        <w:t xml:space="preserve"> To handle numerical singularity, Jackel’s approach is used; it finds a similar matrix that is positive definite (replacing non-positive eigenvalues with a small positive value).</w:t>
      </w:r>
    </w:p>
    <w:p w:rsidR="00CC454E" w:rsidRDefault="00CC454E" w:rsidP="00D83552">
      <w:pPr>
        <w:pStyle w:val="ListParagraph"/>
        <w:numPr>
          <w:ilvl w:val="0"/>
          <w:numId w:val="102"/>
        </w:numPr>
        <w:spacing w:after="200" w:line="360" w:lineRule="auto"/>
      </w:pPr>
      <w:r>
        <w:rPr>
          <w:u w:val="single"/>
        </w:rPr>
        <w:t>Centralized Random Number Generation Customization</w:t>
      </w:r>
      <w:r w:rsidRPr="00CC454E">
        <w:t>:</w:t>
      </w:r>
    </w:p>
    <w:tbl>
      <w:tblPr>
        <w:tblStyle w:val="TableGrid"/>
        <w:tblW w:w="0" w:type="auto"/>
        <w:tblLook w:val="04A0" w:firstRow="1" w:lastRow="0" w:firstColumn="1" w:lastColumn="0" w:noHBand="0" w:noVBand="1"/>
      </w:tblPr>
      <w:tblGrid>
        <w:gridCol w:w="2628"/>
        <w:gridCol w:w="6948"/>
      </w:tblGrid>
      <w:tr w:rsidR="00CC454E" w:rsidTr="00CC454E">
        <w:tc>
          <w:tcPr>
            <w:tcW w:w="2628" w:type="dxa"/>
            <w:vAlign w:val="center"/>
          </w:tcPr>
          <w:p w:rsidR="00CC454E" w:rsidRPr="00CC454E" w:rsidRDefault="00CC454E" w:rsidP="00CC454E">
            <w:pPr>
              <w:spacing w:after="200" w:line="360" w:lineRule="auto"/>
              <w:jc w:val="center"/>
              <w:rPr>
                <w:b/>
              </w:rPr>
            </w:pPr>
            <w:r>
              <w:rPr>
                <w:b/>
              </w:rPr>
              <w:t>Parameter</w:t>
            </w:r>
          </w:p>
        </w:tc>
        <w:tc>
          <w:tcPr>
            <w:tcW w:w="6948" w:type="dxa"/>
            <w:vAlign w:val="center"/>
          </w:tcPr>
          <w:p w:rsidR="00CC454E" w:rsidRPr="00CC454E" w:rsidRDefault="00CC454E" w:rsidP="00CC454E">
            <w:pPr>
              <w:spacing w:after="200" w:line="360" w:lineRule="auto"/>
              <w:jc w:val="center"/>
              <w:rPr>
                <w:b/>
              </w:rPr>
            </w:pPr>
            <w:r>
              <w:rPr>
                <w:b/>
              </w:rPr>
              <w:t>Description</w:t>
            </w:r>
          </w:p>
        </w:tc>
      </w:tr>
      <w:tr w:rsidR="00CC454E" w:rsidTr="00CC454E">
        <w:tc>
          <w:tcPr>
            <w:tcW w:w="2628" w:type="dxa"/>
            <w:vAlign w:val="center"/>
          </w:tcPr>
          <w:p w:rsidR="00CC454E" w:rsidRDefault="00CC454E" w:rsidP="00CC454E">
            <w:pPr>
              <w:spacing w:after="200" w:line="360" w:lineRule="auto"/>
              <w:jc w:val="center"/>
            </w:pPr>
            <w:r>
              <w:t>OutputRequest</w:t>
            </w:r>
          </w:p>
        </w:tc>
        <w:tc>
          <w:tcPr>
            <w:tcW w:w="6948" w:type="dxa"/>
            <w:vAlign w:val="center"/>
          </w:tcPr>
          <w:p w:rsidR="00CC454E" w:rsidRDefault="00CC454E" w:rsidP="00CC454E">
            <w:pPr>
              <w:spacing w:after="200" w:line="360" w:lineRule="auto"/>
              <w:jc w:val="center"/>
            </w:pPr>
            <w:r>
              <w:t>Outputs desired</w:t>
            </w:r>
          </w:p>
        </w:tc>
      </w:tr>
      <w:tr w:rsidR="00CC454E" w:rsidTr="00CC454E">
        <w:tc>
          <w:tcPr>
            <w:tcW w:w="2628" w:type="dxa"/>
            <w:vAlign w:val="center"/>
          </w:tcPr>
          <w:p w:rsidR="00CC454E" w:rsidRDefault="00CC454E" w:rsidP="00CC454E">
            <w:pPr>
              <w:spacing w:after="200" w:line="360" w:lineRule="auto"/>
              <w:jc w:val="center"/>
            </w:pPr>
            <w:r>
              <w:lastRenderedPageBreak/>
              <w:t>Name</w:t>
            </w:r>
          </w:p>
        </w:tc>
        <w:tc>
          <w:tcPr>
            <w:tcW w:w="6948" w:type="dxa"/>
            <w:vAlign w:val="center"/>
          </w:tcPr>
          <w:p w:rsidR="00CC454E" w:rsidRDefault="00CC454E" w:rsidP="00CC454E">
            <w:pPr>
              <w:spacing w:after="200" w:line="360" w:lineRule="auto"/>
              <w:jc w:val="center"/>
            </w:pPr>
            <w:r>
              <w:t>CRNG Name</w:t>
            </w:r>
          </w:p>
        </w:tc>
      </w:tr>
      <w:tr w:rsidR="00CC454E" w:rsidTr="00CC454E">
        <w:tc>
          <w:tcPr>
            <w:tcW w:w="2628" w:type="dxa"/>
            <w:vAlign w:val="center"/>
          </w:tcPr>
          <w:p w:rsidR="00CC454E" w:rsidRDefault="00CC454E" w:rsidP="00CC454E">
            <w:pPr>
              <w:spacing w:after="200" w:line="360" w:lineRule="auto"/>
              <w:jc w:val="center"/>
            </w:pPr>
            <w:r>
              <w:t>ScenarioName</w:t>
            </w:r>
          </w:p>
        </w:tc>
        <w:tc>
          <w:tcPr>
            <w:tcW w:w="6948" w:type="dxa"/>
            <w:vAlign w:val="center"/>
          </w:tcPr>
          <w:p w:rsidR="00CC454E" w:rsidRDefault="00CC454E" w:rsidP="00CC454E">
            <w:pPr>
              <w:spacing w:after="200" w:line="360" w:lineRule="auto"/>
              <w:jc w:val="center"/>
            </w:pPr>
            <w:r>
              <w:t>Scenario Name</w:t>
            </w:r>
          </w:p>
        </w:tc>
      </w:tr>
      <w:tr w:rsidR="00CC454E" w:rsidTr="00CC454E">
        <w:tc>
          <w:tcPr>
            <w:tcW w:w="2628" w:type="dxa"/>
            <w:vAlign w:val="center"/>
          </w:tcPr>
          <w:p w:rsidR="00CC454E" w:rsidRDefault="00CC454E" w:rsidP="00CC454E">
            <w:pPr>
              <w:spacing w:after="200" w:line="360" w:lineRule="auto"/>
              <w:jc w:val="center"/>
            </w:pPr>
            <w:r>
              <w:t>TimeSteps</w:t>
            </w:r>
          </w:p>
        </w:tc>
        <w:tc>
          <w:tcPr>
            <w:tcW w:w="6948" w:type="dxa"/>
            <w:vAlign w:val="center"/>
          </w:tcPr>
          <w:p w:rsidR="00CC454E" w:rsidRDefault="00CC454E" w:rsidP="00CC454E">
            <w:pPr>
              <w:spacing w:after="200" w:line="360" w:lineRule="auto"/>
              <w:jc w:val="center"/>
            </w:pPr>
            <w:r>
              <w:t>Array of Time Steps</w:t>
            </w:r>
          </w:p>
        </w:tc>
      </w:tr>
      <w:tr w:rsidR="00CC454E" w:rsidTr="00CC454E">
        <w:tc>
          <w:tcPr>
            <w:tcW w:w="2628" w:type="dxa"/>
            <w:vAlign w:val="center"/>
          </w:tcPr>
          <w:p w:rsidR="00CC454E" w:rsidRDefault="00CC454E" w:rsidP="00CC454E">
            <w:pPr>
              <w:spacing w:after="200" w:line="360" w:lineRule="auto"/>
              <w:jc w:val="center"/>
            </w:pPr>
            <w:r>
              <w:t>NumPaths</w:t>
            </w:r>
          </w:p>
        </w:tc>
        <w:tc>
          <w:tcPr>
            <w:tcW w:w="6948" w:type="dxa"/>
            <w:vAlign w:val="center"/>
          </w:tcPr>
          <w:p w:rsidR="00CC454E" w:rsidRDefault="00CC454E" w:rsidP="00CC454E">
            <w:pPr>
              <w:spacing w:after="200" w:line="360" w:lineRule="auto"/>
              <w:jc w:val="center"/>
            </w:pPr>
            <w:r>
              <w:t>Number of Paths</w:t>
            </w:r>
          </w:p>
        </w:tc>
      </w:tr>
      <w:tr w:rsidR="00CC454E" w:rsidTr="00CC454E">
        <w:tc>
          <w:tcPr>
            <w:tcW w:w="2628" w:type="dxa"/>
            <w:vAlign w:val="center"/>
          </w:tcPr>
          <w:p w:rsidR="00CC454E" w:rsidRDefault="00CC454E" w:rsidP="00CC454E">
            <w:pPr>
              <w:spacing w:after="200" w:line="360" w:lineRule="auto"/>
              <w:jc w:val="center"/>
            </w:pPr>
            <w:r>
              <w:t>useQuadResample</w:t>
            </w:r>
          </w:p>
        </w:tc>
        <w:tc>
          <w:tcPr>
            <w:tcW w:w="6948" w:type="dxa"/>
            <w:vAlign w:val="center"/>
          </w:tcPr>
          <w:p w:rsidR="00CC454E" w:rsidRDefault="00CC454E" w:rsidP="00CC454E">
            <w:pPr>
              <w:spacing w:after="200" w:line="360" w:lineRule="auto"/>
              <w:jc w:val="center"/>
            </w:pPr>
            <w:r>
              <w:t>Whether Quadratic resampling is used</w:t>
            </w:r>
          </w:p>
        </w:tc>
      </w:tr>
      <w:tr w:rsidR="00CC454E" w:rsidTr="00CC454E">
        <w:tc>
          <w:tcPr>
            <w:tcW w:w="2628" w:type="dxa"/>
            <w:vAlign w:val="center"/>
          </w:tcPr>
          <w:p w:rsidR="00CC454E" w:rsidRDefault="00CC454E" w:rsidP="00CC454E">
            <w:pPr>
              <w:spacing w:after="200" w:line="360" w:lineRule="auto"/>
              <w:jc w:val="center"/>
            </w:pPr>
            <w:r>
              <w:t>isAntithetic</w:t>
            </w:r>
          </w:p>
        </w:tc>
        <w:tc>
          <w:tcPr>
            <w:tcW w:w="6948" w:type="dxa"/>
            <w:vAlign w:val="center"/>
          </w:tcPr>
          <w:p w:rsidR="00CC454E" w:rsidRDefault="00CC454E" w:rsidP="00CC454E">
            <w:pPr>
              <w:spacing w:after="200" w:line="360" w:lineRule="auto"/>
              <w:jc w:val="center"/>
            </w:pPr>
            <w:r>
              <w:t>Whether Antithetic Paths are Simulated</w:t>
            </w:r>
          </w:p>
        </w:tc>
      </w:tr>
      <w:tr w:rsidR="00CC454E" w:rsidTr="00CC454E">
        <w:tc>
          <w:tcPr>
            <w:tcW w:w="2628" w:type="dxa"/>
            <w:vAlign w:val="center"/>
          </w:tcPr>
          <w:p w:rsidR="00CC454E" w:rsidRDefault="00CC454E" w:rsidP="00CC454E">
            <w:pPr>
              <w:spacing w:after="200" w:line="360" w:lineRule="auto"/>
              <w:jc w:val="center"/>
            </w:pPr>
            <w:r>
              <w:t>PrimaryFactors</w:t>
            </w:r>
          </w:p>
        </w:tc>
        <w:tc>
          <w:tcPr>
            <w:tcW w:w="6948" w:type="dxa"/>
            <w:vAlign w:val="center"/>
          </w:tcPr>
          <w:p w:rsidR="00CC454E" w:rsidRDefault="00CC454E" w:rsidP="00CC454E">
            <w:pPr>
              <w:spacing w:after="200" w:line="360" w:lineRule="auto"/>
              <w:jc w:val="center"/>
            </w:pPr>
            <w:r>
              <w:t>Primary Market Factors</w:t>
            </w:r>
          </w:p>
        </w:tc>
      </w:tr>
      <w:tr w:rsidR="00CC454E" w:rsidTr="00CC454E">
        <w:tc>
          <w:tcPr>
            <w:tcW w:w="2628" w:type="dxa"/>
            <w:vAlign w:val="center"/>
          </w:tcPr>
          <w:p w:rsidR="00CC454E" w:rsidRDefault="00CC454E" w:rsidP="00CC454E">
            <w:pPr>
              <w:spacing w:after="200" w:line="360" w:lineRule="auto"/>
              <w:jc w:val="center"/>
            </w:pPr>
            <w:r>
              <w:t>Correlation</w:t>
            </w:r>
          </w:p>
        </w:tc>
        <w:tc>
          <w:tcPr>
            <w:tcW w:w="6948" w:type="dxa"/>
            <w:vAlign w:val="center"/>
          </w:tcPr>
          <w:p w:rsidR="00CC454E" w:rsidRDefault="00CC454E" w:rsidP="00CC454E">
            <w:pPr>
              <w:spacing w:after="200" w:line="360" w:lineRule="auto"/>
              <w:jc w:val="center"/>
            </w:pPr>
            <w:r>
              <w:t>Correlation between the Primary Market Factors</w:t>
            </w:r>
          </w:p>
        </w:tc>
      </w:tr>
      <w:tr w:rsidR="00CC454E" w:rsidTr="00CC454E">
        <w:tc>
          <w:tcPr>
            <w:tcW w:w="2628" w:type="dxa"/>
            <w:vAlign w:val="center"/>
          </w:tcPr>
          <w:p w:rsidR="00CC454E" w:rsidRDefault="00CC454E" w:rsidP="00CC454E">
            <w:pPr>
              <w:spacing w:after="200" w:line="360" w:lineRule="auto"/>
              <w:jc w:val="center"/>
            </w:pPr>
            <w:r>
              <w:t>SecondaryFactors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rfRequestedFactors</w:t>
            </w:r>
          </w:p>
        </w:tc>
        <w:tc>
          <w:tcPr>
            <w:tcW w:w="6948" w:type="dxa"/>
            <w:vAlign w:val="center"/>
          </w:tcPr>
          <w:p w:rsidR="00CC454E" w:rsidRDefault="00CC454E" w:rsidP="00CC454E">
            <w:pPr>
              <w:spacing w:after="200" w:line="360" w:lineRule="auto"/>
              <w:jc w:val="center"/>
            </w:pPr>
            <w:r>
              <w:t>Risk Factors to Generate Random Numbers for</w:t>
            </w:r>
          </w:p>
        </w:tc>
      </w:tr>
      <w:tr w:rsidR="00CC454E" w:rsidTr="00CC454E">
        <w:tc>
          <w:tcPr>
            <w:tcW w:w="2628" w:type="dxa"/>
            <w:vAlign w:val="center"/>
          </w:tcPr>
          <w:p w:rsidR="00CC454E" w:rsidRDefault="00CC454E" w:rsidP="00CC454E">
            <w:pPr>
              <w:spacing w:after="200" w:line="360" w:lineRule="auto"/>
              <w:jc w:val="center"/>
            </w:pPr>
            <w:r>
              <w:t>Storage</w:t>
            </w:r>
          </w:p>
        </w:tc>
        <w:tc>
          <w:tcPr>
            <w:tcW w:w="6948" w:type="dxa"/>
            <w:vAlign w:val="center"/>
          </w:tcPr>
          <w:p w:rsidR="00CC454E" w:rsidRDefault="00CC454E" w:rsidP="00CC454E">
            <w:pPr>
              <w:spacing w:after="200" w:line="360" w:lineRule="auto"/>
              <w:jc w:val="center"/>
            </w:pPr>
            <w:r>
              <w:t>Storage Type for the Output</w:t>
            </w:r>
          </w:p>
        </w:tc>
      </w:tr>
      <w:tr w:rsidR="00CC454E" w:rsidTr="00CC454E">
        <w:tc>
          <w:tcPr>
            <w:tcW w:w="2628" w:type="dxa"/>
            <w:vAlign w:val="center"/>
          </w:tcPr>
          <w:p w:rsidR="00CC454E" w:rsidRDefault="00CC454E" w:rsidP="00CC454E">
            <w:pPr>
              <w:spacing w:after="200" w:line="360" w:lineRule="auto"/>
              <w:jc w:val="center"/>
            </w:pPr>
            <w:r>
              <w:t>Seed</w:t>
            </w:r>
          </w:p>
        </w:tc>
        <w:tc>
          <w:tcPr>
            <w:tcW w:w="6948" w:type="dxa"/>
            <w:vAlign w:val="center"/>
          </w:tcPr>
          <w:p w:rsidR="00CC454E" w:rsidRDefault="00CC454E" w:rsidP="00CC454E">
            <w:pPr>
              <w:spacing w:after="200" w:line="360" w:lineRule="auto"/>
              <w:jc w:val="center"/>
            </w:pPr>
            <w:r>
              <w:t>Seed for the Random Number Generator</w:t>
            </w:r>
          </w:p>
        </w:tc>
      </w:tr>
      <w:tr w:rsidR="00CC454E" w:rsidTr="00CC454E">
        <w:tc>
          <w:tcPr>
            <w:tcW w:w="2628" w:type="dxa"/>
            <w:vAlign w:val="center"/>
          </w:tcPr>
          <w:p w:rsidR="00CC454E" w:rsidRDefault="00CC454E" w:rsidP="00CC454E">
            <w:pPr>
              <w:spacing w:after="200" w:line="360" w:lineRule="auto"/>
              <w:jc w:val="center"/>
            </w:pPr>
            <w:r>
              <w:t>URI</w:t>
            </w:r>
          </w:p>
        </w:tc>
        <w:tc>
          <w:tcPr>
            <w:tcW w:w="6948" w:type="dxa"/>
            <w:vAlign w:val="center"/>
          </w:tcPr>
          <w:p w:rsidR="00CC454E" w:rsidRDefault="00CC454E" w:rsidP="00CC454E">
            <w:pPr>
              <w:spacing w:after="200" w:line="360" w:lineRule="auto"/>
              <w:jc w:val="center"/>
            </w:pPr>
            <w:r>
              <w:t>URI for the Storage</w:t>
            </w:r>
          </w:p>
        </w:tc>
      </w:tr>
      <w:tr w:rsidR="00CC454E" w:rsidTr="00CC454E">
        <w:tc>
          <w:tcPr>
            <w:tcW w:w="2628" w:type="dxa"/>
            <w:vAlign w:val="center"/>
          </w:tcPr>
          <w:p w:rsidR="00CC454E" w:rsidRDefault="00CC454E" w:rsidP="00CC454E">
            <w:pPr>
              <w:spacing w:after="200" w:line="360" w:lineRule="auto"/>
              <w:jc w:val="center"/>
            </w:pPr>
            <w:r>
              <w:t>BlockSize</w:t>
            </w:r>
          </w:p>
        </w:tc>
        <w:tc>
          <w:tcPr>
            <w:tcW w:w="6948" w:type="dxa"/>
            <w:vAlign w:val="center"/>
          </w:tcPr>
          <w:p w:rsidR="00CC454E" w:rsidRDefault="00CC454E" w:rsidP="00CC454E">
            <w:pPr>
              <w:spacing w:after="200" w:line="360" w:lineRule="auto"/>
              <w:jc w:val="center"/>
            </w:pPr>
            <w:r>
              <w:t>Block Size used in Quadratic Resampling</w:t>
            </w:r>
          </w:p>
        </w:tc>
      </w:tr>
      <w:tr w:rsidR="00CC454E" w:rsidTr="00CC454E">
        <w:tc>
          <w:tcPr>
            <w:tcW w:w="2628" w:type="dxa"/>
            <w:vAlign w:val="center"/>
          </w:tcPr>
          <w:p w:rsidR="00CC454E" w:rsidRDefault="00CC454E" w:rsidP="00CC454E">
            <w:pPr>
              <w:spacing w:after="200" w:line="360" w:lineRule="auto"/>
              <w:jc w:val="center"/>
            </w:pPr>
            <w:r>
              <w:t>BumpCorrFactors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BumpCorrAmount</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BumpBetaAmount</w:t>
            </w:r>
          </w:p>
        </w:tc>
        <w:tc>
          <w:tcPr>
            <w:tcW w:w="6948" w:type="dxa"/>
            <w:vAlign w:val="center"/>
          </w:tcPr>
          <w:p w:rsidR="00CC454E" w:rsidRDefault="00CC454E" w:rsidP="00CC454E">
            <w:pPr>
              <w:spacing w:after="200" w:line="360" w:lineRule="auto"/>
              <w:jc w:val="center"/>
            </w:pPr>
            <w:r>
              <w:t>Bump Size for the Beta Coefficients</w:t>
            </w:r>
          </w:p>
        </w:tc>
      </w:tr>
      <w:tr w:rsidR="00CC454E" w:rsidTr="00CC454E">
        <w:tc>
          <w:tcPr>
            <w:tcW w:w="2628" w:type="dxa"/>
            <w:vAlign w:val="center"/>
          </w:tcPr>
          <w:p w:rsidR="00CC454E" w:rsidRDefault="00CC454E" w:rsidP="00CC454E">
            <w:pPr>
              <w:spacing w:after="200" w:line="360" w:lineRule="auto"/>
              <w:jc w:val="center"/>
            </w:pPr>
            <w:r>
              <w:t>MarketDate</w:t>
            </w:r>
          </w:p>
        </w:tc>
        <w:tc>
          <w:tcPr>
            <w:tcW w:w="6948" w:type="dxa"/>
            <w:vAlign w:val="center"/>
          </w:tcPr>
          <w:p w:rsidR="00CC454E" w:rsidRDefault="00CC454E" w:rsidP="00CC454E">
            <w:pPr>
              <w:spacing w:after="200" w:line="360" w:lineRule="auto"/>
              <w:jc w:val="center"/>
            </w:pPr>
            <w:r>
              <w:t>Optional, Run Date for the Random Numbers</w:t>
            </w:r>
          </w:p>
        </w:tc>
      </w:tr>
    </w:tbl>
    <w:p w:rsidR="00CC454E" w:rsidRDefault="00CC454E" w:rsidP="00CC454E">
      <w:pPr>
        <w:spacing w:after="200" w:line="360" w:lineRule="auto"/>
      </w:pPr>
    </w:p>
    <w:p w:rsidR="00206443" w:rsidRDefault="00206443" w:rsidP="00CC454E">
      <w:pPr>
        <w:spacing w:after="200" w:line="360" w:lineRule="auto"/>
      </w:pPr>
    </w:p>
    <w:p w:rsidR="00206443" w:rsidRPr="00206443" w:rsidRDefault="00206443" w:rsidP="00CC454E">
      <w:pPr>
        <w:spacing w:after="200" w:line="360" w:lineRule="auto"/>
        <w:rPr>
          <w:b/>
          <w:sz w:val="28"/>
          <w:szCs w:val="28"/>
        </w:rPr>
      </w:pPr>
      <w:r w:rsidRPr="00206443">
        <w:rPr>
          <w:b/>
          <w:sz w:val="28"/>
          <w:szCs w:val="28"/>
        </w:rPr>
        <w:t>Testing</w:t>
      </w:r>
    </w:p>
    <w:p w:rsidR="00206443" w:rsidRDefault="00206443" w:rsidP="008F462D">
      <w:pPr>
        <w:spacing w:after="200" w:line="360" w:lineRule="auto"/>
        <w:rPr>
          <w:b/>
        </w:rPr>
      </w:pPr>
    </w:p>
    <w:p w:rsidR="00206443" w:rsidRDefault="00206443" w:rsidP="00D83552">
      <w:pPr>
        <w:pStyle w:val="ListParagraph"/>
        <w:numPr>
          <w:ilvl w:val="0"/>
          <w:numId w:val="103"/>
        </w:numPr>
        <w:spacing w:after="200" w:line="360" w:lineRule="auto"/>
      </w:pPr>
      <w:r w:rsidRPr="00206443">
        <w:rPr>
          <w:u w:val="single"/>
        </w:rPr>
        <w:t>Characterizing Monte Carlo Sequence Errors</w:t>
      </w:r>
      <w:r w:rsidRPr="00206443">
        <w:t xml:space="preserve">: </w:t>
      </w:r>
      <w:r>
        <w:t>By design the cross-correlations between the time steps are zero, and the cross-correlations between the risk factors are input correlations. Consider the Monte-Carlo error; the actual correlations will only be close to the theoretical values.</w:t>
      </w:r>
    </w:p>
    <w:p w:rsidR="00206443" w:rsidRDefault="00206443" w:rsidP="00D83552">
      <w:pPr>
        <w:pStyle w:val="ListParagraph"/>
        <w:numPr>
          <w:ilvl w:val="0"/>
          <w:numId w:val="103"/>
        </w:numPr>
        <w:spacing w:after="200" w:line="360" w:lineRule="auto"/>
      </w:pPr>
      <w:r>
        <w:rPr>
          <w:u w:val="single"/>
        </w:rPr>
        <w:t>Risk Factors Cross Correlation Errors</w:t>
      </w:r>
      <w:r w:rsidRPr="00206443">
        <w:t>:</w:t>
      </w:r>
      <w:r>
        <w:t xml:space="preserve"> The results for an initial test are contained in the table below. For cross-correlation between the different risk factors, the simulation error is about 1%. For cross-correlation between the steps the simulation error is about 3%.</w:t>
      </w:r>
    </w:p>
    <w:p w:rsidR="00206443" w:rsidRDefault="00206443" w:rsidP="00D83552">
      <w:pPr>
        <w:pStyle w:val="ListParagraph"/>
        <w:numPr>
          <w:ilvl w:val="0"/>
          <w:numId w:val="103"/>
        </w:numPr>
        <w:spacing w:after="200" w:line="360" w:lineRule="auto"/>
      </w:pPr>
      <w:r>
        <w:rPr>
          <w:u w:val="single"/>
        </w:rPr>
        <w:t>Risk Factor Serial Correlation Errors</w:t>
      </w:r>
      <w:r w:rsidRPr="00206443">
        <w:t>:</w:t>
      </w:r>
      <w:r>
        <w:t xml:space="preserve"> The first column is the input correlation coefficients between these risk factors and the USD 3M LIBOR. The second column contains the correlation coefficients of the generated random numbers. Column 3 contains the differences. Column 4 contains the average step-wise correlation for the first 5 steps. The calculation is based on 1,000 paths and 5 time steps.</w:t>
      </w:r>
    </w:p>
    <w:tbl>
      <w:tblPr>
        <w:tblStyle w:val="TableGrid"/>
        <w:tblW w:w="0" w:type="auto"/>
        <w:tblLook w:val="04A0" w:firstRow="1" w:lastRow="0" w:firstColumn="1" w:lastColumn="0" w:noHBand="0" w:noVBand="1"/>
      </w:tblPr>
      <w:tblGrid>
        <w:gridCol w:w="2358"/>
        <w:gridCol w:w="2250"/>
        <w:gridCol w:w="1710"/>
        <w:gridCol w:w="1369"/>
        <w:gridCol w:w="1889"/>
      </w:tblGrid>
      <w:tr w:rsidR="00206443" w:rsidTr="00206443">
        <w:tc>
          <w:tcPr>
            <w:tcW w:w="2358" w:type="dxa"/>
            <w:vAlign w:val="center"/>
          </w:tcPr>
          <w:p w:rsidR="00206443" w:rsidRPr="00206443" w:rsidRDefault="00206443" w:rsidP="00206443">
            <w:pPr>
              <w:spacing w:after="200" w:line="360" w:lineRule="auto"/>
              <w:jc w:val="center"/>
              <w:rPr>
                <w:b/>
              </w:rPr>
            </w:pPr>
            <w:r>
              <w:rPr>
                <w:b/>
              </w:rPr>
              <w:t>Risk Factor</w:t>
            </w:r>
          </w:p>
        </w:tc>
        <w:tc>
          <w:tcPr>
            <w:tcW w:w="2250" w:type="dxa"/>
            <w:vAlign w:val="center"/>
          </w:tcPr>
          <w:p w:rsidR="00206443" w:rsidRPr="00206443" w:rsidRDefault="00206443" w:rsidP="00206443">
            <w:pPr>
              <w:spacing w:after="200" w:line="360" w:lineRule="auto"/>
              <w:jc w:val="center"/>
              <w:rPr>
                <w:b/>
              </w:rPr>
            </w:pPr>
            <w:r>
              <w:rPr>
                <w:b/>
              </w:rPr>
              <w:t>Input Correlation with USD_LIBOR_3M</w:t>
            </w:r>
          </w:p>
        </w:tc>
        <w:tc>
          <w:tcPr>
            <w:tcW w:w="1710" w:type="dxa"/>
            <w:vAlign w:val="center"/>
          </w:tcPr>
          <w:p w:rsidR="00206443" w:rsidRPr="00206443" w:rsidRDefault="00206443" w:rsidP="00206443">
            <w:pPr>
              <w:spacing w:after="200" w:line="360" w:lineRule="auto"/>
              <w:jc w:val="center"/>
              <w:rPr>
                <w:b/>
              </w:rPr>
            </w:pPr>
            <w:r>
              <w:rPr>
                <w:b/>
              </w:rPr>
              <w:t>Simulated Correlation</w:t>
            </w:r>
          </w:p>
        </w:tc>
        <w:tc>
          <w:tcPr>
            <w:tcW w:w="1369" w:type="dxa"/>
            <w:vAlign w:val="center"/>
          </w:tcPr>
          <w:p w:rsidR="00206443" w:rsidRPr="00206443" w:rsidRDefault="00206443" w:rsidP="00206443">
            <w:pPr>
              <w:spacing w:after="200" w:line="360" w:lineRule="auto"/>
              <w:jc w:val="center"/>
              <w:rPr>
                <w:b/>
              </w:rPr>
            </w:pPr>
            <w:r>
              <w:rPr>
                <w:b/>
              </w:rPr>
              <w:t>Difference</w:t>
            </w:r>
          </w:p>
        </w:tc>
        <w:tc>
          <w:tcPr>
            <w:tcW w:w="1889" w:type="dxa"/>
            <w:vAlign w:val="center"/>
          </w:tcPr>
          <w:p w:rsidR="00206443" w:rsidRPr="00206443" w:rsidRDefault="00206443" w:rsidP="00206443">
            <w:pPr>
              <w:spacing w:after="200" w:line="360" w:lineRule="auto"/>
              <w:jc w:val="center"/>
              <w:rPr>
                <w:b/>
              </w:rPr>
            </w:pPr>
            <w:r>
              <w:rPr>
                <w:b/>
              </w:rPr>
              <w:t>Average Cross-Step Correlation</w:t>
            </w:r>
          </w:p>
        </w:tc>
      </w:tr>
      <w:tr w:rsidR="00206443" w:rsidTr="00206443">
        <w:tc>
          <w:tcPr>
            <w:tcW w:w="2358" w:type="dxa"/>
            <w:vAlign w:val="center"/>
          </w:tcPr>
          <w:p w:rsidR="00206443" w:rsidRDefault="00206443" w:rsidP="00206443">
            <w:pPr>
              <w:spacing w:after="200" w:line="360" w:lineRule="auto"/>
              <w:jc w:val="center"/>
            </w:pPr>
            <w:r>
              <w:t>EUR_LIBOR_3M</w:t>
            </w:r>
          </w:p>
        </w:tc>
        <w:tc>
          <w:tcPr>
            <w:tcW w:w="2250" w:type="dxa"/>
            <w:vAlign w:val="center"/>
          </w:tcPr>
          <w:p w:rsidR="00206443" w:rsidRDefault="00206443" w:rsidP="00206443">
            <w:pPr>
              <w:spacing w:after="200" w:line="360" w:lineRule="auto"/>
              <w:jc w:val="center"/>
            </w:pPr>
            <w:r>
              <w:t>16.1%</w:t>
            </w:r>
          </w:p>
        </w:tc>
        <w:tc>
          <w:tcPr>
            <w:tcW w:w="1710" w:type="dxa"/>
            <w:vAlign w:val="center"/>
          </w:tcPr>
          <w:p w:rsidR="00206443" w:rsidRDefault="00544737" w:rsidP="00206443">
            <w:pPr>
              <w:spacing w:after="200" w:line="360" w:lineRule="auto"/>
              <w:jc w:val="center"/>
            </w:pPr>
            <w:r>
              <w:t>15.8%</w:t>
            </w:r>
          </w:p>
        </w:tc>
        <w:tc>
          <w:tcPr>
            <w:tcW w:w="1369" w:type="dxa"/>
            <w:vAlign w:val="center"/>
          </w:tcPr>
          <w:p w:rsidR="00206443" w:rsidRDefault="00544737" w:rsidP="00206443">
            <w:pPr>
              <w:spacing w:after="200" w:line="360" w:lineRule="auto"/>
              <w:jc w:val="center"/>
            </w:pPr>
            <w:r>
              <w:t>-0.3%</w:t>
            </w:r>
          </w:p>
        </w:tc>
        <w:tc>
          <w:tcPr>
            <w:tcW w:w="1889" w:type="dxa"/>
            <w:vAlign w:val="center"/>
          </w:tcPr>
          <w:p w:rsidR="00206443" w:rsidRDefault="00544737" w:rsidP="00206443">
            <w:pPr>
              <w:spacing w:after="200" w:line="360" w:lineRule="auto"/>
              <w:jc w:val="center"/>
            </w:pPr>
            <w:r>
              <w:t>-1.8%</w:t>
            </w:r>
          </w:p>
        </w:tc>
      </w:tr>
      <w:tr w:rsidR="00206443" w:rsidTr="00206443">
        <w:tc>
          <w:tcPr>
            <w:tcW w:w="2358" w:type="dxa"/>
            <w:vAlign w:val="center"/>
          </w:tcPr>
          <w:p w:rsidR="00206443" w:rsidRDefault="00206443" w:rsidP="00206443">
            <w:pPr>
              <w:spacing w:after="200" w:line="360" w:lineRule="auto"/>
              <w:jc w:val="center"/>
            </w:pPr>
            <w:r>
              <w:t>JPY_LIBOR_3M</w:t>
            </w:r>
          </w:p>
        </w:tc>
        <w:tc>
          <w:tcPr>
            <w:tcW w:w="2250" w:type="dxa"/>
            <w:vAlign w:val="center"/>
          </w:tcPr>
          <w:p w:rsidR="00206443" w:rsidRDefault="00206443" w:rsidP="00206443">
            <w:pPr>
              <w:spacing w:after="200" w:line="360" w:lineRule="auto"/>
              <w:jc w:val="center"/>
            </w:pPr>
            <w:r>
              <w:t>24.5%</w:t>
            </w:r>
          </w:p>
        </w:tc>
        <w:tc>
          <w:tcPr>
            <w:tcW w:w="1710" w:type="dxa"/>
            <w:vAlign w:val="center"/>
          </w:tcPr>
          <w:p w:rsidR="00206443" w:rsidRDefault="00544737" w:rsidP="00206443">
            <w:pPr>
              <w:spacing w:after="200" w:line="360" w:lineRule="auto"/>
              <w:jc w:val="center"/>
            </w:pPr>
            <w:r>
              <w:t>26.1%</w:t>
            </w:r>
          </w:p>
        </w:tc>
        <w:tc>
          <w:tcPr>
            <w:tcW w:w="1369" w:type="dxa"/>
            <w:vAlign w:val="center"/>
          </w:tcPr>
          <w:p w:rsidR="00206443" w:rsidRDefault="00544737" w:rsidP="00206443">
            <w:pPr>
              <w:spacing w:after="200" w:line="360" w:lineRule="auto"/>
              <w:jc w:val="center"/>
            </w:pPr>
            <w:r>
              <w:t>1.6%</w:t>
            </w:r>
          </w:p>
        </w:tc>
        <w:tc>
          <w:tcPr>
            <w:tcW w:w="1889" w:type="dxa"/>
            <w:vAlign w:val="center"/>
          </w:tcPr>
          <w:p w:rsidR="00206443" w:rsidRDefault="00544737" w:rsidP="00206443">
            <w:pPr>
              <w:spacing w:after="200" w:line="360" w:lineRule="auto"/>
              <w:jc w:val="center"/>
            </w:pPr>
            <w:r>
              <w:t>-3.3%</w:t>
            </w:r>
          </w:p>
        </w:tc>
      </w:tr>
      <w:tr w:rsidR="00206443" w:rsidTr="00206443">
        <w:tc>
          <w:tcPr>
            <w:tcW w:w="2358" w:type="dxa"/>
            <w:vAlign w:val="center"/>
          </w:tcPr>
          <w:p w:rsidR="00206443" w:rsidRDefault="00206443" w:rsidP="00206443">
            <w:pPr>
              <w:spacing w:after="200" w:line="360" w:lineRule="auto"/>
              <w:jc w:val="center"/>
            </w:pPr>
            <w:r>
              <w:t>GBP_LIBOR_3M</w:t>
            </w:r>
          </w:p>
        </w:tc>
        <w:tc>
          <w:tcPr>
            <w:tcW w:w="2250" w:type="dxa"/>
            <w:vAlign w:val="center"/>
          </w:tcPr>
          <w:p w:rsidR="00206443" w:rsidRDefault="00206443" w:rsidP="00206443">
            <w:pPr>
              <w:spacing w:after="200" w:line="360" w:lineRule="auto"/>
              <w:jc w:val="center"/>
            </w:pPr>
            <w:r>
              <w:t>25.9%</w:t>
            </w:r>
          </w:p>
        </w:tc>
        <w:tc>
          <w:tcPr>
            <w:tcW w:w="1710" w:type="dxa"/>
            <w:vAlign w:val="center"/>
          </w:tcPr>
          <w:p w:rsidR="00206443" w:rsidRDefault="00544737" w:rsidP="00206443">
            <w:pPr>
              <w:spacing w:after="200" w:line="360" w:lineRule="auto"/>
              <w:jc w:val="center"/>
            </w:pPr>
            <w:r>
              <w:t>25.7%</w:t>
            </w:r>
          </w:p>
        </w:tc>
        <w:tc>
          <w:tcPr>
            <w:tcW w:w="1369" w:type="dxa"/>
            <w:vAlign w:val="center"/>
          </w:tcPr>
          <w:p w:rsidR="00206443" w:rsidRDefault="00544737" w:rsidP="00206443">
            <w:pPr>
              <w:spacing w:after="200" w:line="360" w:lineRule="auto"/>
              <w:jc w:val="center"/>
            </w:pPr>
            <w:r>
              <w:t>-0.2%</w:t>
            </w:r>
          </w:p>
        </w:tc>
        <w:tc>
          <w:tcPr>
            <w:tcW w:w="1889" w:type="dxa"/>
            <w:vAlign w:val="center"/>
          </w:tcPr>
          <w:p w:rsidR="00206443" w:rsidRDefault="00544737" w:rsidP="00206443">
            <w:pPr>
              <w:spacing w:after="200" w:line="360" w:lineRule="auto"/>
              <w:jc w:val="center"/>
            </w:pPr>
            <w:r>
              <w:t>-0.8%</w:t>
            </w:r>
          </w:p>
        </w:tc>
      </w:tr>
      <w:tr w:rsidR="00206443" w:rsidTr="00206443">
        <w:tc>
          <w:tcPr>
            <w:tcW w:w="2358" w:type="dxa"/>
            <w:vAlign w:val="center"/>
          </w:tcPr>
          <w:p w:rsidR="00206443" w:rsidRDefault="00206443" w:rsidP="00206443">
            <w:pPr>
              <w:spacing w:after="200" w:line="360" w:lineRule="auto"/>
              <w:jc w:val="center"/>
            </w:pPr>
            <w:r>
              <w:t>CHF_LIBOR_3M</w:t>
            </w:r>
          </w:p>
        </w:tc>
        <w:tc>
          <w:tcPr>
            <w:tcW w:w="2250" w:type="dxa"/>
            <w:vAlign w:val="center"/>
          </w:tcPr>
          <w:p w:rsidR="00206443" w:rsidRDefault="00544737" w:rsidP="00206443">
            <w:pPr>
              <w:spacing w:after="200" w:line="360" w:lineRule="auto"/>
              <w:jc w:val="center"/>
            </w:pPr>
            <w:r>
              <w:t>35.2%</w:t>
            </w:r>
          </w:p>
        </w:tc>
        <w:tc>
          <w:tcPr>
            <w:tcW w:w="1710" w:type="dxa"/>
            <w:vAlign w:val="center"/>
          </w:tcPr>
          <w:p w:rsidR="00206443" w:rsidRDefault="00544737" w:rsidP="00206443">
            <w:pPr>
              <w:spacing w:after="200" w:line="360" w:lineRule="auto"/>
              <w:jc w:val="center"/>
            </w:pPr>
            <w:r>
              <w:t>36.2%</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-0.05%</w:t>
            </w:r>
          </w:p>
        </w:tc>
      </w:tr>
      <w:tr w:rsidR="00206443" w:rsidTr="00206443">
        <w:tc>
          <w:tcPr>
            <w:tcW w:w="2358" w:type="dxa"/>
            <w:vAlign w:val="center"/>
          </w:tcPr>
          <w:p w:rsidR="00206443" w:rsidRDefault="00206443" w:rsidP="00206443">
            <w:pPr>
              <w:spacing w:after="200" w:line="360" w:lineRule="auto"/>
              <w:jc w:val="center"/>
            </w:pPr>
            <w:r>
              <w:t>EUR FX</w:t>
            </w:r>
          </w:p>
        </w:tc>
        <w:tc>
          <w:tcPr>
            <w:tcW w:w="2250" w:type="dxa"/>
            <w:vAlign w:val="center"/>
          </w:tcPr>
          <w:p w:rsidR="00206443" w:rsidRDefault="00544737" w:rsidP="00206443">
            <w:pPr>
              <w:spacing w:after="200" w:line="360" w:lineRule="auto"/>
              <w:jc w:val="center"/>
            </w:pPr>
            <w:r>
              <w:t>16.6%</w:t>
            </w:r>
          </w:p>
        </w:tc>
        <w:tc>
          <w:tcPr>
            <w:tcW w:w="1710" w:type="dxa"/>
            <w:vAlign w:val="center"/>
          </w:tcPr>
          <w:p w:rsidR="00206443" w:rsidRDefault="00544737" w:rsidP="00206443">
            <w:pPr>
              <w:spacing w:after="200" w:line="360" w:lineRule="auto"/>
              <w:jc w:val="center"/>
            </w:pPr>
            <w:r>
              <w:t>15.5%</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-0.07%</w:t>
            </w:r>
          </w:p>
        </w:tc>
      </w:tr>
      <w:tr w:rsidR="00206443" w:rsidTr="00206443">
        <w:tc>
          <w:tcPr>
            <w:tcW w:w="2358" w:type="dxa"/>
            <w:vAlign w:val="center"/>
          </w:tcPr>
          <w:p w:rsidR="00206443" w:rsidRDefault="00206443" w:rsidP="00206443">
            <w:pPr>
              <w:spacing w:after="200" w:line="360" w:lineRule="auto"/>
              <w:jc w:val="center"/>
            </w:pPr>
            <w:r>
              <w:t>JPY FX</w:t>
            </w:r>
          </w:p>
        </w:tc>
        <w:tc>
          <w:tcPr>
            <w:tcW w:w="2250" w:type="dxa"/>
            <w:vAlign w:val="center"/>
          </w:tcPr>
          <w:p w:rsidR="00206443" w:rsidRDefault="00544737" w:rsidP="00206443">
            <w:pPr>
              <w:spacing w:after="200" w:line="360" w:lineRule="auto"/>
              <w:jc w:val="center"/>
            </w:pPr>
            <w:r>
              <w:t>0.3%</w:t>
            </w:r>
          </w:p>
        </w:tc>
        <w:tc>
          <w:tcPr>
            <w:tcW w:w="1710" w:type="dxa"/>
            <w:vAlign w:val="center"/>
          </w:tcPr>
          <w:p w:rsidR="00206443" w:rsidRDefault="00544737" w:rsidP="00206443">
            <w:pPr>
              <w:spacing w:after="200" w:line="360" w:lineRule="auto"/>
              <w:jc w:val="center"/>
            </w:pPr>
            <w:r>
              <w:t>-0.3%</w:t>
            </w:r>
          </w:p>
        </w:tc>
        <w:tc>
          <w:tcPr>
            <w:tcW w:w="1369" w:type="dxa"/>
            <w:vAlign w:val="center"/>
          </w:tcPr>
          <w:p w:rsidR="00206443" w:rsidRDefault="00544737" w:rsidP="00206443">
            <w:pPr>
              <w:spacing w:after="200" w:line="360" w:lineRule="auto"/>
              <w:jc w:val="center"/>
            </w:pPr>
            <w:r>
              <w:t>-0.6%</w:t>
            </w:r>
          </w:p>
        </w:tc>
        <w:tc>
          <w:tcPr>
            <w:tcW w:w="1889" w:type="dxa"/>
            <w:vAlign w:val="center"/>
          </w:tcPr>
          <w:p w:rsidR="00206443" w:rsidRDefault="00544737" w:rsidP="00206443">
            <w:pPr>
              <w:spacing w:after="200" w:line="360" w:lineRule="auto"/>
              <w:jc w:val="center"/>
            </w:pPr>
            <w:r>
              <w:t>1.5%</w:t>
            </w:r>
          </w:p>
        </w:tc>
      </w:tr>
      <w:tr w:rsidR="00206443" w:rsidTr="00206443">
        <w:tc>
          <w:tcPr>
            <w:tcW w:w="2358" w:type="dxa"/>
            <w:vAlign w:val="center"/>
          </w:tcPr>
          <w:p w:rsidR="00206443" w:rsidRDefault="00206443" w:rsidP="00206443">
            <w:pPr>
              <w:spacing w:after="200" w:line="360" w:lineRule="auto"/>
              <w:jc w:val="center"/>
            </w:pPr>
            <w:r>
              <w:lastRenderedPageBreak/>
              <w:t>GBP FX</w:t>
            </w:r>
          </w:p>
        </w:tc>
        <w:tc>
          <w:tcPr>
            <w:tcW w:w="2250" w:type="dxa"/>
            <w:vAlign w:val="center"/>
          </w:tcPr>
          <w:p w:rsidR="00206443" w:rsidRDefault="00544737" w:rsidP="00206443">
            <w:pPr>
              <w:spacing w:after="200" w:line="360" w:lineRule="auto"/>
              <w:jc w:val="center"/>
            </w:pPr>
            <w:r>
              <w:t>11.4%</w:t>
            </w:r>
          </w:p>
        </w:tc>
        <w:tc>
          <w:tcPr>
            <w:tcW w:w="1710" w:type="dxa"/>
            <w:vAlign w:val="center"/>
          </w:tcPr>
          <w:p w:rsidR="00206443" w:rsidRDefault="00544737" w:rsidP="00206443">
            <w:pPr>
              <w:spacing w:after="200" w:line="360" w:lineRule="auto"/>
              <w:jc w:val="center"/>
            </w:pPr>
            <w:r>
              <w:t>12.4%</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0.06%</w:t>
            </w:r>
          </w:p>
        </w:tc>
      </w:tr>
      <w:tr w:rsidR="00206443" w:rsidTr="00206443">
        <w:tc>
          <w:tcPr>
            <w:tcW w:w="2358" w:type="dxa"/>
            <w:vAlign w:val="center"/>
          </w:tcPr>
          <w:p w:rsidR="00206443" w:rsidRDefault="00206443" w:rsidP="00206443">
            <w:pPr>
              <w:spacing w:after="200" w:line="360" w:lineRule="auto"/>
              <w:jc w:val="center"/>
            </w:pPr>
            <w:r>
              <w:t>CHF FX</w:t>
            </w:r>
          </w:p>
        </w:tc>
        <w:tc>
          <w:tcPr>
            <w:tcW w:w="2250" w:type="dxa"/>
            <w:vAlign w:val="center"/>
          </w:tcPr>
          <w:p w:rsidR="00206443" w:rsidRDefault="00544737" w:rsidP="00206443">
            <w:pPr>
              <w:spacing w:after="200" w:line="360" w:lineRule="auto"/>
              <w:jc w:val="center"/>
            </w:pPr>
            <w:r>
              <w:t>3.8%</w:t>
            </w:r>
          </w:p>
        </w:tc>
        <w:tc>
          <w:tcPr>
            <w:tcW w:w="1710" w:type="dxa"/>
            <w:vAlign w:val="center"/>
          </w:tcPr>
          <w:p w:rsidR="00206443" w:rsidRDefault="00544737" w:rsidP="00206443">
            <w:pPr>
              <w:spacing w:after="200" w:line="360" w:lineRule="auto"/>
              <w:jc w:val="center"/>
            </w:pPr>
            <w:r>
              <w:t>2.8%</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-1.6%</w:t>
            </w:r>
          </w:p>
        </w:tc>
      </w:tr>
    </w:tbl>
    <w:p w:rsidR="00206443" w:rsidRDefault="00206443" w:rsidP="00206443">
      <w:pPr>
        <w:spacing w:after="200" w:line="360" w:lineRule="auto"/>
      </w:pPr>
    </w:p>
    <w:p w:rsidR="00544737" w:rsidRDefault="00544737" w:rsidP="00D83552">
      <w:pPr>
        <w:pStyle w:val="ListParagraph"/>
        <w:numPr>
          <w:ilvl w:val="0"/>
          <w:numId w:val="103"/>
        </w:numPr>
        <w:spacing w:after="200" w:line="360" w:lineRule="auto"/>
      </w:pPr>
      <w:r>
        <w:rPr>
          <w:u w:val="single"/>
        </w:rPr>
        <w:t>Historical vs. Model Correlation Comparison</w:t>
      </w:r>
      <w:r w:rsidRPr="00206443">
        <w:t>:</w:t>
      </w:r>
      <w:r>
        <w:t xml:space="preserve"> For equities, only one primary risk factor (SPX) is used in the factor model. The table above gives the results for comparing the factor model correlations and the true historical correlations for AAPL and .STOXX50E. As can be seen the differences are not significant.</w:t>
      </w:r>
    </w:p>
    <w:tbl>
      <w:tblPr>
        <w:tblStyle w:val="TableGrid"/>
        <w:tblW w:w="0" w:type="auto"/>
        <w:tblLook w:val="04A0" w:firstRow="1" w:lastRow="0" w:firstColumn="1" w:lastColumn="0" w:noHBand="0" w:noVBand="1"/>
      </w:tblPr>
      <w:tblGrid>
        <w:gridCol w:w="1915"/>
        <w:gridCol w:w="1915"/>
        <w:gridCol w:w="1915"/>
        <w:gridCol w:w="1915"/>
        <w:gridCol w:w="1916"/>
      </w:tblGrid>
      <w:tr w:rsidR="00544737" w:rsidTr="00544737">
        <w:tc>
          <w:tcPr>
            <w:tcW w:w="1915" w:type="dxa"/>
            <w:vAlign w:val="center"/>
          </w:tcPr>
          <w:p w:rsidR="00544737" w:rsidRPr="00544737" w:rsidRDefault="00544737" w:rsidP="00544737">
            <w:pPr>
              <w:spacing w:after="200" w:line="360" w:lineRule="auto"/>
              <w:jc w:val="center"/>
              <w:rPr>
                <w:b/>
              </w:rPr>
            </w:pPr>
          </w:p>
        </w:tc>
        <w:tc>
          <w:tcPr>
            <w:tcW w:w="1915" w:type="dxa"/>
            <w:vAlign w:val="center"/>
          </w:tcPr>
          <w:p w:rsidR="00544737" w:rsidRPr="00544737" w:rsidRDefault="00544737" w:rsidP="00544737">
            <w:pPr>
              <w:spacing w:after="200" w:line="360" w:lineRule="auto"/>
              <w:jc w:val="center"/>
              <w:rPr>
                <w:b/>
              </w:rPr>
            </w:pPr>
            <w:r>
              <w:rPr>
                <w:b/>
              </w:rPr>
              <w:t>Lognormal 1Y</w:t>
            </w:r>
          </w:p>
        </w:tc>
        <w:tc>
          <w:tcPr>
            <w:tcW w:w="1915" w:type="dxa"/>
            <w:vAlign w:val="center"/>
          </w:tcPr>
          <w:p w:rsidR="00544737" w:rsidRPr="00544737" w:rsidRDefault="00544737" w:rsidP="00544737">
            <w:pPr>
              <w:spacing w:after="200" w:line="360" w:lineRule="auto"/>
              <w:jc w:val="center"/>
              <w:rPr>
                <w:b/>
              </w:rPr>
            </w:pPr>
            <w:r>
              <w:rPr>
                <w:b/>
              </w:rPr>
              <w:t>Lognormal 5Y</w:t>
            </w:r>
          </w:p>
        </w:tc>
        <w:tc>
          <w:tcPr>
            <w:tcW w:w="1915" w:type="dxa"/>
            <w:vAlign w:val="center"/>
          </w:tcPr>
          <w:p w:rsidR="00544737" w:rsidRPr="00544737" w:rsidRDefault="00544737" w:rsidP="00544737">
            <w:pPr>
              <w:spacing w:after="200" w:line="360" w:lineRule="auto"/>
              <w:jc w:val="center"/>
              <w:rPr>
                <w:b/>
              </w:rPr>
            </w:pPr>
            <w:r>
              <w:rPr>
                <w:b/>
              </w:rPr>
              <w:t>Normal 1Y</w:t>
            </w:r>
          </w:p>
        </w:tc>
        <w:tc>
          <w:tcPr>
            <w:tcW w:w="1916" w:type="dxa"/>
            <w:vAlign w:val="center"/>
          </w:tcPr>
          <w:p w:rsidR="00544737" w:rsidRPr="00544737" w:rsidRDefault="00544737" w:rsidP="00544737">
            <w:pPr>
              <w:spacing w:after="200" w:line="360" w:lineRule="auto"/>
              <w:jc w:val="center"/>
              <w:rPr>
                <w:b/>
              </w:rPr>
            </w:pPr>
            <w:r>
              <w:rPr>
                <w:b/>
              </w:rPr>
              <w:t>Normal 5Y</w:t>
            </w:r>
          </w:p>
        </w:tc>
      </w:tr>
      <w:tr w:rsidR="00544737" w:rsidTr="00544737">
        <w:tc>
          <w:tcPr>
            <w:tcW w:w="1915" w:type="dxa"/>
            <w:vAlign w:val="center"/>
          </w:tcPr>
          <w:p w:rsidR="00544737" w:rsidRDefault="00544737" w:rsidP="00544737">
            <w:pPr>
              <w:spacing w:after="200" w:line="360" w:lineRule="auto"/>
              <w:jc w:val="center"/>
            </w:pPr>
            <w:r>
              <w:t>Historical Correlation</w:t>
            </w:r>
          </w:p>
        </w:tc>
        <w:tc>
          <w:tcPr>
            <w:tcW w:w="1915" w:type="dxa"/>
            <w:vAlign w:val="center"/>
          </w:tcPr>
          <w:p w:rsidR="00544737" w:rsidRDefault="00544737" w:rsidP="00544737">
            <w:pPr>
              <w:spacing w:after="200" w:line="360" w:lineRule="auto"/>
              <w:jc w:val="center"/>
            </w:pPr>
            <w:r>
              <w:t>30.29%</w:t>
            </w:r>
          </w:p>
        </w:tc>
        <w:tc>
          <w:tcPr>
            <w:tcW w:w="1915" w:type="dxa"/>
            <w:vAlign w:val="center"/>
          </w:tcPr>
          <w:p w:rsidR="00544737" w:rsidRDefault="00544737" w:rsidP="00544737">
            <w:pPr>
              <w:spacing w:after="200" w:line="360" w:lineRule="auto"/>
              <w:jc w:val="center"/>
            </w:pPr>
            <w:r>
              <w:t>27.48%</w:t>
            </w:r>
          </w:p>
        </w:tc>
        <w:tc>
          <w:tcPr>
            <w:tcW w:w="1915" w:type="dxa"/>
            <w:vAlign w:val="center"/>
          </w:tcPr>
          <w:p w:rsidR="00544737" w:rsidRDefault="00544737" w:rsidP="00544737">
            <w:pPr>
              <w:spacing w:after="200" w:line="360" w:lineRule="auto"/>
              <w:jc w:val="center"/>
            </w:pPr>
            <w:r>
              <w:t>30.95%</w:t>
            </w:r>
          </w:p>
        </w:tc>
        <w:tc>
          <w:tcPr>
            <w:tcW w:w="1916" w:type="dxa"/>
            <w:vAlign w:val="center"/>
          </w:tcPr>
          <w:p w:rsidR="00544737" w:rsidRDefault="00544737" w:rsidP="00544737">
            <w:pPr>
              <w:spacing w:after="200" w:line="360" w:lineRule="auto"/>
              <w:jc w:val="center"/>
            </w:pPr>
            <w:r>
              <w:t>26.38%</w:t>
            </w:r>
          </w:p>
        </w:tc>
      </w:tr>
      <w:tr w:rsidR="00544737" w:rsidTr="00544737">
        <w:tc>
          <w:tcPr>
            <w:tcW w:w="1915" w:type="dxa"/>
            <w:vAlign w:val="center"/>
          </w:tcPr>
          <w:p w:rsidR="00544737" w:rsidRDefault="00544737" w:rsidP="00544737">
            <w:pPr>
              <w:spacing w:after="200" w:line="360" w:lineRule="auto"/>
              <w:jc w:val="center"/>
            </w:pPr>
            <w:r>
              <w:t>Factor Model Correlation</w:t>
            </w:r>
          </w:p>
        </w:tc>
        <w:tc>
          <w:tcPr>
            <w:tcW w:w="1915" w:type="dxa"/>
            <w:vAlign w:val="center"/>
          </w:tcPr>
          <w:p w:rsidR="00544737" w:rsidRDefault="00544737" w:rsidP="00544737">
            <w:pPr>
              <w:spacing w:after="200" w:line="360" w:lineRule="auto"/>
              <w:jc w:val="center"/>
            </w:pPr>
            <w:r>
              <w:t>31.37%</w:t>
            </w:r>
          </w:p>
        </w:tc>
        <w:tc>
          <w:tcPr>
            <w:tcW w:w="1915" w:type="dxa"/>
            <w:vAlign w:val="center"/>
          </w:tcPr>
          <w:p w:rsidR="00544737" w:rsidRDefault="00544737" w:rsidP="00544737">
            <w:pPr>
              <w:spacing w:after="200" w:line="360" w:lineRule="auto"/>
              <w:jc w:val="center"/>
            </w:pPr>
            <w:r>
              <w:t>33.76%</w:t>
            </w:r>
          </w:p>
        </w:tc>
        <w:tc>
          <w:tcPr>
            <w:tcW w:w="1915" w:type="dxa"/>
            <w:vAlign w:val="center"/>
          </w:tcPr>
          <w:p w:rsidR="00544737" w:rsidRDefault="00544737" w:rsidP="00544737">
            <w:pPr>
              <w:spacing w:after="200" w:line="360" w:lineRule="auto"/>
              <w:jc w:val="center"/>
            </w:pPr>
            <w:r>
              <w:t>31.45%</w:t>
            </w:r>
          </w:p>
        </w:tc>
        <w:tc>
          <w:tcPr>
            <w:tcW w:w="1916" w:type="dxa"/>
            <w:vAlign w:val="center"/>
          </w:tcPr>
          <w:p w:rsidR="00544737" w:rsidRDefault="00544737" w:rsidP="00544737">
            <w:pPr>
              <w:spacing w:after="200" w:line="360" w:lineRule="auto"/>
              <w:jc w:val="center"/>
            </w:pPr>
            <w:r>
              <w:t>32.34%</w:t>
            </w:r>
          </w:p>
        </w:tc>
      </w:tr>
      <w:tr w:rsidR="00544737" w:rsidTr="00544737">
        <w:tc>
          <w:tcPr>
            <w:tcW w:w="1915" w:type="dxa"/>
            <w:vAlign w:val="center"/>
          </w:tcPr>
          <w:p w:rsidR="00544737" w:rsidRDefault="00544737" w:rsidP="00544737">
            <w:pPr>
              <w:spacing w:after="200" w:line="360" w:lineRule="auto"/>
              <w:jc w:val="center"/>
            </w:pPr>
            <w:r>
              <w:t>Difference (Factor Minus Historical)</w:t>
            </w:r>
          </w:p>
        </w:tc>
        <w:tc>
          <w:tcPr>
            <w:tcW w:w="1915" w:type="dxa"/>
            <w:vAlign w:val="center"/>
          </w:tcPr>
          <w:p w:rsidR="00544737" w:rsidRDefault="00544737" w:rsidP="00544737">
            <w:pPr>
              <w:spacing w:after="200" w:line="360" w:lineRule="auto"/>
              <w:jc w:val="center"/>
            </w:pPr>
            <w:r>
              <w:t>1.09%</w:t>
            </w:r>
          </w:p>
        </w:tc>
        <w:tc>
          <w:tcPr>
            <w:tcW w:w="1915" w:type="dxa"/>
            <w:vAlign w:val="center"/>
          </w:tcPr>
          <w:p w:rsidR="00544737" w:rsidRDefault="00544737" w:rsidP="00544737">
            <w:pPr>
              <w:spacing w:after="200" w:line="360" w:lineRule="auto"/>
              <w:jc w:val="center"/>
            </w:pPr>
            <w:r>
              <w:t>6.28%</w:t>
            </w:r>
          </w:p>
        </w:tc>
        <w:tc>
          <w:tcPr>
            <w:tcW w:w="1915" w:type="dxa"/>
            <w:vAlign w:val="center"/>
          </w:tcPr>
          <w:p w:rsidR="00544737" w:rsidRDefault="00544737" w:rsidP="00544737">
            <w:pPr>
              <w:spacing w:after="200" w:line="360" w:lineRule="auto"/>
              <w:jc w:val="center"/>
            </w:pPr>
            <w:r>
              <w:t>0.51%</w:t>
            </w:r>
          </w:p>
        </w:tc>
        <w:tc>
          <w:tcPr>
            <w:tcW w:w="1916" w:type="dxa"/>
            <w:vAlign w:val="center"/>
          </w:tcPr>
          <w:p w:rsidR="00544737" w:rsidRDefault="00544737" w:rsidP="00544737">
            <w:pPr>
              <w:spacing w:after="200" w:line="360" w:lineRule="auto"/>
              <w:jc w:val="center"/>
            </w:pPr>
            <w:r>
              <w:t>5.96%</w:t>
            </w:r>
          </w:p>
        </w:tc>
      </w:tr>
    </w:tbl>
    <w:p w:rsidR="00544737" w:rsidRDefault="00544737" w:rsidP="00544737">
      <w:pPr>
        <w:spacing w:after="200" w:line="360" w:lineRule="auto"/>
      </w:pPr>
    </w:p>
    <w:p w:rsidR="00976605" w:rsidRDefault="00976605" w:rsidP="00544737">
      <w:pPr>
        <w:spacing w:after="200" w:line="360" w:lineRule="auto"/>
      </w:pPr>
    </w:p>
    <w:p w:rsidR="00976605" w:rsidRPr="001941C8" w:rsidRDefault="00976605" w:rsidP="00544737">
      <w:pPr>
        <w:spacing w:after="200" w:line="360" w:lineRule="auto"/>
        <w:rPr>
          <w:b/>
          <w:sz w:val="28"/>
          <w:szCs w:val="28"/>
        </w:rPr>
      </w:pPr>
      <w:r w:rsidRPr="001941C8">
        <w:rPr>
          <w:b/>
          <w:sz w:val="28"/>
          <w:szCs w:val="28"/>
        </w:rPr>
        <w:t>Random Number Generators</w:t>
      </w:r>
    </w:p>
    <w:p w:rsidR="00976605" w:rsidRDefault="00976605" w:rsidP="008F462D">
      <w:pPr>
        <w:spacing w:after="200" w:line="360" w:lineRule="auto"/>
      </w:pPr>
    </w:p>
    <w:p w:rsidR="00976605" w:rsidRDefault="001941C8" w:rsidP="00D83552">
      <w:pPr>
        <w:pStyle w:val="ListParagraph"/>
        <w:numPr>
          <w:ilvl w:val="0"/>
          <w:numId w:val="104"/>
        </w:numPr>
        <w:spacing w:after="200" w:line="360" w:lineRule="auto"/>
      </w:pPr>
      <w:r w:rsidRPr="001941C8">
        <w:rPr>
          <w:u w:val="single"/>
        </w:rPr>
        <w:t>Pseudo-Random Number Sequence Generators</w:t>
      </w:r>
      <w:r>
        <w:t>: The random numbers used in computer programs are pseudo-random, which means that they are generated in a predictable fashion using algorithms. These algorithms can generally create long runs of numbers with good properties, but eventually the sequence repeats.</w:t>
      </w:r>
    </w:p>
    <w:p w:rsidR="001941C8" w:rsidRDefault="001941C8" w:rsidP="00D83552">
      <w:pPr>
        <w:pStyle w:val="ListParagraph"/>
        <w:numPr>
          <w:ilvl w:val="0"/>
          <w:numId w:val="104"/>
        </w:numPr>
        <w:spacing w:after="200" w:line="360" w:lineRule="auto"/>
      </w:pPr>
      <w:r>
        <w:rPr>
          <w:u w:val="single"/>
        </w:rPr>
        <w:lastRenderedPageBreak/>
        <w:t>Seed induced Pseudo-Random Sequence</w:t>
      </w:r>
      <w:r w:rsidRPr="001941C8">
        <w:t>:</w:t>
      </w:r>
      <w:r>
        <w:t xml:space="preserve"> The series of values generated by such algorithms is generally determined by a fixed number called a seed. If one gives the program the same seed twice, it produces the same sequence of random numbers. As these numbers are by no means “completely random”, they are sometimes referred to as pseudo-random numbers.</w:t>
      </w:r>
    </w:p>
    <w:p w:rsidR="001941C8" w:rsidRDefault="001941C8" w:rsidP="00D83552">
      <w:pPr>
        <w:pStyle w:val="ListParagraph"/>
        <w:numPr>
          <w:ilvl w:val="0"/>
          <w:numId w:val="104"/>
        </w:numPr>
        <w:spacing w:after="200" w:line="360" w:lineRule="auto"/>
      </w:pPr>
      <w:r>
        <w:rPr>
          <w:u w:val="single"/>
        </w:rPr>
        <w:t>RNG as a Finite State Machine</w:t>
      </w:r>
      <w:r w:rsidRPr="001941C8">
        <w:t>:</w:t>
      </w:r>
      <w:r>
        <w:t xml:space="preserve"> A random number generator (RNG) can be described as a state machine; each time you ask for a random number, the state changes, so that the random number is different the next time you ask. In fact, since the RNG runs on a computer, which is finite, it must be a finite state machine.</w:t>
      </w:r>
    </w:p>
    <w:p w:rsidR="001941C8" w:rsidRDefault="001941C8" w:rsidP="00D83552">
      <w:pPr>
        <w:pStyle w:val="ListParagraph"/>
        <w:numPr>
          <w:ilvl w:val="0"/>
          <w:numId w:val="104"/>
        </w:numPr>
        <w:spacing w:after="200" w:line="360" w:lineRule="auto"/>
      </w:pPr>
      <w:r>
        <w:rPr>
          <w:u w:val="single"/>
        </w:rPr>
        <w:t>Components of the RNG State</w:t>
      </w:r>
      <w:r w:rsidRPr="001941C8">
        <w:t>:</w:t>
      </w:r>
      <w:r>
        <w:t xml:space="preserve"> Formally, and RNG is defined by three components.</w:t>
      </w:r>
    </w:p>
    <w:p w:rsidR="001941C8" w:rsidRDefault="001941C8" w:rsidP="00D83552">
      <w:pPr>
        <w:pStyle w:val="ListParagraph"/>
        <w:numPr>
          <w:ilvl w:val="1"/>
          <w:numId w:val="104"/>
        </w:numPr>
        <w:spacing w:after="200" w:line="360" w:lineRule="auto"/>
      </w:pPr>
      <w:r>
        <w:t xml:space="preserve">An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p>
    <w:p w:rsidR="007E1F82" w:rsidRDefault="001941C8" w:rsidP="00D83552">
      <w:pPr>
        <w:pStyle w:val="ListParagraph"/>
        <w:numPr>
          <w:ilvl w:val="1"/>
          <w:numId w:val="104"/>
        </w:numPr>
        <w:spacing w:after="200" w:line="360" w:lineRule="auto"/>
      </w:pPr>
      <w:r>
        <w:t xml:space="preserve">A transition function </w:t>
      </w:r>
      <m:oMath>
        <m:r>
          <w:rPr>
            <w:rFonts w:ascii="Cambria Math" w:hAnsi="Cambria Math"/>
          </w:rPr>
          <m:t>S</m:t>
        </m:r>
      </m:oMath>
      <w:r>
        <w:t xml:space="preserve"> on the </w:t>
      </w:r>
      <w:proofErr w:type="spellStart"/>
      <w:r>
        <w:t>states</w:t>
      </w:r>
      <w:proofErr w:type="spellEnd"/>
      <w:r>
        <w:t xml:space="preserve"> such that</w:t>
      </w:r>
    </w:p>
    <w:p w:rsidR="007E1F82" w:rsidRDefault="007E1F82" w:rsidP="007E1F82">
      <w:pPr>
        <w:pStyle w:val="ListParagraph"/>
        <w:spacing w:after="200" w:line="360" w:lineRule="auto"/>
        <w:ind w:left="1080"/>
      </w:pPr>
    </w:p>
    <w:p w:rsidR="007E1F82" w:rsidRDefault="005D6A21" w:rsidP="007E1F82">
      <w:pPr>
        <w:pStyle w:val="ListParagraph"/>
        <w:spacing w:after="200" w:line="360" w:lineRule="auto"/>
        <w:ind w:left="108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m:oMathPara>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w:r>
        <w:t>for all</w:t>
      </w:r>
    </w:p>
    <w:p w:rsidR="007E1F82" w:rsidRDefault="007E1F82" w:rsidP="007E1F82">
      <w:pPr>
        <w:pStyle w:val="ListParagraph"/>
        <w:spacing w:after="200" w:line="360" w:lineRule="auto"/>
        <w:ind w:left="1080"/>
      </w:pPr>
    </w:p>
    <w:p w:rsidR="001941C8" w:rsidRP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7E1F82" w:rsidRDefault="001941C8" w:rsidP="00D83552">
      <w:pPr>
        <w:pStyle w:val="ListParagraph"/>
        <w:numPr>
          <w:ilvl w:val="1"/>
          <w:numId w:val="104"/>
        </w:numPr>
        <w:spacing w:after="200" w:line="360" w:lineRule="auto"/>
      </w:pPr>
      <w:r>
        <w:t xml:space="preserve">An output function </w:t>
      </w:r>
      <m:oMath>
        <m:r>
          <w:rPr>
            <w:rFonts w:ascii="Cambria Math" w:hAnsi="Cambria Math"/>
          </w:rPr>
          <m:t>V</m:t>
        </m:r>
      </m:oMath>
      <w:r>
        <w:t xml:space="preserve"> on the states such that for all</w:t>
      </w:r>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1941C8" w:rsidRDefault="001941C8" w:rsidP="007E1F82">
      <w:pPr>
        <w:pStyle w:val="ListParagraph"/>
        <w:spacing w:after="200" w:line="360" w:lineRule="auto"/>
        <w:ind w:left="1080"/>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w:r>
        <w:t xml:space="preserve"> is the random number at invocation </w:t>
      </w:r>
      <m:oMath>
        <m:r>
          <w:rPr>
            <w:rFonts w:ascii="Cambria Math" w:hAnsi="Cambria Math"/>
          </w:rPr>
          <m:t>k</m:t>
        </m:r>
      </m:oMath>
      <w:r>
        <w:t xml:space="preserve"> of the RNG.</w:t>
      </w:r>
    </w:p>
    <w:p w:rsidR="007E1F82" w:rsidRDefault="001941C8" w:rsidP="00D83552">
      <w:pPr>
        <w:pStyle w:val="ListParagraph"/>
        <w:numPr>
          <w:ilvl w:val="0"/>
          <w:numId w:val="104"/>
        </w:numPr>
        <w:spacing w:after="200" w:line="360" w:lineRule="auto"/>
      </w:pPr>
      <w:r w:rsidRPr="001941C8">
        <w:rPr>
          <w:u w:val="single"/>
        </w:rPr>
        <w:t xml:space="preserve">Algorithm #1 </w:t>
      </w:r>
      <w:r w:rsidR="00140884">
        <w:rPr>
          <w:u w:val="single"/>
        </w:rPr>
        <w:t xml:space="preserve">- </w:t>
      </w:r>
      <w:r w:rsidRPr="001941C8">
        <w:rPr>
          <w:u w:val="single"/>
        </w:rPr>
        <w:t>Linear Congruential Operator</w:t>
      </w:r>
      <w:r>
        <w:t xml:space="preserve">: </w:t>
      </w:r>
      <w:r w:rsidR="009A0282">
        <w:t>One of the most common RNG’s is the linear congruential generator, which uses recurrence based on modular integer arithmetic</w:t>
      </w:r>
    </w:p>
    <w:p w:rsidR="007E1F82" w:rsidRDefault="007E1F82" w:rsidP="007E1F82">
      <w:pPr>
        <w:pStyle w:val="ListParagraph"/>
        <w:spacing w:after="200" w:line="360" w:lineRule="auto"/>
        <w:ind w:left="360"/>
        <w:rPr>
          <w:u w:val="single"/>
        </w:rPr>
      </w:pPr>
    </w:p>
    <w:p w:rsidR="007E1F82" w:rsidRDefault="005D6A21"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+b</m:t>
              </m:r>
            </m:e>
          </m:d>
          <m:r>
            <w:rPr>
              <w:rFonts w:ascii="Cambria Math" w:hAnsi="Cambria Math"/>
            </w:rPr>
            <m:t xml:space="preserve"> mod M</m:t>
          </m:r>
        </m:oMath>
      </m:oMathPara>
    </w:p>
    <w:p w:rsidR="007E1F82" w:rsidRDefault="007E1F82" w:rsidP="007E1F82">
      <w:pPr>
        <w:pStyle w:val="ListParagraph"/>
        <w:spacing w:after="200" w:line="360" w:lineRule="auto"/>
        <w:ind w:left="360"/>
      </w:pPr>
    </w:p>
    <w:p w:rsidR="001941C8" w:rsidRDefault="009A0282" w:rsidP="007E1F82">
      <w:pPr>
        <w:pStyle w:val="ListParagraph"/>
        <w:spacing w:after="200" w:line="360" w:lineRule="auto"/>
        <w:ind w:left="360"/>
      </w:pPr>
      <w:r>
        <w:t xml:space="preserve">With appropriately selected </w:t>
      </w:r>
      <m:oMath>
        <m:r>
          <w:rPr>
            <w:rFonts w:ascii="Cambria Math" w:hAnsi="Cambria Math"/>
          </w:rPr>
          <m:t>a</m:t>
        </m:r>
      </m:oMath>
      <w:r>
        <w:t xml:space="preserve"> and </w:t>
      </w:r>
      <m:oMath>
        <m:r>
          <w:rPr>
            <w:rFonts w:ascii="Cambria Math" w:hAnsi="Cambria Math"/>
          </w:rPr>
          <m:t>b</m:t>
        </m:r>
      </m:oMath>
      <w:r>
        <w:t xml:space="preserve"> the sequence can achieve the maximum period </w:t>
      </w:r>
      <m:oMath>
        <m:r>
          <w:rPr>
            <w:rFonts w:ascii="Cambria Math" w:hAnsi="Cambria Math"/>
          </w:rPr>
          <m:t>M</m:t>
        </m:r>
      </m:oMath>
      <w:r>
        <w:t>.</w:t>
      </w:r>
    </w:p>
    <w:p w:rsidR="007E1F82" w:rsidRDefault="009A0282" w:rsidP="00D83552">
      <w:pPr>
        <w:pStyle w:val="ListParagraph"/>
        <w:numPr>
          <w:ilvl w:val="0"/>
          <w:numId w:val="104"/>
        </w:numPr>
        <w:spacing w:after="200" w:line="360" w:lineRule="auto"/>
      </w:pPr>
      <w:r>
        <w:rPr>
          <w:u w:val="single"/>
        </w:rPr>
        <w:lastRenderedPageBreak/>
        <w:t xml:space="preserve">Algorithm #1 </w:t>
      </w:r>
      <w:r w:rsidR="00140884">
        <w:rPr>
          <w:u w:val="single"/>
        </w:rPr>
        <w:t xml:space="preserve">- </w:t>
      </w:r>
      <w:r>
        <w:rPr>
          <w:u w:val="single"/>
        </w:rPr>
        <w:t>L’Ecuyer’s Recursive Generator</w:t>
      </w:r>
      <w:r w:rsidRPr="009A0282">
        <w:t>:</w:t>
      </w:r>
      <w:r>
        <w:t xml:space="preserve"> By combining multiple recursive sequences, a generator can have a large state space with good randomness properties, such as the L’Ecuyer’s multiple recursive generator MRG32k3a</w:t>
      </w:r>
    </w:p>
    <w:p w:rsidR="007E1F82" w:rsidRDefault="007E1F82" w:rsidP="007E1F82">
      <w:pPr>
        <w:pStyle w:val="ListParagraph"/>
        <w:spacing w:after="200" w:line="360" w:lineRule="auto"/>
        <w:ind w:left="360"/>
        <w:rPr>
          <w:u w:val="single"/>
        </w:rPr>
      </w:pPr>
    </w:p>
    <w:p w:rsidR="007E1F82" w:rsidRDefault="005D6A21"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1, n-2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y</m:t>
                  </m:r>
                </m:e>
                <m:sub>
                  <m:r>
                    <w:rPr>
                      <w:rFonts w:ascii="Cambria Math" w:hAnsi="Cambria Math"/>
                    </w:rPr>
                    <m:t>1,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7E1F82" w:rsidRDefault="007E1F82" w:rsidP="007E1F82">
      <w:pPr>
        <w:pStyle w:val="ListParagraph"/>
        <w:spacing w:after="200" w:line="360" w:lineRule="auto"/>
        <w:ind w:left="360"/>
      </w:pPr>
    </w:p>
    <w:p w:rsidR="007E1F82" w:rsidRDefault="005D6A21"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y</m:t>
                  </m:r>
                </m:e>
                <m:sub>
                  <m:r>
                    <w:rPr>
                      <w:rFonts w:ascii="Cambria Math" w:hAnsi="Cambria Math"/>
                    </w:rPr>
                    <m:t>2, 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y</m:t>
                  </m:r>
                </m:e>
                <m:sub>
                  <m:r>
                    <w:rPr>
                      <w:rFonts w:ascii="Cambria Math" w:hAnsi="Cambria Math"/>
                    </w:rPr>
                    <m:t>2,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rsidR="007E1F82" w:rsidRDefault="007E1F82" w:rsidP="007E1F82">
      <w:pPr>
        <w:pStyle w:val="ListParagraph"/>
        <w:spacing w:after="200" w:line="360" w:lineRule="auto"/>
        <w:ind w:left="360"/>
      </w:pPr>
    </w:p>
    <w:p w:rsidR="007E1F82" w:rsidRDefault="005D6A21"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 n</m:t>
              </m:r>
            </m:sub>
          </m:sSub>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r>
        <w:t>for all</w:t>
      </w:r>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m:oMathPara>
        <m:oMath>
          <m:r>
            <w:rPr>
              <w:rFonts w:ascii="Cambria Math" w:hAnsi="Cambria Math"/>
            </w:rPr>
            <m:t>n≥3</m:t>
          </m:r>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r>
        <w:t>where</w:t>
      </w:r>
    </w:p>
    <w:p w:rsidR="007E1F82" w:rsidRDefault="007E1F82" w:rsidP="007E1F82">
      <w:pPr>
        <w:pStyle w:val="ListParagraph"/>
        <w:spacing w:after="200" w:line="360" w:lineRule="auto"/>
        <w:ind w:left="360"/>
      </w:pPr>
    </w:p>
    <w:p w:rsidR="007E1F82" w:rsidRDefault="005D6A21"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=1403580</m:t>
          </m:r>
        </m:oMath>
      </m:oMathPara>
    </w:p>
    <w:p w:rsidR="007E1F82" w:rsidRDefault="007E1F82" w:rsidP="007E1F82">
      <w:pPr>
        <w:pStyle w:val="ListParagraph"/>
        <w:spacing w:after="200" w:line="360" w:lineRule="auto"/>
        <w:ind w:left="360"/>
      </w:pPr>
    </w:p>
    <w:p w:rsidR="007E1F82" w:rsidRDefault="005D6A21"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=-810728</m:t>
          </m:r>
        </m:oMath>
      </m:oMathPara>
    </w:p>
    <w:p w:rsidR="007E1F82" w:rsidRDefault="007E1F82" w:rsidP="007E1F82">
      <w:pPr>
        <w:pStyle w:val="ListParagraph"/>
        <w:spacing w:after="200" w:line="360" w:lineRule="auto"/>
        <w:ind w:left="360"/>
      </w:pPr>
    </w:p>
    <w:p w:rsidR="007E1F82" w:rsidRDefault="005D6A21"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-209</m:t>
          </m:r>
        </m:oMath>
      </m:oMathPara>
    </w:p>
    <w:p w:rsidR="007E1F82" w:rsidRDefault="007E1F82" w:rsidP="007E1F82">
      <w:pPr>
        <w:pStyle w:val="ListParagraph"/>
        <w:spacing w:after="200" w:line="360" w:lineRule="auto"/>
        <w:ind w:left="360"/>
      </w:pPr>
    </w:p>
    <w:p w:rsidR="007E1F82" w:rsidRDefault="005D6A21"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=527612</m:t>
          </m:r>
        </m:oMath>
      </m:oMathPara>
    </w:p>
    <w:p w:rsidR="007E1F82" w:rsidRDefault="007E1F82" w:rsidP="007E1F82">
      <w:pPr>
        <w:pStyle w:val="ListParagraph"/>
        <w:spacing w:after="200" w:line="360" w:lineRule="auto"/>
        <w:ind w:left="360"/>
      </w:pPr>
    </w:p>
    <w:p w:rsidR="007E1F82" w:rsidRDefault="005D6A21"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=-1370589</m:t>
          </m:r>
        </m:oMath>
      </m:oMathPara>
    </w:p>
    <w:p w:rsidR="007E1F82" w:rsidRDefault="007E1F82" w:rsidP="007E1F82">
      <w:pPr>
        <w:pStyle w:val="ListParagraph"/>
        <w:spacing w:after="200" w:line="360" w:lineRule="auto"/>
        <w:ind w:left="360"/>
      </w:pPr>
    </w:p>
    <w:p w:rsidR="007E1F82" w:rsidRDefault="005D6A21"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-22853</m:t>
          </m:r>
        </m:oMath>
      </m:oMathPara>
    </w:p>
    <w:p w:rsidR="007E1F82" w:rsidRDefault="007E1F82" w:rsidP="007E1F82">
      <w:pPr>
        <w:pStyle w:val="ListParagraph"/>
        <w:spacing w:after="200" w:line="360" w:lineRule="auto"/>
        <w:ind w:left="360"/>
      </w:pPr>
    </w:p>
    <w:p w:rsidR="009A0282" w:rsidRDefault="00140884" w:rsidP="007E1F82">
      <w:pPr>
        <w:pStyle w:val="ListParagraph"/>
        <w:spacing w:after="200" w:line="360" w:lineRule="auto"/>
        <w:ind w:left="360"/>
      </w:pPr>
      <w:r>
        <w:t xml:space="preserve">This generator has a period length of approximately </w:t>
      </w:r>
      <m:oMath>
        <m:sSup>
          <m:sSupPr>
            <m:ctrlPr>
              <w:rPr>
                <w:rFonts w:ascii="Cambria Math" w:hAnsi="Cambria Math"/>
                <w:i/>
              </w:rPr>
            </m:ctrlPr>
          </m:sSupPr>
          <m:e>
            <m:r>
              <w:rPr>
                <w:rFonts w:ascii="Cambria Math" w:hAnsi="Cambria Math"/>
              </w:rPr>
              <m:t>2</m:t>
            </m:r>
          </m:e>
          <m:sup>
            <m:r>
              <w:rPr>
                <w:rFonts w:ascii="Cambria Math" w:hAnsi="Cambria Math"/>
              </w:rPr>
              <m:t>191</m:t>
            </m:r>
          </m:sup>
        </m:sSup>
      </m:oMath>
      <w:r>
        <w:t xml:space="preserve">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57</m:t>
            </m:r>
          </m:sup>
        </m:sSup>
      </m:oMath>
      <w:r>
        <w:t>)</w:t>
      </w:r>
    </w:p>
    <w:p w:rsidR="007E1F82" w:rsidRDefault="00140884" w:rsidP="00D83552">
      <w:pPr>
        <w:pStyle w:val="ListParagraph"/>
        <w:numPr>
          <w:ilvl w:val="0"/>
          <w:numId w:val="104"/>
        </w:numPr>
        <w:spacing w:after="200" w:line="360" w:lineRule="auto"/>
      </w:pPr>
      <w:r>
        <w:rPr>
          <w:u w:val="single"/>
        </w:rPr>
        <w:lastRenderedPageBreak/>
        <w:t>Algorithm #2 - Shift Register Generator</w:t>
      </w:r>
      <w:r w:rsidRPr="00140884">
        <w:t>:</w:t>
      </w:r>
      <w:r>
        <w:t xml:space="preserve"> Another important class of RNG is the shift register generator which takes the form</w:t>
      </w:r>
    </w:p>
    <w:p w:rsidR="007E1F82" w:rsidRDefault="007E1F82" w:rsidP="007E1F82">
      <w:pPr>
        <w:pStyle w:val="ListParagraph"/>
        <w:spacing w:after="200" w:line="360" w:lineRule="auto"/>
        <w:ind w:left="360"/>
        <w:rPr>
          <w:u w:val="single"/>
        </w:rPr>
      </w:pPr>
    </w:p>
    <w:p w:rsidR="007E1F82" w:rsidRDefault="005D6A21"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n+i</m:t>
                  </m:r>
                </m:sub>
              </m:sSub>
              <m:d>
                <m:dPr>
                  <m:ctrlPr>
                    <w:rPr>
                      <w:rFonts w:ascii="Cambria Math" w:hAnsi="Cambria Math"/>
                      <w:i/>
                    </w:rPr>
                  </m:ctrlPr>
                </m:dPr>
                <m:e>
                  <m:r>
                    <w:rPr>
                      <w:rFonts w:ascii="Cambria Math" w:hAnsi="Cambria Math"/>
                    </w:rPr>
                    <m:t>mod 2</m:t>
                  </m:r>
                </m:e>
              </m:d>
            </m:e>
          </m:nary>
        </m:oMath>
      </m:oMathPara>
    </w:p>
    <w:p w:rsidR="007E1F82" w:rsidRDefault="007E1F82" w:rsidP="007E1F82">
      <w:pPr>
        <w:pStyle w:val="ListParagraph"/>
        <w:spacing w:after="200" w:line="360" w:lineRule="auto"/>
        <w:ind w:left="360"/>
      </w:pPr>
    </w:p>
    <w:p w:rsidR="00140884" w:rsidRDefault="00140884" w:rsidP="007E1F82">
      <w:pPr>
        <w:pStyle w:val="ListParagraph"/>
        <w:spacing w:after="200" w:line="360" w:lineRule="auto"/>
        <w:ind w:left="360"/>
      </w:pPr>
      <w:r>
        <w:t xml:space="preserve">where the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’s and the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’s are either </w:t>
      </w:r>
      <m:oMath>
        <m:r>
          <w:rPr>
            <w:rFonts w:ascii="Cambria Math" w:hAnsi="Cambria Math"/>
          </w:rPr>
          <m:t>0</m:t>
        </m:r>
      </m:oMath>
      <w:r>
        <w:t xml:space="preserve"> or </w:t>
      </w:r>
      <m:oMath>
        <m:r>
          <w:rPr>
            <w:rFonts w:ascii="Cambria Math" w:hAnsi="Cambria Math"/>
          </w:rPr>
          <m:t>1</m:t>
        </m:r>
      </m:oMath>
      <w:r>
        <w:t>.</w:t>
      </w:r>
    </w:p>
    <w:p w:rsidR="00140884" w:rsidRDefault="00140884" w:rsidP="00D83552">
      <w:pPr>
        <w:pStyle w:val="ListParagraph"/>
        <w:numPr>
          <w:ilvl w:val="0"/>
          <w:numId w:val="104"/>
        </w:numPr>
        <w:spacing w:after="200" w:line="360" w:lineRule="auto"/>
      </w:pPr>
      <w:r>
        <w:rPr>
          <w:u w:val="single"/>
        </w:rPr>
        <w:t>Algorithm #2 - The Mersenne Twister</w:t>
      </w:r>
      <w:r w:rsidRPr="00140884">
        <w:t>:</w:t>
      </w:r>
      <w:r>
        <w:t xml:space="preserve"> The maximum period of </w:t>
      </w:r>
      <m:oMath>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-1</m:t>
        </m:r>
      </m:oMath>
      <w:r>
        <w:t xml:space="preserve"> can be achieved using as few as two non-zero values of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This leads to a very fast RNG. The famous Mersenne Twister (MT19937) belongs to this class.</w:t>
      </w:r>
    </w:p>
    <w:p w:rsidR="00140884" w:rsidRDefault="00140884" w:rsidP="00140884">
      <w:pPr>
        <w:spacing w:after="200" w:line="360" w:lineRule="auto"/>
      </w:pPr>
    </w:p>
    <w:p w:rsidR="00140884" w:rsidRDefault="00140884" w:rsidP="00140884">
      <w:pPr>
        <w:spacing w:after="200" w:line="360" w:lineRule="auto"/>
      </w:pPr>
    </w:p>
    <w:p w:rsidR="00140884" w:rsidRPr="00140884" w:rsidRDefault="00140884" w:rsidP="00140884">
      <w:pPr>
        <w:spacing w:after="200" w:line="360" w:lineRule="auto"/>
        <w:rPr>
          <w:b/>
          <w:sz w:val="28"/>
          <w:szCs w:val="28"/>
        </w:rPr>
      </w:pPr>
      <w:r w:rsidRPr="00140884">
        <w:rPr>
          <w:b/>
          <w:sz w:val="28"/>
          <w:szCs w:val="28"/>
        </w:rPr>
        <w:t>Multi-Stream RNG’s</w:t>
      </w:r>
    </w:p>
    <w:p w:rsidR="00140884" w:rsidRDefault="00140884" w:rsidP="00140884">
      <w:pPr>
        <w:spacing w:after="200" w:line="360" w:lineRule="auto"/>
      </w:pPr>
    </w:p>
    <w:p w:rsidR="00140884" w:rsidRDefault="00140884" w:rsidP="00D83552">
      <w:pPr>
        <w:pStyle w:val="ListParagraph"/>
        <w:numPr>
          <w:ilvl w:val="0"/>
          <w:numId w:val="105"/>
        </w:numPr>
        <w:spacing w:after="200" w:line="360" w:lineRule="auto"/>
      </w:pPr>
      <w:r w:rsidRPr="00140884">
        <w:rPr>
          <w:u w:val="single"/>
        </w:rPr>
        <w:t>Eliminating the Seed-Path Overlap</w:t>
      </w:r>
      <w:r>
        <w:t>: In Monte Carlo multiple independent random number sequences are usually required. A naïve way of getting multiple independent random number seeds is by setting different seeds. It is simple to implement, but there is no guarantee that truly independent sequences are obtained, as multiple sequences may overlap.</w:t>
      </w:r>
    </w:p>
    <w:p w:rsidR="000A4FAE" w:rsidRDefault="000A4FAE" w:rsidP="00D83552">
      <w:pPr>
        <w:pStyle w:val="ListParagraph"/>
        <w:numPr>
          <w:ilvl w:val="0"/>
          <w:numId w:val="105"/>
        </w:numPr>
        <w:spacing w:after="200" w:line="360" w:lineRule="auto"/>
      </w:pPr>
      <w:r w:rsidRPr="000A4FAE">
        <w:rPr>
          <w:u w:val="single"/>
        </w:rPr>
        <w:t>Multi-Stream Seed Path Overlap</w:t>
      </w:r>
      <w:r>
        <w:t>: An ideal solution is to use multi-stream random number generator. This is achieved by splitting the random number sequence into multiple, uncorrelated streams.</w:t>
      </w:r>
    </w:p>
    <w:p w:rsidR="000A4FAE" w:rsidRDefault="000A4FAE" w:rsidP="00D83552">
      <w:pPr>
        <w:pStyle w:val="ListParagraph"/>
        <w:numPr>
          <w:ilvl w:val="0"/>
          <w:numId w:val="105"/>
        </w:numPr>
        <w:spacing w:after="200" w:line="360" w:lineRule="auto"/>
      </w:pPr>
      <w:r w:rsidRPr="000A4FAE">
        <w:rPr>
          <w:u w:val="single"/>
        </w:rPr>
        <w:t>Seed Path Overlap Elimination Schemes</w:t>
      </w:r>
      <w:r>
        <w:t xml:space="preserve">: The most commonly used methods are the skip-ahead method and the leap-frog method. Suppose that the threads are numbered from </w:t>
      </w:r>
      <m:oMath>
        <m:r>
          <w:rPr>
            <w:rFonts w:ascii="Cambria Math" w:hAnsi="Cambria Math"/>
          </w:rPr>
          <m:t>0</m:t>
        </m:r>
      </m:oMath>
      <w:r>
        <w:t xml:space="preserve"> to </w:t>
      </w:r>
      <m:oMath>
        <m:r>
          <w:rPr>
            <w:rFonts w:ascii="Cambria Math" w:hAnsi="Cambria Math"/>
          </w:rPr>
          <m:t>N-1</m:t>
        </m:r>
      </m:oMath>
      <w:r>
        <w:t xml:space="preserve"> and the elements in the original sequence are numbered from </w:t>
      </w:r>
      <m:oMath>
        <m:r>
          <w:rPr>
            <w:rFonts w:ascii="Cambria Math" w:hAnsi="Cambria Math"/>
          </w:rPr>
          <m:t>0</m:t>
        </m:r>
      </m:oMath>
      <w:r>
        <w:t xml:space="preserve"> to </w:t>
      </w:r>
      <m:oMath>
        <m:r>
          <w:rPr>
            <w:rFonts w:ascii="Cambria Math" w:hAnsi="Cambria Math"/>
          </w:rPr>
          <m:t>T-1</m:t>
        </m:r>
      </m:oMath>
      <w:r>
        <w:t>.</w:t>
      </w:r>
    </w:p>
    <w:p w:rsidR="00A26F19" w:rsidRDefault="000A4FAE" w:rsidP="00D83552">
      <w:pPr>
        <w:pStyle w:val="ListParagraph"/>
        <w:numPr>
          <w:ilvl w:val="0"/>
          <w:numId w:val="105"/>
        </w:numPr>
        <w:spacing w:after="200" w:line="360" w:lineRule="auto"/>
      </w:pPr>
      <w:r>
        <w:rPr>
          <w:u w:val="single"/>
        </w:rPr>
        <w:t>Simple Skip Ahead Overlap Elimination</w:t>
      </w:r>
      <w:r w:rsidRPr="000A4FAE">
        <w:t>:</w:t>
      </w:r>
      <w:r>
        <w:t xml:space="preserve"> Start thread </w:t>
      </w:r>
      <m:oMath>
        <m:r>
          <w:rPr>
            <w:rFonts w:ascii="Cambria Math" w:hAnsi="Cambria Math"/>
          </w:rPr>
          <m:t>t</m:t>
        </m:r>
      </m:oMath>
    </w:p>
    <w:p w:rsidR="00A26F19" w:rsidRDefault="00A26F19" w:rsidP="00A26F19">
      <w:pPr>
        <w:pStyle w:val="ListParagraph"/>
        <w:spacing w:after="200" w:line="360" w:lineRule="auto"/>
        <w:ind w:left="360"/>
        <w:rPr>
          <w:u w:val="single"/>
        </w:rPr>
      </w:pPr>
    </w:p>
    <w:p w:rsidR="00A26F19" w:rsidRDefault="000A4FAE" w:rsidP="00A26F19">
      <w:pPr>
        <w:pStyle w:val="ListParagraph"/>
        <w:spacing w:after="200" w:line="360" w:lineRule="auto"/>
        <w:ind w:left="360"/>
      </w:pPr>
      <m:oMathPara>
        <m:oMath>
          <m:r>
            <w:rPr>
              <w:rFonts w:ascii="Cambria Math" w:hAnsi="Cambria Math"/>
            </w:rPr>
            <m:t>0≤t≤N-1</m:t>
          </m:r>
        </m:oMath>
      </m:oMathPara>
    </w:p>
    <w:p w:rsidR="00A26F19" w:rsidRDefault="00A26F19" w:rsidP="00A26F19">
      <w:pPr>
        <w:pStyle w:val="ListParagraph"/>
        <w:spacing w:after="200" w:line="360" w:lineRule="auto"/>
        <w:ind w:left="360"/>
      </w:pPr>
    </w:p>
    <w:p w:rsidR="000A4FAE" w:rsidRDefault="000A4FAE" w:rsidP="00A26F19">
      <w:pPr>
        <w:pStyle w:val="ListParagraph"/>
        <w:spacing w:after="200" w:line="360" w:lineRule="auto"/>
        <w:ind w:left="360"/>
      </w:pPr>
      <w:r>
        <w:t xml:space="preserve">at spot </w:t>
      </w:r>
      <m:oMath>
        <m:r>
          <w:rPr>
            <w:rFonts w:ascii="Cambria Math" w:hAnsi="Cambria Math"/>
          </w:rPr>
          <m:t>T×</m:t>
        </m:r>
        <m:f>
          <m:fPr>
            <m:ctrlPr>
              <w:rPr>
                <w:rFonts w:ascii="Cambria Math" w:hAnsi="Cambria Math"/>
                <w:i/>
              </w:rPr>
            </m:ctrlPr>
          </m:fPr>
          <m:num>
            <m:r>
              <w:rPr>
                <w:rFonts w:ascii="Cambria Math" w:hAnsi="Cambria Math"/>
              </w:rPr>
              <m:t>t</m:t>
            </m:r>
          </m:num>
          <m:den>
            <m:r>
              <w:rPr>
                <w:rFonts w:ascii="Cambria Math" w:hAnsi="Cambria Math"/>
              </w:rPr>
              <m:t>N</m:t>
            </m:r>
          </m:den>
        </m:f>
      </m:oMath>
      <w:r>
        <w:t xml:space="preserve"> in the sequence, and let each thread step through its length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oMath>
      <w:r>
        <w:t xml:space="preserve"> sub-sequence.</w:t>
      </w:r>
    </w:p>
    <w:p w:rsidR="000A4FAE" w:rsidRDefault="000A4FAE" w:rsidP="00D83552">
      <w:pPr>
        <w:pStyle w:val="ListParagraph"/>
        <w:numPr>
          <w:ilvl w:val="0"/>
          <w:numId w:val="105"/>
        </w:numPr>
        <w:spacing w:after="200" w:line="360" w:lineRule="auto"/>
      </w:pPr>
      <w:r>
        <w:rPr>
          <w:u w:val="single"/>
        </w:rPr>
        <w:t>Leapfrog Path Overlap Elimination</w:t>
      </w:r>
      <w:r w:rsidRPr="000A4FAE">
        <w:t>:</w:t>
      </w:r>
      <w:r w:rsidR="007640E7">
        <w:t xml:space="preserve"> Start thread </w:t>
      </w:r>
      <m:oMath>
        <m:r>
          <w:rPr>
            <w:rFonts w:ascii="Cambria Math" w:hAnsi="Cambria Math"/>
          </w:rPr>
          <m:t>t</m:t>
        </m:r>
      </m:oMath>
      <w:r w:rsidR="007640E7">
        <w:t xml:space="preserve"> at spot </w:t>
      </w:r>
      <m:oMath>
        <m:r>
          <w:rPr>
            <w:rFonts w:ascii="Cambria Math" w:hAnsi="Cambria Math"/>
          </w:rPr>
          <m:t>t</m:t>
        </m:r>
      </m:oMath>
      <w:r w:rsidR="007640E7">
        <w:t xml:space="preserve"> in the sub-sequence, and let each thread skip </w:t>
      </w:r>
      <m:oMath>
        <m:r>
          <w:rPr>
            <w:rFonts w:ascii="Cambria Math" w:hAnsi="Cambria Math"/>
          </w:rPr>
          <m:t>N</m:t>
        </m:r>
      </m:oMath>
      <w:r w:rsidR="007640E7">
        <w:t xml:space="preserve"> elements at a time in the sequence.</w:t>
      </w:r>
    </w:p>
    <w:p w:rsidR="007640E7" w:rsidRDefault="007640E7" w:rsidP="00D83552">
      <w:pPr>
        <w:pStyle w:val="ListParagraph"/>
        <w:numPr>
          <w:ilvl w:val="0"/>
          <w:numId w:val="105"/>
        </w:numPr>
        <w:spacing w:after="200" w:line="360" w:lineRule="auto"/>
      </w:pPr>
      <w:r>
        <w:rPr>
          <w:u w:val="single"/>
        </w:rPr>
        <w:t>Hybrid Seed Path Overlap Elimination</w:t>
      </w:r>
      <w:r w:rsidRPr="007640E7">
        <w:t>:</w:t>
      </w:r>
      <w:r>
        <w:t xml:space="preserve"> A skip-ahead is performed at the thread block level, and within one block each thread does a leapfrog generation.</w:t>
      </w:r>
    </w:p>
    <w:p w:rsidR="007640E7" w:rsidRPr="00976605" w:rsidRDefault="007640E7" w:rsidP="00D83552">
      <w:pPr>
        <w:pStyle w:val="ListParagraph"/>
        <w:numPr>
          <w:ilvl w:val="0"/>
          <w:numId w:val="105"/>
        </w:numPr>
        <w:spacing w:after="200" w:line="360" w:lineRule="auto"/>
      </w:pPr>
      <w:r>
        <w:rPr>
          <w:u w:val="single"/>
        </w:rPr>
        <w:t>Parallelizability of the Multi-Stream Generators</w:t>
      </w:r>
      <w:r>
        <w:t>: The key feature of the multi-stream RNG’s is that each stream can be generated independently of the others. This makes them CUDA friendly and ready to be used in parallel algorithms.</w:t>
      </w:r>
    </w:p>
    <w:p w:rsidR="00F45145" w:rsidRDefault="00F45145">
      <w:pPr>
        <w:spacing w:after="200" w:line="276" w:lineRule="auto"/>
        <w:rPr>
          <w:b/>
        </w:rPr>
      </w:pPr>
      <w:r>
        <w:rPr>
          <w:b/>
        </w:rPr>
        <w:br w:type="page"/>
      </w:r>
    </w:p>
    <w:p w:rsidR="00F45145" w:rsidRDefault="00F45145" w:rsidP="008F462D">
      <w:pPr>
        <w:spacing w:after="200" w:line="360" w:lineRule="auto"/>
        <w:rPr>
          <w:b/>
        </w:rPr>
      </w:pPr>
    </w:p>
    <w:p w:rsidR="00F45145" w:rsidRPr="00F45145" w:rsidRDefault="00416ECC" w:rsidP="00F45145">
      <w:pPr>
        <w:spacing w:after="200" w:line="360" w:lineRule="auto"/>
        <w:jc w:val="center"/>
        <w:rPr>
          <w:b/>
          <w:sz w:val="32"/>
          <w:szCs w:val="32"/>
        </w:rPr>
      </w:pPr>
      <w:r>
        <w:rPr>
          <w:b/>
          <w:sz w:val="32"/>
          <w:szCs w:val="32"/>
        </w:rPr>
        <w:t xml:space="preserve">Core </w:t>
      </w:r>
      <w:r w:rsidR="00F45145" w:rsidRPr="00F45145">
        <w:rPr>
          <w:b/>
          <w:sz w:val="32"/>
          <w:szCs w:val="32"/>
        </w:rPr>
        <w:t>CVA/DVA Model</w:t>
      </w:r>
    </w:p>
    <w:p w:rsidR="00F45145" w:rsidRDefault="00F45145" w:rsidP="008F462D">
      <w:pPr>
        <w:spacing w:after="200" w:line="360" w:lineRule="auto"/>
      </w:pPr>
    </w:p>
    <w:p w:rsidR="00F45145" w:rsidRDefault="00F45145" w:rsidP="008F462D">
      <w:pPr>
        <w:spacing w:after="200" w:line="360" w:lineRule="auto"/>
      </w:pPr>
    </w:p>
    <w:p w:rsidR="00F45145" w:rsidRPr="00F45145" w:rsidRDefault="00F45145" w:rsidP="008F462D">
      <w:pPr>
        <w:spacing w:after="200" w:line="360" w:lineRule="auto"/>
        <w:rPr>
          <w:b/>
          <w:sz w:val="28"/>
          <w:szCs w:val="28"/>
        </w:rPr>
      </w:pPr>
      <w:r w:rsidRPr="00F45145">
        <w:rPr>
          <w:b/>
          <w:sz w:val="28"/>
          <w:szCs w:val="28"/>
        </w:rPr>
        <w:t>Abstract and Synopsys</w:t>
      </w:r>
    </w:p>
    <w:p w:rsidR="00F45145" w:rsidRDefault="00F45145" w:rsidP="008F462D">
      <w:pPr>
        <w:spacing w:after="200" w:line="360" w:lineRule="auto"/>
        <w:rPr>
          <w:b/>
        </w:rPr>
      </w:pPr>
    </w:p>
    <w:p w:rsidR="00F45145" w:rsidRDefault="00DE10B2" w:rsidP="00D83552">
      <w:pPr>
        <w:pStyle w:val="ListParagraph"/>
        <w:numPr>
          <w:ilvl w:val="0"/>
          <w:numId w:val="116"/>
        </w:numPr>
        <w:spacing w:after="200" w:line="360" w:lineRule="auto"/>
      </w:pPr>
      <w:r w:rsidRPr="00DE10B2">
        <w:rPr>
          <w:u w:val="single"/>
        </w:rPr>
        <w:t>Credit Risky CVA/DVA Adjustment</w:t>
      </w:r>
      <w:r w:rsidRPr="00DE10B2">
        <w:t>:</w:t>
      </w:r>
      <w:r>
        <w:t xml:space="preserve"> This chapter provides a general methodology for computing the Credit Valuation Adjustment and the Debt Valuation Adjustment for credit risk. It is assumed that either party to the contract can default and that the counter party defaults are independent of one another and the interest rate moves.</w:t>
      </w:r>
    </w:p>
    <w:p w:rsidR="00DE10B2" w:rsidRDefault="00DE10B2" w:rsidP="00D83552">
      <w:pPr>
        <w:pStyle w:val="ListParagraph"/>
        <w:numPr>
          <w:ilvl w:val="0"/>
          <w:numId w:val="116"/>
        </w:numPr>
        <w:spacing w:after="200" w:line="360" w:lineRule="auto"/>
      </w:pPr>
      <w:r>
        <w:rPr>
          <w:u w:val="single"/>
        </w:rPr>
        <w:t>HW Monte Carlo Rates Models</w:t>
      </w:r>
      <w:r w:rsidRPr="00DE10B2">
        <w:t>:</w:t>
      </w:r>
      <w:r>
        <w:t xml:space="preserve"> In general the valuation is through the Hull White for the interest rate movements for the interest rate products. In certain circumstances analytical calculations can be used to improve the speed and the accuracy of the calculation. For cross-currency swap portfolios, Monte Carlo based simulation model is presented.</w:t>
      </w:r>
    </w:p>
    <w:p w:rsidR="00DE10B2" w:rsidRDefault="00DE10B2" w:rsidP="00DE10B2">
      <w:pPr>
        <w:spacing w:after="200" w:line="360" w:lineRule="auto"/>
      </w:pPr>
    </w:p>
    <w:p w:rsidR="00DE10B2" w:rsidRDefault="00DE10B2" w:rsidP="00DE10B2">
      <w:pPr>
        <w:spacing w:after="200" w:line="360" w:lineRule="auto"/>
      </w:pPr>
    </w:p>
    <w:p w:rsidR="00DE10B2" w:rsidRPr="00DE10B2" w:rsidRDefault="00DE10B2" w:rsidP="00DE10B2">
      <w:pPr>
        <w:spacing w:after="200" w:line="360" w:lineRule="auto"/>
        <w:rPr>
          <w:b/>
          <w:sz w:val="28"/>
          <w:szCs w:val="28"/>
        </w:rPr>
      </w:pPr>
      <w:r w:rsidRPr="00DE10B2">
        <w:rPr>
          <w:b/>
          <w:sz w:val="28"/>
          <w:szCs w:val="28"/>
        </w:rPr>
        <w:t>Introduction</w:t>
      </w:r>
    </w:p>
    <w:p w:rsidR="00DE10B2" w:rsidRDefault="00DE10B2" w:rsidP="008F462D">
      <w:pPr>
        <w:spacing w:after="200" w:line="360" w:lineRule="auto"/>
      </w:pPr>
    </w:p>
    <w:p w:rsidR="00DE10B2" w:rsidRDefault="00DE10B2" w:rsidP="00D83552">
      <w:pPr>
        <w:pStyle w:val="ListParagraph"/>
        <w:numPr>
          <w:ilvl w:val="0"/>
          <w:numId w:val="117"/>
        </w:numPr>
        <w:spacing w:after="200" w:line="360" w:lineRule="auto"/>
      </w:pPr>
      <w:r w:rsidRPr="00DE10B2">
        <w:rPr>
          <w:u w:val="single"/>
        </w:rPr>
        <w:t>CVA vs. Counter Party Risk</w:t>
      </w:r>
      <w:r>
        <w:t>: CVA (Credit valuation adjustment) is defined as the adjustment to the risk free portfolio value due to the counter party risk. Assuming that the counter party is default free, CVA is the same as the counter party credit risk defined in the literature.</w:t>
      </w:r>
    </w:p>
    <w:p w:rsidR="00DE10B2" w:rsidRDefault="00DE10B2" w:rsidP="00D83552">
      <w:pPr>
        <w:pStyle w:val="ListParagraph"/>
        <w:numPr>
          <w:ilvl w:val="0"/>
          <w:numId w:val="117"/>
        </w:numPr>
        <w:spacing w:after="200" w:line="360" w:lineRule="auto"/>
      </w:pPr>
      <w:r>
        <w:rPr>
          <w:u w:val="single"/>
        </w:rPr>
        <w:t>The Bank Debt Value Adjustment</w:t>
      </w:r>
      <w:r w:rsidRPr="00DE10B2">
        <w:t>:</w:t>
      </w:r>
      <w:r>
        <w:t xml:space="preserve"> In reality the default probability of the bank is non-zero. </w:t>
      </w:r>
      <w:r w:rsidR="004E4965">
        <w:t>On the other hand, the possibility of the bank’s default leads to another adjustment to the risk free portfolio value. This is called the Debt Valuation Adjustment (DVA).</w:t>
      </w:r>
    </w:p>
    <w:p w:rsidR="00401D30" w:rsidRDefault="00401D30" w:rsidP="00D83552">
      <w:pPr>
        <w:pStyle w:val="ListParagraph"/>
        <w:numPr>
          <w:ilvl w:val="0"/>
          <w:numId w:val="117"/>
        </w:numPr>
        <w:spacing w:after="200" w:line="360" w:lineRule="auto"/>
      </w:pPr>
      <w:r>
        <w:rPr>
          <w:u w:val="single"/>
        </w:rPr>
        <w:lastRenderedPageBreak/>
        <w:t>Combined CVA and DVA Adjustment</w:t>
      </w:r>
      <w:r w:rsidRPr="00401D30">
        <w:rPr>
          <w:u w:val="single"/>
        </w:rPr>
        <w:t>s</w:t>
      </w:r>
      <w:r>
        <w:t>: Viewed from the counter party, this is their CVA due to the bank’s default. The total adjustment then is the sum of the CVA and the DVA.</w:t>
      </w:r>
    </w:p>
    <w:p w:rsidR="00401D30" w:rsidRDefault="00401D30" w:rsidP="00D83552">
      <w:pPr>
        <w:pStyle w:val="ListParagraph"/>
        <w:numPr>
          <w:ilvl w:val="0"/>
          <w:numId w:val="117"/>
        </w:numPr>
        <w:spacing w:after="200" w:line="360" w:lineRule="auto"/>
      </w:pPr>
      <w:r>
        <w:rPr>
          <w:u w:val="single"/>
        </w:rPr>
        <w:t>Valuation Adjustment Mathematical Framework</w:t>
      </w:r>
      <w:r w:rsidRPr="00401D30">
        <w:t>:</w:t>
      </w:r>
      <w:r>
        <w:t xml:space="preserve"> The chapter is organized as follows. The next section addresses the general CVA/DVA valuation in a mathematical framework.</w:t>
      </w:r>
    </w:p>
    <w:p w:rsidR="00401D30" w:rsidRDefault="00401D30" w:rsidP="00D83552">
      <w:pPr>
        <w:pStyle w:val="ListParagraph"/>
        <w:numPr>
          <w:ilvl w:val="0"/>
          <w:numId w:val="117"/>
        </w:numPr>
        <w:spacing w:after="200" w:line="360" w:lineRule="auto"/>
      </w:pPr>
      <w:r>
        <w:rPr>
          <w:u w:val="single"/>
        </w:rPr>
        <w:t>Independence between Rates and Credit</w:t>
      </w:r>
      <w:r w:rsidRPr="00401D30">
        <w:t>:</w:t>
      </w:r>
      <w:r>
        <w:t xml:space="preserve"> It is shown that under the assumption of independence between the defaults and the interest rate movements, the valuation of CVA/DVA can be separated into an interest rate part and a credit part.</w:t>
      </w:r>
    </w:p>
    <w:p w:rsidR="00401D30" w:rsidRDefault="00401D30" w:rsidP="00D83552">
      <w:pPr>
        <w:pStyle w:val="ListParagraph"/>
        <w:numPr>
          <w:ilvl w:val="0"/>
          <w:numId w:val="117"/>
        </w:numPr>
        <w:spacing w:after="200" w:line="360" w:lineRule="auto"/>
      </w:pPr>
      <w:r>
        <w:rPr>
          <w:u w:val="single"/>
        </w:rPr>
        <w:t>Default Probabilities and Recovery Rates</w:t>
      </w:r>
      <w:r w:rsidRPr="00401D30">
        <w:t>:</w:t>
      </w:r>
      <w:r>
        <w:t xml:space="preserve"> Default probabilities are inferred from hazard curves. The recovery rate map is used when the recovery rate depends on the exposure, and is discussed in the corresponding section.</w:t>
      </w:r>
    </w:p>
    <w:p w:rsidR="00AD45BB" w:rsidRDefault="00AD45BB" w:rsidP="00D83552">
      <w:pPr>
        <w:pStyle w:val="ListParagraph"/>
        <w:numPr>
          <w:ilvl w:val="0"/>
          <w:numId w:val="117"/>
        </w:numPr>
        <w:spacing w:after="200" w:line="360" w:lineRule="auto"/>
      </w:pPr>
      <w:r>
        <w:rPr>
          <w:u w:val="single"/>
        </w:rPr>
        <w:t>CVA/DVA for IR Portfolios</w:t>
      </w:r>
      <w:r w:rsidRPr="00AD45BB">
        <w:t>:</w:t>
      </w:r>
      <w:r>
        <w:t xml:space="preserve"> The next two sections discuss the details of the computation of the CVA/DVA for portfolios of interest rate products and portfolio specific calibrations.</w:t>
      </w:r>
    </w:p>
    <w:p w:rsidR="00AD45BB" w:rsidRDefault="00AD45BB" w:rsidP="00D83552">
      <w:pPr>
        <w:pStyle w:val="ListParagraph"/>
        <w:numPr>
          <w:ilvl w:val="0"/>
          <w:numId w:val="117"/>
        </w:numPr>
        <w:spacing w:after="200" w:line="360" w:lineRule="auto"/>
      </w:pPr>
      <w:r>
        <w:rPr>
          <w:u w:val="single"/>
        </w:rPr>
        <w:t>CVA/DVA from Components/Portfolios</w:t>
      </w:r>
      <w:r w:rsidRPr="00AD45BB">
        <w:t>:</w:t>
      </w:r>
      <w:r>
        <w:t xml:space="preserve"> Single fixed-for-floating swap CVA/DVA can be valued as a linear combination of swaptions weighted by default probabilities.</w:t>
      </w:r>
      <w:r w:rsidR="00067F3A">
        <w:t xml:space="preserve"> For portfolios of swaps and option underlyings the Hull White model is utilized to compute the interest rate risk.</w:t>
      </w:r>
    </w:p>
    <w:p w:rsidR="00067F3A" w:rsidRDefault="00067F3A" w:rsidP="00D83552">
      <w:pPr>
        <w:pStyle w:val="ListParagraph"/>
        <w:numPr>
          <w:ilvl w:val="0"/>
          <w:numId w:val="117"/>
        </w:numPr>
        <w:spacing w:after="200" w:line="360" w:lineRule="auto"/>
      </w:pPr>
      <w:r>
        <w:rPr>
          <w:u w:val="single"/>
        </w:rPr>
        <w:t>Impact of the Posted Collateral</w:t>
      </w:r>
      <w:r w:rsidRPr="00067F3A">
        <w:t>:</w:t>
      </w:r>
      <w:r>
        <w:t xml:space="preserve"> Under the bilateral margin agreement, both the bank and the counter party need to post collateral if the uncollateralized amount exceeds a certain threshold. The impact of the margin agreements and the margin periods of risk on the CVA/DVA valuation is discussed in their own section.</w:t>
      </w:r>
    </w:p>
    <w:p w:rsidR="00067F3A" w:rsidRDefault="00067F3A" w:rsidP="00D83552">
      <w:pPr>
        <w:pStyle w:val="ListParagraph"/>
        <w:numPr>
          <w:ilvl w:val="0"/>
          <w:numId w:val="117"/>
        </w:numPr>
        <w:spacing w:after="200" w:line="360" w:lineRule="auto"/>
      </w:pPr>
      <w:r>
        <w:rPr>
          <w:u w:val="single"/>
        </w:rPr>
        <w:t>CVA/DVA for Muni FPA</w:t>
      </w:r>
      <w:r w:rsidRPr="00067F3A">
        <w:t>:</w:t>
      </w:r>
      <w:r>
        <w:t xml:space="preserve"> A separate section presents an approximation method for capturing the CVA/DVA of the Muni FPA product by constructing an equivalent LIBOR swap for the FPA pricing.</w:t>
      </w:r>
    </w:p>
    <w:p w:rsidR="00EC0D9D" w:rsidRDefault="00EC0D9D" w:rsidP="00D83552">
      <w:pPr>
        <w:pStyle w:val="ListParagraph"/>
        <w:numPr>
          <w:ilvl w:val="0"/>
          <w:numId w:val="117"/>
        </w:numPr>
        <w:spacing w:after="200" w:line="360" w:lineRule="auto"/>
      </w:pPr>
      <w:r>
        <w:rPr>
          <w:u w:val="single"/>
        </w:rPr>
        <w:t>Cross Currency Swap CVA/DVA</w:t>
      </w:r>
      <w:r w:rsidRPr="00EC0D9D">
        <w:t>:</w:t>
      </w:r>
      <w:r>
        <w:t xml:space="preserve"> For cross-currency swap portfolios, since there are more risk factors to model, a Monte Carlo based simulation to model the interest rates in each currency and the FX dynamics has been built, and is discussed in the penultimate section. The final section concludes this chapter.</w:t>
      </w:r>
    </w:p>
    <w:p w:rsidR="00EC0D9D" w:rsidRDefault="00EC0D9D" w:rsidP="00EC0D9D">
      <w:pPr>
        <w:spacing w:after="200" w:line="360" w:lineRule="auto"/>
      </w:pPr>
    </w:p>
    <w:p w:rsidR="00EC0D9D" w:rsidRDefault="00EC0D9D" w:rsidP="00EC0D9D">
      <w:pPr>
        <w:spacing w:after="200" w:line="360" w:lineRule="auto"/>
      </w:pPr>
    </w:p>
    <w:p w:rsidR="00EC0D9D" w:rsidRPr="00EC0D9D" w:rsidRDefault="00EC0D9D" w:rsidP="00EC0D9D">
      <w:pPr>
        <w:spacing w:after="200" w:line="360" w:lineRule="auto"/>
        <w:rPr>
          <w:b/>
          <w:sz w:val="28"/>
          <w:szCs w:val="28"/>
        </w:rPr>
      </w:pPr>
      <w:r w:rsidRPr="00EC0D9D">
        <w:rPr>
          <w:b/>
          <w:sz w:val="28"/>
          <w:szCs w:val="28"/>
        </w:rPr>
        <w:lastRenderedPageBreak/>
        <w:t>General Framework for CVA/DVA Pricing</w:t>
      </w:r>
    </w:p>
    <w:p w:rsidR="00EC0D9D" w:rsidRDefault="00EC0D9D" w:rsidP="00EC0D9D">
      <w:pPr>
        <w:spacing w:after="200" w:line="360" w:lineRule="auto"/>
      </w:pPr>
    </w:p>
    <w:p w:rsidR="00EC0D9D" w:rsidRDefault="00EC0D9D" w:rsidP="00D83552">
      <w:pPr>
        <w:pStyle w:val="ListParagraph"/>
        <w:numPr>
          <w:ilvl w:val="0"/>
          <w:numId w:val="118"/>
        </w:numPr>
        <w:spacing w:after="200" w:line="360" w:lineRule="auto"/>
      </w:pPr>
      <w:r w:rsidRPr="00EC0D9D">
        <w:rPr>
          <w:u w:val="single"/>
        </w:rPr>
        <w:t>Unilateral Counter Party Credit Risk</w:t>
      </w:r>
      <w:r>
        <w:t xml:space="preserve">: CVA/DVA model can be viewed as an extension to the counter party credit risk. Counter party credit risk valuation assumes that the bank is default free, and this leads to </w:t>
      </w:r>
      <m:oMath>
        <m:r>
          <w:rPr>
            <w:rFonts w:ascii="Cambria Math" w:hAnsi="Cambria Math"/>
          </w:rPr>
          <m:t>0</m:t>
        </m:r>
      </m:oMath>
      <w:r>
        <w:t xml:space="preserve"> DVA value, and the counter party credit risk is equivalent to the CVA.</w:t>
      </w:r>
    </w:p>
    <w:p w:rsidR="00EC0D9D" w:rsidRDefault="00EC0D9D" w:rsidP="00D83552">
      <w:pPr>
        <w:pStyle w:val="ListParagraph"/>
        <w:numPr>
          <w:ilvl w:val="0"/>
          <w:numId w:val="118"/>
        </w:numPr>
        <w:spacing w:after="200" w:line="360" w:lineRule="auto"/>
      </w:pPr>
      <w:r>
        <w:rPr>
          <w:u w:val="single"/>
        </w:rPr>
        <w:t>Bilateral Counter Party Credit Risk</w:t>
      </w:r>
      <w:r w:rsidRPr="00EC0D9D">
        <w:t>:</w:t>
      </w:r>
      <w:r>
        <w:t xml:space="preserve"> To properly adjust portfolio values, it is necessary to take the bank’s credit condition into account. </w:t>
      </w:r>
      <w:r w:rsidR="00087983">
        <w:t>Therefore it needs to be assumed that the probability of bank’s default is non-zero.</w:t>
      </w:r>
    </w:p>
    <w:p w:rsidR="00087983" w:rsidRDefault="00087983" w:rsidP="00D83552">
      <w:pPr>
        <w:pStyle w:val="ListParagraph"/>
        <w:numPr>
          <w:ilvl w:val="0"/>
          <w:numId w:val="118"/>
        </w:numPr>
        <w:spacing w:after="200" w:line="360" w:lineRule="auto"/>
      </w:pPr>
      <w:r>
        <w:rPr>
          <w:u w:val="single"/>
        </w:rPr>
        <w:t>Separation of Rates/Credit Components</w:t>
      </w:r>
      <w:r w:rsidRPr="00087983">
        <w:t>:</w:t>
      </w:r>
      <w:r>
        <w:t xml:space="preserve"> However, it is assumed that there is no correlation between defaults and interest rate movements. Such an assumption essentially separates the credit risk from the interest rate risk, and allows avoiding the simulation of both parts.</w:t>
      </w:r>
    </w:p>
    <w:p w:rsidR="00D2195D" w:rsidRDefault="00D2195D" w:rsidP="00D83552">
      <w:pPr>
        <w:pStyle w:val="ListParagraph"/>
        <w:numPr>
          <w:ilvl w:val="0"/>
          <w:numId w:val="118"/>
        </w:numPr>
        <w:spacing w:after="200" w:line="360" w:lineRule="auto"/>
      </w:pPr>
      <w:r>
        <w:rPr>
          <w:u w:val="single"/>
        </w:rPr>
        <w:t>General Description of the Framework</w:t>
      </w:r>
      <w:r w:rsidRPr="00D2195D">
        <w:t>:</w:t>
      </w:r>
      <w:r>
        <w:t xml:space="preserve"> The general description of the problem is as follows. Let </w:t>
      </w:r>
      <m:oMath>
        <m:r>
          <w:rPr>
            <w:rFonts w:ascii="Cambria Math" w:hAnsi="Cambria Math"/>
          </w:rPr>
          <m:t>V</m:t>
        </m:r>
      </m:oMath>
      <w:r>
        <w:t xml:space="preserve"> denote the default free contract value and </w:t>
      </w:r>
      <m:oMath>
        <m:r>
          <w:rPr>
            <w:rFonts w:ascii="Cambria Math" w:hAnsi="Cambria Math"/>
          </w:rPr>
          <m:t>τ</m:t>
        </m:r>
      </m:oMath>
      <w:r>
        <w:t xml:space="preserve"> the default time.</w:t>
      </w:r>
    </w:p>
    <w:p w:rsidR="00D2195D" w:rsidRDefault="00D2195D" w:rsidP="00D83552">
      <w:pPr>
        <w:pStyle w:val="ListParagraph"/>
        <w:numPr>
          <w:ilvl w:val="0"/>
          <w:numId w:val="118"/>
        </w:numPr>
        <w:spacing w:after="200" w:line="360" w:lineRule="auto"/>
      </w:pPr>
      <w:r>
        <w:rPr>
          <w:u w:val="single"/>
        </w:rPr>
        <w:t>Default of the Counter Party</w:t>
      </w:r>
      <w:r w:rsidRPr="00D2195D">
        <w:t>:</w:t>
      </w:r>
      <w:r>
        <w:t xml:space="preserve"> At default there are two scenarios. The first is that the counter party defaults. If the contract value is positive to the bank, a loss equal to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is incurred, where </w:t>
      </w:r>
      <m:oMath>
        <m:sSub>
          <m:sSubPr>
            <m:ctrlPr>
              <w:rPr>
                <w:rFonts w:ascii="Cambria Math" w:hAnsi="Cambria Math"/>
                <w:i/>
              </w:rPr>
            </m:ctrlPr>
          </m:sSubPr>
          <m:e>
            <m:r>
              <w:rPr>
                <w:rFonts w:ascii="Cambria Math" w:hAnsi="Cambria Math"/>
              </w:rPr>
              <m:t>R</m:t>
            </m:r>
          </m:e>
          <m:sub>
            <m:r>
              <w:rPr>
                <w:rFonts w:ascii="Cambria Math" w:hAnsi="Cambria Math"/>
              </w:rPr>
              <m:t>CPTY</m:t>
            </m:r>
          </m:sub>
        </m:sSub>
      </m:oMath>
      <w:r>
        <w:t xml:space="preserve"> is the counter party’s recovery value.</w:t>
      </w:r>
    </w:p>
    <w:p w:rsidR="00D2195D" w:rsidRDefault="00D2195D" w:rsidP="00D83552">
      <w:pPr>
        <w:pStyle w:val="ListParagraph"/>
        <w:numPr>
          <w:ilvl w:val="0"/>
          <w:numId w:val="118"/>
        </w:numPr>
        <w:spacing w:after="200" w:line="360" w:lineRule="auto"/>
      </w:pPr>
      <w:r>
        <w:rPr>
          <w:u w:val="single"/>
        </w:rPr>
        <w:t>Default of the Bank Entity</w:t>
      </w:r>
      <w:r w:rsidRPr="00D2195D">
        <w:t>:</w:t>
      </w:r>
      <w:r>
        <w:t xml:space="preserve"> The second scenario is that the bank defaults. If the remaining contract value is negative, the counter party receives </w:t>
      </w:r>
      <m:oMath>
        <m:sSub>
          <m:sSubPr>
            <m:ctrlPr>
              <w:rPr>
                <w:rFonts w:ascii="Cambria Math" w:hAnsi="Cambria Math"/>
                <w:i/>
              </w:rPr>
            </m:ctrlPr>
          </m:sSubPr>
          <m:e>
            <m:r>
              <w:rPr>
                <w:rFonts w:ascii="Cambria Math" w:hAnsi="Cambria Math"/>
              </w:rPr>
              <m:t>R</m:t>
            </m:r>
          </m:e>
          <m:sub>
            <m:r>
              <w:rPr>
                <w:rFonts w:ascii="Cambria Math" w:hAnsi="Cambria Math"/>
              </w:rPr>
              <m:t>BANK</m:t>
            </m:r>
          </m:sub>
        </m:sSub>
        <m:sSup>
          <m:sSupPr>
            <m:ctrlPr>
              <w:rPr>
                <w:rFonts w:ascii="Cambria Math" w:hAnsi="Cambria Math"/>
                <w:i/>
              </w:rPr>
            </m:ctrlPr>
          </m:sSupPr>
          <m:e>
            <m:r>
              <w:rPr>
                <w:rFonts w:ascii="Cambria Math" w:hAnsi="Cambria Math"/>
              </w:rPr>
              <m:t>V</m:t>
            </m:r>
          </m:e>
          <m:sup>
            <m:r>
              <w:rPr>
                <w:rFonts w:ascii="Cambria Math" w:hAnsi="Cambria Math"/>
              </w:rPr>
              <m:t>-</m:t>
            </m:r>
          </m:sup>
        </m:sSup>
      </m:oMath>
    </w:p>
    <w:p w:rsidR="00317EF3" w:rsidRDefault="00D2195D" w:rsidP="00D83552">
      <w:pPr>
        <w:pStyle w:val="ListParagraph"/>
        <w:numPr>
          <w:ilvl w:val="0"/>
          <w:numId w:val="118"/>
        </w:numPr>
        <w:spacing w:after="200" w:line="360" w:lineRule="auto"/>
      </w:pPr>
      <w:r>
        <w:rPr>
          <w:u w:val="single"/>
        </w:rPr>
        <w:t>Adjustment to the Default Free Value</w:t>
      </w:r>
      <w:r w:rsidRPr="00D2195D">
        <w:t>:</w:t>
      </w:r>
      <w:r>
        <w:t xml:space="preserve"> Putting all these possibilities together, the expression for the adjustment of the default-free contract value when the default occurs between </w:t>
      </w:r>
      <m:oMath>
        <m:r>
          <w:rPr>
            <w:rFonts w:ascii="Cambria Math" w:hAnsi="Cambria Math"/>
          </w:rPr>
          <m:t>t</m:t>
        </m:r>
      </m:oMath>
      <w:r>
        <w:t xml:space="preserve"> and </w:t>
      </w:r>
      <m:oMath>
        <m:r>
          <w:rPr>
            <w:rFonts w:ascii="Cambria Math" w:hAnsi="Cambria Math"/>
          </w:rPr>
          <m:t>t+∆t</m:t>
        </m:r>
      </m:oMath>
      <w:r>
        <w:t xml:space="preserve"> is given by</w:t>
      </w:r>
    </w:p>
    <w:p w:rsidR="00317EF3" w:rsidRDefault="00317EF3" w:rsidP="00317EF3">
      <w:pPr>
        <w:pStyle w:val="ListParagraph"/>
        <w:spacing w:after="200" w:line="360" w:lineRule="auto"/>
        <w:ind w:left="360"/>
        <w:rPr>
          <w:u w:val="single"/>
        </w:rPr>
      </w:pPr>
    </w:p>
    <w:p w:rsidR="00317EF3" w:rsidRDefault="00D2195D" w:rsidP="00317EF3">
      <w:pPr>
        <w:pStyle w:val="ListParagraph"/>
        <w:spacing w:after="200" w:line="360" w:lineRule="auto"/>
        <w:ind w:left="360"/>
      </w:pPr>
      <m:oMathPara>
        <m:oMath>
          <m:r>
            <w:rPr>
              <w:rFonts w:ascii="Cambria Math" w:hAnsi="Cambria Math"/>
            </w:rPr>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317EF3" w:rsidRDefault="00317EF3" w:rsidP="00317EF3">
      <w:pPr>
        <w:pStyle w:val="ListParagraph"/>
        <w:spacing w:after="200" w:line="360" w:lineRule="auto"/>
        <w:ind w:left="360"/>
      </w:pPr>
    </w:p>
    <w:p w:rsidR="00317EF3" w:rsidRDefault="005D6A21"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317EF3" w:rsidRDefault="005D6A21"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D2195D" w:rsidRDefault="008B6C74" w:rsidP="00317EF3">
      <w:pPr>
        <w:pStyle w:val="ListParagraph"/>
        <w:spacing w:after="200" w:line="360" w:lineRule="auto"/>
        <w:ind w:left="360"/>
      </w:pPr>
      <w:r>
        <w:t xml:space="preserve">where </w:t>
      </w:r>
      <m:oMath>
        <m:sSub>
          <m:sSubPr>
            <m:ctrlPr>
              <w:rPr>
                <w:rFonts w:ascii="Cambria Math" w:hAnsi="Cambria Math"/>
              </w:rPr>
            </m:ctrlPr>
          </m:sSubPr>
          <m:e>
            <m:r>
              <m:rPr>
                <m:sty m:val="p"/>
              </m:rPr>
              <w:rPr>
                <w:rFonts w:ascii="Cambria Math" w:hAnsi="Cambria Math"/>
              </w:rPr>
              <m:t>Ι</m:t>
            </m:r>
          </m:e>
          <m:sub>
            <m:r>
              <w:rPr>
                <w:rFonts w:ascii="Cambria Math" w:hAnsi="Cambria Math"/>
              </w:rPr>
              <m:t>X</m:t>
            </m:r>
          </m:sub>
        </m:sSub>
      </m:oMath>
      <w:r>
        <w:t xml:space="preserve"> is the indicator function that takes </w:t>
      </w:r>
      <m:oMath>
        <m:r>
          <w:rPr>
            <w:rFonts w:ascii="Cambria Math" w:hAnsi="Cambria Math"/>
          </w:rPr>
          <m:t>1</m:t>
        </m:r>
      </m:oMath>
      <w:r>
        <w:t xml:space="preserve"> when condition </w:t>
      </w:r>
      <m:oMath>
        <m:r>
          <w:rPr>
            <w:rFonts w:ascii="Cambria Math" w:hAnsi="Cambria Math"/>
          </w:rPr>
          <m:t>X</m:t>
        </m:r>
      </m:oMath>
      <w:r>
        <w:t xml:space="preserve"> is met and </w:t>
      </w:r>
      <m:oMath>
        <m:r>
          <w:rPr>
            <w:rFonts w:ascii="Cambria Math" w:hAnsi="Cambria Math"/>
          </w:rPr>
          <m:t>0</m:t>
        </m:r>
      </m:oMath>
      <w:r>
        <w:t xml:space="preserve"> otherwise.</w:t>
      </w:r>
    </w:p>
    <w:p w:rsidR="007A09A2" w:rsidRDefault="007A09A2" w:rsidP="00D83552">
      <w:pPr>
        <w:pStyle w:val="ListParagraph"/>
        <w:numPr>
          <w:ilvl w:val="0"/>
          <w:numId w:val="118"/>
        </w:numPr>
        <w:spacing w:after="200" w:line="360" w:lineRule="auto"/>
      </w:pPr>
      <w:r>
        <w:rPr>
          <w:u w:val="single"/>
        </w:rPr>
        <w:t>CVA and DVA Component Terms</w:t>
      </w:r>
      <w:r w:rsidRPr="007A09A2">
        <w:t>:</w:t>
      </w:r>
      <w:r>
        <w:t xml:space="preserve"> The two terms above are the CVA and the DVA. This formulation can be compared to the corresponding one in Duffie and Huang (1996) treatment on swap rate with credit quality adjustment.</w:t>
      </w:r>
    </w:p>
    <w:p w:rsidR="00317EF3" w:rsidRDefault="00F81EB1" w:rsidP="00D83552">
      <w:pPr>
        <w:pStyle w:val="ListParagraph"/>
        <w:numPr>
          <w:ilvl w:val="0"/>
          <w:numId w:val="118"/>
        </w:numPr>
        <w:spacing w:after="200" w:line="360" w:lineRule="auto"/>
      </w:pPr>
      <w:r>
        <w:rPr>
          <w:u w:val="single"/>
        </w:rPr>
        <w:t>Total Bank/Counter Party Adjustment</w:t>
      </w:r>
      <w:r w:rsidRPr="00F81EB1">
        <w:t>:</w:t>
      </w:r>
      <w:r>
        <w:t xml:space="preserve"> After taking expectation of the above expression and integrating over all possible default times, the total adjustment is</w:t>
      </w:r>
    </w:p>
    <w:p w:rsidR="00317EF3" w:rsidRDefault="00317EF3" w:rsidP="00317EF3">
      <w:pPr>
        <w:pStyle w:val="ListParagraph"/>
        <w:spacing w:after="200" w:line="360" w:lineRule="auto"/>
        <w:ind w:left="360"/>
        <w:rPr>
          <w:u w:val="single"/>
        </w:rPr>
      </w:pPr>
    </w:p>
    <w:p w:rsidR="00317EF3" w:rsidRDefault="00F81EB1" w:rsidP="00317EF3">
      <w:pPr>
        <w:pStyle w:val="ListParagraph"/>
        <w:spacing w:after="200" w:line="360" w:lineRule="auto"/>
        <w:ind w:left="360"/>
      </w:pPr>
      <m:oMathPara>
        <m:oMath>
          <m:r>
            <w:rPr>
              <w:rFonts w:ascii="Cambria Math" w:hAnsi="Cambria Math"/>
            </w:rPr>
            <m:t>CVA+DVA=</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BANK</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oMath>
      </m:oMathPara>
    </w:p>
    <w:p w:rsidR="00317EF3" w:rsidRDefault="00317EF3" w:rsidP="00317EF3">
      <w:pPr>
        <w:pStyle w:val="ListParagraph"/>
        <w:spacing w:after="200" w:line="360" w:lineRule="auto"/>
        <w:ind w:left="360"/>
      </w:pPr>
    </w:p>
    <w:p w:rsidR="00317EF3" w:rsidRDefault="00F81EB1" w:rsidP="00317EF3">
      <w:pPr>
        <w:pStyle w:val="ListParagraph"/>
        <w:spacing w:after="200" w:line="360" w:lineRule="auto"/>
        <w:ind w:left="360"/>
      </w:pPr>
      <w:r>
        <w:t>where</w:t>
      </w:r>
    </w:p>
    <w:p w:rsidR="00317EF3" w:rsidRDefault="00317EF3" w:rsidP="00317EF3">
      <w:pPr>
        <w:pStyle w:val="ListParagraph"/>
        <w:spacing w:after="200" w:line="360" w:lineRule="auto"/>
        <w:ind w:left="360"/>
      </w:pPr>
    </w:p>
    <w:p w:rsidR="00317EF3" w:rsidRDefault="005D6A21" w:rsidP="00317EF3">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u</m:t>
              </m:r>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≤u</m:t>
              </m:r>
            </m:e>
          </m:d>
        </m:oMath>
      </m:oMathPara>
    </w:p>
    <w:p w:rsidR="00317EF3" w:rsidRDefault="00317EF3" w:rsidP="00317EF3">
      <w:pPr>
        <w:pStyle w:val="ListParagraph"/>
        <w:spacing w:after="200" w:line="360" w:lineRule="auto"/>
        <w:ind w:left="360"/>
      </w:pPr>
    </w:p>
    <w:p w:rsidR="00F81EB1" w:rsidRDefault="00F81EB1" w:rsidP="00317EF3">
      <w:pPr>
        <w:pStyle w:val="ListParagraph"/>
        <w:spacing w:after="200" w:line="360" w:lineRule="auto"/>
        <w:ind w:left="360"/>
      </w:pPr>
      <w:r>
        <w:t xml:space="preserve">is the marginal distribution of the counter party’s defaults, and </w:t>
      </w:r>
      <m:oMath>
        <m:sSub>
          <m:sSubPr>
            <m:ctrlPr>
              <w:rPr>
                <w:rFonts w:ascii="Cambria Math" w:hAnsi="Cambria Math"/>
                <w:i/>
              </w:rPr>
            </m:ctrlPr>
          </m:sSubPr>
          <m:e>
            <m:r>
              <w:rPr>
                <w:rFonts w:ascii="Cambria Math" w:hAnsi="Cambria Math"/>
              </w:rPr>
              <m:t>F</m:t>
            </m:r>
          </m:e>
          <m:sub>
            <m:r>
              <w:rPr>
                <w:rFonts w:ascii="Cambria Math" w:hAnsi="Cambria Math"/>
              </w:rPr>
              <m:t>BANK</m:t>
            </m:r>
          </m:sub>
        </m:sSub>
      </m:oMath>
      <w:r>
        <w:t xml:space="preserve"> is the bank’s.</w:t>
      </w:r>
    </w:p>
    <w:p w:rsidR="00317EF3" w:rsidRDefault="004738E4" w:rsidP="00D83552">
      <w:pPr>
        <w:pStyle w:val="ListParagraph"/>
        <w:numPr>
          <w:ilvl w:val="0"/>
          <w:numId w:val="118"/>
        </w:numPr>
        <w:spacing w:after="200" w:line="360" w:lineRule="auto"/>
      </w:pPr>
      <w:r>
        <w:rPr>
          <w:u w:val="single"/>
        </w:rPr>
        <w:t>The Expected Positive/Negative Exposures</w:t>
      </w:r>
      <w:r w:rsidRPr="004738E4">
        <w:t>:</w:t>
      </w:r>
      <w:r>
        <w:t xml:space="preserve">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is short-hand for</w:t>
      </w:r>
    </w:p>
    <w:p w:rsidR="00317EF3" w:rsidRDefault="00317EF3" w:rsidP="00317EF3">
      <w:pPr>
        <w:pStyle w:val="ListParagraph"/>
        <w:spacing w:after="200" w:line="360" w:lineRule="auto"/>
        <w:ind w:left="360"/>
        <w:rPr>
          <w:u w:val="single"/>
        </w:rPr>
      </w:pPr>
    </w:p>
    <w:p w:rsidR="00317EF3" w:rsidRDefault="004738E4" w:rsidP="00317EF3">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N</m:t>
              </m:r>
            </m:sub>
          </m:sSub>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
                    <m:dPr>
                      <m:ctrlPr>
                        <w:rPr>
                          <w:rFonts w:ascii="Cambria Math" w:hAnsi="Cambria Math"/>
                          <w:i/>
                        </w:rPr>
                      </m:ctrlPr>
                    </m:dPr>
                    <m:e>
                      <m:r>
                        <w:rPr>
                          <w:rFonts w:ascii="Cambria Math" w:hAnsi="Cambria Math"/>
                        </w:rPr>
                        <m:t>τ</m:t>
                      </m:r>
                    </m:e>
                  </m:d>
                </m:den>
              </m:f>
            </m:e>
          </m:d>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t xml:space="preserve"> is the appropriate numeraire. For example, when the underlying is a swap, the swap measure with the numeraire </w:t>
      </w:r>
      <m:oMath>
        <m:r>
          <w:rPr>
            <w:rFonts w:ascii="Cambria Math" w:hAnsi="Cambria Math"/>
          </w:rPr>
          <m:t>DV01</m:t>
        </m:r>
        <m:d>
          <m:dPr>
            <m:ctrlPr>
              <w:rPr>
                <w:rFonts w:ascii="Cambria Math" w:hAnsi="Cambria Math"/>
                <w:i/>
              </w:rPr>
            </m:ctrlPr>
          </m:dPr>
          <m:e>
            <m:r>
              <w:rPr>
                <w:rFonts w:ascii="Cambria Math" w:hAnsi="Cambria Math"/>
              </w:rPr>
              <m:t>T</m:t>
            </m:r>
          </m:e>
        </m:d>
      </m:oMath>
      <w:r>
        <w:t xml:space="preserve"> is the most convenient. In general the measure is used by the model used to determine the value of the option on the underlying portfolio.</w:t>
      </w:r>
    </w:p>
    <w:p w:rsidR="00317EF3" w:rsidRDefault="004738E4" w:rsidP="00D83552">
      <w:pPr>
        <w:pStyle w:val="ListParagraph"/>
        <w:numPr>
          <w:ilvl w:val="0"/>
          <w:numId w:val="118"/>
        </w:numPr>
        <w:spacing w:after="200" w:line="360" w:lineRule="auto"/>
      </w:pPr>
      <w:r>
        <w:rPr>
          <w:u w:val="single"/>
        </w:rPr>
        <w:t>Discretization of the CVA/DVA Integrals</w:t>
      </w:r>
      <w:r w:rsidRPr="004738E4">
        <w:t>:</w:t>
      </w:r>
      <w:r>
        <w:t xml:space="preserve"> The above integral can be approximated by a discrete sum:</w:t>
      </w:r>
    </w:p>
    <w:p w:rsidR="00317EF3" w:rsidRDefault="00317EF3" w:rsidP="00317EF3">
      <w:pPr>
        <w:pStyle w:val="ListParagraph"/>
        <w:spacing w:after="200" w:line="360" w:lineRule="auto"/>
        <w:ind w:left="360"/>
        <w:rPr>
          <w:u w:val="single"/>
        </w:rPr>
      </w:pPr>
    </w:p>
    <w:p w:rsidR="00317EF3" w:rsidRDefault="004421AF" w:rsidP="00317EF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r>
        <w:t xml:space="preserve">as was done with the counter party credit risk evaluation. The expectations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are just call/put options on the underlying portfolio values. Their valuation will be discussed later.</w:t>
      </w:r>
    </w:p>
    <w:p w:rsidR="00317EF3" w:rsidRDefault="0089211E" w:rsidP="00D83552">
      <w:pPr>
        <w:pStyle w:val="ListParagraph"/>
        <w:numPr>
          <w:ilvl w:val="0"/>
          <w:numId w:val="118"/>
        </w:numPr>
        <w:spacing w:after="200" w:line="360" w:lineRule="auto"/>
      </w:pPr>
      <w:r>
        <w:rPr>
          <w:u w:val="single"/>
        </w:rPr>
        <w:t>The Incremental Probability of Default</w:t>
      </w:r>
      <w:r w:rsidRPr="0089211E">
        <w:t>:</w:t>
      </w:r>
      <w:r>
        <w:t xml:space="preserve"> The distribution of defaults can be inferred from a hazard curve easily. The “discount factors” calculated from the hazard curves are just the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is given by</w:t>
      </w:r>
    </w:p>
    <w:p w:rsidR="00317EF3" w:rsidRDefault="00317EF3" w:rsidP="00317EF3">
      <w:pPr>
        <w:pStyle w:val="ListParagraph"/>
        <w:spacing w:after="200" w:line="360" w:lineRule="auto"/>
        <w:ind w:left="360"/>
        <w:rPr>
          <w:u w:val="single"/>
        </w:rPr>
      </w:pPr>
    </w:p>
    <w:p w:rsidR="0089211E" w:rsidRPr="00317EF3" w:rsidRDefault="0089211E" w:rsidP="00317EF3">
      <w:pPr>
        <w:pStyle w:val="ListParagraph"/>
        <w:spacing w:after="200" w:line="360" w:lineRule="auto"/>
        <w:ind w:left="360"/>
      </w:pPr>
      <m:oMathPara>
        <m:oMath>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m:t>
                  </m:r>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317EF3" w:rsidRDefault="00317EF3" w:rsidP="00317EF3">
      <w:pPr>
        <w:pStyle w:val="ListParagraph"/>
        <w:spacing w:after="200" w:line="360" w:lineRule="auto"/>
        <w:ind w:left="360"/>
      </w:pPr>
    </w:p>
    <w:p w:rsidR="0089211E" w:rsidRDefault="0089211E" w:rsidP="00D83552">
      <w:pPr>
        <w:pStyle w:val="ListParagraph"/>
        <w:numPr>
          <w:ilvl w:val="0"/>
          <w:numId w:val="118"/>
        </w:numPr>
        <w:spacing w:after="200" w:line="360" w:lineRule="auto"/>
      </w:pPr>
      <w:r>
        <w:rPr>
          <w:u w:val="single"/>
        </w:rPr>
        <w:t>Calls/Puts on the Underlying Portfolio</w:t>
      </w:r>
      <w:r>
        <w:t>: Calculation of the probabilities using the equation above is straightforward. The difficult part in the CVA/DVA valuation is the calculation of the call/put option values on the underlying portfolio.</w:t>
      </w:r>
    </w:p>
    <w:p w:rsidR="0089211E" w:rsidRDefault="0089211E" w:rsidP="00D83552">
      <w:pPr>
        <w:pStyle w:val="ListParagraph"/>
        <w:numPr>
          <w:ilvl w:val="0"/>
          <w:numId w:val="118"/>
        </w:numPr>
        <w:spacing w:after="200" w:line="360" w:lineRule="auto"/>
      </w:pPr>
      <w:r>
        <w:rPr>
          <w:u w:val="single"/>
        </w:rPr>
        <w:t>Valuation of Forward Basket Options</w:t>
      </w:r>
      <w:r w:rsidRPr="0089211E">
        <w:t>:</w:t>
      </w:r>
      <w:r>
        <w:t xml:space="preserve"> As explained in the counter party credit valuation literature, this step is equivalent to valuing forward basket options, which requires the forward volatilities of the term structure. Generally this is model dependent.</w:t>
      </w:r>
    </w:p>
    <w:p w:rsidR="0089211E" w:rsidRDefault="0089211E" w:rsidP="00D83552">
      <w:pPr>
        <w:pStyle w:val="ListParagraph"/>
        <w:numPr>
          <w:ilvl w:val="0"/>
          <w:numId w:val="118"/>
        </w:numPr>
        <w:spacing w:after="200" w:line="360" w:lineRule="auto"/>
      </w:pPr>
      <w:r>
        <w:rPr>
          <w:u w:val="single"/>
        </w:rPr>
        <w:t>Hull White Basket Evolution Model</w:t>
      </w:r>
      <w:r w:rsidRPr="0089211E">
        <w:t>:</w:t>
      </w:r>
      <w:r>
        <w:t xml:space="preserve"> For CVA/DVA on a portfolio of instruments, the Hull White model is utilized to value options on a basket of options. The details are presented in the next two sections.</w:t>
      </w:r>
    </w:p>
    <w:p w:rsidR="00317EF3" w:rsidRDefault="00317EF3" w:rsidP="00D83552">
      <w:pPr>
        <w:pStyle w:val="ListParagraph"/>
        <w:numPr>
          <w:ilvl w:val="0"/>
          <w:numId w:val="118"/>
        </w:numPr>
        <w:spacing w:after="200" w:line="360" w:lineRule="auto"/>
      </w:pPr>
      <w:r>
        <w:rPr>
          <w:u w:val="single"/>
        </w:rPr>
        <w:t>Single Swap CVA/DVA Estimation</w:t>
      </w:r>
      <w:r w:rsidRPr="00317EF3">
        <w:t>:</w:t>
      </w:r>
      <w:r>
        <w:t xml:space="preserve"> The next section discusses CVA/DVA on a single swap. This is the case where the credit risk is directly proportional to the swaption value, and therefore can be prices by a volatility surface directly.</w:t>
      </w:r>
    </w:p>
    <w:p w:rsidR="00317EF3" w:rsidRDefault="00317EF3" w:rsidP="00317EF3">
      <w:pPr>
        <w:spacing w:after="200" w:line="360" w:lineRule="auto"/>
      </w:pPr>
    </w:p>
    <w:p w:rsidR="00317EF3" w:rsidRDefault="00317EF3" w:rsidP="00317EF3">
      <w:pPr>
        <w:spacing w:after="200" w:line="360" w:lineRule="auto"/>
      </w:pPr>
    </w:p>
    <w:p w:rsidR="00317EF3" w:rsidRPr="00317EF3" w:rsidRDefault="00317EF3" w:rsidP="00317EF3">
      <w:pPr>
        <w:spacing w:after="200" w:line="360" w:lineRule="auto"/>
        <w:rPr>
          <w:b/>
          <w:sz w:val="28"/>
          <w:szCs w:val="28"/>
        </w:rPr>
      </w:pPr>
      <w:r w:rsidRPr="00317EF3">
        <w:rPr>
          <w:b/>
          <w:sz w:val="28"/>
          <w:szCs w:val="28"/>
        </w:rPr>
        <w:lastRenderedPageBreak/>
        <w:t>Recovery Rate Map</w:t>
      </w:r>
    </w:p>
    <w:p w:rsidR="00317EF3" w:rsidRDefault="00317EF3" w:rsidP="00317EF3">
      <w:pPr>
        <w:spacing w:after="200" w:line="360" w:lineRule="auto"/>
      </w:pPr>
    </w:p>
    <w:p w:rsidR="00317EF3" w:rsidRDefault="00317EF3" w:rsidP="00D83552">
      <w:pPr>
        <w:pStyle w:val="ListParagraph"/>
        <w:numPr>
          <w:ilvl w:val="0"/>
          <w:numId w:val="120"/>
        </w:numPr>
        <w:spacing w:after="200" w:line="360" w:lineRule="auto"/>
      </w:pPr>
      <w:r w:rsidRPr="00317EF3">
        <w:rPr>
          <w:u w:val="single"/>
        </w:rPr>
        <w:t>Threshold Dependent Recovery Rate Map</w:t>
      </w:r>
      <w:r>
        <w:t>: For the recovery rate the user can also use a recovery rate map – a two column array in which the first column showing the threshold above which a recovery rate – shown in the second column – is going to be realized when the counter party/bank defaults.</w:t>
      </w:r>
    </w:p>
    <w:p w:rsidR="00317EF3" w:rsidRDefault="00317EF3" w:rsidP="00D83552">
      <w:pPr>
        <w:pStyle w:val="ListParagraph"/>
        <w:numPr>
          <w:ilvl w:val="0"/>
          <w:numId w:val="120"/>
        </w:numPr>
        <w:spacing w:after="200" w:line="360" w:lineRule="auto"/>
      </w:pPr>
      <w:r>
        <w:rPr>
          <w:u w:val="single"/>
        </w:rPr>
        <w:t>Piecewise Constant Recovery Map</w:t>
      </w:r>
      <w:r>
        <w:t xml:space="preserve">: </w:t>
      </w:r>
    </w:p>
    <w:tbl>
      <w:tblPr>
        <w:tblStyle w:val="TableGrid"/>
        <w:tblW w:w="0" w:type="auto"/>
        <w:tblLook w:val="04A0" w:firstRow="1" w:lastRow="0" w:firstColumn="1" w:lastColumn="0" w:noHBand="0" w:noVBand="1"/>
      </w:tblPr>
      <w:tblGrid>
        <w:gridCol w:w="4788"/>
        <w:gridCol w:w="4788"/>
      </w:tblGrid>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Threshold1</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RecoveryRate1</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Threshold2</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RecoveryRate2</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Threshold3</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RecoveryRate3</m:t>
                </m:r>
              </m:oMath>
            </m:oMathPara>
          </w:p>
        </w:tc>
      </w:tr>
    </w:tbl>
    <w:p w:rsidR="00317EF3" w:rsidRDefault="00317EF3" w:rsidP="00317EF3">
      <w:pPr>
        <w:spacing w:after="200" w:line="360" w:lineRule="auto"/>
      </w:pPr>
    </w:p>
    <w:p w:rsidR="00FC77BE" w:rsidRDefault="00317EF3" w:rsidP="003B230D">
      <w:pPr>
        <w:spacing w:after="200" w:line="360" w:lineRule="auto"/>
        <w:ind w:left="360"/>
      </w:pPr>
      <w:r>
        <w:t>The first column should be increasing in the order of threshold with</w:t>
      </w:r>
    </w:p>
    <w:p w:rsidR="00FC77BE" w:rsidRDefault="00FC77BE" w:rsidP="003B230D">
      <w:pPr>
        <w:spacing w:after="200" w:line="360" w:lineRule="auto"/>
        <w:ind w:left="360"/>
      </w:pPr>
    </w:p>
    <w:p w:rsidR="00FC77BE" w:rsidRDefault="00317EF3" w:rsidP="003B230D">
      <w:pPr>
        <w:spacing w:after="200" w:line="360" w:lineRule="auto"/>
        <w:ind w:left="360"/>
      </w:pPr>
      <m:oMathPara>
        <m:oMath>
          <m:r>
            <w:rPr>
              <w:rFonts w:ascii="Cambria Math" w:hAnsi="Cambria Math"/>
            </w:rPr>
            <m:t>Threshold1=0.0</m:t>
          </m:r>
        </m:oMath>
      </m:oMathPara>
    </w:p>
    <w:p w:rsidR="00FC77BE" w:rsidRDefault="00FC77BE" w:rsidP="003B230D">
      <w:pPr>
        <w:spacing w:after="200" w:line="360" w:lineRule="auto"/>
        <w:ind w:left="360"/>
      </w:pPr>
    </w:p>
    <w:p w:rsidR="00317EF3" w:rsidRDefault="00317EF3" w:rsidP="003B230D">
      <w:pPr>
        <w:spacing w:after="200" w:line="360" w:lineRule="auto"/>
        <w:ind w:left="360"/>
      </w:pPr>
      <w:r>
        <w:t xml:space="preserve">The recovery rate in the second column should be between </w:t>
      </w:r>
      <m:oMath>
        <m:r>
          <w:rPr>
            <w:rFonts w:ascii="Cambria Math" w:hAnsi="Cambria Math"/>
          </w:rPr>
          <m:t>0.0</m:t>
        </m:r>
      </m:oMath>
      <w:r>
        <w:t xml:space="preserve"> and </w:t>
      </w:r>
      <m:oMath>
        <m:r>
          <w:rPr>
            <w:rFonts w:ascii="Cambria Math" w:hAnsi="Cambria Math"/>
          </w:rPr>
          <m:t>1.0</m:t>
        </m:r>
      </m:oMath>
      <w:r>
        <w:t xml:space="preserve"> For the portion of the exposure between </w:t>
      </w:r>
      <m:oMath>
        <m:r>
          <w:rPr>
            <w:rFonts w:ascii="Cambria Math" w:hAnsi="Cambria Math"/>
          </w:rPr>
          <m:t>Threshold1</m:t>
        </m:r>
      </m:oMath>
      <w:r>
        <w:t xml:space="preserve"> and </w:t>
      </w:r>
      <m:oMath>
        <m:r>
          <w:rPr>
            <w:rFonts w:ascii="Cambria Math" w:hAnsi="Cambria Math"/>
          </w:rPr>
          <m:t>Threshold2</m:t>
        </m:r>
      </m:oMath>
      <w:r>
        <w:t xml:space="preserve"> </w:t>
      </w:r>
      <m:oMath>
        <m:r>
          <w:rPr>
            <w:rFonts w:ascii="Cambria Math" w:hAnsi="Cambria Math"/>
          </w:rPr>
          <m:t>RecoveryRate1</m:t>
        </m:r>
      </m:oMath>
      <w:r w:rsidR="003B230D">
        <w:t xml:space="preserve"> is used, and for the portion of the exposure between </w:t>
      </w:r>
      <m:oMath>
        <m:r>
          <w:rPr>
            <w:rFonts w:ascii="Cambria Math" w:hAnsi="Cambria Math"/>
          </w:rPr>
          <m:t>Threshold2</m:t>
        </m:r>
      </m:oMath>
      <w:r w:rsidR="003B230D">
        <w:t xml:space="preserve"> and </w:t>
      </w:r>
      <m:oMath>
        <m:r>
          <w:rPr>
            <w:rFonts w:ascii="Cambria Math" w:hAnsi="Cambria Math"/>
          </w:rPr>
          <m:t>Threshold3</m:t>
        </m:r>
      </m:oMath>
      <w:r w:rsidR="003B230D">
        <w:t xml:space="preserve"> the </w:t>
      </w:r>
      <m:oMath>
        <m:r>
          <w:rPr>
            <w:rFonts w:ascii="Cambria Math" w:hAnsi="Cambria Math"/>
          </w:rPr>
          <m:t>RecoveryRate2</m:t>
        </m:r>
      </m:oMath>
      <w:r w:rsidR="003B230D">
        <w:t xml:space="preserve"> is used, and so on. For any portion of the exposure above the last threshold, the last recovery rate will be used.</w:t>
      </w:r>
    </w:p>
    <w:p w:rsidR="003B230D" w:rsidRPr="003B230D" w:rsidRDefault="003B230D" w:rsidP="00D83552">
      <w:pPr>
        <w:pStyle w:val="ListParagraph"/>
        <w:numPr>
          <w:ilvl w:val="0"/>
          <w:numId w:val="120"/>
        </w:numPr>
        <w:spacing w:after="200" w:line="360" w:lineRule="auto"/>
        <w:rPr>
          <w:u w:val="single"/>
        </w:rPr>
      </w:pPr>
      <w:r>
        <w:rPr>
          <w:u w:val="single"/>
        </w:rPr>
        <w:t>MC Grid Based CVA/DVA</w:t>
      </w:r>
      <w:r>
        <w:t>: If a recovery rate map is available, the grid or the MC simulation is used to compute the CVA/DVA.</w:t>
      </w:r>
    </w:p>
    <w:p w:rsidR="007A09A2" w:rsidRDefault="007A09A2" w:rsidP="007A09A2">
      <w:pPr>
        <w:spacing w:after="200" w:line="360" w:lineRule="auto"/>
      </w:pPr>
    </w:p>
    <w:p w:rsidR="003B230D" w:rsidRDefault="003B230D" w:rsidP="007A09A2">
      <w:pPr>
        <w:spacing w:after="200" w:line="360" w:lineRule="auto"/>
      </w:pPr>
    </w:p>
    <w:p w:rsidR="003B230D" w:rsidRPr="00FC77BE" w:rsidRDefault="003B230D" w:rsidP="007A09A2">
      <w:pPr>
        <w:spacing w:after="200" w:line="360" w:lineRule="auto"/>
        <w:rPr>
          <w:b/>
          <w:sz w:val="28"/>
          <w:szCs w:val="28"/>
        </w:rPr>
      </w:pPr>
      <w:r w:rsidRPr="00FC77BE">
        <w:rPr>
          <w:b/>
          <w:sz w:val="28"/>
          <w:szCs w:val="28"/>
        </w:rPr>
        <w:t xml:space="preserve">CVA/DVA Model for </w:t>
      </w:r>
      <w:r w:rsidR="00FC77BE">
        <w:rPr>
          <w:b/>
          <w:sz w:val="28"/>
          <w:szCs w:val="28"/>
        </w:rPr>
        <w:t xml:space="preserve">Interest </w:t>
      </w:r>
      <w:r w:rsidRPr="00FC77BE">
        <w:rPr>
          <w:b/>
          <w:sz w:val="28"/>
          <w:szCs w:val="28"/>
        </w:rPr>
        <w:t>Rates Products</w:t>
      </w:r>
    </w:p>
    <w:p w:rsidR="003B230D" w:rsidRDefault="003B230D" w:rsidP="007A09A2">
      <w:pPr>
        <w:spacing w:after="200" w:line="360" w:lineRule="auto"/>
      </w:pPr>
    </w:p>
    <w:p w:rsidR="00CE38D4" w:rsidRDefault="003B230D" w:rsidP="00D83552">
      <w:pPr>
        <w:pStyle w:val="ListParagraph"/>
        <w:numPr>
          <w:ilvl w:val="0"/>
          <w:numId w:val="121"/>
        </w:numPr>
        <w:spacing w:after="200" w:line="360" w:lineRule="auto"/>
      </w:pPr>
      <w:r w:rsidRPr="00FC77BE">
        <w:rPr>
          <w:u w:val="single"/>
        </w:rPr>
        <w:t>Aggregation across the Basket Components</w:t>
      </w:r>
      <w:r>
        <w:t xml:space="preserve">: </w:t>
      </w:r>
      <w:r w:rsidR="00FC77BE">
        <w:t>When there is more than one instrument in the portfolio, the expectation becomes</w:t>
      </w:r>
    </w:p>
    <w:p w:rsidR="00CE38D4" w:rsidRDefault="00CE38D4" w:rsidP="00CE38D4">
      <w:pPr>
        <w:pStyle w:val="ListParagraph"/>
        <w:spacing w:after="200" w:line="360" w:lineRule="auto"/>
        <w:ind w:left="360"/>
        <w:rPr>
          <w:u w:val="single"/>
        </w:rPr>
      </w:pPr>
    </w:p>
    <w:p w:rsidR="00CE38D4" w:rsidRDefault="00FC77BE" w:rsidP="00CE38D4">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e>
          </m:d>
        </m:oMath>
      </m:oMathPara>
    </w:p>
    <w:p w:rsidR="00CE38D4" w:rsidRDefault="00CE38D4" w:rsidP="00CE38D4">
      <w:pPr>
        <w:pStyle w:val="ListParagraph"/>
        <w:spacing w:after="200" w:line="360" w:lineRule="auto"/>
        <w:ind w:left="360"/>
      </w:pPr>
    </w:p>
    <w:p w:rsidR="003B230D" w:rsidRDefault="00FC77BE" w:rsidP="00CE38D4">
      <w:pPr>
        <w:pStyle w:val="ListParagraph"/>
        <w:spacing w:after="200" w:line="360" w:lineRule="auto"/>
        <w:ind w:left="360"/>
      </w:pPr>
      <w:r>
        <w:t>Instrument values are aggregated first before their positive/negative values are taken. The valuation of loss given default then becomes a basket option.</w:t>
      </w:r>
    </w:p>
    <w:p w:rsidR="00FC77BE" w:rsidRDefault="00FC77BE" w:rsidP="00D83552">
      <w:pPr>
        <w:pStyle w:val="ListParagraph"/>
        <w:numPr>
          <w:ilvl w:val="0"/>
          <w:numId w:val="121"/>
        </w:numPr>
        <w:spacing w:after="200" w:line="360" w:lineRule="auto"/>
      </w:pPr>
      <w:r>
        <w:rPr>
          <w:u w:val="single"/>
        </w:rPr>
        <w:t>Forward Starting Options and Swaps</w:t>
      </w:r>
      <w:r w:rsidRPr="00FC77BE">
        <w:t>:</w:t>
      </w:r>
      <w:r>
        <w:t xml:space="preserve"> When there are only swaps in the portfolio, it is an option on forward swap cash flows. But when there are swaptions/caps/floors, it becomes an option on forward starting options. In this section, these issues are addressed in the setting of a Hull White model.</w:t>
      </w:r>
    </w:p>
    <w:p w:rsidR="00FC77BE" w:rsidRDefault="00FC77BE" w:rsidP="00D83552">
      <w:pPr>
        <w:pStyle w:val="ListParagraph"/>
        <w:numPr>
          <w:ilvl w:val="0"/>
          <w:numId w:val="121"/>
        </w:numPr>
        <w:spacing w:after="200" w:line="360" w:lineRule="auto"/>
      </w:pPr>
      <w:r>
        <w:rPr>
          <w:u w:val="single"/>
        </w:rPr>
        <w:t>CVA/DVA for Swaps/Options</w:t>
      </w:r>
      <w:r w:rsidRPr="00FC77BE">
        <w:t>:</w:t>
      </w:r>
      <w:r>
        <w:t xml:space="preserve"> The next section discusses the simplest case for an interest rate product, a single fixed-for-floating swap. The remaining cases discuss the CVA/DVA for a portfolio of interest rate products in general.</w:t>
      </w:r>
    </w:p>
    <w:p w:rsidR="00FC77BE" w:rsidRDefault="00FC77BE" w:rsidP="00FC77BE">
      <w:pPr>
        <w:spacing w:after="200" w:line="360" w:lineRule="auto"/>
      </w:pPr>
    </w:p>
    <w:p w:rsidR="00FC77BE" w:rsidRDefault="00FC77BE" w:rsidP="00FC77BE">
      <w:pPr>
        <w:spacing w:after="200" w:line="360" w:lineRule="auto"/>
      </w:pPr>
    </w:p>
    <w:p w:rsidR="00FC77BE" w:rsidRPr="00CE38D4" w:rsidRDefault="00FC77BE" w:rsidP="00FC77BE">
      <w:pPr>
        <w:spacing w:after="200" w:line="360" w:lineRule="auto"/>
        <w:rPr>
          <w:b/>
          <w:sz w:val="28"/>
          <w:szCs w:val="28"/>
        </w:rPr>
      </w:pPr>
      <w:r w:rsidRPr="00CE38D4">
        <w:rPr>
          <w:b/>
          <w:sz w:val="28"/>
          <w:szCs w:val="28"/>
        </w:rPr>
        <w:t>CVA/DVA Valuation of a Single Swap</w:t>
      </w:r>
    </w:p>
    <w:p w:rsidR="00FC77BE" w:rsidRDefault="00FC77BE" w:rsidP="00FC77BE">
      <w:pPr>
        <w:spacing w:after="200" w:line="360" w:lineRule="auto"/>
      </w:pPr>
    </w:p>
    <w:p w:rsidR="00B4720B" w:rsidRDefault="00FC77BE" w:rsidP="00D83552">
      <w:pPr>
        <w:pStyle w:val="ListParagraph"/>
        <w:numPr>
          <w:ilvl w:val="0"/>
          <w:numId w:val="122"/>
        </w:numPr>
        <w:spacing w:after="200" w:line="360" w:lineRule="auto"/>
      </w:pPr>
      <w:r w:rsidRPr="00CE38D4">
        <w:rPr>
          <w:u w:val="single"/>
        </w:rPr>
        <w:t>Expected Exposure for Single Swap</w:t>
      </w:r>
      <w:r>
        <w:t xml:space="preserve">: </w:t>
      </w:r>
      <w:r w:rsidR="00FF589C">
        <w:t xml:space="preserve">As seen earlier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rsidR="00FF589C">
        <w:t xml:space="preserve"> is shorthand for</w:t>
      </w:r>
    </w:p>
    <w:p w:rsidR="00B4720B" w:rsidRDefault="00B4720B" w:rsidP="00B4720B">
      <w:pPr>
        <w:pStyle w:val="ListParagraph"/>
        <w:spacing w:after="200" w:line="360" w:lineRule="auto"/>
        <w:ind w:left="360"/>
        <w:rPr>
          <w:u w:val="single"/>
        </w:rPr>
      </w:pPr>
    </w:p>
    <w:p w:rsidR="00B4720B" w:rsidRDefault="00FC77BE" w:rsidP="00B4720B">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B4720B" w:rsidRDefault="00B4720B" w:rsidP="00B4720B">
      <w:pPr>
        <w:pStyle w:val="ListParagraph"/>
        <w:spacing w:after="200" w:line="360" w:lineRule="auto"/>
        <w:ind w:left="360"/>
      </w:pPr>
    </w:p>
    <w:p w:rsidR="00B4720B" w:rsidRDefault="00FF589C" w:rsidP="00B4720B">
      <w:pPr>
        <w:pStyle w:val="ListParagraph"/>
        <w:spacing w:after="200" w:line="360" w:lineRule="auto"/>
        <w:ind w:left="360"/>
      </w:pPr>
      <w:r>
        <w:t>For a swap, this becomes</w:t>
      </w:r>
    </w:p>
    <w:p w:rsidR="00B4720B" w:rsidRDefault="00B4720B" w:rsidP="00B4720B">
      <w:pPr>
        <w:pStyle w:val="ListParagraph"/>
        <w:spacing w:after="200" w:line="360" w:lineRule="auto"/>
        <w:ind w:left="360"/>
      </w:pPr>
    </w:p>
    <w:p w:rsidR="00B4720B" w:rsidRDefault="005D6A21" w:rsidP="00B4720B">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DV01</m:t>
          </m:r>
          <m:d>
            <m:dPr>
              <m:ctrlPr>
                <w:rPr>
                  <w:rFonts w:ascii="Cambria Math" w:hAnsi="Cambria Math"/>
                  <w:i/>
                </w:rPr>
              </m:ctrlPr>
            </m:dPr>
            <m:e>
              <m:r>
                <w:rPr>
                  <w:rFonts w:ascii="Cambria Math" w:hAnsi="Cambria Math"/>
                </w:rPr>
                <m:t>τ</m:t>
              </m:r>
            </m:e>
          </m:d>
        </m:oMath>
      </m:oMathPara>
    </w:p>
    <w:p w:rsidR="00B4720B" w:rsidRDefault="00B4720B" w:rsidP="00B4720B">
      <w:pPr>
        <w:pStyle w:val="ListParagraph"/>
        <w:spacing w:after="200" w:line="360" w:lineRule="auto"/>
        <w:ind w:left="360"/>
      </w:pPr>
    </w:p>
    <w:p w:rsidR="00FC77BE" w:rsidRDefault="00FF589C" w:rsidP="00B4720B">
      <w:pPr>
        <w:pStyle w:val="ListParagraph"/>
        <w:spacing w:after="200" w:line="360" w:lineRule="auto"/>
        <w:ind w:left="360"/>
      </w:pPr>
      <w:r>
        <w:t xml:space="preserve">where </w:t>
      </w:r>
      <m:oMath>
        <m:r>
          <w:rPr>
            <w:rFonts w:ascii="Cambria Math" w:hAnsi="Cambria Math"/>
          </w:rPr>
          <m:t>S</m:t>
        </m:r>
        <m:d>
          <m:dPr>
            <m:ctrlPr>
              <w:rPr>
                <w:rFonts w:ascii="Cambria Math" w:hAnsi="Cambria Math"/>
                <w:i/>
              </w:rPr>
            </m:ctrlPr>
          </m:dPr>
          <m:e>
            <m:r>
              <w:rPr>
                <w:rFonts w:ascii="Cambria Math" w:hAnsi="Cambria Math"/>
              </w:rPr>
              <m:t>τ</m:t>
            </m:r>
          </m:e>
        </m:d>
      </m:oMath>
      <w:r>
        <w:t xml:space="preserve"> is the swap rate and </w:t>
      </w:r>
      <m:oMath>
        <m:r>
          <w:rPr>
            <w:rFonts w:ascii="Cambria Math" w:hAnsi="Cambria Math"/>
          </w:rPr>
          <m:t>K</m:t>
        </m:r>
      </m:oMath>
      <w:r>
        <w:t xml:space="preserve"> the fixed rate, assuming the swap is a p</w:t>
      </w:r>
      <w:r w:rsidR="00CE38D4">
        <w:t>a</w:t>
      </w:r>
      <w:r>
        <w:t>yer swap.</w:t>
      </w:r>
    </w:p>
    <w:p w:rsidR="001A293F" w:rsidRDefault="003779D2" w:rsidP="00D83552">
      <w:pPr>
        <w:pStyle w:val="ListParagraph"/>
        <w:numPr>
          <w:ilvl w:val="0"/>
          <w:numId w:val="122"/>
        </w:numPr>
        <w:spacing w:after="200" w:line="360" w:lineRule="auto"/>
      </w:pPr>
      <w:r>
        <w:rPr>
          <w:u w:val="single"/>
        </w:rPr>
        <w:t>Application of the Tower Rule</w:t>
      </w:r>
      <w:r w:rsidRPr="003779D2">
        <w:t>:</w:t>
      </w:r>
      <w:r>
        <w:t xml:space="preserve"> The tower rule of iterated expectation then shows that</w:t>
      </w:r>
    </w:p>
    <w:p w:rsidR="001A293F" w:rsidRDefault="001A293F" w:rsidP="001A293F">
      <w:pPr>
        <w:pStyle w:val="ListParagraph"/>
        <w:spacing w:after="200" w:line="360" w:lineRule="auto"/>
        <w:ind w:left="360"/>
        <w:rPr>
          <w:u w:val="single"/>
        </w:rPr>
      </w:pPr>
    </w:p>
    <w:p w:rsidR="001A293F" w:rsidRDefault="003779D2" w:rsidP="001A293F">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=DV01</m:t>
          </m:r>
          <m:d>
            <m:dPr>
              <m:ctrlPr>
                <w:rPr>
                  <w:rFonts w:ascii="Cambria Math" w:hAnsi="Cambria Math"/>
                  <w:i/>
                </w:rPr>
              </m:ctrlPr>
            </m:dPr>
            <m:e>
              <m:r>
                <w:rPr>
                  <w:rFonts w:ascii="Cambria Math" w:hAnsi="Cambria Math"/>
                </w:rPr>
                <m:t>τ</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1A293F" w:rsidRDefault="001A293F" w:rsidP="001A293F">
      <w:pPr>
        <w:pStyle w:val="ListParagraph"/>
        <w:spacing w:after="200" w:line="360" w:lineRule="auto"/>
        <w:ind w:left="360"/>
      </w:pPr>
    </w:p>
    <w:p w:rsidR="003779D2" w:rsidRDefault="003779D2" w:rsidP="001A293F">
      <w:pPr>
        <w:pStyle w:val="ListParagraph"/>
        <w:spacing w:after="200" w:line="360" w:lineRule="auto"/>
        <w:ind w:left="360"/>
      </w:pPr>
      <w:r>
        <w:t>which is the swaption value.</w:t>
      </w:r>
    </w:p>
    <w:p w:rsidR="001A293F" w:rsidRDefault="003779D2" w:rsidP="00D83552">
      <w:pPr>
        <w:pStyle w:val="ListParagraph"/>
        <w:numPr>
          <w:ilvl w:val="0"/>
          <w:numId w:val="122"/>
        </w:numPr>
        <w:spacing w:after="200" w:line="360" w:lineRule="auto"/>
      </w:pPr>
      <w:r>
        <w:rPr>
          <w:u w:val="single"/>
        </w:rPr>
        <w:t>Series of Forward Starting Options</w:t>
      </w:r>
      <w:r w:rsidRPr="003779D2">
        <w:t>:</w:t>
      </w:r>
      <w:r>
        <w:t xml:space="preserve"> Then the expression</w:t>
      </w:r>
    </w:p>
    <w:p w:rsidR="001A293F" w:rsidRDefault="001A293F" w:rsidP="001A293F">
      <w:pPr>
        <w:pStyle w:val="ListParagraph"/>
        <w:spacing w:after="200" w:line="360" w:lineRule="auto"/>
        <w:ind w:left="360"/>
        <w:rPr>
          <w:u w:val="single"/>
        </w:rPr>
      </w:pPr>
    </w:p>
    <w:p w:rsid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1A293F" w:rsidRDefault="003779D2" w:rsidP="001A293F">
      <w:pPr>
        <w:pStyle w:val="ListParagraph"/>
        <w:spacing w:after="200" w:line="360" w:lineRule="auto"/>
        <w:ind w:left="360"/>
      </w:pPr>
      <w:r>
        <w:t>becomes a weighted sum of the swaption values</w:t>
      </w:r>
    </w:p>
    <w:p w:rsidR="001A293F" w:rsidRDefault="001A293F" w:rsidP="001A293F">
      <w:pPr>
        <w:pStyle w:val="ListParagraph"/>
        <w:spacing w:after="200" w:line="360" w:lineRule="auto"/>
        <w:ind w:left="360"/>
      </w:pPr>
    </w:p>
    <w:p w:rsidR="003779D2" w:rsidRP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3D5E99" w:rsidRDefault="003D5E99" w:rsidP="00D83552">
      <w:pPr>
        <w:pStyle w:val="ListParagraph"/>
        <w:numPr>
          <w:ilvl w:val="0"/>
          <w:numId w:val="122"/>
        </w:numPr>
        <w:spacing w:after="200" w:line="360" w:lineRule="auto"/>
      </w:pPr>
      <w:r>
        <w:rPr>
          <w:u w:val="single"/>
        </w:rPr>
        <w:t>Expiry of the Underlying Swaption</w:t>
      </w:r>
      <w:r>
        <w:t xml:space="preserve">: The swaption expiries are given by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Swaptions can be priced by volatility surfaces directly by DRIP’s generic swaption pricer. The pricer covers vanilla swaps and non-standard swaps (amortizing, in-arrears, compounding, and averaging).</w:t>
      </w:r>
    </w:p>
    <w:p w:rsidR="003D5E99" w:rsidRDefault="003D5E99" w:rsidP="00D83552">
      <w:pPr>
        <w:pStyle w:val="ListParagraph"/>
        <w:numPr>
          <w:ilvl w:val="0"/>
          <w:numId w:val="122"/>
        </w:numPr>
        <w:spacing w:after="200" w:line="360" w:lineRule="auto"/>
      </w:pPr>
      <w:r>
        <w:rPr>
          <w:u w:val="single"/>
        </w:rPr>
        <w:lastRenderedPageBreak/>
        <w:t>Equivalent Cash Flow Based Pricer</w:t>
      </w:r>
      <w:r w:rsidRPr="003D5E99">
        <w:t>:</w:t>
      </w:r>
      <w:r>
        <w:t xml:space="preserve"> </w:t>
      </w:r>
      <w:r w:rsidR="000D5C53">
        <w:t xml:space="preserve">To make the computation more efficient, the CVA/DVA pricer calls a version of the swaption pricer based on equivalent cash flows. The time between the valuation date and the last cash flows date of the swap is discretized first in order to apply the expression for </w:t>
      </w:r>
      <m:oMath>
        <m:r>
          <w:rPr>
            <w:rFonts w:ascii="Cambria Math" w:hAnsi="Cambria Math"/>
          </w:rPr>
          <m:t>CVA+DVA</m:t>
        </m:r>
      </m:oMath>
      <w:r w:rsidR="000D5C53">
        <w:t xml:space="preserve"> above. The dates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0D5C53">
        <w:t xml:space="preserve"> can be specified by the user or they will be a union of swap accrual dates from both legs.</w:t>
      </w:r>
    </w:p>
    <w:p w:rsidR="00B4720B" w:rsidRDefault="00B4720B" w:rsidP="00B4720B">
      <w:pPr>
        <w:spacing w:after="200" w:line="360" w:lineRule="auto"/>
      </w:pPr>
    </w:p>
    <w:p w:rsidR="00B4720B" w:rsidRDefault="00B4720B" w:rsidP="00B4720B">
      <w:pPr>
        <w:spacing w:after="200" w:line="360" w:lineRule="auto"/>
      </w:pPr>
    </w:p>
    <w:p w:rsidR="00B4720B" w:rsidRPr="00B4720B" w:rsidRDefault="00B4720B" w:rsidP="00B4720B">
      <w:pPr>
        <w:spacing w:after="200" w:line="360" w:lineRule="auto"/>
        <w:rPr>
          <w:b/>
          <w:sz w:val="28"/>
          <w:szCs w:val="28"/>
        </w:rPr>
      </w:pPr>
      <w:r w:rsidRPr="00B4720B">
        <w:rPr>
          <w:b/>
          <w:sz w:val="28"/>
          <w:szCs w:val="28"/>
        </w:rPr>
        <w:t>Approximate Computation of the Convexity Based Adjustment for Contracts based on Averaging Index</w:t>
      </w:r>
    </w:p>
    <w:p w:rsidR="00B4720B" w:rsidRDefault="00B4720B" w:rsidP="00B4720B">
      <w:pPr>
        <w:spacing w:after="200" w:line="360" w:lineRule="auto"/>
      </w:pPr>
    </w:p>
    <w:p w:rsidR="00B4720B" w:rsidRDefault="00B4720B" w:rsidP="00D83552">
      <w:pPr>
        <w:pStyle w:val="ListParagraph"/>
        <w:numPr>
          <w:ilvl w:val="0"/>
          <w:numId w:val="123"/>
        </w:numPr>
        <w:spacing w:after="200" w:line="360" w:lineRule="auto"/>
      </w:pPr>
      <w:r w:rsidRPr="00B4720B">
        <w:rPr>
          <w:u w:val="single"/>
        </w:rPr>
        <w:t>Index Averaging Based Payout</w:t>
      </w:r>
      <w:r>
        <w:t>: For the purposes of CVA/DVA valuation of contracts based on Averaging Indices such as PRIME 1D index, the following approximation procedure it utilized when computing convexity adjustments. In a typical situation for an averaging index trade, each payment is made on multiple rates – for example the PRIME 1D index is averaged daily and paid monthly.</w:t>
      </w:r>
    </w:p>
    <w:p w:rsidR="00A25D37" w:rsidRDefault="00A25D37" w:rsidP="00D83552">
      <w:pPr>
        <w:pStyle w:val="ListParagraph"/>
        <w:numPr>
          <w:ilvl w:val="0"/>
          <w:numId w:val="123"/>
        </w:numPr>
        <w:spacing w:after="200" w:line="360" w:lineRule="auto"/>
      </w:pPr>
      <w:r>
        <w:rPr>
          <w:u w:val="single"/>
        </w:rPr>
        <w:t>Numeraire Mismatch Induced Convexity Correction</w:t>
      </w:r>
      <w:r w:rsidRPr="00A25D37">
        <w:t>:</w:t>
      </w:r>
      <w:r>
        <w:t xml:space="preserve"> Each one of these rates has a small convexity correction, which is a smooth function of the time difference between reset rate pf the index and the payment date.</w:t>
      </w:r>
    </w:p>
    <w:p w:rsidR="00A25D37" w:rsidRDefault="00A25D37" w:rsidP="00D83552">
      <w:pPr>
        <w:pStyle w:val="ListParagraph"/>
        <w:numPr>
          <w:ilvl w:val="0"/>
          <w:numId w:val="123"/>
        </w:numPr>
        <w:spacing w:after="200" w:line="360" w:lineRule="auto"/>
      </w:pPr>
      <w:r>
        <w:rPr>
          <w:u w:val="single"/>
        </w:rPr>
        <w:t>Convexity Correction causes Computational Degradation</w:t>
      </w:r>
      <w:r w:rsidRPr="00A25D37">
        <w:t>:</w:t>
      </w:r>
      <w:r>
        <w:t xml:space="preserve"> Exact computation of the convexity correction is relatively slow, leading to significant decrease in performance when pricing trades that are based on averaging indices. Though important for valuation purposes, convexity correction can be computed approximately in the case of CVA/DVA valuation.</w:t>
      </w:r>
    </w:p>
    <w:p w:rsidR="00A25D37" w:rsidRDefault="00A25D37" w:rsidP="00D83552">
      <w:pPr>
        <w:pStyle w:val="ListParagraph"/>
        <w:numPr>
          <w:ilvl w:val="0"/>
          <w:numId w:val="123"/>
        </w:numPr>
        <w:spacing w:after="200" w:line="360" w:lineRule="auto"/>
      </w:pPr>
      <w:r>
        <w:rPr>
          <w:u w:val="single"/>
        </w:rPr>
        <w:t>Approximation Schemes for Convexity Correction</w:t>
      </w:r>
      <w:r w:rsidRPr="00A25D37">
        <w:t>:</w:t>
      </w:r>
      <w:r>
        <w:t xml:space="preserve"> One of the simplest approximations is based on computing the convexity correction for only one reset rate in the middle of the period and then applying this value to all the reset rates for the current payment period. In the case where some of the rates in the current payment period have been reset already, the convexity correction is computed for the reset date in the middle of the period.</w:t>
      </w:r>
    </w:p>
    <w:p w:rsidR="00F21D87" w:rsidRDefault="00F21D87" w:rsidP="00D83552">
      <w:pPr>
        <w:pStyle w:val="ListParagraph"/>
        <w:numPr>
          <w:ilvl w:val="0"/>
          <w:numId w:val="123"/>
        </w:numPr>
        <w:spacing w:after="200" w:line="360" w:lineRule="auto"/>
      </w:pPr>
      <w:r>
        <w:rPr>
          <w:u w:val="single"/>
        </w:rPr>
        <w:lastRenderedPageBreak/>
        <w:t>Performance Gain from the Approximation</w:t>
      </w:r>
      <w:r w:rsidRPr="00F21D87">
        <w:t>:</w:t>
      </w:r>
      <w:r>
        <w:t xml:space="preserve"> </w:t>
      </w:r>
      <w:r w:rsidR="00E574F2">
        <w:t>From a practical point of view this approach provides a significant performance improvement and does not lead to noticeable CVA/DVA differences. The method is used only when computing CVA/DVA and is not used for regular NPV computations.</w:t>
      </w:r>
    </w:p>
    <w:p w:rsidR="00E574F2" w:rsidRDefault="00E574F2" w:rsidP="00E574F2">
      <w:pPr>
        <w:spacing w:after="200" w:line="360" w:lineRule="auto"/>
      </w:pPr>
    </w:p>
    <w:p w:rsidR="00E574F2" w:rsidRDefault="00E574F2" w:rsidP="00E574F2">
      <w:pPr>
        <w:spacing w:after="200" w:line="360" w:lineRule="auto"/>
      </w:pPr>
    </w:p>
    <w:p w:rsidR="00E574F2" w:rsidRPr="00E574F2" w:rsidRDefault="00E574F2" w:rsidP="00E574F2">
      <w:pPr>
        <w:spacing w:after="200" w:line="360" w:lineRule="auto"/>
        <w:rPr>
          <w:b/>
          <w:sz w:val="28"/>
          <w:szCs w:val="28"/>
        </w:rPr>
      </w:pPr>
      <w:r w:rsidRPr="00E574F2">
        <w:rPr>
          <w:b/>
          <w:sz w:val="28"/>
          <w:szCs w:val="28"/>
        </w:rPr>
        <w:t>Hull White Model Calibration</w:t>
      </w:r>
    </w:p>
    <w:p w:rsidR="007A09A2" w:rsidRDefault="007A09A2" w:rsidP="007A09A2">
      <w:pPr>
        <w:spacing w:after="200" w:line="360" w:lineRule="auto"/>
      </w:pPr>
    </w:p>
    <w:p w:rsidR="00E574F2" w:rsidRDefault="00E574F2" w:rsidP="00D83552">
      <w:pPr>
        <w:pStyle w:val="ListParagraph"/>
        <w:numPr>
          <w:ilvl w:val="0"/>
          <w:numId w:val="124"/>
        </w:numPr>
        <w:spacing w:after="200" w:line="360" w:lineRule="auto"/>
      </w:pPr>
      <w:r w:rsidRPr="00E574F2">
        <w:rPr>
          <w:u w:val="single"/>
        </w:rPr>
        <w:t>Hull White Global Volatility Calibration</w:t>
      </w:r>
      <w:r>
        <w:t>: For the purpose of CVA/DVA valuation, the Hull White model with global calibration is used. The global calibration of the Hull White model calibrates the Hull White volatility to the standard ATM swaptions constructed with the expiries and the tenors from the volatility surface.</w:t>
      </w:r>
    </w:p>
    <w:p w:rsidR="00E574F2" w:rsidRDefault="00E574F2" w:rsidP="00D83552">
      <w:pPr>
        <w:pStyle w:val="ListParagraph"/>
        <w:numPr>
          <w:ilvl w:val="0"/>
          <w:numId w:val="124"/>
        </w:numPr>
        <w:spacing w:after="200" w:line="360" w:lineRule="auto"/>
      </w:pPr>
      <w:r>
        <w:rPr>
          <w:u w:val="single"/>
        </w:rPr>
        <w:t>Hull White Portfolio Volatility Calibration</w:t>
      </w:r>
      <w:r w:rsidRPr="00E574F2">
        <w:t>:</w:t>
      </w:r>
      <w:r>
        <w:t xml:space="preserve"> The portfolio specific calibration, which is consistent with the underlying securities in the portfolio, is to calibrate the Hull White volatility to the basket option on specific portfolio, which is described a few sections below in this chapter.</w:t>
      </w:r>
    </w:p>
    <w:p w:rsidR="00E574F2" w:rsidRDefault="00E574F2" w:rsidP="00D83552">
      <w:pPr>
        <w:pStyle w:val="ListParagraph"/>
        <w:numPr>
          <w:ilvl w:val="0"/>
          <w:numId w:val="124"/>
        </w:numPr>
        <w:spacing w:after="200" w:line="360" w:lineRule="auto"/>
      </w:pPr>
      <w:r>
        <w:rPr>
          <w:u w:val="single"/>
        </w:rPr>
        <w:t>Challenges with the Portfolio Volatility Calibration</w:t>
      </w:r>
      <w:r w:rsidRPr="00E574F2">
        <w:t>:</w:t>
      </w:r>
      <w:r>
        <w:t xml:space="preserve"> In general, globally calibrated Hull-White should be used for all the portfolios. Portfolio-specific calibration is not recommended, since there will be cases where the portfolio specific calibrations are not stable, and it results in unstable delta and gamma reports (up shifts and down shifts) for the Desk and the Market Risk. A typical case of unstable portfolio calibration is when the portfolios are extremely ITM or OTM.</w:t>
      </w:r>
    </w:p>
    <w:p w:rsidR="00C81FF6" w:rsidRDefault="00C81FF6" w:rsidP="00D83552">
      <w:pPr>
        <w:pStyle w:val="ListParagraph"/>
        <w:numPr>
          <w:ilvl w:val="0"/>
          <w:numId w:val="124"/>
        </w:numPr>
        <w:spacing w:after="200" w:line="360" w:lineRule="auto"/>
      </w:pPr>
      <w:r>
        <w:rPr>
          <w:u w:val="single"/>
        </w:rPr>
        <w:t>Portfolio Specific Volatility Surface Calibration</w:t>
      </w:r>
      <w:r w:rsidRPr="00C81FF6">
        <w:t>:</w:t>
      </w:r>
      <w:r>
        <w:t xml:space="preserve"> Since the portfolio specific calibration is a complex process in general, involving the credit-date selection, basket option pricing, and Hull-White volatility bootstrapping, an entire section is dedicated to that approach.</w:t>
      </w:r>
    </w:p>
    <w:p w:rsidR="00C81FF6" w:rsidRDefault="00C81FF6" w:rsidP="00D83552">
      <w:pPr>
        <w:pStyle w:val="ListParagraph"/>
        <w:numPr>
          <w:ilvl w:val="0"/>
          <w:numId w:val="124"/>
        </w:numPr>
        <w:spacing w:after="200" w:line="360" w:lineRule="auto"/>
      </w:pPr>
      <w:r>
        <w:rPr>
          <w:u w:val="single"/>
        </w:rPr>
        <w:t>Base vs. Stressed Case Calibration</w:t>
      </w:r>
      <w:r w:rsidRPr="00C81FF6">
        <w:t>:</w:t>
      </w:r>
      <w:r>
        <w:t xml:space="preserve"> The Hull White model is calibrated using the given market data – interest rate curves and volatility surfaces – either on the base or the stressed scenario. If the market data is in a base scenario as in daily pricing, the unstressed interest </w:t>
      </w:r>
      <w:r>
        <w:lastRenderedPageBreak/>
        <w:t>rate curves and the volatility surfaces are used in the Hull-White calibration; if the data has been stressed, the stressed interest rate curves and the volatility surfaces are used in the Hull-White model calibration.</w:t>
      </w:r>
    </w:p>
    <w:p w:rsidR="00C81FF6" w:rsidRDefault="00C81FF6" w:rsidP="00D83552">
      <w:pPr>
        <w:pStyle w:val="ListParagraph"/>
        <w:numPr>
          <w:ilvl w:val="0"/>
          <w:numId w:val="124"/>
        </w:numPr>
        <w:spacing w:after="200" w:line="360" w:lineRule="auto"/>
      </w:pPr>
      <w:r>
        <w:rPr>
          <w:u w:val="single"/>
        </w:rPr>
        <w:t>CVA/DVA Hull White Grid</w:t>
      </w:r>
      <w:r w:rsidRPr="00C81FF6">
        <w:t>:</w:t>
      </w:r>
      <w:r>
        <w:t xml:space="preserve"> The mean reversion parameter in the Hull White model is not calibrated under either the base or the stressed scenarios. Once the Hull White model has been calibrated in either the base or the stressed scenario, the Hull White grid is built for pricing as described for pricing as described in the DRIP Fixed Income Specification, particularly for pricing CVA/DVA as described in a later section.</w:t>
      </w:r>
    </w:p>
    <w:p w:rsidR="00E80E6A" w:rsidRDefault="00E80E6A" w:rsidP="00E80E6A">
      <w:pPr>
        <w:spacing w:after="200" w:line="360" w:lineRule="auto"/>
      </w:pPr>
    </w:p>
    <w:p w:rsidR="00E80E6A" w:rsidRDefault="00E80E6A" w:rsidP="00E80E6A">
      <w:pPr>
        <w:spacing w:after="200" w:line="360" w:lineRule="auto"/>
      </w:pPr>
    </w:p>
    <w:p w:rsidR="00E80E6A" w:rsidRPr="00DB54D3" w:rsidRDefault="00E80E6A" w:rsidP="00E80E6A">
      <w:pPr>
        <w:spacing w:after="200" w:line="360" w:lineRule="auto"/>
        <w:rPr>
          <w:b/>
          <w:sz w:val="28"/>
          <w:szCs w:val="28"/>
        </w:rPr>
      </w:pPr>
      <w:r w:rsidRPr="00DB54D3">
        <w:rPr>
          <w:b/>
          <w:sz w:val="28"/>
          <w:szCs w:val="28"/>
        </w:rPr>
        <w:t>CVA/DVA of Portfolio of Swaps, Caps, Floors, and Swaptions</w:t>
      </w:r>
    </w:p>
    <w:p w:rsidR="00E80E6A" w:rsidRDefault="00E80E6A" w:rsidP="00E80E6A">
      <w:pPr>
        <w:spacing w:after="200" w:line="360" w:lineRule="auto"/>
      </w:pPr>
    </w:p>
    <w:p w:rsidR="00E80E6A" w:rsidRDefault="00E80E6A" w:rsidP="00D83552">
      <w:pPr>
        <w:pStyle w:val="ListParagraph"/>
        <w:numPr>
          <w:ilvl w:val="0"/>
          <w:numId w:val="125"/>
        </w:numPr>
        <w:spacing w:after="200" w:line="360" w:lineRule="auto"/>
      </w:pPr>
      <w:r w:rsidRPr="00DB54D3">
        <w:rPr>
          <w:u w:val="single"/>
        </w:rPr>
        <w:t>Credit Exposure Data Set Generation</w:t>
      </w:r>
      <w:r>
        <w:t xml:space="preserve">: </w:t>
      </w:r>
      <w:r w:rsidR="00DB54D3">
        <w:t>First of all, the general set of dates needs to be generated, which would cover all important dates for each instrument in the portfolio. For caps, swaps, and floors, these are just accrual dates; for swaptions notifications dates are also included.</w:t>
      </w:r>
    </w:p>
    <w:p w:rsidR="00BC5970" w:rsidRDefault="00BC5970" w:rsidP="00D83552">
      <w:pPr>
        <w:pStyle w:val="ListParagraph"/>
        <w:numPr>
          <w:ilvl w:val="0"/>
          <w:numId w:val="125"/>
        </w:numPr>
        <w:spacing w:after="200" w:line="360" w:lineRule="auto"/>
      </w:pPr>
      <w:r>
        <w:rPr>
          <w:u w:val="single"/>
        </w:rPr>
        <w:t>Maximum Spacing Data Set Parameter</w:t>
      </w:r>
      <w:r w:rsidRPr="00BC5970">
        <w:t>:</w:t>
      </w:r>
      <w:r>
        <w:t xml:space="preserve"> To improve the accuracy of the calculation additional data sets can be added. This can be done by setting a maximum step size; additional dates are added accordingly making sure that the grid dates are not too far (but not too close either, for efficiency purposes).</w:t>
      </w:r>
    </w:p>
    <w:p w:rsidR="00C0077D" w:rsidRDefault="00BC5970" w:rsidP="00D83552">
      <w:pPr>
        <w:pStyle w:val="ListParagraph"/>
        <w:numPr>
          <w:ilvl w:val="0"/>
          <w:numId w:val="125"/>
        </w:numPr>
        <w:spacing w:after="200" w:line="360" w:lineRule="auto"/>
      </w:pPr>
      <w:r>
        <w:rPr>
          <w:u w:val="single"/>
        </w:rPr>
        <w:t>Minimum Spacing Data Set Parameter</w:t>
      </w:r>
      <w:r>
        <w:t xml:space="preserve">: An extra input parameter called the </w:t>
      </w:r>
      <m:oMath>
        <m:r>
          <w:rPr>
            <w:rFonts w:ascii="Cambria Math" w:hAnsi="Cambria Math"/>
          </w:rPr>
          <m:t>MinimumSpacing</m:t>
        </m:r>
      </m:oMath>
      <w:r>
        <w:t xml:space="preserve"> is introduced to control the credit dates. If</w:t>
      </w:r>
    </w:p>
    <w:p w:rsidR="00C0077D" w:rsidRDefault="00C0077D" w:rsidP="00C0077D">
      <w:pPr>
        <w:pStyle w:val="ListParagraph"/>
        <w:spacing w:after="200" w:line="360" w:lineRule="auto"/>
        <w:ind w:left="360"/>
        <w:rPr>
          <w:u w:val="single"/>
        </w:rPr>
      </w:pPr>
    </w:p>
    <w:p w:rsidR="00C0077D" w:rsidRDefault="00BC5970" w:rsidP="00C0077D">
      <w:pPr>
        <w:pStyle w:val="ListParagraph"/>
        <w:spacing w:after="200" w:line="360" w:lineRule="auto"/>
        <w:ind w:left="360"/>
      </w:pPr>
      <m:oMathPara>
        <m:oMath>
          <m:r>
            <w:rPr>
              <w:rFonts w:ascii="Cambria Math" w:hAnsi="Cambria Math"/>
            </w:rPr>
            <m:t>MinimumSpacing&gt;1</m:t>
          </m:r>
        </m:oMath>
      </m:oMathPara>
    </w:p>
    <w:p w:rsidR="00C0077D" w:rsidRDefault="00C0077D" w:rsidP="00C0077D">
      <w:pPr>
        <w:pStyle w:val="ListParagraph"/>
        <w:spacing w:after="200" w:line="360" w:lineRule="auto"/>
        <w:ind w:left="360"/>
      </w:pPr>
    </w:p>
    <w:p w:rsidR="00BC5970" w:rsidRDefault="00BC5970" w:rsidP="00C0077D">
      <w:pPr>
        <w:pStyle w:val="ListParagraph"/>
        <w:spacing w:after="200" w:line="360" w:lineRule="auto"/>
        <w:ind w:left="360"/>
      </w:pPr>
      <w:r>
        <w:t xml:space="preserve">the following four credit dates are inserted; </w:t>
      </w:r>
      <m:oMath>
        <m:r>
          <w:rPr>
            <w:rFonts w:ascii="Cambria Math" w:hAnsi="Cambria Math"/>
          </w:rPr>
          <m:t>ValDate+1</m:t>
        </m:r>
      </m:oMath>
      <w:r>
        <w:t xml:space="preserve">, </w:t>
      </w:r>
      <m:oMath>
        <m:r>
          <w:rPr>
            <w:rFonts w:ascii="Cambria Math" w:hAnsi="Cambria Math"/>
          </w:rPr>
          <m:t>ValDate+3</m:t>
        </m:r>
      </m:oMath>
      <w:r>
        <w:t xml:space="preserve">, </w:t>
      </w:r>
      <m:oMath>
        <m:r>
          <w:rPr>
            <w:rFonts w:ascii="Cambria Math" w:hAnsi="Cambria Math"/>
          </w:rPr>
          <m:t>ValDate+7</m:t>
        </m:r>
      </m:oMath>
      <w:r>
        <w:t xml:space="preserve">, and </w:t>
      </w:r>
      <m:oMath>
        <m:r>
          <w:rPr>
            <w:rFonts w:ascii="Cambria Math" w:hAnsi="Cambria Math"/>
          </w:rPr>
          <m:t>ValDate+14</m:t>
        </m:r>
      </m:oMath>
      <w:r>
        <w:t xml:space="preserve">; then those credit dates with differences larger or equal to the </w:t>
      </w:r>
      <m:oMath>
        <m:r>
          <w:rPr>
            <w:rFonts w:ascii="Cambria Math" w:hAnsi="Cambria Math"/>
          </w:rPr>
          <m:t>MinimumSpacing</m:t>
        </m:r>
      </m:oMath>
      <w:r>
        <w:t xml:space="preserve"> are retained.</w:t>
      </w:r>
    </w:p>
    <w:p w:rsidR="00BC5970" w:rsidRDefault="00BC5970" w:rsidP="00D83552">
      <w:pPr>
        <w:pStyle w:val="ListParagraph"/>
        <w:numPr>
          <w:ilvl w:val="0"/>
          <w:numId w:val="125"/>
        </w:numPr>
        <w:spacing w:after="200" w:line="360" w:lineRule="auto"/>
      </w:pPr>
      <w:r>
        <w:rPr>
          <w:u w:val="single"/>
        </w:rPr>
        <w:lastRenderedPageBreak/>
        <w:t>Purpose behind the Minimum Spacing Parameter</w:t>
      </w:r>
      <w:r w:rsidRPr="00BC5970">
        <w:t>:</w:t>
      </w:r>
      <w:r>
        <w:t xml:space="preserve"> </w:t>
      </w:r>
      <m:oMath>
        <m:r>
          <w:rPr>
            <w:rFonts w:ascii="Cambria Math" w:hAnsi="Cambria Math"/>
          </w:rPr>
          <m:t>MinimumSpacing</m:t>
        </m:r>
      </m:oMath>
      <w:r>
        <w:t xml:space="preserve"> is an important feature to eliminate more credit dates when a portfolio contains a large number of underlyings and generates several credit dates.</w:t>
      </w:r>
    </w:p>
    <w:p w:rsidR="00BC5970" w:rsidRDefault="00BC5970" w:rsidP="00D83552">
      <w:pPr>
        <w:pStyle w:val="ListParagraph"/>
        <w:numPr>
          <w:ilvl w:val="0"/>
          <w:numId w:val="125"/>
        </w:numPr>
        <w:spacing w:after="200" w:line="360" w:lineRule="auto"/>
      </w:pPr>
      <w:r>
        <w:rPr>
          <w:u w:val="single"/>
        </w:rPr>
        <w:t>Recommended Minimum/Maximum Spacing Size</w:t>
      </w:r>
      <w:r w:rsidRPr="00BC5970">
        <w:t>:</w:t>
      </w:r>
      <w:r>
        <w:t xml:space="preserve"> DRIP recommends using 7 or 14 when this feature is turned on to make sure that the </w:t>
      </w:r>
      <m:oMath>
        <m:r>
          <w:rPr>
            <w:rFonts w:ascii="Cambria Math" w:hAnsi="Cambria Math"/>
          </w:rPr>
          <m:t>MinimumSpacing</m:t>
        </m:r>
      </m:oMath>
      <w:r>
        <w:t xml:space="preserve"> is less than the step size to avoid eliminating too many important dates. For larger counterparties with more than or equal to </w:t>
      </w:r>
      <w:r w:rsidR="00F05E0D">
        <w:t>100 underlying trades, global g</w:t>
      </w:r>
      <w:r>
        <w:t>r</w:t>
      </w:r>
      <w:r w:rsidR="00F05E0D">
        <w:t>i</w:t>
      </w:r>
      <w:r>
        <w:t>d dates are recommended.</w:t>
      </w:r>
    </w:p>
    <w:p w:rsidR="00F05E0D" w:rsidRDefault="00F05E0D" w:rsidP="00D83552">
      <w:pPr>
        <w:pStyle w:val="ListParagraph"/>
        <w:numPr>
          <w:ilvl w:val="0"/>
          <w:numId w:val="125"/>
        </w:numPr>
        <w:spacing w:after="200" w:line="360" w:lineRule="auto"/>
      </w:pPr>
      <w:r>
        <w:rPr>
          <w:u w:val="single"/>
        </w:rPr>
        <w:t>Standardized Global Exposure Grid Tenors</w:t>
      </w:r>
      <w:r w:rsidRPr="00F05E0D">
        <w:t>:</w:t>
      </w:r>
      <w:r>
        <w:t xml:space="preserve"> </w:t>
      </w:r>
      <w:r w:rsidR="004353C8">
        <w:t>The global grid dates are generated from the valuation date and the following set of tenors: 0D, 1D, 3D, 1W, 2W, 1M, 2M, 3M, 4M, 5M, 6M, 9M, 12M, 15M, 18M, 21M, 24M, 27M, 30M, 33M, 36M, 39M, 42M, 45M, 48M, 51M, 54M, 57M, 5Y, 6Y 7Y, 8Y, 9Y, 10Y, 11Y, 12Y, 13Y, 14Y, 15Y, 16Y, 17Y, 18Y, 19Y, 20Y 21Y, 22Y, 23Y, 24Y, 25Y, 26Y, 27Y, 28Y, 29Y, 30Y, 31Y, 32Y, 33Y, 34Y, 35Y, 36Y, 37Y, 38Y, 39Y, 40Y.</w:t>
      </w:r>
    </w:p>
    <w:p w:rsidR="004353C8" w:rsidRDefault="004353C8" w:rsidP="00D83552">
      <w:pPr>
        <w:pStyle w:val="ListParagraph"/>
        <w:numPr>
          <w:ilvl w:val="0"/>
          <w:numId w:val="125"/>
        </w:numPr>
        <w:spacing w:after="200" w:line="360" w:lineRule="auto"/>
      </w:pPr>
      <w:r>
        <w:rPr>
          <w:u w:val="single"/>
        </w:rPr>
        <w:t>Decreasing Density of the Credit Dates</w:t>
      </w:r>
      <w:r>
        <w:t>: The dates are more dense at the beginning. The step sizes gradually change from daily, weekly, biweekly, monthly, quarterly, and finally annual.</w:t>
      </w:r>
    </w:p>
    <w:p w:rsidR="004353C8" w:rsidRDefault="004353C8" w:rsidP="00D83552">
      <w:pPr>
        <w:pStyle w:val="ListParagraph"/>
        <w:numPr>
          <w:ilvl w:val="0"/>
          <w:numId w:val="125"/>
        </w:numPr>
        <w:spacing w:after="200" w:line="360" w:lineRule="auto"/>
      </w:pPr>
      <w:r>
        <w:rPr>
          <w:u w:val="single"/>
        </w:rPr>
        <w:t>Harmonization across the Dealer Trades</w:t>
      </w:r>
      <w:r w:rsidRPr="004353C8">
        <w:t>:</w:t>
      </w:r>
      <w:r>
        <w:t xml:space="preserve"> Since there are a large number of underlying trades from the dealers, DRIP has configured the pricing environment to use the global dates and to use global Hull White model calibration for the dealers.</w:t>
      </w:r>
    </w:p>
    <w:p w:rsidR="004353C8" w:rsidRDefault="004353C8" w:rsidP="00D83552">
      <w:pPr>
        <w:pStyle w:val="ListParagraph"/>
        <w:numPr>
          <w:ilvl w:val="0"/>
          <w:numId w:val="125"/>
        </w:numPr>
        <w:spacing w:after="200" w:line="360" w:lineRule="auto"/>
      </w:pPr>
      <w:r>
        <w:rPr>
          <w:u w:val="single"/>
        </w:rPr>
        <w:t>Global Exposures and Date Construction</w:t>
      </w:r>
      <w:r w:rsidRPr="004353C8">
        <w:t>:</w:t>
      </w:r>
      <w:r>
        <w:t xml:space="preserve"> Once all the important dates are aggregated, the generic grid based on these dates and the calibrated Hull White model are constructed.</w:t>
      </w:r>
    </w:p>
    <w:p w:rsidR="006F64BE" w:rsidRDefault="006F64BE" w:rsidP="00D83552">
      <w:pPr>
        <w:pStyle w:val="ListParagraph"/>
        <w:numPr>
          <w:ilvl w:val="0"/>
          <w:numId w:val="125"/>
        </w:numPr>
        <w:spacing w:after="200" w:line="360" w:lineRule="auto"/>
      </w:pPr>
      <w:r>
        <w:rPr>
          <w:u w:val="single"/>
        </w:rPr>
        <w:t>Instrument/Date Equivalent Cash Flows</w:t>
      </w:r>
      <w:r>
        <w:t>: Equivalent cash flows are created for every important date for every instrument in the portfolio to be able to compute the value of every instrument at every node.</w:t>
      </w:r>
    </w:p>
    <w:p w:rsidR="006F64BE" w:rsidRDefault="006F64BE" w:rsidP="00D83552">
      <w:pPr>
        <w:pStyle w:val="ListParagraph"/>
        <w:numPr>
          <w:ilvl w:val="0"/>
          <w:numId w:val="125"/>
        </w:numPr>
        <w:spacing w:after="200" w:line="360" w:lineRule="auto"/>
      </w:pPr>
      <w:r>
        <w:rPr>
          <w:u w:val="single"/>
        </w:rPr>
        <w:t>Positive/Negative Exposure Amount Aggregation</w:t>
      </w:r>
      <w:r w:rsidRPr="006F64BE">
        <w:t>:</w:t>
      </w:r>
      <w:r>
        <w:t xml:space="preserve"> These computations are implemented using an efficient backward induction algorithm preserving the values of every instrument at every grid node. Also, at every node, one can apply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or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operators to compute the expected values for the positive and the negative parts for every grid date (time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6F64BE" w:rsidRDefault="006F64BE" w:rsidP="00D83552">
      <w:pPr>
        <w:pStyle w:val="ListParagraph"/>
        <w:numPr>
          <w:ilvl w:val="0"/>
          <w:numId w:val="125"/>
        </w:numPr>
        <w:spacing w:after="200" w:line="360" w:lineRule="auto"/>
      </w:pPr>
      <w:r>
        <w:rPr>
          <w:u w:val="single"/>
        </w:rPr>
        <w:t>HW Grid/Direct Surface Comparisons</w:t>
      </w:r>
      <w:r w:rsidRPr="006F64BE">
        <w:t>:</w:t>
      </w:r>
      <w:r>
        <w:t xml:space="preserve"> For caps/floors, NPV’s can be calculated from both the volatility surface with the cap pricer directly and from the HW grid. Comparison of the </w:t>
      </w:r>
      <w:r>
        <w:lastRenderedPageBreak/>
        <w:t>NPV for each cap/floor causes the introduction of a multiplicative adjuster to adjust the value from the HW grid to match that of the underlying pricer.</w:t>
      </w:r>
    </w:p>
    <w:p w:rsidR="006F64BE" w:rsidRDefault="006F64BE" w:rsidP="00D83552">
      <w:pPr>
        <w:pStyle w:val="ListParagraph"/>
        <w:numPr>
          <w:ilvl w:val="0"/>
          <w:numId w:val="125"/>
        </w:numPr>
        <w:spacing w:after="200" w:line="360" w:lineRule="auto"/>
      </w:pPr>
      <w:r>
        <w:rPr>
          <w:u w:val="single"/>
        </w:rPr>
        <w:t>Applying the Basis Mismatch Multiplier</w:t>
      </w:r>
      <w:r w:rsidRPr="006F64BE">
        <w:t>:</w:t>
      </w:r>
      <w:r>
        <w:t xml:space="preserve"> The ratio of the NPV for a cap pricer to that from the gird is multiplied to the equivalent cash flow sets. The updated equivalent cash flow sets are used for the CVA/DVA calculation. This is similar to the </w:t>
      </w:r>
      <w:r>
        <w:rPr>
          <w:i/>
        </w:rPr>
        <w:t>Out-of-Model-Adjustment</w:t>
      </w:r>
      <w:r>
        <w:t xml:space="preserve"> described in Andersen and Piterbarg (2010), in particular on the section on </w:t>
      </w:r>
      <w:r>
        <w:rPr>
          <w:i/>
        </w:rPr>
        <w:t>Adjusters</w:t>
      </w:r>
      <w:r>
        <w:t>.</w:t>
      </w:r>
    </w:p>
    <w:p w:rsidR="005E3F9A" w:rsidRDefault="005E3F9A" w:rsidP="00D83552">
      <w:pPr>
        <w:pStyle w:val="ListParagraph"/>
        <w:numPr>
          <w:ilvl w:val="0"/>
          <w:numId w:val="125"/>
        </w:numPr>
        <w:spacing w:after="200" w:line="360" w:lineRule="auto"/>
      </w:pPr>
      <w:r>
        <w:rPr>
          <w:u w:val="single"/>
        </w:rPr>
        <w:t>Physically Exercised Bermudan Swaption #1</w:t>
      </w:r>
      <w:r w:rsidRPr="005E3F9A">
        <w:t>:</w:t>
      </w:r>
      <w:r>
        <w:t xml:space="preserve"> </w:t>
      </w:r>
      <w:r w:rsidR="005F5DD8">
        <w:t>The pricing for a Bermudan swaption in the Hull White grid is described in the DRIP Fixed Income Specification. For a swaption with a physical type of exercise, the grid values of the combined portfolios of the swaptions (before exercise) and the underlying swap (after exercise) cannot be computed be computed using just a backward induction because at the time the exercise boundary is realized, it is impossible to go back and determine the expected value of the underlying swap, whose existence depends on this exercise boundary.</w:t>
      </w:r>
    </w:p>
    <w:p w:rsidR="005F5DD8" w:rsidRDefault="005F5DD8" w:rsidP="00D83552">
      <w:pPr>
        <w:pStyle w:val="ListParagraph"/>
        <w:numPr>
          <w:ilvl w:val="0"/>
          <w:numId w:val="125"/>
        </w:numPr>
        <w:spacing w:after="200" w:line="360" w:lineRule="auto"/>
      </w:pPr>
      <w:r>
        <w:rPr>
          <w:u w:val="single"/>
        </w:rPr>
        <w:t>Physically Exercised Bermudan Swaption #2</w:t>
      </w:r>
      <w:r w:rsidRPr="005F5DD8">
        <w:t>:</w:t>
      </w:r>
      <w:r>
        <w:t xml:space="preserve"> In this case, therefore, one has to determine the exercise boundary using backward induction and then determine the conditional exercise probability of the underlying swap at every node using forward induction.</w:t>
      </w:r>
    </w:p>
    <w:p w:rsidR="0057464A" w:rsidRDefault="0057464A" w:rsidP="00D83552">
      <w:pPr>
        <w:pStyle w:val="ListParagraph"/>
        <w:numPr>
          <w:ilvl w:val="0"/>
          <w:numId w:val="125"/>
        </w:numPr>
        <w:spacing w:after="200" w:line="360" w:lineRule="auto"/>
      </w:pPr>
      <w:r>
        <w:rPr>
          <w:u w:val="single"/>
        </w:rPr>
        <w:t>Physically Exercised Bermudan Swaption #3</w:t>
      </w:r>
      <w:r w:rsidRPr="0057464A">
        <w:t>:</w:t>
      </w:r>
      <w:r>
        <w:t xml:space="preserve"> The values of the combined portfolios above on the grid are computed as a sum of the swaption values and the swap values weighted by their corresponding existence probabilities.</w:t>
      </w:r>
    </w:p>
    <w:p w:rsidR="0057464A" w:rsidRDefault="0057464A" w:rsidP="00D83552">
      <w:pPr>
        <w:pStyle w:val="ListParagraph"/>
        <w:numPr>
          <w:ilvl w:val="0"/>
          <w:numId w:val="125"/>
        </w:numPr>
        <w:spacing w:after="200" w:line="360" w:lineRule="auto"/>
      </w:pPr>
      <w:r>
        <w:rPr>
          <w:u w:val="single"/>
        </w:rPr>
        <w:t>Physically Exercised Bermudan Swaption #4</w:t>
      </w:r>
      <w:r w:rsidRPr="0057464A">
        <w:t>:</w:t>
      </w:r>
      <w:r>
        <w:t xml:space="preserve"> Let </w:t>
      </w:r>
      <m:oMath>
        <m:r>
          <w:rPr>
            <w:rFonts w:ascii="Cambria Math" w:hAnsi="Cambria Math"/>
          </w:rPr>
          <m:t>t</m:t>
        </m:r>
      </m:oMath>
      <w:r>
        <w:t xml:space="preserve"> be the grid date, </w:t>
      </w:r>
      <m:oMath>
        <m:r>
          <w:rPr>
            <w:rFonts w:ascii="Cambria Math" w:hAnsi="Cambria Math"/>
          </w:rPr>
          <m:t>j</m:t>
        </m:r>
      </m:oMath>
      <w:r>
        <w:t xml:space="preserve"> be the node index on the grid date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w:r>
        <w:t xml:space="preserve"> be the swap value and the swaption value </w:t>
      </w:r>
      <w:r w:rsidR="00F465F9">
        <w:t xml:space="preserve">at the node </w:t>
      </w:r>
      <m:oMath>
        <m:d>
          <m:dPr>
            <m:ctrlPr>
              <w:rPr>
                <w:rFonts w:ascii="Cambria Math" w:hAnsi="Cambria Math"/>
                <w:i/>
              </w:rPr>
            </m:ctrlPr>
          </m:dPr>
          <m:e>
            <m:r>
              <w:rPr>
                <w:rFonts w:ascii="Cambria Math" w:hAnsi="Cambria Math"/>
              </w:rPr>
              <m:t>t, j</m:t>
            </m:r>
          </m:e>
        </m:d>
      </m:oMath>
      <w:r w:rsidR="00F465F9">
        <w:t xml:space="preserve">, respectively, with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rsidR="00F465F9">
        <w:t xml:space="preserve"> being the probability that the swaption is already exercised conditional to reaching that node.</w:t>
      </w:r>
    </w:p>
    <w:p w:rsidR="00C0077D" w:rsidRDefault="00AE334C" w:rsidP="00D83552">
      <w:pPr>
        <w:pStyle w:val="ListParagraph"/>
        <w:numPr>
          <w:ilvl w:val="0"/>
          <w:numId w:val="125"/>
        </w:numPr>
        <w:spacing w:after="200" w:line="360" w:lineRule="auto"/>
      </w:pPr>
      <w:r>
        <w:rPr>
          <w:u w:val="single"/>
        </w:rPr>
        <w:t>Physically Exercised Bermudan Swaption #5</w:t>
      </w:r>
      <w:r w:rsidRPr="00AE334C">
        <w:t>:</w:t>
      </w:r>
      <w:r>
        <w:t xml:space="preserve"> When the value of the combined portfolio is</w:t>
      </w:r>
    </w:p>
    <w:p w:rsidR="00C0077D" w:rsidRDefault="00C0077D" w:rsidP="00C0077D">
      <w:pPr>
        <w:pStyle w:val="ListParagraph"/>
        <w:spacing w:after="200" w:line="360" w:lineRule="auto"/>
        <w:ind w:left="360"/>
        <w:rPr>
          <w:u w:val="single"/>
        </w:rPr>
      </w:pPr>
    </w:p>
    <w:p w:rsidR="00C0077D" w:rsidRDefault="00AE334C" w:rsidP="00C0077D">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 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e>
          </m:d>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m:oMathPara>
    </w:p>
    <w:p w:rsidR="00C0077D" w:rsidRDefault="00C0077D" w:rsidP="00C0077D">
      <w:pPr>
        <w:pStyle w:val="ListParagraph"/>
        <w:spacing w:after="200" w:line="360" w:lineRule="auto"/>
        <w:ind w:left="360"/>
      </w:pPr>
    </w:p>
    <w:p w:rsidR="002207E3" w:rsidRDefault="00AE334C" w:rsidP="00C0077D">
      <w:pPr>
        <w:pStyle w:val="ListParagraph"/>
        <w:spacing w:after="200" w:line="360" w:lineRule="auto"/>
        <w:ind w:left="360"/>
      </w:pPr>
      <w:r>
        <w:t>The conditional probability is calculated as the ratio of two unconditional probabilities, i.e.,</w:t>
      </w:r>
    </w:p>
    <w:p w:rsidR="002207E3" w:rsidRDefault="002207E3" w:rsidP="00C0077D">
      <w:pPr>
        <w:pStyle w:val="ListParagraph"/>
        <w:spacing w:after="200" w:line="360" w:lineRule="auto"/>
        <w:ind w:left="360"/>
      </w:pPr>
    </w:p>
    <w:p w:rsidR="002207E3" w:rsidRDefault="005D6A21" w:rsidP="00C0077D">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num>
            <m:den>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den>
          </m:f>
        </m:oMath>
      </m:oMathPara>
    </w:p>
    <w:p w:rsidR="002207E3" w:rsidRDefault="002207E3" w:rsidP="00C0077D">
      <w:pPr>
        <w:pStyle w:val="ListParagraph"/>
        <w:spacing w:after="200" w:line="360" w:lineRule="auto"/>
        <w:ind w:left="360"/>
      </w:pPr>
    </w:p>
    <w:p w:rsidR="00AE334C" w:rsidRDefault="00AE334C" w:rsidP="00C0077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oMath>
      <w:r>
        <w:t xml:space="preserve"> is the unconditional probability to get to this node with the exercised option, and </w:t>
      </w:r>
      <m:oMath>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oMath>
      <w:r>
        <w:t xml:space="preserve"> is the unconditional probability to get to this node.</w:t>
      </w:r>
    </w:p>
    <w:p w:rsidR="002207E3" w:rsidRDefault="00AE334C" w:rsidP="00D83552">
      <w:pPr>
        <w:pStyle w:val="ListParagraph"/>
        <w:numPr>
          <w:ilvl w:val="0"/>
          <w:numId w:val="125"/>
        </w:numPr>
        <w:spacing w:after="200" w:line="360" w:lineRule="auto"/>
      </w:pPr>
      <w:r>
        <w:rPr>
          <w:u w:val="single"/>
        </w:rPr>
        <w:t>Discretized Total Credit Exposure Aggregation</w:t>
      </w:r>
      <w:r w:rsidRPr="00AE334C">
        <w:t>:</w:t>
      </w:r>
      <w:r>
        <w:t xml:space="preserve"> The total aggregated credit exposure is then calculated as follows:</w:t>
      </w:r>
    </w:p>
    <w:p w:rsidR="002207E3" w:rsidRDefault="002207E3" w:rsidP="002207E3">
      <w:pPr>
        <w:pStyle w:val="ListParagraph"/>
        <w:spacing w:after="200" w:line="360" w:lineRule="auto"/>
        <w:ind w:left="360"/>
        <w:rPr>
          <w:u w:val="single"/>
        </w:rPr>
      </w:pPr>
    </w:p>
    <w:p w:rsidR="00AE334C" w:rsidRPr="002207E3" w:rsidRDefault="00AE334C"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905E7" w:rsidP="00D83552">
      <w:pPr>
        <w:pStyle w:val="ListParagraph"/>
        <w:numPr>
          <w:ilvl w:val="0"/>
          <w:numId w:val="125"/>
        </w:numPr>
        <w:spacing w:after="200" w:line="360" w:lineRule="auto"/>
      </w:pPr>
      <w:r>
        <w:rPr>
          <w:u w:val="single"/>
        </w:rPr>
        <w:t>Recovery Map Date Node Choice</w:t>
      </w:r>
      <w:r>
        <w:t xml:space="preserve">: Notice that the option values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is used instead – in contrast to</w:t>
      </w:r>
    </w:p>
    <w:p w:rsidR="002207E3" w:rsidRDefault="002207E3" w:rsidP="002207E3">
      <w:pPr>
        <w:pStyle w:val="ListParagraph"/>
        <w:spacing w:after="200" w:line="360" w:lineRule="auto"/>
        <w:ind w:left="360"/>
        <w:rPr>
          <w:u w:val="single"/>
        </w:rPr>
      </w:pPr>
    </w:p>
    <w:p w:rsidR="00D905E7" w:rsidRPr="002207E3" w:rsidRDefault="00D905E7"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F84771" w:rsidP="00D83552">
      <w:pPr>
        <w:pStyle w:val="ListParagraph"/>
        <w:numPr>
          <w:ilvl w:val="0"/>
          <w:numId w:val="125"/>
        </w:numPr>
        <w:spacing w:after="200" w:line="360" w:lineRule="auto"/>
      </w:pPr>
      <w:r>
        <w:rPr>
          <w:u w:val="single"/>
        </w:rPr>
        <w:t>Left vs. Right Integral Approximation</w:t>
      </w:r>
      <w:r>
        <w:t>: This choice is made to capture the different tenors in the swap portfolio</w:t>
      </w:r>
      <w:r w:rsidR="00614312">
        <w:t>. The difference between</w:t>
      </w:r>
    </w:p>
    <w:p w:rsidR="002207E3" w:rsidRDefault="002207E3" w:rsidP="002207E3">
      <w:pPr>
        <w:pStyle w:val="ListParagraph"/>
        <w:spacing w:after="200" w:line="360" w:lineRule="auto"/>
        <w:ind w:left="360"/>
        <w:rPr>
          <w:u w:val="single"/>
        </w:rPr>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E55EB"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F84771" w:rsidRDefault="00DE55EB" w:rsidP="002207E3">
      <w:pPr>
        <w:pStyle w:val="ListParagraph"/>
        <w:spacing w:after="200" w:line="360" w:lineRule="auto"/>
        <w:ind w:left="360"/>
      </w:pPr>
      <w:r>
        <w:t>is actually the same as the left vs. the right approximations to the integral.</w:t>
      </w:r>
    </w:p>
    <w:p w:rsidR="006414B8" w:rsidRDefault="006414B8" w:rsidP="00D83552">
      <w:pPr>
        <w:pStyle w:val="ListParagraph"/>
        <w:numPr>
          <w:ilvl w:val="0"/>
          <w:numId w:val="125"/>
        </w:numPr>
        <w:spacing w:after="200" w:line="360" w:lineRule="auto"/>
      </w:pPr>
      <w:r>
        <w:rPr>
          <w:u w:val="single"/>
        </w:rPr>
        <w:t>First Period WHOLE vs STUB</w:t>
      </w:r>
      <w:r w:rsidRPr="006414B8">
        <w:t>:</w:t>
      </w:r>
      <w:r>
        <w:t xml:space="preserve"> Cash flows are generated in the HW model assuming that the stub type is STUB. In CVA/DVA valuation it is desirable to have the WHOLE stub type, especially for the first period of the swap because the rate is already set. For default dates before the end of the first period, the first cash flows are generated using the STUB </w:t>
      </w:r>
      <w:proofErr w:type="spellStart"/>
      <w:r>
        <w:t>stub</w:t>
      </w:r>
      <w:proofErr w:type="spellEnd"/>
      <w:r>
        <w:t xml:space="preserve"> type.</w:t>
      </w:r>
    </w:p>
    <w:p w:rsidR="006414B8" w:rsidRDefault="006414B8" w:rsidP="00D83552">
      <w:pPr>
        <w:pStyle w:val="ListParagraph"/>
        <w:numPr>
          <w:ilvl w:val="0"/>
          <w:numId w:val="125"/>
        </w:numPr>
        <w:spacing w:after="200" w:line="360" w:lineRule="auto"/>
      </w:pPr>
      <w:r>
        <w:rPr>
          <w:u w:val="single"/>
        </w:rPr>
        <w:t>Accounting for the Anterior Accrual Period</w:t>
      </w:r>
      <w:r w:rsidRPr="006414B8">
        <w:t>:</w:t>
      </w:r>
      <w:r>
        <w:t xml:space="preserve"> An additional single cash flow is generated at the accrual end date of the first period with the amount being the difference between the WHOLE and the STUB swap NPV’s. Since the first period rate is already set, the first period’s cash flows</w:t>
      </w:r>
      <w:r w:rsidR="008C24C5">
        <w:t xml:space="preserve"> are deterministic, </w:t>
      </w:r>
      <w:r w:rsidR="00916CC6">
        <w:t>and thus this approach is the same as generating cash flows using the WHOLE stub type.</w:t>
      </w:r>
    </w:p>
    <w:p w:rsidR="00916CC6" w:rsidRDefault="00916CC6" w:rsidP="00D83552">
      <w:pPr>
        <w:pStyle w:val="ListParagraph"/>
        <w:numPr>
          <w:ilvl w:val="0"/>
          <w:numId w:val="125"/>
        </w:numPr>
        <w:spacing w:after="200" w:line="360" w:lineRule="auto"/>
      </w:pPr>
      <w:r>
        <w:rPr>
          <w:u w:val="single"/>
        </w:rPr>
        <w:t>Handling of the Later Period Flows</w:t>
      </w:r>
      <w:r w:rsidRPr="00916CC6">
        <w:t>:</w:t>
      </w:r>
      <w:r>
        <w:t xml:space="preserve"> For default dates that are after the first period accrual end date, however, the STUB setting is used to generate cash flows. It is expected that the majority of the difference between WHOLE and STUB comes from the first period whose payment is already known. This logic of equivalent cash flow for the WHOLE stub type has been implemented in IR CVA model and the cross-currency swap CVA model.</w:t>
      </w:r>
    </w:p>
    <w:p w:rsidR="00916CC6" w:rsidRDefault="00916CC6" w:rsidP="00916CC6">
      <w:pPr>
        <w:spacing w:after="200" w:line="360" w:lineRule="auto"/>
      </w:pPr>
    </w:p>
    <w:p w:rsidR="00916CC6" w:rsidRDefault="00916CC6" w:rsidP="00916CC6">
      <w:pPr>
        <w:spacing w:after="200" w:line="360" w:lineRule="auto"/>
      </w:pPr>
    </w:p>
    <w:p w:rsidR="00916CC6" w:rsidRPr="00916CC6" w:rsidRDefault="00916CC6" w:rsidP="00916CC6">
      <w:pPr>
        <w:spacing w:after="200" w:line="360" w:lineRule="auto"/>
        <w:rPr>
          <w:b/>
          <w:sz w:val="28"/>
          <w:szCs w:val="28"/>
        </w:rPr>
      </w:pPr>
      <w:r w:rsidRPr="00916CC6">
        <w:rPr>
          <w:b/>
          <w:sz w:val="28"/>
          <w:szCs w:val="28"/>
        </w:rPr>
        <w:t>Risk Participation Swap (RPS) Valuation</w:t>
      </w:r>
    </w:p>
    <w:p w:rsidR="003B230D" w:rsidRDefault="003B230D" w:rsidP="007A09A2">
      <w:pPr>
        <w:spacing w:after="200" w:line="360" w:lineRule="auto"/>
      </w:pPr>
    </w:p>
    <w:p w:rsidR="00916CC6" w:rsidRDefault="00916CC6" w:rsidP="00D83552">
      <w:pPr>
        <w:pStyle w:val="ListParagraph"/>
        <w:numPr>
          <w:ilvl w:val="0"/>
          <w:numId w:val="126"/>
        </w:numPr>
        <w:spacing w:after="200" w:line="360" w:lineRule="auto"/>
      </w:pPr>
      <w:r w:rsidRPr="00916CC6">
        <w:rPr>
          <w:u w:val="single"/>
        </w:rPr>
        <w:lastRenderedPageBreak/>
        <w:t>Definition of the Risk Participation Swap</w:t>
      </w:r>
      <w:r>
        <w:t>: The NPV of the risk participation swap is the unilateral credit value adjustment to the risk free underlying swap due to the counter party credit risk.</w:t>
      </w:r>
    </w:p>
    <w:p w:rsidR="00D53C2D" w:rsidRDefault="00D53C2D" w:rsidP="00D83552">
      <w:pPr>
        <w:pStyle w:val="ListParagraph"/>
        <w:numPr>
          <w:ilvl w:val="0"/>
          <w:numId w:val="126"/>
        </w:numPr>
        <w:spacing w:after="200" w:line="360" w:lineRule="auto"/>
      </w:pPr>
      <w:r>
        <w:rPr>
          <w:u w:val="single"/>
        </w:rPr>
        <w:t>Unilateral CVA Bank Credit Indifference</w:t>
      </w:r>
      <w:r w:rsidRPr="00D53C2D">
        <w:t>:</w:t>
      </w:r>
      <w:r>
        <w:t xml:space="preserve"> The risk participation swap is priced the same way as that of the underlying swap, except that a zero hazard curve for the bank (along with a 100% recovery rate) is used.</w:t>
      </w:r>
    </w:p>
    <w:p w:rsidR="00D53C2D" w:rsidRDefault="00D53C2D" w:rsidP="00D53C2D">
      <w:pPr>
        <w:spacing w:after="200" w:line="360" w:lineRule="auto"/>
      </w:pPr>
    </w:p>
    <w:p w:rsidR="00D53C2D" w:rsidRDefault="00D53C2D" w:rsidP="00D53C2D">
      <w:pPr>
        <w:spacing w:after="200" w:line="360" w:lineRule="auto"/>
      </w:pPr>
    </w:p>
    <w:p w:rsidR="00D53C2D" w:rsidRPr="00D53C2D" w:rsidRDefault="00D53C2D" w:rsidP="00D53C2D">
      <w:pPr>
        <w:spacing w:after="200" w:line="360" w:lineRule="auto"/>
        <w:rPr>
          <w:b/>
          <w:sz w:val="28"/>
          <w:szCs w:val="28"/>
        </w:rPr>
      </w:pPr>
      <w:r w:rsidRPr="00D53C2D">
        <w:rPr>
          <w:b/>
          <w:sz w:val="28"/>
          <w:szCs w:val="28"/>
        </w:rPr>
        <w:t>CVA for Swaps with Prepay Risk</w:t>
      </w:r>
    </w:p>
    <w:p w:rsidR="00916CC6" w:rsidRDefault="00916CC6" w:rsidP="007A09A2">
      <w:pPr>
        <w:spacing w:after="200" w:line="360" w:lineRule="auto"/>
      </w:pPr>
    </w:p>
    <w:p w:rsidR="00D53C2D" w:rsidRDefault="00D53C2D" w:rsidP="00D83552">
      <w:pPr>
        <w:pStyle w:val="ListParagraph"/>
        <w:numPr>
          <w:ilvl w:val="0"/>
          <w:numId w:val="127"/>
        </w:numPr>
        <w:spacing w:after="200" w:line="360" w:lineRule="auto"/>
      </w:pPr>
      <w:r w:rsidRPr="00D53C2D">
        <w:rPr>
          <w:u w:val="single"/>
        </w:rPr>
        <w:t>Prepayment Cash Flow Based Collateral</w:t>
      </w:r>
      <w:r>
        <w:t>: This is a portfolio of swaps with principal instruments (PI) with a special from the collateral backing the swap payments. Thus the reserve calculation has to account for the default risk and the prepay risk.</w:t>
      </w:r>
    </w:p>
    <w:p w:rsidR="00D53C2D" w:rsidRDefault="00D53C2D" w:rsidP="00D83552">
      <w:pPr>
        <w:pStyle w:val="ListParagraph"/>
        <w:numPr>
          <w:ilvl w:val="0"/>
          <w:numId w:val="127"/>
        </w:numPr>
        <w:spacing w:after="200" w:line="360" w:lineRule="auto"/>
      </w:pPr>
      <w:r>
        <w:rPr>
          <w:u w:val="single"/>
        </w:rPr>
        <w:t>External Computation of Prepayment Risk</w:t>
      </w:r>
      <w:r w:rsidRPr="00D53C2D">
        <w:t>:</w:t>
      </w:r>
      <w:r>
        <w:t xml:space="preserve"> Often the risk of prepay is calculated externally from spreadsheets and then modeled into the system (e.g., Calypso) using hazard curves.</w:t>
      </w:r>
      <w:r w:rsidR="003F5847">
        <w:t xml:space="preserve"> </w:t>
      </w:r>
      <w:r>
        <w:t>Thus these PI</w:t>
      </w:r>
      <w:r w:rsidR="003F5847">
        <w:t xml:space="preserve"> trades can be incorporated into the IR CVA model.</w:t>
      </w:r>
    </w:p>
    <w:p w:rsidR="003F5847" w:rsidRDefault="003F5847" w:rsidP="003F5847">
      <w:pPr>
        <w:spacing w:after="200" w:line="360" w:lineRule="auto"/>
      </w:pPr>
    </w:p>
    <w:p w:rsidR="003F5847" w:rsidRDefault="003F5847" w:rsidP="003F5847">
      <w:pPr>
        <w:spacing w:after="200" w:line="360" w:lineRule="auto"/>
      </w:pPr>
    </w:p>
    <w:p w:rsidR="003F5847" w:rsidRPr="003F5847" w:rsidRDefault="003F5847" w:rsidP="003F5847">
      <w:pPr>
        <w:spacing w:after="200" w:line="360" w:lineRule="auto"/>
        <w:rPr>
          <w:b/>
          <w:sz w:val="28"/>
          <w:szCs w:val="28"/>
        </w:rPr>
      </w:pPr>
      <w:r w:rsidRPr="003F5847">
        <w:rPr>
          <w:b/>
          <w:sz w:val="28"/>
          <w:szCs w:val="28"/>
        </w:rPr>
        <w:t>Negative Rates Distribution</w:t>
      </w:r>
    </w:p>
    <w:p w:rsidR="003F5847" w:rsidRDefault="003F5847" w:rsidP="003F5847">
      <w:pPr>
        <w:spacing w:after="200" w:line="360" w:lineRule="auto"/>
      </w:pPr>
    </w:p>
    <w:p w:rsidR="003F5847" w:rsidRDefault="003F5847" w:rsidP="00D83552">
      <w:pPr>
        <w:pStyle w:val="ListParagraph"/>
        <w:numPr>
          <w:ilvl w:val="0"/>
          <w:numId w:val="128"/>
        </w:numPr>
        <w:spacing w:after="200" w:line="360" w:lineRule="auto"/>
      </w:pPr>
      <w:r w:rsidRPr="003F5847">
        <w:rPr>
          <w:u w:val="single"/>
        </w:rPr>
        <w:t>Forward vs. Spot Negative Rates</w:t>
      </w:r>
      <w:r>
        <w:t>: There are two sources of negative rates in the CVA model. The first is the negative forward rate from the interest rate curve and the second is the negative short rate in the HW interest rate model.</w:t>
      </w:r>
    </w:p>
    <w:p w:rsidR="00616E48" w:rsidRDefault="00616E48" w:rsidP="00D83552">
      <w:pPr>
        <w:pStyle w:val="ListParagraph"/>
        <w:numPr>
          <w:ilvl w:val="0"/>
          <w:numId w:val="128"/>
        </w:numPr>
        <w:spacing w:after="200" w:line="360" w:lineRule="auto"/>
      </w:pPr>
      <w:r>
        <w:rPr>
          <w:u w:val="single"/>
        </w:rPr>
        <w:lastRenderedPageBreak/>
        <w:t>Negative Rate from Stresses Scenarios</w:t>
      </w:r>
      <w:r w:rsidRPr="00616E48">
        <w:t>:</w:t>
      </w:r>
      <w:r>
        <w:t xml:space="preserve"> For an interest rate curve there could be a set of time segments in which the forward rates are negative, especially for the cases where the curves are downward shifted (in parallel or buckets) in stress scenarios.</w:t>
      </w:r>
    </w:p>
    <w:p w:rsidR="00616E48" w:rsidRDefault="00616E48" w:rsidP="00D83552">
      <w:pPr>
        <w:pStyle w:val="ListParagraph"/>
        <w:numPr>
          <w:ilvl w:val="0"/>
          <w:numId w:val="128"/>
        </w:numPr>
        <w:spacing w:after="200" w:line="360" w:lineRule="auto"/>
      </w:pPr>
      <w:r>
        <w:rPr>
          <w:u w:val="single"/>
        </w:rPr>
        <w:t>Optional Flooring of the Negative Rates</w:t>
      </w:r>
      <w:r w:rsidRPr="00616E48">
        <w:t>:</w:t>
      </w:r>
      <w:r>
        <w:t xml:space="preserve"> There is a mechanism in DRIP to optionally floor the forward rates when shifting the curve such that the forward rates are non-negative. The CVA model will take shifted interest rates curves as inputs.</w:t>
      </w:r>
    </w:p>
    <w:p w:rsidR="00616E48" w:rsidRDefault="00616E48" w:rsidP="00D83552">
      <w:pPr>
        <w:pStyle w:val="ListParagraph"/>
        <w:numPr>
          <w:ilvl w:val="0"/>
          <w:numId w:val="128"/>
        </w:numPr>
        <w:spacing w:after="200" w:line="360" w:lineRule="auto"/>
      </w:pPr>
      <w:r>
        <w:rPr>
          <w:u w:val="single"/>
        </w:rPr>
        <w:t>Negative Short Rates in HW</w:t>
      </w:r>
      <w:r w:rsidRPr="00616E48">
        <w:t>:</w:t>
      </w:r>
      <w:r>
        <w:t xml:space="preserve"> The second is the negative short rates in the HW interest rate model. Since the HW model is a normal interest rate model it supports negative short rates.</w:t>
      </w:r>
    </w:p>
    <w:p w:rsidR="00616E48" w:rsidRDefault="00616E48" w:rsidP="00D83552">
      <w:pPr>
        <w:pStyle w:val="ListParagraph"/>
        <w:numPr>
          <w:ilvl w:val="0"/>
          <w:numId w:val="128"/>
        </w:numPr>
        <w:spacing w:after="200" w:line="360" w:lineRule="auto"/>
      </w:pPr>
      <w:r>
        <w:rPr>
          <w:u w:val="single"/>
        </w:rPr>
        <w:t>Short Rate HW Volatility Impact</w:t>
      </w:r>
      <w:r w:rsidRPr="00616E48">
        <w:t>:</w:t>
      </w:r>
      <w:r>
        <w:t xml:space="preserve"> Negative short rates can be observed even if the forward rates in the interest rates curves are non-negative. The short rate dynamics are generated through the HW tree; the higher the HW volatility is, the wider the rate distribution is.</w:t>
      </w:r>
    </w:p>
    <w:p w:rsidR="0053411B" w:rsidRDefault="0053411B" w:rsidP="00D83552">
      <w:pPr>
        <w:pStyle w:val="ListParagraph"/>
        <w:numPr>
          <w:ilvl w:val="0"/>
          <w:numId w:val="128"/>
        </w:numPr>
        <w:spacing w:after="200" w:line="360" w:lineRule="auto"/>
      </w:pPr>
      <w:r>
        <w:rPr>
          <w:u w:val="single"/>
        </w:rPr>
        <w:t>Statistics on Realized Short Rates</w:t>
      </w:r>
      <w:r w:rsidRPr="0053411B">
        <w:t>:</w:t>
      </w:r>
      <w:r>
        <w:t xml:space="preserve"> On each node on each credit date on the HW tree, both the probability of being in that node and the corresponding short rate are known. Using this rates distribution, the statistics on negative short rate at each node can be generated.</w:t>
      </w:r>
    </w:p>
    <w:p w:rsidR="0053411B" w:rsidRDefault="0053411B" w:rsidP="00D83552">
      <w:pPr>
        <w:pStyle w:val="ListParagraph"/>
        <w:numPr>
          <w:ilvl w:val="0"/>
          <w:numId w:val="128"/>
        </w:numPr>
        <w:spacing w:after="200" w:line="360" w:lineRule="auto"/>
      </w:pPr>
      <w:r w:rsidRPr="0053411B">
        <w:rPr>
          <w:i/>
          <w:u w:val="single"/>
        </w:rPr>
        <w:t>Thin</w:t>
      </w:r>
      <w:r>
        <w:rPr>
          <w:u w:val="single"/>
        </w:rPr>
        <w:t xml:space="preserve"> Short Rate Statistical Measures</w:t>
      </w:r>
      <w:r w:rsidRPr="0053411B">
        <w:t>:</w:t>
      </w:r>
      <w:r>
        <w:t xml:space="preserve"> The distribution of short rates is available in the model output. The same set of credit dates as in the CVA/DVA profile have been used to show the percentage of negative short rates on each credit date. Also output are the mean, the standard deviation, the minimum, and the maximum of the short rates, and the mean and the standard deviation of the negative short rates.</w:t>
      </w:r>
    </w:p>
    <w:p w:rsidR="0053411B" w:rsidRDefault="0053411B" w:rsidP="0053411B">
      <w:pPr>
        <w:spacing w:after="200" w:line="360" w:lineRule="auto"/>
      </w:pPr>
    </w:p>
    <w:p w:rsidR="0053411B" w:rsidRDefault="0053411B" w:rsidP="0053411B">
      <w:pPr>
        <w:spacing w:after="200" w:line="360" w:lineRule="auto"/>
      </w:pPr>
    </w:p>
    <w:p w:rsidR="0053411B" w:rsidRPr="0053411B" w:rsidRDefault="0053411B" w:rsidP="0053411B">
      <w:pPr>
        <w:spacing w:after="200" w:line="360" w:lineRule="auto"/>
        <w:rPr>
          <w:b/>
          <w:sz w:val="28"/>
          <w:szCs w:val="28"/>
        </w:rPr>
      </w:pPr>
      <w:r w:rsidRPr="0053411B">
        <w:rPr>
          <w:b/>
          <w:sz w:val="28"/>
          <w:szCs w:val="28"/>
        </w:rPr>
        <w:t>Portfolio Specific Calibration of CVA/DVA for Interest Rates Products</w:t>
      </w:r>
    </w:p>
    <w:p w:rsidR="0053411B" w:rsidRDefault="0053411B" w:rsidP="0053411B">
      <w:pPr>
        <w:spacing w:after="200" w:line="360" w:lineRule="auto"/>
      </w:pPr>
    </w:p>
    <w:p w:rsidR="0053411B" w:rsidRDefault="0053411B" w:rsidP="00D83552">
      <w:pPr>
        <w:pStyle w:val="ListParagraph"/>
        <w:numPr>
          <w:ilvl w:val="0"/>
          <w:numId w:val="129"/>
        </w:numPr>
        <w:spacing w:after="200" w:line="360" w:lineRule="auto"/>
      </w:pPr>
      <w:r w:rsidRPr="0053411B">
        <w:rPr>
          <w:u w:val="single"/>
        </w:rPr>
        <w:t>Custom Portfolio HW Volatility Surface</w:t>
      </w:r>
      <w:r>
        <w:t>: As discussed earlier, DRIP recommends that the global calibration be used for all the portfolios in the “Hull White Model Calibration” section in this chapter. For the completeness of the document for an alternative calibration model, this section discusses the details of portfolio calibration in general for portfolios with swaps, caps/floors, and swaptions as underlyings.</w:t>
      </w:r>
    </w:p>
    <w:p w:rsidR="0053411B" w:rsidRDefault="0053411B" w:rsidP="00D83552">
      <w:pPr>
        <w:pStyle w:val="ListParagraph"/>
        <w:numPr>
          <w:ilvl w:val="0"/>
          <w:numId w:val="129"/>
        </w:numPr>
        <w:spacing w:after="200" w:line="360" w:lineRule="auto"/>
      </w:pPr>
      <w:r>
        <w:rPr>
          <w:u w:val="single"/>
        </w:rPr>
        <w:lastRenderedPageBreak/>
        <w:t>Volatility Surface from Calibration Instruments</w:t>
      </w:r>
      <w:r w:rsidRPr="0053411B">
        <w:t>:</w:t>
      </w:r>
      <w:r>
        <w:t xml:space="preserve"> In calibrating the Hull White model for a portfolio of interest rates products, one obtains the term structure of volatilities in the HW model that is consistent with the portfolio of underlying securities.</w:t>
      </w:r>
    </w:p>
    <w:p w:rsidR="003279B0" w:rsidRDefault="003279B0" w:rsidP="00D83552">
      <w:pPr>
        <w:pStyle w:val="ListParagraph"/>
        <w:numPr>
          <w:ilvl w:val="0"/>
          <w:numId w:val="129"/>
        </w:numPr>
        <w:spacing w:after="200" w:line="360" w:lineRule="auto"/>
      </w:pPr>
      <w:r>
        <w:rPr>
          <w:u w:val="single"/>
        </w:rPr>
        <w:t>Calibration against Co-terminal Swaptions</w:t>
      </w:r>
      <w:r w:rsidRPr="003279B0">
        <w:t>:</w:t>
      </w:r>
      <w:r>
        <w:t xml:space="preserve"> </w:t>
      </w:r>
      <w:r w:rsidR="00350497">
        <w:t>The calibration method follows an approach that is similar to the calibration of the Hull-White model when pricing individual Bermudan and cancelable swap contracts; this method is described in DRIP Fixed Income Analytics, and builds the model to match the prices of the corresponding European co-terminal swaptions. The most important difference is that the whole portfolio is considered instead of a single instrument when one values the CVA/DVA of the portfolio.</w:t>
      </w:r>
    </w:p>
    <w:p w:rsidR="00350497" w:rsidRDefault="00350497" w:rsidP="00350497">
      <w:pPr>
        <w:spacing w:after="200" w:line="360" w:lineRule="auto"/>
      </w:pPr>
    </w:p>
    <w:p w:rsidR="00350497" w:rsidRDefault="00350497" w:rsidP="00350497">
      <w:pPr>
        <w:spacing w:after="200" w:line="360" w:lineRule="auto"/>
      </w:pPr>
    </w:p>
    <w:p w:rsidR="00350497" w:rsidRPr="00350497" w:rsidRDefault="00350497" w:rsidP="00350497">
      <w:pPr>
        <w:spacing w:after="200" w:line="360" w:lineRule="auto"/>
        <w:rPr>
          <w:b/>
          <w:sz w:val="28"/>
          <w:szCs w:val="28"/>
        </w:rPr>
      </w:pPr>
      <w:r w:rsidRPr="00350497">
        <w:rPr>
          <w:b/>
          <w:sz w:val="28"/>
          <w:szCs w:val="28"/>
        </w:rPr>
        <w:t>Portfolio Construction for the Calibration</w:t>
      </w:r>
    </w:p>
    <w:p w:rsidR="00350497" w:rsidRDefault="00350497" w:rsidP="00350497">
      <w:pPr>
        <w:spacing w:after="200" w:line="360" w:lineRule="auto"/>
      </w:pPr>
    </w:p>
    <w:p w:rsidR="00350497" w:rsidRDefault="00350497" w:rsidP="00D83552">
      <w:pPr>
        <w:pStyle w:val="ListParagraph"/>
        <w:numPr>
          <w:ilvl w:val="0"/>
          <w:numId w:val="130"/>
        </w:numPr>
        <w:spacing w:after="200" w:line="360" w:lineRule="auto"/>
      </w:pPr>
      <w:r w:rsidRPr="00350497">
        <w:rPr>
          <w:u w:val="single"/>
        </w:rPr>
        <w:t>Credit Exposure Dates Construction Methodology</w:t>
      </w:r>
      <w:r>
        <w:t>: The portfolio is calibrated to a set of credit dates. The credit dates are constructed using the procedure described below.</w:t>
      </w:r>
    </w:p>
    <w:p w:rsidR="00350497" w:rsidRDefault="00350497" w:rsidP="00D83552">
      <w:pPr>
        <w:pStyle w:val="ListParagraph"/>
        <w:numPr>
          <w:ilvl w:val="0"/>
          <w:numId w:val="130"/>
        </w:numPr>
        <w:spacing w:after="200" w:line="360" w:lineRule="auto"/>
      </w:pPr>
      <w:r>
        <w:rPr>
          <w:u w:val="single"/>
        </w:rPr>
        <w:t>Dense Followed by Sparse Grids</w:t>
      </w:r>
      <w:r w:rsidRPr="00350497">
        <w:t>:</w:t>
      </w:r>
      <w:r>
        <w:t xml:space="preserve"> Currently the set of credit dates is constructed starting with the valuation date according to the following schedule; quarterly dates are used for the first six months, semi-annual dates are used for the following five years, and annual dates are used up to the maturity of the longest deal in the portfolio.</w:t>
      </w:r>
    </w:p>
    <w:p w:rsidR="00350497" w:rsidRDefault="00350497" w:rsidP="00D83552">
      <w:pPr>
        <w:pStyle w:val="ListParagraph"/>
        <w:numPr>
          <w:ilvl w:val="0"/>
          <w:numId w:val="130"/>
        </w:numPr>
        <w:spacing w:after="200" w:line="360" w:lineRule="auto"/>
      </w:pPr>
      <w:r>
        <w:rPr>
          <w:u w:val="single"/>
        </w:rPr>
        <w:t>Exposure Date Specific Calibration Portfolio</w:t>
      </w:r>
      <w:r w:rsidRPr="00350497">
        <w:t>:</w:t>
      </w:r>
      <w:r>
        <w:t xml:space="preserve"> Thus every portfolio has a credit date corresponding to the standard tenors. For each credit date a calibration portfolio is constructed.</w:t>
      </w:r>
    </w:p>
    <w:p w:rsidR="00E225D7" w:rsidRDefault="00E225D7" w:rsidP="00D83552">
      <w:pPr>
        <w:pStyle w:val="ListParagraph"/>
        <w:numPr>
          <w:ilvl w:val="0"/>
          <w:numId w:val="130"/>
        </w:numPr>
        <w:spacing w:after="200" w:line="360" w:lineRule="auto"/>
      </w:pPr>
      <w:r>
        <w:rPr>
          <w:u w:val="single"/>
        </w:rPr>
        <w:t>Choice of the Calibration Securities</w:t>
      </w:r>
      <w:r w:rsidRPr="00E225D7">
        <w:t>:</w:t>
      </w:r>
      <w:r>
        <w:t xml:space="preserve"> </w:t>
      </w:r>
      <w:r w:rsidR="00FC2653">
        <w:t>For each individual underlying security, the current credit date is compared with both the tear-up date of the security and the last cash flow date. If the credit date is after the tear up date or after the last cash flow date, the instrument is not included in the calibration portfolio, because there is no credit exposure for that instrument on the given credit date. For a basket of swaps, caps, and swaptions, the following scheme is used to construct the swap portfolio.</w:t>
      </w:r>
    </w:p>
    <w:p w:rsidR="00FC2653" w:rsidRDefault="00FC2653" w:rsidP="00D83552">
      <w:pPr>
        <w:pStyle w:val="ListParagraph"/>
        <w:numPr>
          <w:ilvl w:val="0"/>
          <w:numId w:val="130"/>
        </w:numPr>
        <w:spacing w:after="200" w:line="360" w:lineRule="auto"/>
      </w:pPr>
      <w:r>
        <w:rPr>
          <w:u w:val="single"/>
        </w:rPr>
        <w:lastRenderedPageBreak/>
        <w:t>Synthetic Swap in Calibration Portfolio</w:t>
      </w:r>
      <w:r w:rsidRPr="00FC2653">
        <w:t>:</w:t>
      </w:r>
      <w:r>
        <w:t xml:space="preserve"> For a swap, a new synthetic swap with cash flows after the credit date is created, and is included in the calibration portfolio.</w:t>
      </w:r>
    </w:p>
    <w:p w:rsidR="00FC2653" w:rsidRDefault="00FC2653" w:rsidP="00D83552">
      <w:pPr>
        <w:pStyle w:val="ListParagraph"/>
        <w:numPr>
          <w:ilvl w:val="0"/>
          <w:numId w:val="130"/>
        </w:numPr>
        <w:spacing w:after="200" w:line="360" w:lineRule="auto"/>
      </w:pPr>
      <w:r>
        <w:rPr>
          <w:u w:val="single"/>
        </w:rPr>
        <w:t>Synthetic Cap/Floor/Straddle Calibration</w:t>
      </w:r>
      <w:r w:rsidRPr="00FC2653">
        <w:t>:</w:t>
      </w:r>
      <w:r>
        <w:t xml:space="preserve"> For a swap, a new instrument with the caplets remaining after the credit date is created. The new synthetic cap is added to the calibration portfolio. The same approach is applied to floors, straddles, etc.</w:t>
      </w:r>
    </w:p>
    <w:p w:rsidR="00FC2653" w:rsidRDefault="00FC2653" w:rsidP="00D83552">
      <w:pPr>
        <w:pStyle w:val="ListParagraph"/>
        <w:numPr>
          <w:ilvl w:val="0"/>
          <w:numId w:val="130"/>
        </w:numPr>
        <w:spacing w:after="200" w:line="360" w:lineRule="auto"/>
      </w:pPr>
      <w:r>
        <w:rPr>
          <w:u w:val="single"/>
        </w:rPr>
        <w:t>Synthetic European Swaption Calibration #1</w:t>
      </w:r>
      <w:r>
        <w:t>: For European swaptions, if the credit date is before the exercise date, the European swaption is included in the calibration portfolio; if the credit date is after the exercise date, there are two situations.</w:t>
      </w:r>
    </w:p>
    <w:p w:rsidR="00B334F7" w:rsidRDefault="00B334F7" w:rsidP="00D83552">
      <w:pPr>
        <w:pStyle w:val="ListParagraph"/>
        <w:numPr>
          <w:ilvl w:val="0"/>
          <w:numId w:val="130"/>
        </w:numPr>
        <w:spacing w:after="200" w:line="360" w:lineRule="auto"/>
      </w:pPr>
      <w:r>
        <w:rPr>
          <w:u w:val="single"/>
        </w:rPr>
        <w:t>Synthetic European Swaption Calibration #2</w:t>
      </w:r>
      <w:r w:rsidRPr="00B334F7">
        <w:t>:</w:t>
      </w:r>
      <w:r>
        <w:t xml:space="preserve"> If the swaption is cash settled, it is not included in the portfolio because there is no credit exposure after the cash payment date. If the swaption is physically settled, a synthetic swap is created from the underlying swap of the swaption with cash flows after the credit date with the notional adjusted by the ratio of the DV01 of the European swaption over the DV01 of the swap. This adjustment is meant to match the DV01 for the parallel curve shift after the credit date.</w:t>
      </w:r>
    </w:p>
    <w:p w:rsidR="00B334F7" w:rsidRDefault="00B334F7" w:rsidP="00D83552">
      <w:pPr>
        <w:pStyle w:val="ListParagraph"/>
        <w:numPr>
          <w:ilvl w:val="0"/>
          <w:numId w:val="130"/>
        </w:numPr>
        <w:spacing w:after="200" w:line="360" w:lineRule="auto"/>
      </w:pPr>
      <w:r>
        <w:rPr>
          <w:u w:val="single"/>
        </w:rPr>
        <w:t>Bermudan/American Swaption Calibration #1</w:t>
      </w:r>
      <w:r w:rsidRPr="00B334F7">
        <w:t>:</w:t>
      </w:r>
      <w:r>
        <w:t xml:space="preserve"> For Bermudan and American swaptions, a similar approach is used – if there are exercise dates after the credit date, the next exercise date is located from the exercise schedule, and the European swaptions that are co-terminal with the next exercise date after the credit date are created. </w:t>
      </w:r>
    </w:p>
    <w:p w:rsidR="00B334F7" w:rsidRDefault="00B334F7" w:rsidP="00D83552">
      <w:pPr>
        <w:pStyle w:val="ListParagraph"/>
        <w:numPr>
          <w:ilvl w:val="0"/>
          <w:numId w:val="130"/>
        </w:numPr>
        <w:spacing w:after="200" w:line="360" w:lineRule="auto"/>
      </w:pPr>
      <w:r>
        <w:rPr>
          <w:u w:val="single"/>
        </w:rPr>
        <w:t>Bermudan/American Swaption Calibration #2</w:t>
      </w:r>
      <w:r w:rsidRPr="00B334F7">
        <w:t>:</w:t>
      </w:r>
      <w:r>
        <w:t xml:space="preserve"> If the credit date is after the last exercise date, a synthetic swap is created from the underlying swap of the swaption with the cash flows after the credit date, with the notionals adjusted by the ratio of DV01 of the last co-terminal swaption over the DV01 of the underlying swap.</w:t>
      </w:r>
    </w:p>
    <w:p w:rsidR="00B334F7" w:rsidRDefault="00B334F7" w:rsidP="00D83552">
      <w:pPr>
        <w:pStyle w:val="ListParagraph"/>
        <w:numPr>
          <w:ilvl w:val="0"/>
          <w:numId w:val="130"/>
        </w:numPr>
        <w:spacing w:after="200" w:line="360" w:lineRule="auto"/>
      </w:pPr>
      <w:r>
        <w:rPr>
          <w:u w:val="single"/>
        </w:rPr>
        <w:t>Bermudan/American Swaption Calibration #3</w:t>
      </w:r>
      <w:r w:rsidRPr="00B334F7">
        <w:t>:</w:t>
      </w:r>
      <w:r>
        <w:t xml:space="preserve"> In this approach, each American or Bermudan swaption is replicated using an European swaption</w:t>
      </w:r>
      <w:r w:rsidR="00137AC6">
        <w:t>,</w:t>
      </w:r>
      <w:r w:rsidR="009243DE">
        <w:t xml:space="preserve"> in the same of calibrating the HW model for pricing an American or an European swaption, in which the HW volatility is calibrated by boot-strapping for the next co-terminal swaption step-by-step.</w:t>
      </w:r>
    </w:p>
    <w:p w:rsidR="004877DB" w:rsidRDefault="004877DB" w:rsidP="004877DB">
      <w:pPr>
        <w:spacing w:after="200" w:line="360" w:lineRule="auto"/>
      </w:pPr>
    </w:p>
    <w:p w:rsidR="004877DB" w:rsidRDefault="004877DB" w:rsidP="004877DB">
      <w:pPr>
        <w:spacing w:after="200" w:line="360" w:lineRule="auto"/>
      </w:pPr>
    </w:p>
    <w:p w:rsidR="004877DB" w:rsidRPr="00835955" w:rsidRDefault="004877DB" w:rsidP="004877DB">
      <w:pPr>
        <w:spacing w:after="200" w:line="360" w:lineRule="auto"/>
        <w:rPr>
          <w:b/>
          <w:sz w:val="28"/>
          <w:szCs w:val="28"/>
        </w:rPr>
      </w:pPr>
      <w:r w:rsidRPr="00835955">
        <w:rPr>
          <w:b/>
          <w:sz w:val="28"/>
          <w:szCs w:val="28"/>
        </w:rPr>
        <w:t>Portfolio NPV and NPV Option Valuation</w:t>
      </w:r>
    </w:p>
    <w:p w:rsidR="004877DB" w:rsidRDefault="004877DB" w:rsidP="004877DB">
      <w:pPr>
        <w:spacing w:after="200" w:line="360" w:lineRule="auto"/>
      </w:pPr>
    </w:p>
    <w:p w:rsidR="004877DB" w:rsidRDefault="004877DB" w:rsidP="00D83552">
      <w:pPr>
        <w:pStyle w:val="ListParagraph"/>
        <w:numPr>
          <w:ilvl w:val="0"/>
          <w:numId w:val="131"/>
        </w:numPr>
        <w:spacing w:after="200" w:line="360" w:lineRule="auto"/>
      </w:pPr>
      <w:r w:rsidRPr="00835955">
        <w:rPr>
          <w:u w:val="single"/>
        </w:rPr>
        <w:t>Using the Equivalent Cash Flows</w:t>
      </w:r>
      <w:r>
        <w:t xml:space="preserve">: </w:t>
      </w:r>
      <w:r w:rsidR="00835955">
        <w:t xml:space="preserve">After the calibration portfolios have been created for the credit dates, one has a set of calibration portfolios, where </w:t>
      </w:r>
      <m:oMath>
        <m:r>
          <w:rPr>
            <w:rFonts w:ascii="Cambria Math" w:hAnsi="Cambria Math"/>
          </w:rPr>
          <m:t>t</m:t>
        </m:r>
      </m:oMath>
      <w:r w:rsidR="00835955">
        <w:t xml:space="preserve"> is the credit date. For each asset in the portfolio for a given credit date, the asset is pried using its equivalent cash</w:t>
      </w:r>
      <w:r w:rsidR="008253F3">
        <w:t xml:space="preserve"> </w:t>
      </w:r>
      <w:r w:rsidR="00835955">
        <w:t>flows.</w:t>
      </w:r>
    </w:p>
    <w:p w:rsidR="008253F3" w:rsidRDefault="008253F3" w:rsidP="00D83552">
      <w:pPr>
        <w:pStyle w:val="ListParagraph"/>
        <w:numPr>
          <w:ilvl w:val="0"/>
          <w:numId w:val="131"/>
        </w:numPr>
        <w:spacing w:after="200" w:line="360" w:lineRule="auto"/>
      </w:pPr>
      <w:r>
        <w:rPr>
          <w:u w:val="single"/>
        </w:rPr>
        <w:t>Swap/Swaption/Cap/Floor PVs</w:t>
      </w:r>
      <w:r w:rsidRPr="008253F3">
        <w:t>:</w:t>
      </w:r>
      <w:r>
        <w:t xml:space="preserve"> For a swap its cash flow NPV is directly calculated For a European swaption, the same approach as that in pricing generic European swaption </w:t>
      </w:r>
      <w:r w:rsidR="0046445A">
        <w:t>using its equivalent cash flows is used (see the DRIP Fixed Income Specification for details). For a cap or floor, each caplet is priced using a generic European caplet pricer using its equivalent cash flows.</w:t>
      </w:r>
    </w:p>
    <w:p w:rsidR="0046445A" w:rsidRDefault="0046445A" w:rsidP="00D83552">
      <w:pPr>
        <w:pStyle w:val="ListParagraph"/>
        <w:numPr>
          <w:ilvl w:val="0"/>
          <w:numId w:val="131"/>
        </w:numPr>
        <w:spacing w:after="200" w:line="360" w:lineRule="auto"/>
      </w:pPr>
      <w:r>
        <w:rPr>
          <w:u w:val="single"/>
        </w:rPr>
        <w:t>Decomposition of the Swaption Portfolio</w:t>
      </w:r>
      <w:r>
        <w:t>: At the same time, a portfolio option pricer that uses the equivalent cash flows of each asset in the portfolio in the same way as that in the generic European swaption pricer is implemented, where the portfolio of underlying securities is represented as a weighted sum of standard swaptions. The exact procedure for computing the weights is described elsewhere.</w:t>
      </w:r>
    </w:p>
    <w:p w:rsidR="0046445A" w:rsidRDefault="0046445A" w:rsidP="00D83552">
      <w:pPr>
        <w:pStyle w:val="ListParagraph"/>
        <w:numPr>
          <w:ilvl w:val="0"/>
          <w:numId w:val="131"/>
        </w:numPr>
        <w:spacing w:after="200" w:line="360" w:lineRule="auto"/>
      </w:pPr>
      <w:r>
        <w:rPr>
          <w:u w:val="single"/>
        </w:rPr>
        <w:t>Portfolio Option Equivalent Cash Flows</w:t>
      </w:r>
      <w:r w:rsidRPr="0046445A">
        <w:t>:</w:t>
      </w:r>
      <w:r>
        <w:t xml:space="preserve"> After pricing the portfolio option NPV, the equivalent cash flows for the portfolio are obtained from the equivalent cash flows of the corresponding standard swaptions used in the construction of the weighted sum of standard options.</w:t>
      </w:r>
    </w:p>
    <w:p w:rsidR="00B20294" w:rsidRDefault="00B20294" w:rsidP="00D83552">
      <w:pPr>
        <w:pStyle w:val="ListParagraph"/>
        <w:numPr>
          <w:ilvl w:val="0"/>
          <w:numId w:val="131"/>
        </w:numPr>
        <w:spacing w:after="200" w:line="360" w:lineRule="auto"/>
      </w:pPr>
      <w:r>
        <w:rPr>
          <w:u w:val="single"/>
        </w:rPr>
        <w:t>Generic European Swap Option Pricer</w:t>
      </w:r>
      <w:r w:rsidRPr="00B20294">
        <w:t>:</w:t>
      </w:r>
      <w:r>
        <w:t xml:space="preserve"> </w:t>
      </w:r>
      <w:r w:rsidR="00564D99">
        <w:t xml:space="preserve">The DRIP Fixed Income Specification contains the details of the generic European swaption pricer and the equivalent cash flow. Therefore one has a sequence of data set on the calibration dates </w:t>
      </w:r>
      <m:oMath>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r>
              <w:rPr>
                <w:rFonts w:ascii="Cambria Math" w:hAnsi="Cambria Math"/>
              </w:rPr>
              <m:t xml:space="preserve">, </m:t>
            </m:r>
            <m:sSub>
              <m:sSubPr>
                <m:ctrlPr>
                  <w:rPr>
                    <w:rFonts w:ascii="Cambria Math" w:hAnsi="Cambria Math"/>
                    <w:i/>
                  </w:rPr>
                </m:ctrlPr>
              </m:sSubPr>
              <m:e>
                <m:r>
                  <w:rPr>
                    <w:rFonts w:ascii="Cambria Math" w:hAnsi="Cambria Math"/>
                  </w:rPr>
                  <m:t>CF</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4D99">
        <w:t xml:space="preserve"> which are then passed into the HW calibration procedure.</w:t>
      </w:r>
    </w:p>
    <w:p w:rsidR="00CE2F0F" w:rsidRDefault="00CE2F0F" w:rsidP="00CE2F0F">
      <w:pPr>
        <w:spacing w:after="200" w:line="360" w:lineRule="auto"/>
      </w:pPr>
    </w:p>
    <w:p w:rsidR="00CE2F0F" w:rsidRDefault="00CE2F0F" w:rsidP="00CE2F0F">
      <w:pPr>
        <w:spacing w:after="200" w:line="360" w:lineRule="auto"/>
      </w:pPr>
    </w:p>
    <w:p w:rsidR="00CE2F0F" w:rsidRPr="00CE2F0F" w:rsidRDefault="00CE2F0F" w:rsidP="00CE2F0F">
      <w:pPr>
        <w:spacing w:after="200" w:line="360" w:lineRule="auto"/>
        <w:rPr>
          <w:b/>
          <w:sz w:val="28"/>
          <w:szCs w:val="28"/>
        </w:rPr>
      </w:pPr>
      <w:r w:rsidRPr="00CE2F0F">
        <w:rPr>
          <w:b/>
          <w:sz w:val="28"/>
          <w:szCs w:val="28"/>
        </w:rPr>
        <w:t>Bootstrapping the Volatility Term Structure</w:t>
      </w:r>
    </w:p>
    <w:p w:rsidR="00CE2F0F" w:rsidRDefault="00CE2F0F" w:rsidP="00CE2F0F">
      <w:pPr>
        <w:spacing w:after="200" w:line="360" w:lineRule="auto"/>
      </w:pPr>
    </w:p>
    <w:p w:rsidR="00CE2F0F" w:rsidRDefault="00CE2F0F" w:rsidP="00D83552">
      <w:pPr>
        <w:pStyle w:val="ListParagraph"/>
        <w:numPr>
          <w:ilvl w:val="0"/>
          <w:numId w:val="132"/>
        </w:numPr>
        <w:spacing w:after="200" w:line="360" w:lineRule="auto"/>
      </w:pPr>
      <w:r w:rsidRPr="00CE2F0F">
        <w:rPr>
          <w:u w:val="single"/>
        </w:rPr>
        <w:lastRenderedPageBreak/>
        <w:t>Positive Exposure Volatility Surface Calibration</w:t>
      </w:r>
      <w:r>
        <w:t xml:space="preserve">: After the values of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and the corresponding cash flows are calculated, the next step is to bootstrap the term structure of volatilities for the HW model.</w:t>
      </w:r>
    </w:p>
    <w:p w:rsidR="00CE2F0F" w:rsidRDefault="00CE2F0F" w:rsidP="00D83552">
      <w:pPr>
        <w:pStyle w:val="ListParagraph"/>
        <w:numPr>
          <w:ilvl w:val="0"/>
          <w:numId w:val="132"/>
        </w:numPr>
        <w:spacing w:after="200" w:line="360" w:lineRule="auto"/>
      </w:pPr>
      <w:r>
        <w:rPr>
          <w:u w:val="single"/>
        </w:rPr>
        <w:t>Implying the Segment Volatility</w:t>
      </w:r>
      <w:r w:rsidRPr="00CE2F0F">
        <w:t>:</w:t>
      </w:r>
      <w:r>
        <w:t xml:space="preserve"> Doing so one generally follows the procedure outlined in the DRIP Fixed Income Specification, where the values of the volatility in each segment is selected to match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for the corresponding credit date using the equivalent cash flows for this credit date.</w:t>
      </w:r>
    </w:p>
    <w:p w:rsidR="00CE2F0F" w:rsidRDefault="00CE2F0F" w:rsidP="00D83552">
      <w:pPr>
        <w:pStyle w:val="ListParagraph"/>
        <w:numPr>
          <w:ilvl w:val="0"/>
          <w:numId w:val="132"/>
        </w:numPr>
        <w:spacing w:after="200" w:line="360" w:lineRule="auto"/>
      </w:pPr>
      <w:r>
        <w:rPr>
          <w:u w:val="single"/>
        </w:rPr>
        <w:t>Use of the Gaussian Quadrature Approach</w:t>
      </w:r>
      <w:r w:rsidRPr="00CE2F0F">
        <w:t>:</w:t>
      </w:r>
      <w:r>
        <w:t xml:space="preserve"> The only significant difference from the method described in DRIP Fixed Income Specification is that Gaussian quadrature approach is applied when </w:t>
      </w:r>
      <w:r w:rsidR="003C17FC">
        <w:t>computing the value of the option on the portfolio of zero coupon bonds. This step is different from the Jamshidian approach described there and is used when pricing Bermudan and Cancelable swap contracts in the HW model framework.</w:t>
      </w:r>
    </w:p>
    <w:p w:rsidR="00620960" w:rsidRDefault="00620960" w:rsidP="00D83552">
      <w:pPr>
        <w:pStyle w:val="ListParagraph"/>
        <w:numPr>
          <w:ilvl w:val="0"/>
          <w:numId w:val="132"/>
        </w:numPr>
        <w:spacing w:after="200" w:line="360" w:lineRule="auto"/>
      </w:pPr>
      <w:r>
        <w:rPr>
          <w:u w:val="single"/>
        </w:rPr>
        <w:t>Complexity of the Equivalent Cash Flows</w:t>
      </w:r>
      <w:r w:rsidRPr="00620960">
        <w:t>:</w:t>
      </w:r>
      <w:r>
        <w:t xml:space="preserve"> The reason for this modification is that in many cases the equivalent cash flows for the portfolio of the underlying securities can be very complex and irregular, thus resulting in situations where one is not able to construct the interest rate curve, or not able to convert the option on a portfolio of zero coupon bonds into a portfolio of options on zero coupon bonds.</w:t>
      </w:r>
    </w:p>
    <w:p w:rsidR="00620960" w:rsidRDefault="00620960" w:rsidP="00D83552">
      <w:pPr>
        <w:pStyle w:val="ListParagraph"/>
        <w:numPr>
          <w:ilvl w:val="0"/>
          <w:numId w:val="132"/>
        </w:numPr>
        <w:spacing w:after="200" w:line="360" w:lineRule="auto"/>
      </w:pPr>
      <w:r>
        <w:rPr>
          <w:u w:val="single"/>
        </w:rPr>
        <w:t>Integration over the Short Rate Distribution</w:t>
      </w:r>
      <w:r w:rsidRPr="00620960">
        <w:t>:</w:t>
      </w:r>
      <w:r>
        <w:t xml:space="preserve"> Therefore the algorithm for computing the cash flow option has been improved using the quadrature approach. The integration is over the short rate. Because of the structure of the Hull-White model, the Gauss-Hermite scheme with 100 point selection of the standard normal distribution is used. A good reference on Gaussian quadrature is </w:t>
      </w:r>
      <w:r>
        <w:rPr>
          <w:i/>
        </w:rPr>
        <w:t>Integration of Functions</w:t>
      </w:r>
      <w:r>
        <w:t xml:space="preserve"> in Press, Flannery, Teukolsky, and Vetterling (2002).</w:t>
      </w:r>
    </w:p>
    <w:p w:rsidR="00620960" w:rsidRDefault="00620960" w:rsidP="00620960">
      <w:pPr>
        <w:spacing w:after="200" w:line="360" w:lineRule="auto"/>
      </w:pPr>
    </w:p>
    <w:p w:rsidR="00620960" w:rsidRDefault="00620960" w:rsidP="00620960">
      <w:pPr>
        <w:spacing w:after="200" w:line="360" w:lineRule="auto"/>
      </w:pPr>
    </w:p>
    <w:p w:rsidR="00620960" w:rsidRPr="00244832" w:rsidRDefault="00620960" w:rsidP="00620960">
      <w:pPr>
        <w:spacing w:after="200" w:line="360" w:lineRule="auto"/>
        <w:rPr>
          <w:b/>
          <w:sz w:val="28"/>
          <w:szCs w:val="28"/>
        </w:rPr>
      </w:pPr>
      <w:r w:rsidRPr="00244832">
        <w:rPr>
          <w:b/>
          <w:sz w:val="28"/>
          <w:szCs w:val="28"/>
        </w:rPr>
        <w:t>Margin Period of Risk for CVA/DVA</w:t>
      </w:r>
    </w:p>
    <w:p w:rsidR="00620960" w:rsidRDefault="00620960" w:rsidP="00620960">
      <w:pPr>
        <w:spacing w:after="200" w:line="360" w:lineRule="auto"/>
      </w:pPr>
    </w:p>
    <w:p w:rsidR="00620960" w:rsidRDefault="00620960" w:rsidP="00D83552">
      <w:pPr>
        <w:pStyle w:val="ListParagraph"/>
        <w:numPr>
          <w:ilvl w:val="0"/>
          <w:numId w:val="133"/>
        </w:numPr>
        <w:spacing w:after="200" w:line="360" w:lineRule="auto"/>
      </w:pPr>
      <w:r w:rsidRPr="00244832">
        <w:rPr>
          <w:u w:val="single"/>
        </w:rPr>
        <w:lastRenderedPageBreak/>
        <w:t>Bank/Counter Party Collateral Thresholds</w:t>
      </w:r>
      <w:r>
        <w:t>: Under bilateral margin agreements, both the bank and the counter party need to post</w:t>
      </w:r>
      <w:r w:rsidR="00244832">
        <w:t xml:space="preserve"> collateral if the uncollateralized amount exceeds a certain limit; the counter party posts collateral when the bank’s exposure to the counter party exceeds the counter party’s threshold, while the bank posts collateral when the counter party’s exposure to the bank exceeds the bank’s threshold.</w:t>
      </w:r>
    </w:p>
    <w:p w:rsidR="00244832" w:rsidRDefault="00244832" w:rsidP="00D83552">
      <w:pPr>
        <w:pStyle w:val="ListParagraph"/>
        <w:numPr>
          <w:ilvl w:val="0"/>
          <w:numId w:val="133"/>
        </w:numPr>
        <w:spacing w:after="200" w:line="360" w:lineRule="auto"/>
      </w:pPr>
      <w:r>
        <w:rPr>
          <w:u w:val="single"/>
        </w:rPr>
        <w:t>Margin Period of Risk - Definition</w:t>
      </w:r>
      <w:r w:rsidRPr="00244832">
        <w:t>:</w:t>
      </w:r>
      <w:r>
        <w:t xml:space="preserve"> </w:t>
      </w:r>
      <w:r w:rsidR="006E25B3">
        <w:t>Due to the operational complexity of the collateral delivery and the margin calls, there is a time lag from the last margin call to the counter party’s official default time, which is known as the margin period of risk (MPoR). Therefore the collateral available at a specific date is determined by the uncollateralized at the latest time when the margin call could be made.</w:t>
      </w:r>
    </w:p>
    <w:p w:rsidR="00B139FC" w:rsidRDefault="00B139FC" w:rsidP="00D83552">
      <w:pPr>
        <w:pStyle w:val="ListParagraph"/>
        <w:numPr>
          <w:ilvl w:val="0"/>
          <w:numId w:val="133"/>
        </w:numPr>
        <w:spacing w:after="200" w:line="360" w:lineRule="auto"/>
      </w:pPr>
      <w:r>
        <w:rPr>
          <w:u w:val="single"/>
        </w:rPr>
        <w:t>Contractual Details of the Margin Process</w:t>
      </w:r>
      <w:r w:rsidRPr="00B139FC">
        <w:t>:</w:t>
      </w:r>
      <w:r>
        <w:t xml:space="preserve"> The margin period of risk depends on the contractual margin call frequency and the liquidity of the portfolio, but a period of two weeks in calendar days is assumed usually for CVA/DVA calculation. More detailed description of the collateral dynamics under the Credit Support Annex (CSA) can be found in Pykhtin (2009) and Gregory (2012).</w:t>
      </w:r>
    </w:p>
    <w:p w:rsidR="002207E3" w:rsidRDefault="000248F3" w:rsidP="00D83552">
      <w:pPr>
        <w:pStyle w:val="ListParagraph"/>
        <w:numPr>
          <w:ilvl w:val="0"/>
          <w:numId w:val="133"/>
        </w:numPr>
        <w:spacing w:after="200" w:line="360" w:lineRule="auto"/>
      </w:pPr>
      <w:r>
        <w:rPr>
          <w:u w:val="single"/>
        </w:rPr>
        <w:t>Bank/Counter Party Parameters #1</w:t>
      </w:r>
      <w:r w:rsidRPr="000248F3">
        <w:t>:</w:t>
      </w:r>
      <w:r>
        <w:t xml:space="preserve"> This section focuses on how to handle margin period of risk in CVA/DVA calculation. Let the threshold, the minimum transfer amount (MTA), and the independent amount (IA) for the counterparty be</w:t>
      </w:r>
    </w:p>
    <w:p w:rsidR="002207E3" w:rsidRDefault="002207E3" w:rsidP="002207E3">
      <w:pPr>
        <w:pStyle w:val="ListParagraph"/>
        <w:spacing w:after="200" w:line="360" w:lineRule="auto"/>
        <w:ind w:left="360"/>
        <w:rPr>
          <w:u w:val="single"/>
        </w:rPr>
      </w:pPr>
    </w:p>
    <w:p w:rsidR="002207E3" w:rsidRDefault="005D6A21"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5D6A21"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0248F3"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5D6A21"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0248F3" w:rsidP="002207E3">
      <w:pPr>
        <w:pStyle w:val="ListParagraph"/>
        <w:spacing w:after="200" w:line="360" w:lineRule="auto"/>
        <w:ind w:left="360"/>
      </w:pPr>
      <w:r>
        <w:t>respectively.</w:t>
      </w:r>
    </w:p>
    <w:p w:rsidR="002207E3" w:rsidRDefault="000248F3" w:rsidP="00D83552">
      <w:pPr>
        <w:pStyle w:val="ListParagraph"/>
        <w:numPr>
          <w:ilvl w:val="0"/>
          <w:numId w:val="133"/>
        </w:numPr>
        <w:spacing w:after="200" w:line="360" w:lineRule="auto"/>
      </w:pPr>
      <w:r>
        <w:rPr>
          <w:u w:val="single"/>
        </w:rPr>
        <w:t>Bank/Counter Party Parameters #2</w:t>
      </w:r>
      <w:r w:rsidRPr="000248F3">
        <w:t>:</w:t>
      </w:r>
      <w:r>
        <w:t xml:space="preserve"> The threshold, minimum transfer amount, and the </w:t>
      </w:r>
      <w:r w:rsidR="004E466C">
        <w:t>independent amount for the bank are</w:t>
      </w:r>
    </w:p>
    <w:p w:rsidR="002207E3" w:rsidRDefault="002207E3" w:rsidP="002207E3">
      <w:pPr>
        <w:pStyle w:val="ListParagraph"/>
        <w:spacing w:after="200" w:line="360" w:lineRule="auto"/>
        <w:ind w:left="360"/>
        <w:rPr>
          <w:u w:val="single"/>
        </w:rPr>
      </w:pPr>
    </w:p>
    <w:p w:rsidR="002207E3" w:rsidRDefault="005D6A21"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5D6A21"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4E466C" w:rsidP="002207E3">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IA</m:t>
            </m:r>
          </m:e>
          <m:sub>
            <m:r>
              <w:rPr>
                <w:rFonts w:ascii="Cambria Math" w:hAnsi="Cambria Math"/>
              </w:rPr>
              <m:t>BANK</m:t>
            </m:r>
          </m:sub>
        </m:sSub>
      </m:oMath>
      <w:r>
        <w:t xml:space="preserve"> respectively.</w:t>
      </w:r>
    </w:p>
    <w:p w:rsidR="004E466C" w:rsidRDefault="004E466C" w:rsidP="00D83552">
      <w:pPr>
        <w:pStyle w:val="ListParagraph"/>
        <w:numPr>
          <w:ilvl w:val="0"/>
          <w:numId w:val="133"/>
        </w:numPr>
        <w:spacing w:after="200" w:line="360" w:lineRule="auto"/>
      </w:pPr>
      <w:r>
        <w:rPr>
          <w:u w:val="single"/>
        </w:rPr>
        <w:t>Impact of Rounding on Collateralization</w:t>
      </w:r>
      <w:r w:rsidRPr="004E466C">
        <w:t>:</w:t>
      </w:r>
      <w:r>
        <w:t xml:space="preserve"> The impact of rounding on collateralization is not considered, since it has a small effect on the impact of the CVA/DVA calculation, as shown in Gregory (2012).</w:t>
      </w:r>
    </w:p>
    <w:p w:rsidR="002207E3" w:rsidRDefault="004E466C" w:rsidP="00D83552">
      <w:pPr>
        <w:pStyle w:val="ListParagraph"/>
        <w:numPr>
          <w:ilvl w:val="0"/>
          <w:numId w:val="133"/>
        </w:numPr>
        <w:spacing w:after="200" w:line="360" w:lineRule="auto"/>
      </w:pPr>
      <w:r>
        <w:rPr>
          <w:u w:val="single"/>
        </w:rPr>
        <w:t>Margin Setting Sample Parameters #1</w:t>
      </w:r>
      <w:r>
        <w:t>: To illustrate a collateral call, Gregory (2012) gives an example:</w:t>
      </w:r>
    </w:p>
    <w:p w:rsidR="002207E3" w:rsidRDefault="002207E3" w:rsidP="002207E3">
      <w:pPr>
        <w:pStyle w:val="ListParagraph"/>
        <w:spacing w:after="200" w:line="360" w:lineRule="auto"/>
        <w:ind w:left="360"/>
        <w:rPr>
          <w:u w:val="single"/>
        </w:rPr>
      </w:pPr>
    </w:p>
    <w:p w:rsidR="002207E3" w:rsidRDefault="005D6A21"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=1.0m</m:t>
          </m:r>
        </m:oMath>
      </m:oMathPara>
    </w:p>
    <w:p w:rsidR="002207E3" w:rsidRDefault="002207E3" w:rsidP="002207E3">
      <w:pPr>
        <w:pStyle w:val="ListParagraph"/>
        <w:spacing w:after="200" w:line="360" w:lineRule="auto"/>
        <w:ind w:left="360"/>
      </w:pPr>
    </w:p>
    <w:p w:rsidR="002207E3" w:rsidRDefault="005D6A21"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≥0.1m</m:t>
          </m:r>
        </m:oMath>
      </m:oMathPara>
    </w:p>
    <w:p w:rsidR="002207E3" w:rsidRDefault="002207E3" w:rsidP="002207E3">
      <w:pPr>
        <w:pStyle w:val="ListParagraph"/>
        <w:spacing w:after="200" w:line="360" w:lineRule="auto"/>
        <w:ind w:left="360"/>
      </w:pPr>
    </w:p>
    <w:p w:rsidR="002207E3" w:rsidRDefault="005D6A21"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When a portfolio’s MTM is</w:t>
      </w:r>
    </w:p>
    <w:p w:rsidR="002207E3" w:rsidRDefault="002207E3" w:rsidP="002207E3">
      <w:pPr>
        <w:pStyle w:val="ListParagraph"/>
        <w:spacing w:after="200" w:line="360" w:lineRule="auto"/>
        <w:ind w:left="360"/>
      </w:pPr>
    </w:p>
    <w:p w:rsidR="002207E3" w:rsidRDefault="005D6A21"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≥1.7m</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it exceeds the effective threshold</w:t>
      </w:r>
    </w:p>
    <w:p w:rsidR="002207E3" w:rsidRDefault="002207E3" w:rsidP="002207E3">
      <w:pPr>
        <w:pStyle w:val="ListParagraph"/>
        <w:spacing w:after="200" w:line="360" w:lineRule="auto"/>
        <w:ind w:left="360"/>
      </w:pPr>
    </w:p>
    <w:p w:rsidR="004E466C" w:rsidRPr="002207E3" w:rsidRDefault="005D6A21"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=1.1m</m:t>
          </m:r>
        </m:oMath>
      </m:oMathPara>
    </w:p>
    <w:p w:rsidR="002207E3" w:rsidRDefault="002207E3" w:rsidP="002207E3">
      <w:pPr>
        <w:pStyle w:val="ListParagraph"/>
        <w:spacing w:after="200" w:line="360" w:lineRule="auto"/>
        <w:ind w:left="360"/>
      </w:pPr>
    </w:p>
    <w:p w:rsidR="002207E3" w:rsidRDefault="00975F05" w:rsidP="00D83552">
      <w:pPr>
        <w:pStyle w:val="ListParagraph"/>
        <w:numPr>
          <w:ilvl w:val="0"/>
          <w:numId w:val="133"/>
        </w:numPr>
        <w:spacing w:after="200" w:line="360" w:lineRule="auto"/>
      </w:pPr>
      <w:r>
        <w:rPr>
          <w:u w:val="single"/>
        </w:rPr>
        <w:t>Margin Setting Sample Parameter #2:</w:t>
      </w:r>
      <w:r>
        <w:t xml:space="preserve"> This triggers a collateral call, and the amount of collateral call is</w:t>
      </w:r>
    </w:p>
    <w:p w:rsidR="002207E3" w:rsidRDefault="002207E3" w:rsidP="002207E3">
      <w:pPr>
        <w:pStyle w:val="ListParagraph"/>
        <w:spacing w:after="200" w:line="360" w:lineRule="auto"/>
        <w:ind w:left="360"/>
        <w:rPr>
          <w:u w:val="single"/>
        </w:rPr>
      </w:pPr>
    </w:p>
    <w:p w:rsidR="002207E3" w:rsidRDefault="00975F05" w:rsidP="002207E3">
      <w:pPr>
        <w:pStyle w:val="ListParagraph"/>
        <w:spacing w:after="200" w:line="360" w:lineRule="auto"/>
        <w:ind w:left="360"/>
      </w:pPr>
      <m:oMathPara>
        <m:oMath>
          <m:r>
            <w:rPr>
              <w:rFonts w:ascii="Cambria Math" w:hAnsi="Cambria Math"/>
            </w:rPr>
            <m:t>CollateralCall=</m:t>
          </m:r>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=1.7mm-1.0m=0.7m</m:t>
          </m:r>
        </m:oMath>
      </m:oMathPara>
    </w:p>
    <w:p w:rsidR="002207E3" w:rsidRDefault="002207E3" w:rsidP="002207E3">
      <w:pPr>
        <w:pStyle w:val="ListParagraph"/>
        <w:spacing w:after="200" w:line="360" w:lineRule="auto"/>
        <w:ind w:left="360"/>
      </w:pPr>
    </w:p>
    <w:p w:rsidR="00975F05" w:rsidRDefault="00975F05" w:rsidP="002207E3">
      <w:pPr>
        <w:pStyle w:val="ListParagraph"/>
        <w:spacing w:after="200" w:line="360" w:lineRule="auto"/>
        <w:ind w:left="360"/>
      </w:pPr>
      <w:r>
        <w:t>Note that this amount is the collateral above the threshold, namely the amount of threshold that is not collateralized.</w:t>
      </w:r>
    </w:p>
    <w:p w:rsidR="00975F05" w:rsidRDefault="00975F05" w:rsidP="00D83552">
      <w:pPr>
        <w:pStyle w:val="ListParagraph"/>
        <w:numPr>
          <w:ilvl w:val="0"/>
          <w:numId w:val="133"/>
        </w:numPr>
        <w:spacing w:after="200" w:line="360" w:lineRule="auto"/>
      </w:pPr>
      <w:r>
        <w:rPr>
          <w:u w:val="single"/>
        </w:rPr>
        <w:t>Incorporation of the Minimum Transfer Amount</w:t>
      </w:r>
      <w:r>
        <w:t xml:space="preserve">: As described in Pykhtin (2009), in order to avoid modeling the complexity </w:t>
      </w:r>
      <w:r w:rsidR="00901578">
        <w:t>of the minimum transfer amount</w:t>
      </w:r>
      <w:r>
        <w:t>, it has been added to the threshold as an effective threshold.</w:t>
      </w:r>
    </w:p>
    <w:p w:rsidR="002207E3" w:rsidRDefault="00901578" w:rsidP="00D83552">
      <w:pPr>
        <w:pStyle w:val="ListParagraph"/>
        <w:numPr>
          <w:ilvl w:val="0"/>
          <w:numId w:val="133"/>
        </w:numPr>
        <w:spacing w:after="200" w:line="360" w:lineRule="auto"/>
      </w:pPr>
      <w:r>
        <w:rPr>
          <w:u w:val="single"/>
        </w:rPr>
        <w:t>Collateral Value at the Credit Date</w:t>
      </w:r>
      <w:r w:rsidRPr="00901578">
        <w:t>:</w:t>
      </w:r>
      <w:r>
        <w:t xml:space="preserve"> Let </w:t>
      </w:r>
      <m:oMath>
        <m:r>
          <w:rPr>
            <w:rFonts w:ascii="Cambria Math" w:hAnsi="Cambria Math"/>
          </w:rPr>
          <m:t>V</m:t>
        </m:r>
        <m:d>
          <m:dPr>
            <m:ctrlPr>
              <w:rPr>
                <w:rFonts w:ascii="Cambria Math" w:hAnsi="Cambria Math"/>
                <w:i/>
              </w:rPr>
            </m:ctrlPr>
          </m:dPr>
          <m:e>
            <m:r>
              <w:rPr>
                <w:rFonts w:ascii="Cambria Math" w:hAnsi="Cambria Math"/>
              </w:rPr>
              <m:t>t</m:t>
            </m:r>
          </m:e>
        </m:d>
      </m:oMath>
      <w:r>
        <w:t xml:space="preserve"> be the uncollateralized portfolio value at time </w:t>
      </w:r>
      <m:oMath>
        <m:r>
          <w:rPr>
            <w:rFonts w:ascii="Cambria Math" w:hAnsi="Cambria Math"/>
          </w:rPr>
          <m:t>t</m:t>
        </m:r>
      </m:oMath>
      <w:r>
        <w:t xml:space="preserve"> and</w:t>
      </w:r>
    </w:p>
    <w:p w:rsidR="002207E3" w:rsidRDefault="002207E3" w:rsidP="002207E3">
      <w:pPr>
        <w:pStyle w:val="ListParagraph"/>
        <w:spacing w:after="200" w:line="360" w:lineRule="auto"/>
        <w:ind w:left="360"/>
        <w:rPr>
          <w:u w:val="single"/>
        </w:rPr>
      </w:pPr>
    </w:p>
    <w:p w:rsidR="002207E3" w:rsidRDefault="00901578" w:rsidP="002207E3">
      <w:pPr>
        <w:pStyle w:val="ListParagraph"/>
        <w:spacing w:after="200" w:line="360" w:lineRule="auto"/>
        <w:ind w:left="360"/>
      </w:pPr>
      <m:oMathPara>
        <m:oMath>
          <m:r>
            <w:rPr>
              <w:rFonts w:ascii="Cambria Math" w:hAnsi="Cambria Math"/>
            </w:rPr>
            <m:t>∆t=2W</m:t>
          </m:r>
        </m:oMath>
      </m:oMathPara>
    </w:p>
    <w:p w:rsidR="002207E3" w:rsidRDefault="002207E3" w:rsidP="002207E3">
      <w:pPr>
        <w:pStyle w:val="ListParagraph"/>
        <w:spacing w:after="200" w:line="360" w:lineRule="auto"/>
        <w:ind w:left="360"/>
      </w:pPr>
    </w:p>
    <w:p w:rsidR="002207E3" w:rsidRDefault="00901578" w:rsidP="002207E3">
      <w:pPr>
        <w:pStyle w:val="ListParagraph"/>
        <w:spacing w:after="200" w:line="360" w:lineRule="auto"/>
        <w:ind w:left="360"/>
      </w:pPr>
      <w:r>
        <w:t xml:space="preserve">in calendar days be the margin period of risk, then the collateral value at time </w:t>
      </w:r>
      <m:oMath>
        <m:r>
          <w:rPr>
            <w:rFonts w:ascii="Cambria Math" w:hAnsi="Cambria Math"/>
          </w:rPr>
          <m:t>t</m:t>
        </m:r>
      </m:oMath>
      <w:r>
        <w:t xml:space="preserve"> is</w:t>
      </w:r>
    </w:p>
    <w:p w:rsidR="002207E3" w:rsidRDefault="002207E3" w:rsidP="002207E3">
      <w:pPr>
        <w:pStyle w:val="ListParagraph"/>
        <w:spacing w:after="200" w:line="360" w:lineRule="auto"/>
        <w:ind w:left="360"/>
      </w:pPr>
    </w:p>
    <w:p w:rsidR="00901578" w:rsidRPr="002207E3" w:rsidRDefault="00901578" w:rsidP="002207E3">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&lt;-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7C4ECC" w:rsidP="00D83552">
      <w:pPr>
        <w:pStyle w:val="ListParagraph"/>
        <w:numPr>
          <w:ilvl w:val="0"/>
          <w:numId w:val="133"/>
        </w:numPr>
        <w:spacing w:after="200" w:line="360" w:lineRule="auto"/>
      </w:pPr>
      <w:r>
        <w:rPr>
          <w:u w:val="single"/>
        </w:rPr>
        <w:t>Value of the Collateralized Portfolio #1</w:t>
      </w:r>
      <w:r>
        <w:t>: The collateralized portfolio value is</w:t>
      </w:r>
    </w:p>
    <w:p w:rsidR="002207E3" w:rsidRDefault="002207E3" w:rsidP="002207E3">
      <w:pPr>
        <w:pStyle w:val="ListParagraph"/>
        <w:spacing w:after="200" w:line="360" w:lineRule="auto"/>
        <w:ind w:left="360"/>
        <w:rPr>
          <w:u w:val="single"/>
        </w:rPr>
      </w:pPr>
    </w:p>
    <w:p w:rsidR="002207E3" w:rsidRDefault="005D6A21"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oMath>
      </m:oMathPara>
    </w:p>
    <w:p w:rsidR="002207E3" w:rsidRDefault="002207E3" w:rsidP="002207E3">
      <w:pPr>
        <w:pStyle w:val="ListParagraph"/>
        <w:spacing w:after="200" w:line="360" w:lineRule="auto"/>
        <w:ind w:left="360"/>
      </w:pPr>
    </w:p>
    <w:p w:rsidR="007C4ECC" w:rsidRDefault="007C4ECC" w:rsidP="002207E3">
      <w:pPr>
        <w:pStyle w:val="ListParagraph"/>
        <w:spacing w:after="200" w:line="360" w:lineRule="auto"/>
        <w:ind w:left="360"/>
      </w:pPr>
      <w:r>
        <w:t xml:space="preserve">where </w:t>
      </w:r>
      <m:oMath>
        <m:r>
          <w:rPr>
            <w:rFonts w:ascii="Cambria Math" w:hAnsi="Cambria Math"/>
          </w:rPr>
          <m:t>CF</m:t>
        </m:r>
        <m:d>
          <m:dPr>
            <m:ctrlPr>
              <w:rPr>
                <w:rFonts w:ascii="Cambria Math" w:hAnsi="Cambria Math"/>
                <w:i/>
              </w:rPr>
            </m:ctrlPr>
          </m:dPr>
          <m:e>
            <m:r>
              <w:rPr>
                <w:rFonts w:ascii="Cambria Math" w:hAnsi="Cambria Math"/>
              </w:rPr>
              <m:t>t-∆t, t</m:t>
            </m:r>
          </m:e>
        </m:d>
      </m:oMath>
      <w:r>
        <w:t xml:space="preserve"> is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.The payments on </w:t>
      </w:r>
      <m:oMath>
        <m:r>
          <w:rPr>
            <w:rFonts w:ascii="Cambria Math" w:hAnsi="Cambria Math"/>
          </w:rPr>
          <m:t>t</m:t>
        </m:r>
      </m:oMath>
      <w:r>
        <w:t xml:space="preserve"> are included and the payments at </w:t>
      </w:r>
      <m:oMath>
        <m:r>
          <w:rPr>
            <w:rFonts w:ascii="Cambria Math" w:hAnsi="Cambria Math"/>
          </w:rPr>
          <m:t>t-∆t</m:t>
        </m:r>
      </m:oMath>
      <w:r>
        <w:t xml:space="preserve"> are excluded from </w:t>
      </w:r>
      <m:oMath>
        <m:r>
          <w:rPr>
            <w:rFonts w:ascii="Cambria Math" w:hAnsi="Cambria Math"/>
          </w:rPr>
          <m:t>CF</m:t>
        </m:r>
        <m:d>
          <m:dPr>
            <m:ctrlPr>
              <w:rPr>
                <w:rFonts w:ascii="Cambria Math" w:hAnsi="Cambria Math"/>
                <w:i/>
              </w:rPr>
            </m:ctrlPr>
          </m:dPr>
          <m:e>
            <m:r>
              <w:rPr>
                <w:rFonts w:ascii="Cambria Math" w:hAnsi="Cambria Math"/>
              </w:rPr>
              <m:t>t-∆t, t</m:t>
            </m:r>
          </m:e>
        </m:d>
      </m:oMath>
      <w:r>
        <w:t>.</w:t>
      </w:r>
    </w:p>
    <w:p w:rsidR="002207E3" w:rsidRDefault="007C4ECC" w:rsidP="00D83552">
      <w:pPr>
        <w:pStyle w:val="ListParagraph"/>
        <w:numPr>
          <w:ilvl w:val="0"/>
          <w:numId w:val="133"/>
        </w:numPr>
        <w:spacing w:after="200" w:line="360" w:lineRule="auto"/>
      </w:pPr>
      <w:r>
        <w:rPr>
          <w:u w:val="single"/>
        </w:rPr>
        <w:t>Value of the Collateralized Portfolio #2</w:t>
      </w:r>
      <w:r w:rsidRPr="007C4ECC">
        <w:t>:</w:t>
      </w:r>
      <w:r>
        <w:t xml:space="preserve"> </w:t>
      </w:r>
      <w:r w:rsidR="005C7A52">
        <w:t>By arranging the terms, the collateralized portfolio becomes</w:t>
      </w:r>
    </w:p>
    <w:p w:rsidR="002207E3" w:rsidRDefault="002207E3" w:rsidP="002207E3">
      <w:pPr>
        <w:pStyle w:val="ListParagraph"/>
        <w:spacing w:after="200" w:line="360" w:lineRule="auto"/>
        <w:ind w:left="360"/>
        <w:rPr>
          <w:u w:val="single"/>
        </w:rPr>
      </w:pPr>
    </w:p>
    <w:p w:rsidR="002207E3" w:rsidRDefault="005D6A21"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w:r>
        <w:t>where</w:t>
      </w:r>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t-∆t</m:t>
              </m:r>
            </m:e>
          </m:d>
        </m:oMath>
      </m:oMathPara>
    </w:p>
    <w:p w:rsidR="002207E3" w:rsidRDefault="002207E3" w:rsidP="002207E3">
      <w:pPr>
        <w:pStyle w:val="ListParagraph"/>
        <w:spacing w:after="200" w:line="360" w:lineRule="auto"/>
        <w:ind w:left="360"/>
      </w:pPr>
    </w:p>
    <w:p w:rsidR="007C4ECC" w:rsidRDefault="006703B2" w:rsidP="002207E3">
      <w:pPr>
        <w:pStyle w:val="ListParagraph"/>
        <w:spacing w:after="200" w:line="360" w:lineRule="auto"/>
        <w:ind w:left="360"/>
      </w:pPr>
      <w:r>
        <w:t>is the difference of the uncollateralized portfolio values inside the margin period of risk.</w:t>
      </w:r>
    </w:p>
    <w:p w:rsidR="006703B2" w:rsidRDefault="006703B2" w:rsidP="00D83552">
      <w:pPr>
        <w:pStyle w:val="ListParagraph"/>
        <w:numPr>
          <w:ilvl w:val="0"/>
          <w:numId w:val="133"/>
        </w:numPr>
        <w:spacing w:after="200" w:line="360" w:lineRule="auto"/>
      </w:pPr>
      <w:r>
        <w:rPr>
          <w:u w:val="single"/>
        </w:rPr>
        <w:t>Margin Period Look-back Window</w:t>
      </w:r>
      <w:r w:rsidRPr="006703B2">
        <w:t>:</w:t>
      </w:r>
      <w:r>
        <w:t xml:space="preserve"> In order to calculate the margin period risk, a full Monte Carlo framework is needed, with each credit date </w:t>
      </w:r>
      <m:oMath>
        <m:r>
          <w:rPr>
            <w:rFonts w:ascii="Cambria Math" w:hAnsi="Cambria Math"/>
          </w:rPr>
          <m:t>t</m:t>
        </m:r>
      </m:oMath>
      <w:r>
        <w:t xml:space="preserve"> having a two week look-back window </w:t>
      </w:r>
      <m:oMath>
        <m:r>
          <w:rPr>
            <w:rFonts w:ascii="Cambria Math" w:hAnsi="Cambria Math"/>
          </w:rPr>
          <m:t>t-∆t</m:t>
        </m:r>
      </m:oMath>
      <w:r>
        <w:t xml:space="preserve"> to find the distribution of the portfolio value at time </w:t>
      </w:r>
      <m:oMath>
        <m:r>
          <w:rPr>
            <w:rFonts w:ascii="Cambria Math" w:hAnsi="Cambria Math"/>
          </w:rPr>
          <m:t>t-∆t</m:t>
        </m:r>
      </m:oMath>
      <w:r>
        <w:t xml:space="preserve"> given the portfolio value at time </w:t>
      </w:r>
      <m:oMath>
        <m:r>
          <w:rPr>
            <w:rFonts w:ascii="Cambria Math" w:hAnsi="Cambria Math"/>
          </w:rPr>
          <m:t>t</m:t>
        </m:r>
      </m:oMath>
      <w:r>
        <w:t>. This is handled in both the CVA for the interest rates products and the CVA for the cross-currency swap portfolio below.</w:t>
      </w:r>
    </w:p>
    <w:p w:rsidR="006703B2" w:rsidRDefault="006703B2" w:rsidP="00D83552">
      <w:pPr>
        <w:pStyle w:val="ListParagraph"/>
        <w:numPr>
          <w:ilvl w:val="0"/>
          <w:numId w:val="133"/>
        </w:numPr>
        <w:spacing w:after="200" w:line="360" w:lineRule="auto"/>
      </w:pPr>
      <w:r>
        <w:rPr>
          <w:u w:val="single"/>
        </w:rPr>
        <w:t>HW Enhancement for MPoR</w:t>
      </w:r>
      <w:r w:rsidRPr="006703B2">
        <w:t>:</w:t>
      </w:r>
      <w:r>
        <w:t xml:space="preserve"> The CVA/DVA model has been enhanced to fully deal with the margin period </w:t>
      </w:r>
      <w:proofErr w:type="spellStart"/>
      <w:r>
        <w:t>o</w:t>
      </w:r>
      <w:proofErr w:type="spellEnd"/>
      <w:r>
        <w:t xml:space="preserve"> risk dynamically. For a portfolio of interest rates products, </w:t>
      </w:r>
      <w:r w:rsidR="002B7FDF">
        <w:t>the Hull-White interest rate model is used in the CVA/DVA pricing.</w:t>
      </w:r>
    </w:p>
    <w:p w:rsidR="00555B59" w:rsidRDefault="00555B59" w:rsidP="00D83552">
      <w:pPr>
        <w:pStyle w:val="ListParagraph"/>
        <w:numPr>
          <w:ilvl w:val="0"/>
          <w:numId w:val="133"/>
        </w:numPr>
        <w:spacing w:after="200" w:line="360" w:lineRule="auto"/>
      </w:pPr>
      <w:r>
        <w:rPr>
          <w:u w:val="single"/>
        </w:rPr>
        <w:t>Look back Window Portfolio Exposure</w:t>
      </w:r>
      <w:r w:rsidRPr="00555B59">
        <w:t>:</w:t>
      </w:r>
      <w:r>
        <w:t xml:space="preserve"> For each grid point at time </w:t>
      </w:r>
      <m:oMath>
        <m:r>
          <w:rPr>
            <w:rFonts w:ascii="Cambria Math" w:hAnsi="Cambria Math"/>
          </w:rPr>
          <m:t>t</m:t>
        </m:r>
      </m:oMath>
      <w:r>
        <w:t xml:space="preserve">, the portfolio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calculated, and then a look-back of </w:t>
      </w:r>
      <m:oMath>
        <m:r>
          <w:rPr>
            <w:rFonts w:ascii="Cambria Math" w:hAnsi="Cambria Math"/>
          </w:rPr>
          <m:t>14</m:t>
        </m:r>
      </m:oMath>
      <w:r>
        <w:t xml:space="preserve"> calendar days from this period is applied. All the grid points </w:t>
      </w:r>
      <m:oMath>
        <m:r>
          <w:rPr>
            <w:rFonts w:ascii="Cambria Math" w:hAnsi="Cambria Math"/>
          </w:rPr>
          <m:t>i</m:t>
        </m:r>
      </m:oMath>
      <w:r>
        <w:t xml:space="preserve"> </w:t>
      </w:r>
      <m:oMath>
        <m:r>
          <w:rPr>
            <w:rFonts w:ascii="Cambria Math" w:hAnsi="Cambria Math"/>
          </w:rPr>
          <m:t>i∈I</m:t>
        </m:r>
      </m:oMath>
      <w:r>
        <w:t xml:space="preserve"> that connect to the grid point at time </w:t>
      </w:r>
      <m:oMath>
        <m:r>
          <w:rPr>
            <w:rFonts w:ascii="Cambria Math" w:hAnsi="Cambria Math"/>
          </w:rPr>
          <m:t>t</m:t>
        </m:r>
      </m:oMath>
      <w:r>
        <w:t xml:space="preserve"> are located, and their corresponding portfolio values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are identified.</w:t>
      </w:r>
    </w:p>
    <w:p w:rsidR="00555B59" w:rsidRDefault="00555B59" w:rsidP="00D83552">
      <w:pPr>
        <w:pStyle w:val="ListParagraph"/>
        <w:numPr>
          <w:ilvl w:val="0"/>
          <w:numId w:val="133"/>
        </w:numPr>
        <w:spacing w:after="200" w:line="360" w:lineRule="auto"/>
      </w:pPr>
      <w:r>
        <w:rPr>
          <w:u w:val="single"/>
        </w:rPr>
        <w:t>Approximation Approaches for the MPoR Calculation</w:t>
      </w:r>
      <w:r w:rsidRPr="00555B59">
        <w:t>:</w:t>
      </w:r>
      <w:r>
        <w:t xml:space="preserve"> There are different approaches/approximations to use these values in MPoR calculations; a boolean flag </w:t>
      </w:r>
      <m:oMath>
        <m:r>
          <w:rPr>
            <w:rFonts w:ascii="Cambria Math" w:hAnsi="Cambria Math"/>
          </w:rPr>
          <m:t>UseExactHW</m:t>
        </m:r>
        <m:r>
          <w:rPr>
            <w:rFonts w:ascii="Cambria Math" w:hAnsi="Cambria Math"/>
          </w:rPr>
          <m:t>GridForMPoR</m:t>
        </m:r>
      </m:oMath>
      <w:r>
        <w:t xml:space="preserve"> has been implemented in the pricing parameters to differentiate between these approximations.</w:t>
      </w:r>
    </w:p>
    <w:p w:rsidR="002207E3" w:rsidRDefault="00555B59" w:rsidP="00D83552">
      <w:pPr>
        <w:pStyle w:val="ListParagraph"/>
        <w:numPr>
          <w:ilvl w:val="0"/>
          <w:numId w:val="133"/>
        </w:numPr>
        <w:spacing w:after="200" w:line="360" w:lineRule="auto"/>
      </w:pPr>
      <w:r>
        <w:rPr>
          <w:u w:val="single"/>
        </w:rPr>
        <w:t>Positive/Negative Collateralized Portfolio Exposures</w:t>
      </w:r>
      <w:r w:rsidRPr="00555B59">
        <w:t>:</w:t>
      </w:r>
      <w:r>
        <w:t xml:space="preserve"> If </w:t>
      </w:r>
      <m:oMath>
        <m:r>
          <w:rPr>
            <w:rFonts w:ascii="Cambria Math" w:hAnsi="Cambria Math"/>
          </w:rPr>
          <m:t>UseExactHWGridForMPoR</m:t>
        </m:r>
      </m:oMath>
      <w:r>
        <w:t xml:space="preserve"> is true, DRIP uses the portfolio value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w:t>
      </w:r>
      <m:oMath>
        <m:r>
          <w:rPr>
            <w:rFonts w:ascii="Cambria Math" w:hAnsi="Cambria Math"/>
          </w:rPr>
          <m:t>i∈I</m:t>
        </m:r>
      </m:oMath>
      <w:r w:rsidR="005E559A">
        <w:t xml:space="preserve"> </w:t>
      </w:r>
      <w:r>
        <w:t xml:space="preserve">in each grid point that connects to the grid point at time </w:t>
      </w:r>
      <m:oMath>
        <m:r>
          <w:rPr>
            <w:rFonts w:ascii="Cambria Math" w:hAnsi="Cambria Math"/>
          </w:rPr>
          <m:t>t</m:t>
        </m:r>
      </m:oMath>
      <w:r>
        <w:t xml:space="preserve"> to calculate the collateralized portfolio value </w:t>
      </w:r>
      <m:oMath>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oMath>
      <w:r>
        <w:t>, then aggregate the expected positive exposure (EPE) and the expected negative exposure (ENE) with the probability</w:t>
      </w:r>
      <w:r w:rsidR="005E559A">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 namely</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EPE=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55B59"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m:oMathPara>
        <m:oMath>
          <m:r>
            <w:rPr>
              <w:rFonts w:ascii="Cambria Math" w:hAnsi="Cambria Math"/>
            </w:rPr>
            <m:t>ENE=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555B59" w:rsidRDefault="00555B59" w:rsidP="002207E3">
      <w:pPr>
        <w:pStyle w:val="ListParagraph"/>
        <w:spacing w:after="200" w:line="360" w:lineRule="auto"/>
        <w:ind w:left="360"/>
      </w:pPr>
      <w:r>
        <w:t>respectively.</w:t>
      </w:r>
    </w:p>
    <w:p w:rsidR="002207E3" w:rsidRDefault="005E559A" w:rsidP="00D83552">
      <w:pPr>
        <w:pStyle w:val="ListParagraph"/>
        <w:numPr>
          <w:ilvl w:val="0"/>
          <w:numId w:val="133"/>
        </w:numPr>
        <w:spacing w:after="200" w:line="360" w:lineRule="auto"/>
      </w:pPr>
      <w:r>
        <w:rPr>
          <w:u w:val="single"/>
        </w:rPr>
        <w:t>MPoR from the Net Collateral Exposure</w:t>
      </w:r>
      <w:r w:rsidRPr="005E559A">
        <w:t>:</w:t>
      </w:r>
      <w:r>
        <w:t xml:space="preserve"> If </w:t>
      </w:r>
      <m:oMath>
        <m:r>
          <w:rPr>
            <w:rFonts w:ascii="Cambria Math" w:hAnsi="Cambria Math"/>
          </w:rPr>
          <m:t>UseExactHWGridForMPoR</m:t>
        </m:r>
      </m:oMath>
      <w:r>
        <w:t xml:space="preserve"> is false, then the expected value from all paths leading to this grid point at time </w:t>
      </w:r>
      <m:oMath>
        <m:r>
          <w:rPr>
            <w:rFonts w:ascii="Cambria Math" w:hAnsi="Cambria Math"/>
          </w:rPr>
          <m:t>t</m:t>
        </m:r>
      </m:oMath>
      <w:r>
        <w:t xml:space="preserve"> - that is, the value of the portfolio – is</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w:r>
        <w:t>This expected value can he be used to calculate the collateralized value of the portfolio in</w:t>
      </w:r>
    </w:p>
    <w:p w:rsidR="002207E3" w:rsidRDefault="002207E3" w:rsidP="002207E3">
      <w:pPr>
        <w:pStyle w:val="ListParagraph"/>
        <w:spacing w:after="200" w:line="360" w:lineRule="auto"/>
        <w:ind w:left="360"/>
      </w:pPr>
    </w:p>
    <w:p w:rsidR="002207E3" w:rsidRDefault="005D6A21"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5E559A" w:rsidRDefault="005E559A" w:rsidP="002207E3">
      <w:pPr>
        <w:pStyle w:val="ListParagraph"/>
        <w:spacing w:after="200" w:line="360" w:lineRule="auto"/>
        <w:ind w:left="360"/>
      </w:pPr>
      <w:r>
        <w:t xml:space="preserve">Thus EPE and ENE can be calculated as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and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respectively.</w:t>
      </w:r>
    </w:p>
    <w:p w:rsidR="005E559A" w:rsidRDefault="005E559A" w:rsidP="00D83552">
      <w:pPr>
        <w:pStyle w:val="ListParagraph"/>
        <w:numPr>
          <w:ilvl w:val="0"/>
          <w:numId w:val="133"/>
        </w:numPr>
        <w:spacing w:after="200" w:line="360" w:lineRule="auto"/>
      </w:pPr>
      <w:r>
        <w:rPr>
          <w:u w:val="single"/>
        </w:rPr>
        <w:t>Performance Differences between the Approaches</w:t>
      </w:r>
      <w:r w:rsidRPr="005E559A">
        <w:t>:</w:t>
      </w:r>
      <w:r>
        <w:t xml:space="preserve"> </w:t>
      </w:r>
      <w:r w:rsidR="00893AB0">
        <w:t xml:space="preserve">Since the expected value is calculated for each grid point at time </w:t>
      </w:r>
      <m:oMath>
        <m:r>
          <w:rPr>
            <w:rFonts w:ascii="Cambria Math" w:hAnsi="Cambria Math"/>
          </w:rPr>
          <m:t>t</m:t>
        </m:r>
      </m:oMath>
      <w:r w:rsidR="00893AB0">
        <w:t xml:space="preserve"> this approximation uses less memory, and is good enough when the number of grid points is larger at time </w:t>
      </w:r>
      <m:oMath>
        <m:r>
          <w:rPr>
            <w:rFonts w:ascii="Cambria Math" w:hAnsi="Cambria Math"/>
          </w:rPr>
          <m:t>t</m:t>
        </m:r>
      </m:oMath>
      <w:r w:rsidR="00893AB0">
        <w:t>. The approximation in the case of  calculates the positive and the negative exposures for each pair of connecting grid points, and is thus more accurate in the positive and the negative exposure calculation – however it uses more memory in the calculation.</w:t>
      </w:r>
    </w:p>
    <w:p w:rsidR="00E36319" w:rsidRDefault="00E36319" w:rsidP="00D83552">
      <w:pPr>
        <w:pStyle w:val="ListParagraph"/>
        <w:numPr>
          <w:ilvl w:val="0"/>
          <w:numId w:val="133"/>
        </w:numPr>
        <w:spacing w:after="200" w:line="360" w:lineRule="auto"/>
      </w:pPr>
      <w:r>
        <w:rPr>
          <w:u w:val="single"/>
        </w:rPr>
        <w:t>Margin Period Cash Flow Calculation</w:t>
      </w:r>
      <w:r>
        <w:t xml:space="preserve">: The cash flow within the default window is calculated using the HW tree. For each grid point on each credit date </w:t>
      </w:r>
      <m:oMath>
        <m:r>
          <w:rPr>
            <w:rFonts w:ascii="Cambria Math" w:hAnsi="Cambria Math"/>
          </w:rPr>
          <m:t>P</m:t>
        </m:r>
      </m:oMath>
      <w:r>
        <w:t xml:space="preserve"> one can roll back the values of all the grid points in the next credit date which connect with the same grid point </w:t>
      </w:r>
      <m:oMath>
        <m:r>
          <w:rPr>
            <w:rFonts w:ascii="Cambria Math" w:hAnsi="Cambria Math"/>
          </w:rPr>
          <m:t>P</m:t>
        </m:r>
      </m:oMath>
      <w:r>
        <w:t xml:space="preserve">. The </w:t>
      </w:r>
      <w:r>
        <w:lastRenderedPageBreak/>
        <w:t xml:space="preserve">difference between the value at </w:t>
      </w:r>
      <m:oMath>
        <m:r>
          <w:rPr>
            <w:rFonts w:ascii="Cambria Math" w:hAnsi="Cambria Math"/>
          </w:rPr>
          <m:t>P</m:t>
        </m:r>
      </m:oMath>
      <w:r>
        <w:t xml:space="preserve"> and the rolled value from the next credit date is the cash flow value between these two credit dates for the grid point </w:t>
      </w:r>
      <m:oMath>
        <m:r>
          <w:rPr>
            <w:rFonts w:ascii="Cambria Math" w:hAnsi="Cambria Math"/>
          </w:rPr>
          <m:t>P</m:t>
        </m:r>
      </m:oMath>
      <w:r>
        <w:t>.</w:t>
      </w:r>
    </w:p>
    <w:p w:rsidR="002207E3" w:rsidRDefault="00F16ECC" w:rsidP="00D83552">
      <w:pPr>
        <w:pStyle w:val="ListParagraph"/>
        <w:numPr>
          <w:ilvl w:val="0"/>
          <w:numId w:val="133"/>
        </w:numPr>
        <w:spacing w:after="200" w:line="360" w:lineRule="auto"/>
      </w:pPr>
      <w:r>
        <w:rPr>
          <w:u w:val="single"/>
        </w:rPr>
        <w:t>Collateralized Portfolio Value Stochastic Interpolation</w:t>
      </w:r>
      <w:r w:rsidRPr="00F16ECC">
        <w:t>:</w:t>
      </w:r>
      <w:r>
        <w:t xml:space="preserve"> If the time point </w:t>
      </w:r>
      <m:oMath>
        <m:r>
          <w:rPr>
            <w:rFonts w:ascii="Cambria Math" w:hAnsi="Cambria Math"/>
          </w:rPr>
          <m:t>t-∆t</m:t>
        </m:r>
      </m:oMath>
      <w:r>
        <w:t xml:space="preserve"> is not a grid point, the next value at time </w:t>
      </w:r>
      <m:oMath>
        <m:r>
          <w:rPr>
            <w:rFonts w:ascii="Cambria Math" w:hAnsi="Cambria Math"/>
          </w:rPr>
          <m:t>t</m:t>
        </m:r>
      </m:oMath>
      <w:r>
        <w:t xml:space="preserve"> is interpolated from the neighboring grid points, as described in the next section. The collateralized portfolio value at each grid point can be calculated as</w:t>
      </w:r>
    </w:p>
    <w:p w:rsidR="002207E3" w:rsidRDefault="002207E3" w:rsidP="002207E3">
      <w:pPr>
        <w:pStyle w:val="ListParagraph"/>
        <w:spacing w:after="200" w:line="360" w:lineRule="auto"/>
        <w:ind w:left="360"/>
        <w:rPr>
          <w:u w:val="single"/>
        </w:rPr>
      </w:pPr>
    </w:p>
    <w:p w:rsidR="00F16ECC" w:rsidRPr="002207E3" w:rsidRDefault="005D6A21"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F16ECC" w:rsidRDefault="00F16ECC" w:rsidP="00D83552">
      <w:pPr>
        <w:pStyle w:val="ListParagraph"/>
        <w:numPr>
          <w:ilvl w:val="0"/>
          <w:numId w:val="133"/>
        </w:numPr>
        <w:spacing w:after="200" w:line="360" w:lineRule="auto"/>
      </w:pPr>
      <w:r>
        <w:rPr>
          <w:u w:val="single"/>
        </w:rPr>
        <w:t>Cross-Currency Swap MPoR Calculation</w:t>
      </w:r>
      <w:r>
        <w:t xml:space="preserve">: For the cross-currency swap portfolio model, since the model is based on Monte Carlo simulation, the portfolio value can be calculated </w:t>
      </w:r>
      <m:oMath>
        <m:r>
          <w:rPr>
            <w:rFonts w:ascii="Cambria Math" w:hAnsi="Cambria Math"/>
          </w:rPr>
          <m:t>∆t</m:t>
        </m:r>
      </m:oMath>
      <w:r>
        <w:t xml:space="preserve"> days before each simulation point.</w:t>
      </w:r>
    </w:p>
    <w:p w:rsidR="00F16ECC" w:rsidRDefault="00F16ECC" w:rsidP="00D83552">
      <w:pPr>
        <w:pStyle w:val="ListParagraph"/>
        <w:numPr>
          <w:ilvl w:val="0"/>
          <w:numId w:val="133"/>
        </w:numPr>
        <w:spacing w:after="200" w:line="360" w:lineRule="auto"/>
      </w:pPr>
      <w:r>
        <w:rPr>
          <w:u w:val="single"/>
        </w:rPr>
        <w:t>Explicit vs. Interpolated Grid Values</w:t>
      </w:r>
      <w:r w:rsidRPr="00F16ECC">
        <w:t>:</w:t>
      </w:r>
      <w:r>
        <w:t xml:space="preserve"> In the same manner, if the time point </w:t>
      </w:r>
      <m:oMath>
        <m:r>
          <w:rPr>
            <w:rFonts w:ascii="Cambria Math" w:hAnsi="Cambria Math"/>
          </w:rPr>
          <m:t>t-∆t</m:t>
        </m:r>
      </m:oMath>
      <w:r>
        <w:t xml:space="preserve"> is not a simulation date, the portfolio value at </w:t>
      </w:r>
      <m:oMath>
        <m:r>
          <w:rPr>
            <w:rFonts w:ascii="Cambria Math" w:hAnsi="Cambria Math"/>
          </w:rPr>
          <m:t>t-∆t</m:t>
        </m:r>
      </m:oMath>
      <w:r>
        <w:t xml:space="preserve"> will be interpolated from the neighboring simulation dates, as described in the next section.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can be calculated for each credit date and each MC path.</w:t>
      </w:r>
    </w:p>
    <w:p w:rsidR="002207E3" w:rsidRDefault="002A73AD" w:rsidP="00D83552">
      <w:pPr>
        <w:pStyle w:val="ListParagraph"/>
        <w:numPr>
          <w:ilvl w:val="0"/>
          <w:numId w:val="133"/>
        </w:numPr>
        <w:spacing w:after="200" w:line="360" w:lineRule="auto"/>
      </w:pPr>
      <w:r>
        <w:rPr>
          <w:u w:val="single"/>
        </w:rPr>
        <w:t>Grid Point Collateralized Portfolio Value</w:t>
      </w:r>
      <w:r w:rsidRPr="002A73AD">
        <w:t>:</w:t>
      </w:r>
      <w:r>
        <w:t xml:space="preserve"> The collateralized portfolio value at each grid point can be calculated using</w:t>
      </w:r>
    </w:p>
    <w:p w:rsidR="002207E3" w:rsidRDefault="002207E3" w:rsidP="002207E3">
      <w:pPr>
        <w:pStyle w:val="ListParagraph"/>
        <w:spacing w:after="200" w:line="360" w:lineRule="auto"/>
        <w:ind w:left="360"/>
        <w:rPr>
          <w:u w:val="single"/>
        </w:rPr>
      </w:pPr>
    </w:p>
    <w:p w:rsidR="002207E3" w:rsidRDefault="005D6A21"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A73AD" w:rsidRDefault="002A73AD" w:rsidP="002207E3">
      <w:pPr>
        <w:pStyle w:val="ListParagraph"/>
        <w:spacing w:after="200" w:line="360" w:lineRule="auto"/>
        <w:ind w:left="360"/>
      </w:pPr>
      <w:r>
        <w:t>By calculating the distribution of the collateralized portfolio values, CVA/DVA can be calculated as usual.</w:t>
      </w:r>
    </w:p>
    <w:p w:rsidR="002A73AD" w:rsidRDefault="002A73AD" w:rsidP="00D83552">
      <w:pPr>
        <w:pStyle w:val="ListParagraph"/>
        <w:numPr>
          <w:ilvl w:val="0"/>
          <w:numId w:val="133"/>
        </w:numPr>
        <w:spacing w:after="200" w:line="360" w:lineRule="auto"/>
      </w:pPr>
      <w:r>
        <w:rPr>
          <w:u w:val="single"/>
        </w:rPr>
        <w:t>Default Window Margin Call Parameters</w:t>
      </w:r>
      <w:r w:rsidRPr="002A73AD">
        <w:t>:</w:t>
      </w:r>
      <w:r>
        <w:t xml:space="preserve"> In the CVA model for both a portfolio of single currency interest rate products and a portfolio of cross currency swaps, additional control </w:t>
      </w:r>
      <w:r>
        <w:lastRenderedPageBreak/>
        <w:t>variables have been introduced for handling the default window and the margin call frequency in the MPoR calculation.</w:t>
      </w:r>
    </w:p>
    <w:p w:rsidR="002A73AD" w:rsidRDefault="002A73AD" w:rsidP="00D83552">
      <w:pPr>
        <w:pStyle w:val="ListParagraph"/>
        <w:numPr>
          <w:ilvl w:val="0"/>
          <w:numId w:val="133"/>
        </w:numPr>
        <w:spacing w:after="200" w:line="360" w:lineRule="auto"/>
      </w:pPr>
      <w:r>
        <w:rPr>
          <w:u w:val="single"/>
        </w:rPr>
        <w:t>Bank/Counter Party Default Margin</w:t>
      </w:r>
      <w:r w:rsidRPr="002A73AD">
        <w:t>:</w:t>
      </w:r>
      <w:r>
        <w:t xml:space="preserve"> They are:</w:t>
      </w:r>
    </w:p>
    <w:p w:rsidR="002A73AD" w:rsidRDefault="002A73AD" w:rsidP="00D83552">
      <w:pPr>
        <w:pStyle w:val="ListParagraph"/>
        <w:numPr>
          <w:ilvl w:val="1"/>
          <w:numId w:val="133"/>
        </w:numPr>
        <w:spacing w:after="200" w:line="360" w:lineRule="auto"/>
      </w:pPr>
      <w:r>
        <w:t xml:space="preserve">Counter Party Default Window =&gt; </w:t>
      </w:r>
      <m:oMath>
        <m:r>
          <w:rPr>
            <w:rFonts w:ascii="Cambria Math" w:hAnsi="Cambria Math"/>
          </w:rPr>
          <m:t>2</m:t>
        </m:r>
      </m:oMath>
      <w:r>
        <w:t xml:space="preserve"> weeks as default window; the default value is </w:t>
      </w:r>
      <m:oMath>
        <m:r>
          <w:rPr>
            <w:rFonts w:ascii="Cambria Math" w:hAnsi="Cambria Math"/>
          </w:rPr>
          <m:t>14.0</m:t>
        </m:r>
      </m:oMath>
    </w:p>
    <w:p w:rsidR="002C08AB" w:rsidRDefault="002A73AD" w:rsidP="00D83552">
      <w:pPr>
        <w:pStyle w:val="ListParagraph"/>
        <w:numPr>
          <w:ilvl w:val="1"/>
          <w:numId w:val="133"/>
        </w:numPr>
        <w:spacing w:after="200" w:line="360" w:lineRule="auto"/>
      </w:pPr>
      <w:r>
        <w:t>Bank Default Window =&gt; Default value used as an indicator only to trigger</w:t>
      </w:r>
    </w:p>
    <w:p w:rsidR="002C08AB" w:rsidRDefault="002C08AB" w:rsidP="002C08AB">
      <w:pPr>
        <w:pStyle w:val="ListParagraph"/>
        <w:spacing w:after="200" w:line="360" w:lineRule="auto"/>
        <w:ind w:left="1080"/>
      </w:pPr>
    </w:p>
    <w:p w:rsidR="002C08AB" w:rsidRDefault="002A73AD" w:rsidP="002C08AB">
      <w:pPr>
        <w:pStyle w:val="ListParagraph"/>
        <w:spacing w:after="200" w:line="360" w:lineRule="auto"/>
        <w:ind w:left="1080"/>
      </w:pPr>
      <m:oMathPara>
        <m:oMath>
          <m:r>
            <w:rPr>
              <w:rFonts w:ascii="Cambria Math" w:hAnsi="Cambria Math"/>
            </w:rPr>
            <m:t>BankDefaultWindow=CounterPartyDefaultWindow</m:t>
          </m:r>
        </m:oMath>
      </m:oMathPara>
    </w:p>
    <w:p w:rsidR="002C08AB" w:rsidRDefault="002C08AB" w:rsidP="002C08AB">
      <w:pPr>
        <w:pStyle w:val="ListParagraph"/>
        <w:spacing w:after="200" w:line="360" w:lineRule="auto"/>
        <w:ind w:left="1080"/>
      </w:pPr>
    </w:p>
    <w:p w:rsidR="002A73AD" w:rsidRDefault="002C08AB" w:rsidP="002C08AB">
      <w:pPr>
        <w:pStyle w:val="ListParagraph"/>
        <w:spacing w:after="200" w:line="360" w:lineRule="auto"/>
        <w:ind w:left="1080"/>
      </w:pPr>
      <w:r>
        <w:t>D</w:t>
      </w:r>
      <w:r w:rsidR="002A73AD">
        <w:t xml:space="preserve">efault is </w:t>
      </w:r>
      <m:oMath>
        <m:r>
          <w:rPr>
            <w:rFonts w:ascii="Cambria Math" w:hAnsi="Cambria Math"/>
          </w:rPr>
          <m:t>-1.0</m:t>
        </m:r>
      </m:oMath>
    </w:p>
    <w:p w:rsidR="002A73AD" w:rsidRDefault="002A73AD" w:rsidP="00D83552">
      <w:pPr>
        <w:pStyle w:val="ListParagraph"/>
        <w:numPr>
          <w:ilvl w:val="1"/>
          <w:numId w:val="133"/>
        </w:numPr>
        <w:spacing w:after="200" w:line="360" w:lineRule="auto"/>
      </w:pPr>
      <w:r>
        <w:t>Margin Period =&gt; Margin Call Frequency as the number</w:t>
      </w:r>
      <w:r w:rsidR="00EB36AD">
        <w:t xml:space="preserve"> of days; daily margining (i.e.</w:t>
      </w:r>
      <w:r>
        <w:t xml:space="preserve"> </w:t>
      </w:r>
      <m:oMath>
        <m:r>
          <w:rPr>
            <w:rFonts w:ascii="Cambria Math" w:hAnsi="Cambria Math"/>
          </w:rPr>
          <m:t>-1.0</m:t>
        </m:r>
      </m:oMath>
      <w:r>
        <w:t>) is the default.</w:t>
      </w:r>
    </w:p>
    <w:p w:rsidR="002A73AD" w:rsidRDefault="002A73AD" w:rsidP="00D83552">
      <w:pPr>
        <w:pStyle w:val="ListParagraph"/>
        <w:numPr>
          <w:ilvl w:val="0"/>
          <w:numId w:val="133"/>
        </w:numPr>
        <w:spacing w:after="200" w:line="360" w:lineRule="auto"/>
      </w:pPr>
      <w:r>
        <w:rPr>
          <w:u w:val="single"/>
        </w:rPr>
        <w:t>Time Dependent CSA Parameters Table</w:t>
      </w:r>
      <w:r>
        <w:t xml:space="preserve">: The model has been enhanced to support the time-dependent </w:t>
      </w:r>
      <m:oMath>
        <m:r>
          <w:rPr>
            <w:rFonts w:ascii="Cambria Math" w:hAnsi="Cambria Math"/>
          </w:rPr>
          <m:t>CSA</m:t>
        </m:r>
      </m:oMath>
      <w:r>
        <w:t xml:space="preserve"> parameters as shown in the following table:</w:t>
      </w:r>
    </w:p>
    <w:tbl>
      <w:tblPr>
        <w:tblStyle w:val="TableGrid"/>
        <w:tblW w:w="0" w:type="auto"/>
        <w:tblLook w:val="04A0" w:firstRow="1" w:lastRow="0" w:firstColumn="1" w:lastColumn="0" w:noHBand="0" w:noVBand="1"/>
      </w:tblPr>
      <w:tblGrid>
        <w:gridCol w:w="4788"/>
        <w:gridCol w:w="4788"/>
      </w:tblGrid>
      <w:tr w:rsidR="002A73AD" w:rsidTr="002728BD">
        <w:tc>
          <w:tcPr>
            <w:tcW w:w="4788" w:type="dxa"/>
            <w:vAlign w:val="center"/>
          </w:tcPr>
          <w:p w:rsidR="002A73AD" w:rsidRDefault="005D6A21"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1</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CSAParameters1</m:t>
                </m:r>
              </m:oMath>
            </m:oMathPara>
          </w:p>
        </w:tc>
      </w:tr>
      <w:tr w:rsidR="002A73AD" w:rsidTr="002728BD">
        <w:tc>
          <w:tcPr>
            <w:tcW w:w="4788" w:type="dxa"/>
            <w:vAlign w:val="center"/>
          </w:tcPr>
          <w:p w:rsidR="002A73AD" w:rsidRDefault="005D6A21"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2</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CSAParameters2</m:t>
                </m:r>
              </m:oMath>
            </m:oMathPara>
          </w:p>
        </w:tc>
      </w:tr>
      <w:tr w:rsidR="002A73AD" w:rsidTr="002728BD">
        <w:tc>
          <w:tcPr>
            <w:tcW w:w="4788" w:type="dxa"/>
            <w:vAlign w:val="center"/>
          </w:tcPr>
          <w:p w:rsidR="002A73AD" w:rsidRDefault="005D6A21"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3</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CSAParameters3</m:t>
                </m:r>
              </m:oMath>
            </m:oMathPara>
          </w:p>
        </w:tc>
      </w:tr>
    </w:tbl>
    <w:p w:rsidR="002A73AD" w:rsidRDefault="002A73AD" w:rsidP="002A73AD">
      <w:pPr>
        <w:spacing w:after="200" w:line="360" w:lineRule="auto"/>
      </w:pPr>
    </w:p>
    <w:p w:rsidR="00E574F2" w:rsidRDefault="00385075" w:rsidP="00D83552">
      <w:pPr>
        <w:pStyle w:val="ListParagraph"/>
        <w:numPr>
          <w:ilvl w:val="0"/>
          <w:numId w:val="133"/>
        </w:numPr>
        <w:spacing w:after="200" w:line="360" w:lineRule="auto"/>
      </w:pPr>
      <w:r w:rsidRPr="00385075">
        <w:rPr>
          <w:u w:val="single"/>
        </w:rPr>
        <w:t>Piecewise Constant CSA Parameters</w:t>
      </w:r>
      <w:r>
        <w:t>: The CSA table for a counter party could have multiple rows; each row has a specific starting date. If there is only one row, a single set of CSA parameters is used for the entire time horizon as usual.</w:t>
      </w:r>
    </w:p>
    <w:p w:rsidR="00385075" w:rsidRDefault="00385075" w:rsidP="00D83552">
      <w:pPr>
        <w:pStyle w:val="ListParagraph"/>
        <w:numPr>
          <w:ilvl w:val="0"/>
          <w:numId w:val="133"/>
        </w:numPr>
        <w:spacing w:after="200" w:line="360" w:lineRule="auto"/>
      </w:pPr>
      <w:r>
        <w:rPr>
          <w:u w:val="single"/>
        </w:rPr>
        <w:t>Margin Lag CSA Parameters Entry</w:t>
      </w:r>
      <w:r w:rsidRPr="00385075">
        <w:t>:</w:t>
      </w:r>
      <w:r>
        <w:t xml:space="preserve"> If there are multiple rows, each row corresponds to a segment of CSA parameters with s given starting date. The collateral date </w:t>
      </w:r>
      <m:oMath>
        <m:r>
          <w:rPr>
            <w:rFonts w:ascii="Cambria Math" w:hAnsi="Cambria Math"/>
          </w:rPr>
          <m:t>t-∆t</m:t>
        </m:r>
      </m:oMath>
      <w:r>
        <w:t xml:space="preserve"> will be used to find the CSA parameters for the exposure date </w:t>
      </w:r>
      <m:oMath>
        <m:r>
          <w:rPr>
            <w:rFonts w:ascii="Cambria Math" w:hAnsi="Cambria Math"/>
          </w:rPr>
          <m:t>t</m:t>
        </m:r>
      </m:oMath>
      <w:r>
        <w:t>.</w:t>
      </w:r>
    </w:p>
    <w:p w:rsidR="002207E3" w:rsidRDefault="00385075" w:rsidP="00D83552">
      <w:pPr>
        <w:pStyle w:val="ListParagraph"/>
        <w:numPr>
          <w:ilvl w:val="0"/>
          <w:numId w:val="133"/>
        </w:numPr>
        <w:spacing w:after="200" w:line="360" w:lineRule="auto"/>
      </w:pPr>
      <w:r>
        <w:rPr>
          <w:u w:val="single"/>
        </w:rPr>
        <w:t>Edge Based CSA Parameters Application</w:t>
      </w:r>
      <w:r w:rsidRPr="00385075">
        <w:t>:</w:t>
      </w:r>
      <w:r>
        <w:t xml:space="preserve"> For the example shown in the table, the CSA parameters #1 are used for the time period</w:t>
      </w:r>
    </w:p>
    <w:p w:rsidR="002207E3" w:rsidRDefault="002207E3" w:rsidP="002207E3">
      <w:pPr>
        <w:pStyle w:val="ListParagraph"/>
        <w:spacing w:after="200" w:line="360" w:lineRule="auto"/>
        <w:ind w:left="360"/>
        <w:rPr>
          <w:u w:val="single"/>
        </w:rPr>
      </w:pPr>
    </w:p>
    <w:p w:rsidR="002207E3" w:rsidRDefault="005D6A21"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2207E3" w:rsidRDefault="002207E3" w:rsidP="002207E3">
      <w:pPr>
        <w:pStyle w:val="ListParagraph"/>
        <w:spacing w:after="200" w:line="360" w:lineRule="auto"/>
        <w:ind w:left="360"/>
      </w:pPr>
    </w:p>
    <w:p w:rsidR="002207E3" w:rsidRDefault="00385075" w:rsidP="002207E3">
      <w:pPr>
        <w:pStyle w:val="ListParagraph"/>
        <w:spacing w:after="200" w:line="360" w:lineRule="auto"/>
        <w:ind w:left="360"/>
      </w:pPr>
      <w:r>
        <w:t>the CSA parameters #2 are used for the time period</w:t>
      </w:r>
    </w:p>
    <w:p w:rsidR="002207E3" w:rsidRDefault="002207E3" w:rsidP="002207E3">
      <w:pPr>
        <w:pStyle w:val="ListParagraph"/>
        <w:spacing w:after="200" w:line="360" w:lineRule="auto"/>
        <w:ind w:left="360"/>
      </w:pPr>
    </w:p>
    <w:p w:rsidR="002207E3" w:rsidRDefault="005D6A21"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2207E3" w:rsidRDefault="002207E3" w:rsidP="002207E3">
      <w:pPr>
        <w:pStyle w:val="ListParagraph"/>
        <w:spacing w:after="200" w:line="360" w:lineRule="auto"/>
        <w:ind w:left="360"/>
      </w:pPr>
    </w:p>
    <w:p w:rsidR="00385075" w:rsidRDefault="00385075" w:rsidP="002207E3">
      <w:pPr>
        <w:pStyle w:val="ListParagraph"/>
        <w:spacing w:after="200" w:line="360" w:lineRule="auto"/>
        <w:ind w:left="360"/>
      </w:pPr>
      <w:r>
        <w:t xml:space="preserve">and the CSA parameters #3 are used after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t>. The time-dependent CSA parameters have been implemented in both the IRCVA as well as the cross-currency CVA models.</w:t>
      </w:r>
    </w:p>
    <w:p w:rsidR="00385075" w:rsidRDefault="00385075" w:rsidP="00385075">
      <w:pPr>
        <w:spacing w:after="200" w:line="360" w:lineRule="auto"/>
      </w:pPr>
    </w:p>
    <w:p w:rsidR="00385075" w:rsidRDefault="00385075" w:rsidP="00385075">
      <w:pPr>
        <w:spacing w:after="200" w:line="360" w:lineRule="auto"/>
      </w:pPr>
    </w:p>
    <w:p w:rsidR="00385075" w:rsidRPr="008525AE" w:rsidRDefault="00385075" w:rsidP="00385075">
      <w:pPr>
        <w:spacing w:after="200" w:line="360" w:lineRule="auto"/>
        <w:rPr>
          <w:b/>
          <w:sz w:val="28"/>
          <w:szCs w:val="28"/>
        </w:rPr>
      </w:pPr>
      <w:r w:rsidRPr="008525AE">
        <w:rPr>
          <w:b/>
          <w:sz w:val="28"/>
          <w:szCs w:val="28"/>
        </w:rPr>
        <w:t>Exposure Interpolation</w:t>
      </w:r>
    </w:p>
    <w:p w:rsidR="00385075" w:rsidRDefault="00385075" w:rsidP="00385075">
      <w:pPr>
        <w:spacing w:after="200" w:line="360" w:lineRule="auto"/>
      </w:pPr>
    </w:p>
    <w:p w:rsidR="00385075" w:rsidRDefault="008525AE" w:rsidP="00D83552">
      <w:pPr>
        <w:pStyle w:val="ListParagraph"/>
        <w:numPr>
          <w:ilvl w:val="0"/>
          <w:numId w:val="134"/>
        </w:numPr>
        <w:spacing w:after="200" w:line="360" w:lineRule="auto"/>
      </w:pPr>
      <w:r w:rsidRPr="008525AE">
        <w:rPr>
          <w:u w:val="single"/>
        </w:rPr>
        <w:t>Margin Date Portfolio Value Availability</w:t>
      </w:r>
      <w:r>
        <w:t xml:space="preserve">: For calculating the collateral amount to be used for MPoR or collateralized exposure at time </w:t>
      </w:r>
      <m:oMath>
        <m:r>
          <w:rPr>
            <w:rFonts w:ascii="Cambria Math" w:hAnsi="Cambria Math"/>
          </w:rPr>
          <m:t>t</m:t>
        </m:r>
      </m:oMath>
      <w:r>
        <w:t xml:space="preserve">, the portfolio value of the collateral group </w:t>
      </w:r>
      <m:oMath>
        <m:r>
          <w:rPr>
            <w:rFonts w:ascii="Cambria Math" w:hAnsi="Cambria Math"/>
          </w:rPr>
          <m:t>V</m:t>
        </m:r>
        <m:d>
          <m:dPr>
            <m:ctrlPr>
              <w:rPr>
                <w:rFonts w:ascii="Cambria Math" w:hAnsi="Cambria Math"/>
                <w:i/>
              </w:rPr>
            </m:ctrlPr>
          </m:dPr>
          <m:e>
            <m:r>
              <w:rPr>
                <w:rFonts w:ascii="Cambria Math" w:hAnsi="Cambria Math"/>
              </w:rPr>
              <m:t>t-∆t</m:t>
            </m:r>
          </m:e>
        </m:d>
      </m:oMath>
      <w:r>
        <w:t xml:space="preserve"> is needed at a time prior to </w:t>
      </w:r>
      <m:oMath>
        <m:r>
          <w:rPr>
            <w:rFonts w:ascii="Cambria Math" w:hAnsi="Cambria Math"/>
          </w:rPr>
          <m:t>t-∆t</m:t>
        </m:r>
      </m:oMath>
      <w:r>
        <w:t xml:space="preserve">. This prior portfolio </w:t>
      </w:r>
      <m:oMath>
        <m:r>
          <w:rPr>
            <w:rFonts w:ascii="Cambria Math" w:hAnsi="Cambria Math"/>
          </w:rPr>
          <m:t>V</m:t>
        </m:r>
        <m:d>
          <m:dPr>
            <m:ctrlPr>
              <w:rPr>
                <w:rFonts w:ascii="Cambria Math" w:hAnsi="Cambria Math"/>
                <w:i/>
              </w:rPr>
            </m:ctrlPr>
          </m:dPr>
          <m:e>
            <m:r>
              <w:rPr>
                <w:rFonts w:ascii="Cambria Math" w:hAnsi="Cambria Math"/>
              </w:rPr>
              <m:t>t-∆t</m:t>
            </m:r>
          </m:e>
        </m:d>
      </m:oMath>
      <w:r>
        <w:t xml:space="preserve"> value may or may not be available in the model implementation.</w:t>
      </w:r>
    </w:p>
    <w:p w:rsidR="00E466C4" w:rsidRDefault="002728BD" w:rsidP="00D83552">
      <w:pPr>
        <w:pStyle w:val="ListParagraph"/>
        <w:numPr>
          <w:ilvl w:val="0"/>
          <w:numId w:val="134"/>
        </w:numPr>
        <w:spacing w:after="200" w:line="360" w:lineRule="auto"/>
      </w:pPr>
      <w:r>
        <w:rPr>
          <w:u w:val="single"/>
        </w:rPr>
        <w:t>Square Root of Time Interpolation</w:t>
      </w:r>
      <w:r w:rsidRPr="002728BD">
        <w:t>:</w:t>
      </w:r>
      <w:r>
        <w:t xml:space="preserve"> If this is not available, one can use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i.e.</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r>
        <w:t>such that</w:t>
      </w:r>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r>
        <w:t>and</w:t>
      </w:r>
    </w:p>
    <w:p w:rsidR="00E466C4" w:rsidRDefault="00E466C4" w:rsidP="00E466C4">
      <w:pPr>
        <w:pStyle w:val="ListParagraph"/>
        <w:spacing w:after="200" w:line="360" w:lineRule="auto"/>
        <w:ind w:left="360"/>
      </w:pPr>
    </w:p>
    <w:p w:rsidR="002728BD" w:rsidRPr="00E466C4" w:rsidRDefault="002728BD" w:rsidP="00E466C4">
      <w:pPr>
        <w:pStyle w:val="ListParagraph"/>
        <w:spacing w:after="200" w:line="360" w:lineRule="auto"/>
        <w:ind w:left="360"/>
      </w:pPr>
      <m:oMathPara>
        <m:oMath>
          <m:r>
            <w:rPr>
              <w:rFonts w:ascii="Cambria Math" w:hAnsi="Cambria Math"/>
            </w:rPr>
            <w:lastRenderedPageBreak/>
            <m:t>∆t≥0</m:t>
          </m:r>
        </m:oMath>
      </m:oMathPara>
    </w:p>
    <w:p w:rsidR="00E466C4" w:rsidRDefault="00E466C4" w:rsidP="00E466C4">
      <w:pPr>
        <w:pStyle w:val="ListParagraph"/>
        <w:spacing w:after="200" w:line="360" w:lineRule="auto"/>
        <w:ind w:left="360"/>
      </w:pPr>
    </w:p>
    <w:p w:rsidR="00E466C4" w:rsidRDefault="002728BD" w:rsidP="00D83552">
      <w:pPr>
        <w:pStyle w:val="ListParagraph"/>
        <w:numPr>
          <w:ilvl w:val="0"/>
          <w:numId w:val="134"/>
        </w:numPr>
        <w:spacing w:after="200" w:line="360" w:lineRule="auto"/>
      </w:pPr>
      <w:r>
        <w:rPr>
          <w:u w:val="single"/>
        </w:rPr>
        <w:t>Linear Time Interpolation of Variance</w:t>
      </w:r>
      <w:r>
        <w:t>: It follows that</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2728BD" w:rsidRDefault="002728BD" w:rsidP="00E466C4">
      <w:pPr>
        <w:pStyle w:val="ListParagraph"/>
        <w:spacing w:after="200" w:line="360" w:lineRule="auto"/>
        <w:ind w:left="360"/>
      </w:pPr>
      <w:r>
        <w:t xml:space="preserve">which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E466C4" w:rsidRDefault="002728BD" w:rsidP="00D83552">
      <w:pPr>
        <w:pStyle w:val="ListParagraph"/>
        <w:numPr>
          <w:ilvl w:val="0"/>
          <w:numId w:val="134"/>
        </w:numPr>
        <w:spacing w:after="200" w:line="360" w:lineRule="auto"/>
      </w:pPr>
      <w:r>
        <w:rPr>
          <w:u w:val="single"/>
        </w:rPr>
        <w:t>Standard Brownian Motion Variance Interpolation</w:t>
      </w:r>
      <w:r w:rsidRPr="002728BD">
        <w:t>:</w:t>
      </w:r>
      <w:r>
        <w:t xml:space="preserve"> Furthermore, if as a special case,  is </w:t>
      </w:r>
      <w:r w:rsidR="00EB7352">
        <w:t>a standard Brownian motion, then  then the following result is achieved:</w:t>
      </w:r>
    </w:p>
    <w:p w:rsidR="00E466C4" w:rsidRDefault="00E466C4" w:rsidP="00E466C4">
      <w:pPr>
        <w:pStyle w:val="ListParagraph"/>
        <w:spacing w:after="200" w:line="360" w:lineRule="auto"/>
        <w:ind w:left="360"/>
        <w:rPr>
          <w:u w:val="single"/>
        </w:rPr>
      </w:pPr>
    </w:p>
    <w:p w:rsidR="002728BD" w:rsidRPr="00E466C4" w:rsidRDefault="00EB7352"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E466C4" w:rsidRDefault="00E466C4" w:rsidP="00E466C4">
      <w:pPr>
        <w:pStyle w:val="ListParagraph"/>
        <w:spacing w:after="200" w:line="360" w:lineRule="auto"/>
        <w:ind w:left="360"/>
      </w:pPr>
    </w:p>
    <w:p w:rsidR="00E466C4" w:rsidRDefault="00EB7352" w:rsidP="00D83552">
      <w:pPr>
        <w:pStyle w:val="ListParagraph"/>
        <w:numPr>
          <w:ilvl w:val="0"/>
          <w:numId w:val="134"/>
        </w:numPr>
        <w:spacing w:after="200" w:line="360" w:lineRule="auto"/>
      </w:pPr>
      <w:r>
        <w:rPr>
          <w:u w:val="single"/>
        </w:rPr>
        <w:t>Linear Time Portfolio Value Interpolation</w:t>
      </w:r>
      <w:r>
        <w:t>: Alternatively one can use the linear interpolation as</w:t>
      </w:r>
    </w:p>
    <w:p w:rsidR="00E466C4" w:rsidRDefault="00E466C4" w:rsidP="00E466C4">
      <w:pPr>
        <w:pStyle w:val="ListParagraph"/>
        <w:spacing w:after="200" w:line="360" w:lineRule="auto"/>
        <w:ind w:left="360"/>
        <w:rPr>
          <w:u w:val="single"/>
        </w:rPr>
      </w:pPr>
    </w:p>
    <w:p w:rsidR="00E466C4" w:rsidRDefault="00EB7352"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EB7352"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B7352" w:rsidRPr="00E466C4" w:rsidRDefault="00EB7352"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3568B0" w:rsidRDefault="003568B0" w:rsidP="00D83552">
      <w:pPr>
        <w:pStyle w:val="ListParagraph"/>
        <w:numPr>
          <w:ilvl w:val="0"/>
          <w:numId w:val="134"/>
        </w:numPr>
        <w:spacing w:after="200" w:line="360" w:lineRule="auto"/>
      </w:pPr>
      <w:r>
        <w:rPr>
          <w:u w:val="single"/>
        </w:rPr>
        <w:t>DRIP Brownian Bridge Interpolation Setting</w:t>
      </w:r>
      <w:r>
        <w:t xml:space="preserve">: The interpolation type is controlled by a flag </w:t>
      </w:r>
      <m:oMath>
        <m:r>
          <w:rPr>
            <w:rFonts w:ascii="Cambria Math" w:hAnsi="Cambria Math"/>
          </w:rPr>
          <m:t>MPoRInterpType</m:t>
        </m:r>
      </m:oMath>
      <w:r>
        <w:t xml:space="preserve"> in the pricing parameters. The square root of time interpolation is used in the interest rates product CVA model and cross-currency swap portfolio CVA model.</w:t>
      </w:r>
    </w:p>
    <w:p w:rsidR="003568B0" w:rsidRDefault="003568B0" w:rsidP="00D83552">
      <w:pPr>
        <w:pStyle w:val="ListParagraph"/>
        <w:numPr>
          <w:ilvl w:val="0"/>
          <w:numId w:val="134"/>
        </w:numPr>
        <w:spacing w:after="200" w:line="360" w:lineRule="auto"/>
      </w:pPr>
      <w:r>
        <w:rPr>
          <w:u w:val="single"/>
        </w:rPr>
        <w:t>Handling Margin Period Cash Flow</w:t>
      </w:r>
      <w:r w:rsidRPr="003568B0">
        <w:t>:</w:t>
      </w:r>
      <w:r>
        <w:t xml:space="preserve"> If the contractual cash flow impact (due to the cash flow occurring </w:t>
      </w:r>
      <w:r w:rsidR="00951331">
        <w:t xml:space="preserve">in the time interval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rsidR="00951331">
        <w:t xml:space="preserve">) is significant, the cash flow must be handled in the </w:t>
      </w:r>
      <w:r w:rsidR="00951331">
        <w:lastRenderedPageBreak/>
        <w:t xml:space="preserve">interpolation. Specifically the first cash flow </w:t>
      </w:r>
      <m:oMath>
        <m:r>
          <w:rPr>
            <w:rFonts w:ascii="Cambria Math" w:hAnsi="Cambria Math"/>
          </w:rPr>
          <m:t>V</m:t>
        </m:r>
        <m:d>
          <m:dPr>
            <m:ctrlPr>
              <w:rPr>
                <w:rFonts w:ascii="Cambria Math" w:hAnsi="Cambria Math"/>
                <w:i/>
              </w:rPr>
            </m:ctrlPr>
          </m:dPr>
          <m:e>
            <m:r>
              <w:rPr>
                <w:rFonts w:ascii="Cambria Math" w:hAnsi="Cambria Math"/>
              </w:rPr>
              <m:t>s</m:t>
            </m:r>
          </m:e>
        </m:d>
      </m:oMath>
      <w:r w:rsidR="00951331">
        <w:t xml:space="preserve"> is removed, the interpolation is performed as described above, and finally the cash flow is added back to the interpolated value.</w:t>
      </w:r>
    </w:p>
    <w:p w:rsidR="00E466C4" w:rsidRDefault="00951331" w:rsidP="00D83552">
      <w:pPr>
        <w:pStyle w:val="ListParagraph"/>
        <w:numPr>
          <w:ilvl w:val="0"/>
          <w:numId w:val="134"/>
        </w:numPr>
        <w:spacing w:after="200" w:line="360" w:lineRule="auto"/>
      </w:pPr>
      <w:r>
        <w:rPr>
          <w:u w:val="single"/>
        </w:rPr>
        <w:t>Explicit Adjustment for the Cash Flow</w:t>
      </w:r>
      <w:r w:rsidRPr="00951331">
        <w:t>:</w:t>
      </w:r>
      <w:r>
        <w:t xml:space="preserve"> The final interpolated value with a cash flow </w:t>
      </w:r>
      <m:oMath>
        <m:r>
          <w:rPr>
            <w:rFonts w:ascii="Cambria Math" w:hAnsi="Cambria Math"/>
          </w:rPr>
          <m:t>CF</m:t>
        </m:r>
        <m:d>
          <m:dPr>
            <m:ctrlPr>
              <w:rPr>
                <w:rFonts w:ascii="Cambria Math" w:hAnsi="Cambria Math"/>
                <w:i/>
              </w:rPr>
            </m:ctrlPr>
          </m:dPr>
          <m:e>
            <m:r>
              <w:rPr>
                <w:rFonts w:ascii="Cambria Math" w:hAnsi="Cambria Math"/>
              </w:rPr>
              <m:t>s, t</m:t>
            </m:r>
          </m:e>
        </m:d>
      </m:oMath>
      <w:r>
        <w:t xml:space="preserve"> - the cash flow within the time interval </w:t>
      </w:r>
      <m:oMath>
        <m:d>
          <m:dPr>
            <m:endChr m:val=""/>
            <m:ctrlPr>
              <w:rPr>
                <w:rFonts w:ascii="Cambria Math" w:hAnsi="Cambria Math"/>
                <w:i/>
              </w:rPr>
            </m:ctrlPr>
          </m:dPr>
          <m:e>
            <m:r>
              <w:rPr>
                <w:rFonts w:ascii="Cambria Math" w:hAnsi="Cambria Math"/>
              </w:rPr>
              <m:t>s</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 using the square root of time interpolation for</w:t>
      </w:r>
    </w:p>
    <w:p w:rsidR="00E466C4" w:rsidRDefault="00E466C4" w:rsidP="00E466C4">
      <w:pPr>
        <w:pStyle w:val="ListParagraph"/>
        <w:spacing w:after="200" w:line="360" w:lineRule="auto"/>
        <w:ind w:left="360"/>
        <w:rPr>
          <w:u w:val="single"/>
        </w:rPr>
      </w:pPr>
    </w:p>
    <w:p w:rsidR="00E466C4" w:rsidRDefault="00951331"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w:r>
        <w:t>is</w:t>
      </w:r>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-CF</m:t>
              </m:r>
              <m:d>
                <m:dPr>
                  <m:ctrlPr>
                    <w:rPr>
                      <w:rFonts w:ascii="Cambria Math" w:hAnsi="Cambria Math"/>
                      <w:i/>
                    </w:rPr>
                  </m:ctrlPr>
                </m:dPr>
                <m:e>
                  <m:r>
                    <w:rPr>
                      <w:rFonts w:ascii="Cambria Math" w:hAnsi="Cambria Math"/>
                    </w:rPr>
                    <m:t>s, t</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∆t+CF</m:t>
          </m:r>
          <m:d>
            <m:dPr>
              <m:ctrlPr>
                <w:rPr>
                  <w:rFonts w:ascii="Cambria Math" w:hAnsi="Cambria Math"/>
                  <w:i/>
                </w:rPr>
              </m:ctrlPr>
            </m:dPr>
            <m:e>
              <m:r>
                <w:rPr>
                  <w:rFonts w:ascii="Cambria Math" w:hAnsi="Cambria Math"/>
                </w:rPr>
                <m:t>s, t</m:t>
              </m:r>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t-s</m:t>
                      </m:r>
                    </m:den>
                  </m:f>
                  <m:r>
                    <w:rPr>
                      <w:rFonts w:ascii="Cambria Math" w:hAnsi="Cambria Math"/>
                    </w:rPr>
                    <m:t>, 1</m:t>
                  </m:r>
                </m:e>
              </m:d>
            </m:e>
          </m:func>
        </m:oMath>
      </m:oMathPara>
    </w:p>
    <w:p w:rsidR="00E466C4" w:rsidRDefault="00E466C4" w:rsidP="00E466C4">
      <w:pPr>
        <w:pStyle w:val="ListParagraph"/>
        <w:spacing w:after="200" w:line="360" w:lineRule="auto"/>
        <w:ind w:left="360"/>
      </w:pPr>
    </w:p>
    <w:p w:rsidR="00951331" w:rsidRDefault="00951331" w:rsidP="00E466C4">
      <w:pPr>
        <w:pStyle w:val="ListParagraph"/>
        <w:spacing w:after="200" w:line="360" w:lineRule="auto"/>
        <w:ind w:left="360"/>
      </w:pPr>
      <w:r>
        <w:t xml:space="preserve">The cash flow impact is included as a part of the cash flow at risk in the chapter </w:t>
      </w:r>
      <w:r>
        <w:rPr>
          <w:i/>
        </w:rPr>
        <w:t>CVA Cross-Asset Modeling Framework Specification</w:t>
      </w:r>
      <w:r>
        <w:t>.</w:t>
      </w:r>
    </w:p>
    <w:p w:rsidR="00951331" w:rsidRDefault="00951331" w:rsidP="00951331">
      <w:pPr>
        <w:spacing w:after="200" w:line="360" w:lineRule="auto"/>
      </w:pPr>
    </w:p>
    <w:p w:rsidR="00951331" w:rsidRDefault="00951331" w:rsidP="00951331">
      <w:pPr>
        <w:spacing w:after="200" w:line="360" w:lineRule="auto"/>
      </w:pPr>
    </w:p>
    <w:p w:rsidR="00951331" w:rsidRPr="00831741" w:rsidRDefault="00951331" w:rsidP="00951331">
      <w:pPr>
        <w:spacing w:after="200" w:line="360" w:lineRule="auto"/>
        <w:rPr>
          <w:b/>
          <w:sz w:val="28"/>
          <w:szCs w:val="28"/>
        </w:rPr>
      </w:pPr>
      <w:r w:rsidRPr="00831741">
        <w:rPr>
          <w:b/>
          <w:sz w:val="28"/>
          <w:szCs w:val="28"/>
        </w:rPr>
        <w:t>CVA/DVA of Muni FPA Product</w:t>
      </w:r>
    </w:p>
    <w:p w:rsidR="00D53C2D" w:rsidRDefault="00D53C2D" w:rsidP="007A09A2">
      <w:pPr>
        <w:spacing w:after="200" w:line="360" w:lineRule="auto"/>
      </w:pPr>
    </w:p>
    <w:p w:rsidR="00831741" w:rsidRDefault="00831741" w:rsidP="00D83552">
      <w:pPr>
        <w:pStyle w:val="ListParagraph"/>
        <w:numPr>
          <w:ilvl w:val="0"/>
          <w:numId w:val="135"/>
        </w:numPr>
        <w:spacing w:after="200" w:line="360" w:lineRule="auto"/>
      </w:pPr>
      <w:r w:rsidRPr="00831741">
        <w:rPr>
          <w:u w:val="single"/>
        </w:rPr>
        <w:t>Forward Purchase Agreement (FPA) Definition</w:t>
      </w:r>
      <w:r>
        <w:t>: A forward purchase/delivery agreement (FPA) obligates the provider to deliver qualifying securities to the customer at the contracted rate according to the documented schedule.</w:t>
      </w:r>
    </w:p>
    <w:p w:rsidR="00987B89" w:rsidRDefault="00987B89" w:rsidP="00D83552">
      <w:pPr>
        <w:pStyle w:val="ListParagraph"/>
        <w:numPr>
          <w:ilvl w:val="0"/>
          <w:numId w:val="135"/>
        </w:numPr>
        <w:spacing w:after="200" w:line="360" w:lineRule="auto"/>
      </w:pPr>
      <w:r>
        <w:rPr>
          <w:u w:val="single"/>
        </w:rPr>
        <w:t>CTD Floating Leg Embedded Option</w:t>
      </w:r>
      <w:r w:rsidRPr="00987B89">
        <w:t>:</w:t>
      </w:r>
      <w:r>
        <w:t xml:space="preserve"> Typically more than one security is eligible for delivery which grants the provider the right to choose the cheapest to deliver. Muni FPA can be treated as a swap with embedded option on the floating leg.</w:t>
      </w:r>
    </w:p>
    <w:p w:rsidR="0028210D" w:rsidRDefault="0028210D" w:rsidP="00D83552">
      <w:pPr>
        <w:pStyle w:val="ListParagraph"/>
        <w:numPr>
          <w:ilvl w:val="0"/>
          <w:numId w:val="135"/>
        </w:numPr>
        <w:spacing w:after="200" w:line="360" w:lineRule="auto"/>
      </w:pPr>
      <w:r>
        <w:rPr>
          <w:u w:val="single"/>
        </w:rPr>
        <w:lastRenderedPageBreak/>
        <w:t>Floating Leg Option Adjusted Spread</w:t>
      </w:r>
      <w:r w:rsidRPr="0028210D">
        <w:t>:</w:t>
      </w:r>
      <w:r>
        <w:t xml:space="preserve"> The option value for each period is converted into a floating spread so that the Muni FPA trade becomes a regular fixed vs. floating swap, which is described in detail in this section.</w:t>
      </w:r>
    </w:p>
    <w:p w:rsidR="0028210D" w:rsidRDefault="0028210D" w:rsidP="00D83552">
      <w:pPr>
        <w:pStyle w:val="ListParagraph"/>
        <w:numPr>
          <w:ilvl w:val="0"/>
          <w:numId w:val="135"/>
        </w:numPr>
        <w:spacing w:after="200" w:line="360" w:lineRule="auto"/>
      </w:pPr>
      <w:r>
        <w:rPr>
          <w:u w:val="single"/>
        </w:rPr>
        <w:t>Optionality behind the CTD Feature</w:t>
      </w:r>
      <w:r w:rsidRPr="0028210D">
        <w:t>:</w:t>
      </w:r>
      <w:r>
        <w:t xml:space="preserve"> An elemental FPA is similar to an interest rate swap in that the cash flow in the fixed payment side is exchanged with that on the floating payment side. When the securities delivery party has options to choose the securities for delivery, the FPA contract bears options.</w:t>
      </w:r>
    </w:p>
    <w:p w:rsidR="001C1517" w:rsidRDefault="0028210D" w:rsidP="00D83552">
      <w:pPr>
        <w:pStyle w:val="ListParagraph"/>
        <w:numPr>
          <w:ilvl w:val="0"/>
          <w:numId w:val="135"/>
        </w:numPr>
        <w:spacing w:after="200" w:line="360" w:lineRule="auto"/>
      </w:pPr>
      <w:r>
        <w:rPr>
          <w:u w:val="single"/>
        </w:rPr>
        <w:t>Multi-Asset Chooser Option Model</w:t>
      </w:r>
      <w:r w:rsidRPr="0028210D">
        <w:t>:</w:t>
      </w:r>
      <w:r>
        <w:t xml:space="preserve"> An option bearing FPA in the muni product portfolio is valued as a multi-asset chooser option with the maximum interest rate valued as follows. Let</w:t>
      </w:r>
    </w:p>
    <w:p w:rsidR="001C1517" w:rsidRDefault="001C1517" w:rsidP="001C1517">
      <w:pPr>
        <w:pStyle w:val="ListParagraph"/>
        <w:spacing w:after="200" w:line="360" w:lineRule="auto"/>
        <w:ind w:left="360"/>
        <w:rPr>
          <w:u w:val="single"/>
        </w:rPr>
      </w:pPr>
    </w:p>
    <w:p w:rsidR="001C1517" w:rsidRDefault="005D6A21" w:rsidP="001C1517">
      <w:pPr>
        <w:pStyle w:val="ListParagraph"/>
        <w:spacing w:after="200" w:line="360" w:lineRule="auto"/>
        <w:ind w:left="360"/>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oMath>
      </m:oMathPara>
    </w:p>
    <w:p w:rsidR="001C1517" w:rsidRDefault="001C1517" w:rsidP="001C1517">
      <w:pPr>
        <w:pStyle w:val="ListParagraph"/>
        <w:spacing w:after="200" w:line="360" w:lineRule="auto"/>
        <w:ind w:left="360"/>
      </w:pPr>
    </w:p>
    <w:p w:rsidR="001C1517" w:rsidRDefault="0028210D" w:rsidP="001C151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d</m:t>
              </m:r>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&gt;K</m:t>
                  </m:r>
                </m:e>
              </m:d>
              <m:r>
                <w:rPr>
                  <w:rFonts w:ascii="Cambria Math" w:hAnsi="Cambria Math"/>
                </w:rPr>
                <m:t>dK</m:t>
              </m:r>
            </m:e>
          </m:nary>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0</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≤K</m:t>
                  </m:r>
                </m:e>
              </m:d>
              <m:r>
                <w:rPr>
                  <w:rFonts w:ascii="Cambria Math" w:hAnsi="Cambria Math"/>
                </w:rPr>
                <m:t>dK</m:t>
              </m:r>
            </m:e>
          </m:nary>
        </m:oMath>
      </m:oMathPara>
    </w:p>
    <w:p w:rsidR="001C1517" w:rsidRDefault="001C1517" w:rsidP="001C1517">
      <w:pPr>
        <w:pStyle w:val="ListParagraph"/>
        <w:spacing w:after="200" w:line="360" w:lineRule="auto"/>
        <w:ind w:left="360"/>
      </w:pPr>
    </w:p>
    <w:p w:rsidR="0028210D" w:rsidRDefault="003C58E5" w:rsidP="001C1517">
      <w:pPr>
        <w:pStyle w:val="ListParagraph"/>
        <w:spacing w:after="200" w:line="360" w:lineRule="auto"/>
        <w:ind w:left="360"/>
      </w:pPr>
      <w:r>
        <w:t xml:space="preserve">This states that maximizing the NPV of the floating leg of an FPA contract is equivalent to maximizing the forward rate over each delivery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oMath>
      <w:r>
        <w:t>.</w:t>
      </w:r>
    </w:p>
    <w:p w:rsidR="001C1517" w:rsidRDefault="00CB102F" w:rsidP="00D83552">
      <w:pPr>
        <w:pStyle w:val="ListParagraph"/>
        <w:numPr>
          <w:ilvl w:val="0"/>
          <w:numId w:val="135"/>
        </w:numPr>
        <w:spacing w:after="200" w:line="360" w:lineRule="auto"/>
      </w:pPr>
      <w:r>
        <w:rPr>
          <w:u w:val="single"/>
        </w:rPr>
        <w:t>Expression for the FPA NPV</w:t>
      </w:r>
      <w:r w:rsidRPr="00CB102F">
        <w:t>:</w:t>
      </w:r>
      <w:r>
        <w:t xml:space="preserve"> Considering the fixed payments that may be present in an FPA contract, the NPV of an FPA contract is</w:t>
      </w:r>
    </w:p>
    <w:p w:rsidR="001C1517" w:rsidRDefault="001C1517" w:rsidP="001C1517">
      <w:pPr>
        <w:pStyle w:val="ListParagraph"/>
        <w:spacing w:after="200" w:line="360" w:lineRule="auto"/>
        <w:ind w:left="360"/>
        <w:rPr>
          <w:u w:val="single"/>
        </w:rPr>
      </w:pPr>
    </w:p>
    <w:p w:rsidR="001C1517" w:rsidRDefault="00CB102F" w:rsidP="001C1517">
      <w:pPr>
        <w:pStyle w:val="ListParagraph"/>
        <w:spacing w:after="200" w:line="360" w:lineRule="auto"/>
        <w:ind w:left="360"/>
      </w:pPr>
      <m:oMathPara>
        <m:oMath>
          <m:r>
            <w:rPr>
              <w:rFonts w:ascii="Cambria Math" w:hAnsi="Cambria Math"/>
            </w:rPr>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C1517" w:rsidRDefault="001C1517" w:rsidP="001C1517">
      <w:pPr>
        <w:pStyle w:val="ListParagraph"/>
        <w:spacing w:after="200" w:line="360" w:lineRule="auto"/>
        <w:ind w:left="360"/>
      </w:pPr>
    </w:p>
    <w:p w:rsidR="00CB102F" w:rsidRDefault="00CB102F" w:rsidP="001C1517">
      <w:pPr>
        <w:pStyle w:val="ListParagraph"/>
        <w:spacing w:after="200" w:line="360" w:lineRule="auto"/>
        <w:ind w:left="360"/>
      </w:pPr>
      <w:r>
        <w:t xml:space="preserve">where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are the accruals of the floating side and the fixed sides respectively after taking into account their day count conventions differences.</w:t>
      </w:r>
    </w:p>
    <w:p w:rsidR="00CB102F" w:rsidRDefault="00CB102F" w:rsidP="00D83552">
      <w:pPr>
        <w:pStyle w:val="ListParagraph"/>
        <w:numPr>
          <w:ilvl w:val="0"/>
          <w:numId w:val="135"/>
        </w:numPr>
        <w:spacing w:after="200" w:line="360" w:lineRule="auto"/>
      </w:pPr>
      <w:r>
        <w:rPr>
          <w:u w:val="single"/>
        </w:rPr>
        <w:t>FPA NPV vs</w:t>
      </w:r>
      <w:r w:rsidRPr="00CB102F">
        <w:rPr>
          <w:u w:val="single"/>
        </w:rPr>
        <w:t>. the Underlying</w:t>
      </w:r>
      <w:r>
        <w:t xml:space="preserve">: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6A00">
        <w:t xml:space="preserve"> is the discount factor from the funding curve selected according to the convention of the FPA trade. The underlying NPV is calculated under the zero-volatility assumption assuming that the maximum rate is just the maximum of the </w:t>
      </w:r>
      <w:r w:rsidR="00566A00">
        <w:lastRenderedPageBreak/>
        <w:t>forward rates observed on the valuation date. The time value of the FPA is just the difference of the FPA NPV and the underlying NPV.</w:t>
      </w:r>
    </w:p>
    <w:p w:rsidR="00566A00" w:rsidRDefault="00566A00" w:rsidP="00D83552">
      <w:pPr>
        <w:pStyle w:val="ListParagraph"/>
        <w:numPr>
          <w:ilvl w:val="0"/>
          <w:numId w:val="135"/>
        </w:numPr>
        <w:spacing w:after="200" w:line="360" w:lineRule="auto"/>
      </w:pPr>
      <w:r>
        <w:rPr>
          <w:u w:val="single"/>
        </w:rPr>
        <w:t>Underlying vs FPA NPV Comparison</w:t>
      </w:r>
      <w:r w:rsidRPr="00566A00">
        <w:t>:</w:t>
      </w:r>
      <w:r>
        <w:t xml:space="preserve"> The FPA option value is converted to a static option adjusted spread. In effect the FPA spread is computed to be static before the CVA/DVA is computed for the FPA. To illustrate how large the time value of the FPA portfolio is, the FPA NPV and the underlying NPV’s are calculated for each trade in a sample portfolio.</w:t>
      </w:r>
    </w:p>
    <w:p w:rsidR="00566A00" w:rsidRDefault="00566A00" w:rsidP="00D83552">
      <w:pPr>
        <w:pStyle w:val="ListParagraph"/>
        <w:numPr>
          <w:ilvl w:val="0"/>
          <w:numId w:val="135"/>
        </w:numPr>
        <w:spacing w:after="200" w:line="360" w:lineRule="auto"/>
      </w:pPr>
      <w:r>
        <w:rPr>
          <w:u w:val="single"/>
        </w:rPr>
        <w:t>The FPA NPV Time Value</w:t>
      </w:r>
      <w:r w:rsidRPr="00566A00">
        <w:t>:</w:t>
      </w:r>
      <w:r>
        <w:t xml:space="preserve"> The total FPA NPV is </w:t>
      </w:r>
      <m:oMath>
        <m:r>
          <w:rPr>
            <w:rFonts w:ascii="Cambria Math" w:hAnsi="Cambria Math"/>
          </w:rPr>
          <m:t>-$142.9m</m:t>
        </m:r>
      </m:oMath>
      <w:r>
        <w:t xml:space="preserve">, the underlying PA NPV is </w:t>
      </w:r>
      <m:oMath>
        <m:r>
          <w:rPr>
            <w:rFonts w:ascii="Cambria Math" w:hAnsi="Cambria Math"/>
          </w:rPr>
          <m:t>-$186.8m</m:t>
        </m:r>
      </m:oMath>
      <w:r>
        <w:t xml:space="preserve">, and the time value is </w:t>
      </w:r>
      <m:oMath>
        <m:r>
          <w:rPr>
            <w:rFonts w:ascii="Cambria Math" w:hAnsi="Cambria Math"/>
          </w:rPr>
          <m:t>$43.9m</m:t>
        </m:r>
      </m:oMath>
      <w:r>
        <w:t>. For all the FPA trades, a look at the distribution of the ratios of the time values to the underlying NPV’s is shown in the following table.</w:t>
      </w:r>
    </w:p>
    <w:p w:rsidR="00A93A83" w:rsidRDefault="00A93A83" w:rsidP="00D83552">
      <w:pPr>
        <w:pStyle w:val="ListParagraph"/>
        <w:numPr>
          <w:ilvl w:val="0"/>
          <w:numId w:val="135"/>
        </w:numPr>
        <w:spacing w:after="200" w:line="360" w:lineRule="auto"/>
      </w:pPr>
      <w:r>
        <w:rPr>
          <w:u w:val="single"/>
        </w:rPr>
        <w:t>Underlying vs FPA NPV Table</w:t>
      </w:r>
      <w:r w:rsidRPr="00A93A83">
        <w:t>:</w:t>
      </w:r>
    </w:p>
    <w:tbl>
      <w:tblPr>
        <w:tblStyle w:val="TableGrid"/>
        <w:tblW w:w="0" w:type="auto"/>
        <w:tblInd w:w="360" w:type="dxa"/>
        <w:tblLook w:val="04A0" w:firstRow="1" w:lastRow="0" w:firstColumn="1" w:lastColumn="0" w:noHBand="0" w:noVBand="1"/>
      </w:tblPr>
      <w:tblGrid>
        <w:gridCol w:w="4617"/>
        <w:gridCol w:w="4599"/>
      </w:tblGrid>
      <w:tr w:rsidR="00A93A83" w:rsidTr="00A93A83">
        <w:tc>
          <w:tcPr>
            <w:tcW w:w="4617" w:type="dxa"/>
            <w:vAlign w:val="center"/>
          </w:tcPr>
          <w:p w:rsidR="00A93A83" w:rsidRPr="00A93A83" w:rsidRDefault="00A93A83" w:rsidP="00A93A83">
            <w:pPr>
              <w:pStyle w:val="ListParagraph"/>
              <w:spacing w:after="200" w:line="360" w:lineRule="auto"/>
              <w:ind w:left="0"/>
              <w:jc w:val="center"/>
              <w:rPr>
                <w:b/>
              </w:rPr>
            </w:pPr>
            <w:r w:rsidRPr="00A93A83">
              <w:rPr>
                <w:b/>
              </w:rPr>
              <w:t>Time Value as a Percentage of the Underlying NPV</w:t>
            </w:r>
          </w:p>
        </w:tc>
        <w:tc>
          <w:tcPr>
            <w:tcW w:w="4599" w:type="dxa"/>
            <w:vAlign w:val="center"/>
          </w:tcPr>
          <w:p w:rsidR="00A93A83" w:rsidRPr="00A93A83" w:rsidRDefault="00A93A83" w:rsidP="00A93A83">
            <w:pPr>
              <w:pStyle w:val="ListParagraph"/>
              <w:spacing w:after="200" w:line="360" w:lineRule="auto"/>
              <w:ind w:left="0"/>
              <w:jc w:val="center"/>
              <w:rPr>
                <w:b/>
              </w:rPr>
            </w:pPr>
            <w:r w:rsidRPr="00A93A83">
              <w:rPr>
                <w:b/>
              </w:rPr>
              <w:t>Percent of FPA Trades</w:t>
            </w:r>
          </w:p>
        </w:tc>
      </w:tr>
      <w:tr w:rsidR="00A93A83" w:rsidTr="00A93A83">
        <w:tc>
          <w:tcPr>
            <w:tcW w:w="4617" w:type="dxa"/>
            <w:vAlign w:val="center"/>
          </w:tcPr>
          <w:p w:rsidR="00A93A83" w:rsidRDefault="00A93A83" w:rsidP="00A93A83">
            <w:pPr>
              <w:pStyle w:val="ListParagraph"/>
              <w:spacing w:after="200" w:line="360" w:lineRule="auto"/>
              <w:ind w:left="0"/>
              <w:jc w:val="center"/>
            </w:pPr>
            <w:r>
              <w:t>Within 10%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78.6%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20%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86.7%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30%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91.2%</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40%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94.5%</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50%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60%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95.9%</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70%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96.4%</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80%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90%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96.8%</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100%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100.0%</m:t>
                </m:r>
              </m:oMath>
            </m:oMathPara>
          </w:p>
        </w:tc>
      </w:tr>
    </w:tbl>
    <w:p w:rsidR="00A93A83" w:rsidRDefault="00A93A83" w:rsidP="00A93A83">
      <w:pPr>
        <w:pStyle w:val="ListParagraph"/>
        <w:spacing w:after="200" w:line="360" w:lineRule="auto"/>
        <w:ind w:left="360"/>
      </w:pPr>
    </w:p>
    <w:p w:rsidR="00A93A83" w:rsidRDefault="00A93A83" w:rsidP="00D83552">
      <w:pPr>
        <w:pStyle w:val="ListParagraph"/>
        <w:numPr>
          <w:ilvl w:val="0"/>
          <w:numId w:val="135"/>
        </w:numPr>
        <w:spacing w:after="200" w:line="360" w:lineRule="auto"/>
      </w:pPr>
      <w:r>
        <w:rPr>
          <w:u w:val="single"/>
        </w:rPr>
        <w:t>Rational b</w:t>
      </w:r>
      <w:r w:rsidRPr="00A93A83">
        <w:rPr>
          <w:u w:val="single"/>
        </w:rPr>
        <w:t>ehind the FPA Approximation Scheme</w:t>
      </w:r>
      <w:r>
        <w:t xml:space="preserve">: It can be seen that for most trades (79%) the time values </w:t>
      </w:r>
      <w:r w:rsidR="00416B6C">
        <w:t>a</w:t>
      </w:r>
      <w:r>
        <w:t xml:space="preserve">re within 10% of the underlying NPV’s. Thus for most trades, the </w:t>
      </w:r>
      <w:r>
        <w:lastRenderedPageBreak/>
        <w:t>optionality is small. This is one of the arguments for the following approximation for pricing CVA/DVA for FPA trades.</w:t>
      </w:r>
    </w:p>
    <w:p w:rsidR="001C1517" w:rsidRDefault="00A93A83" w:rsidP="00D83552">
      <w:pPr>
        <w:pStyle w:val="ListParagraph"/>
        <w:numPr>
          <w:ilvl w:val="0"/>
          <w:numId w:val="135"/>
        </w:numPr>
        <w:spacing w:after="200" w:line="360" w:lineRule="auto"/>
      </w:pPr>
      <w:r>
        <w:rPr>
          <w:u w:val="single"/>
        </w:rPr>
        <w:t>Multiplier/Spread Based FPA Proxy</w:t>
      </w:r>
      <w:r w:rsidRPr="00A93A83">
        <w:t>:</w:t>
      </w:r>
      <w:r>
        <w:t xml:space="preserve"> To fir this non-standard product into the existing CVA/DVA framework, the FPA cash flow can be re-cast into an equivalent fix-float LIBOR IRS by adding the corresponding multiplier and spread,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in terms of the day count conventions of the standard LIBOR index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p>
    <w:p w:rsidR="001C1517" w:rsidRDefault="001C1517" w:rsidP="001C1517">
      <w:pPr>
        <w:pStyle w:val="ListParagraph"/>
        <w:spacing w:after="200" w:line="360" w:lineRule="auto"/>
        <w:ind w:left="360"/>
        <w:rPr>
          <w:u w:val="single"/>
        </w:rPr>
      </w:pPr>
    </w:p>
    <w:p w:rsidR="001C1517" w:rsidRDefault="00416B6C" w:rsidP="001C1517">
      <w:pPr>
        <w:pStyle w:val="ListParagraph"/>
        <w:spacing w:after="200" w:line="360" w:lineRule="auto"/>
        <w:ind w:left="360"/>
      </w:pPr>
      <m:oMathPara>
        <m:oMath>
          <m:r>
            <w:rPr>
              <w:rFonts w:ascii="Cambria Math" w:hAnsi="Cambria Math"/>
            </w:rPr>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LIBOR, 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1C1517" w:rsidRDefault="001C1517" w:rsidP="001C1517">
      <w:pPr>
        <w:pStyle w:val="ListParagraph"/>
        <w:spacing w:after="200" w:line="360" w:lineRule="auto"/>
        <w:ind w:left="360"/>
      </w:pPr>
    </w:p>
    <w:p w:rsidR="00A93A83" w:rsidRDefault="00A93A83" w:rsidP="001C1517">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w:r>
        <w:t xml:space="preserve"> is the discount factor from the OIS discount curve which is used in the existing CVA/DVA framework.</w:t>
      </w:r>
    </w:p>
    <w:p w:rsidR="001C1517" w:rsidRDefault="00416B6C" w:rsidP="00D83552">
      <w:pPr>
        <w:pStyle w:val="ListParagraph"/>
        <w:numPr>
          <w:ilvl w:val="0"/>
          <w:numId w:val="135"/>
        </w:numPr>
        <w:spacing w:after="200" w:line="360" w:lineRule="auto"/>
      </w:pPr>
      <w:r>
        <w:rPr>
          <w:u w:val="single"/>
        </w:rPr>
        <w:t>Estimating the FRA Spread/Multiplier</w:t>
      </w:r>
      <w:r w:rsidRPr="00416B6C">
        <w:t>:</w:t>
      </w:r>
      <w:r>
        <w:t xml:space="preserve"> One chooses</w:t>
      </w:r>
    </w:p>
    <w:p w:rsidR="001C1517" w:rsidRDefault="001C1517" w:rsidP="001C1517">
      <w:pPr>
        <w:pStyle w:val="ListParagraph"/>
        <w:spacing w:after="200" w:line="360" w:lineRule="auto"/>
        <w:ind w:left="360"/>
        <w:rPr>
          <w:u w:val="single"/>
        </w:rPr>
      </w:pPr>
    </w:p>
    <w:p w:rsidR="001C1517" w:rsidRDefault="005D6A21"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oMath>
      </m:oMathPara>
    </w:p>
    <w:p w:rsidR="001C1517" w:rsidRDefault="001C1517" w:rsidP="001C1517">
      <w:pPr>
        <w:pStyle w:val="ListParagraph"/>
        <w:spacing w:after="200" w:line="360" w:lineRule="auto"/>
        <w:ind w:left="360"/>
      </w:pPr>
    </w:p>
    <w:p w:rsidR="001C1517" w:rsidRDefault="005D6A21"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LIBOR, i</m:t>
                  </m:r>
                </m:sub>
              </m:sSub>
            </m:e>
          </m:d>
        </m:oMath>
      </m:oMathPara>
    </w:p>
    <w:p w:rsidR="001C1517" w:rsidRDefault="001C1517" w:rsidP="001C1517">
      <w:pPr>
        <w:pStyle w:val="ListParagraph"/>
        <w:spacing w:after="200" w:line="360" w:lineRule="auto"/>
        <w:ind w:left="360"/>
      </w:pPr>
    </w:p>
    <w:p w:rsidR="001C1517" w:rsidRDefault="00416B6C" w:rsidP="001C1517">
      <w:pPr>
        <w:pStyle w:val="ListParagraph"/>
        <w:spacing w:after="200" w:line="360" w:lineRule="auto"/>
        <w:ind w:left="360"/>
      </w:pPr>
      <w:r>
        <w:t xml:space="preserve">for the floating leg, </w:t>
      </w:r>
      <w:r w:rsidR="004F5384">
        <w:t>and</w:t>
      </w:r>
    </w:p>
    <w:p w:rsidR="001C1517" w:rsidRDefault="001C1517" w:rsidP="001C1517">
      <w:pPr>
        <w:pStyle w:val="ListParagraph"/>
        <w:spacing w:after="200" w:line="360" w:lineRule="auto"/>
        <w:ind w:left="360"/>
      </w:pPr>
    </w:p>
    <w:p w:rsidR="001C1517" w:rsidRDefault="005D6A21"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Notional</m:t>
                  </m:r>
                </m:e>
                <m:sub>
                  <m:r>
                    <w:rPr>
                      <w:rFonts w:ascii="Cambria Math" w:hAnsi="Cambria Math"/>
                    </w:rPr>
                    <m:t>i</m:t>
                  </m:r>
                </m:sub>
              </m:sSub>
            </m:num>
            <m:den>
              <m:r>
                <w:rPr>
                  <w:rFonts w:ascii="Cambria Math" w:hAnsi="Cambria Math"/>
                </w:rPr>
                <m:t>round</m:t>
              </m:r>
              <m:d>
                <m:dPr>
                  <m:ctrlPr>
                    <w:rPr>
                      <w:rFonts w:ascii="Cambria Math" w:hAnsi="Cambria Math"/>
                      <w:i/>
                    </w:rPr>
                  </m:ctrlPr>
                </m:dPr>
                <m:e>
                  <m:sSub>
                    <m:sSubPr>
                      <m:ctrlPr>
                        <w:rPr>
                          <w:rFonts w:ascii="Cambria Math" w:hAnsi="Cambria Math"/>
                          <w:i/>
                        </w:rPr>
                      </m:ctrlPr>
                    </m:sSubPr>
                    <m:e>
                      <m:r>
                        <w:rPr>
                          <w:rFonts w:ascii="Cambria Math" w:hAnsi="Cambria Math"/>
                        </w:rPr>
                        <m:t>Notional</m:t>
                      </m:r>
                    </m:e>
                    <m:sub>
                      <m:r>
                        <w:rPr>
                          <w:rFonts w:ascii="Cambria Math" w:hAnsi="Cambria Math"/>
                        </w:rPr>
                        <m:t>i</m:t>
                      </m:r>
                    </m:sub>
                  </m:sSub>
                </m:e>
              </m:d>
            </m:den>
          </m:f>
        </m:oMath>
      </m:oMathPara>
    </w:p>
    <w:p w:rsidR="001C1517" w:rsidRDefault="001C1517" w:rsidP="001C1517">
      <w:pPr>
        <w:pStyle w:val="ListParagraph"/>
        <w:spacing w:after="200" w:line="360" w:lineRule="auto"/>
        <w:ind w:left="360"/>
      </w:pPr>
    </w:p>
    <w:p w:rsidR="00416B6C" w:rsidRDefault="00416B6C" w:rsidP="001C1517">
      <w:pPr>
        <w:pStyle w:val="ListParagraph"/>
        <w:spacing w:after="200" w:line="360" w:lineRule="auto"/>
        <w:ind w:left="360"/>
      </w:pPr>
      <w:r>
        <w:t>for the fixed leg.</w:t>
      </w:r>
    </w:p>
    <w:p w:rsidR="00961523" w:rsidRDefault="00961523" w:rsidP="00D83552">
      <w:pPr>
        <w:pStyle w:val="ListParagraph"/>
        <w:numPr>
          <w:ilvl w:val="0"/>
          <w:numId w:val="135"/>
        </w:numPr>
        <w:spacing w:after="200" w:line="360" w:lineRule="auto"/>
      </w:pPr>
      <w:r>
        <w:rPr>
          <w:u w:val="single"/>
        </w:rPr>
        <w:t>Dynamics of the Chooser Option</w:t>
      </w:r>
      <w:r>
        <w:t xml:space="preserve">: For a fixed rate there is a ratio of the notionals which accounts for the convention of the delivery of the floating leg in the FPA, which is rounded to 1000, and the same notional is used for the fixed leg and the floating leg in the equivalent swap. Since the FPA NPV is the total chooser option price, including underlying NPV and </w:t>
      </w:r>
      <w:r>
        <w:lastRenderedPageBreak/>
        <w:t>the time value, the approximation of converting multi-index instruments into a single index LIBOR instrument captures most of the dynamics.</w:t>
      </w:r>
    </w:p>
    <w:p w:rsidR="00961523" w:rsidRDefault="00961523" w:rsidP="00D83552">
      <w:pPr>
        <w:pStyle w:val="ListParagraph"/>
        <w:numPr>
          <w:ilvl w:val="0"/>
          <w:numId w:val="135"/>
        </w:numPr>
        <w:spacing w:after="200" w:line="360" w:lineRule="auto"/>
      </w:pPr>
      <w:r>
        <w:rPr>
          <w:u w:val="single"/>
        </w:rPr>
        <w:t>FPA Contract Credit Exposure Calculation</w:t>
      </w:r>
      <w:r w:rsidRPr="00961523">
        <w:t>:</w:t>
      </w:r>
      <w:r>
        <w:t xml:space="preserve"> As a result of this approximation, the credit exposures in an FPA contract can be priced efficiently as a single swap as described in the Section </w:t>
      </w:r>
      <w:r>
        <w:rPr>
          <w:i/>
        </w:rPr>
        <w:t>CVA/DVA Calculation of a Single Swap</w:t>
      </w:r>
      <w:r>
        <w:t xml:space="preserve"> or netting with other interest rates products as described in </w:t>
      </w:r>
      <w:r>
        <w:rPr>
          <w:i/>
        </w:rPr>
        <w:t>CVA/DVA Model for Interest Rates Products</w:t>
      </w:r>
      <w:r>
        <w:t>.</w:t>
      </w:r>
    </w:p>
    <w:p w:rsidR="00961523" w:rsidRDefault="00961523" w:rsidP="00961523">
      <w:pPr>
        <w:spacing w:after="200" w:line="360" w:lineRule="auto"/>
      </w:pPr>
    </w:p>
    <w:p w:rsidR="00961523" w:rsidRDefault="00961523" w:rsidP="00961523">
      <w:pPr>
        <w:spacing w:after="200" w:line="360" w:lineRule="auto"/>
      </w:pPr>
    </w:p>
    <w:p w:rsidR="00961523" w:rsidRPr="001C1517" w:rsidRDefault="00961523" w:rsidP="00961523">
      <w:pPr>
        <w:spacing w:after="200" w:line="360" w:lineRule="auto"/>
        <w:rPr>
          <w:b/>
          <w:sz w:val="28"/>
          <w:szCs w:val="28"/>
        </w:rPr>
      </w:pPr>
      <w:r w:rsidRPr="001C1517">
        <w:rPr>
          <w:b/>
          <w:sz w:val="28"/>
          <w:szCs w:val="28"/>
        </w:rPr>
        <w:t>CVA/DVA Model for Portfolio of Cross-Currency Swaps</w:t>
      </w:r>
    </w:p>
    <w:p w:rsidR="00961523" w:rsidRDefault="00961523" w:rsidP="00961523">
      <w:pPr>
        <w:spacing w:after="200" w:line="360" w:lineRule="auto"/>
      </w:pPr>
    </w:p>
    <w:p w:rsidR="00961523" w:rsidRDefault="00961523" w:rsidP="00D83552">
      <w:pPr>
        <w:pStyle w:val="ListParagraph"/>
        <w:numPr>
          <w:ilvl w:val="0"/>
          <w:numId w:val="136"/>
        </w:numPr>
        <w:spacing w:after="200" w:line="360" w:lineRule="auto"/>
      </w:pPr>
      <w:r w:rsidRPr="001C1517">
        <w:rPr>
          <w:u w:val="single"/>
        </w:rPr>
        <w:t>FX/Rates Market Factors</w:t>
      </w:r>
      <w:r>
        <w:t xml:space="preserve">: This section discusses the CVA/DVA pricing for portfolios of cross-currency swaps. </w:t>
      </w:r>
      <w:r w:rsidR="001C1517">
        <w:t>In this case there are additional market risk factors from the interest rate volatility for each currency, and FX volatilities.</w:t>
      </w:r>
    </w:p>
    <w:p w:rsidR="001C1517" w:rsidRDefault="001C1517" w:rsidP="00D83552">
      <w:pPr>
        <w:pStyle w:val="ListParagraph"/>
        <w:numPr>
          <w:ilvl w:val="0"/>
          <w:numId w:val="136"/>
        </w:numPr>
        <w:spacing w:after="200" w:line="360" w:lineRule="auto"/>
      </w:pPr>
      <w:r>
        <w:rPr>
          <w:u w:val="single"/>
        </w:rPr>
        <w:t>Monte Carlo Cross Currency Model</w:t>
      </w:r>
      <w:r w:rsidRPr="001C1517">
        <w:t>:</w:t>
      </w:r>
      <w:r>
        <w:t xml:space="preserve"> It is more difficult to build an analytic or semi-analytic model to price the CVA/DVA as opposed to that of single currency portfolio of interest rates products. Thus, DRIP has implemented a Monte-Carlo based model for the CVA/DVA of a portfolio of cross-currency swaps. This uses a model that simulates each risk factor. The Monte Carlo model is flexible enough to combine all the underlying models from all the components.</w:t>
      </w:r>
    </w:p>
    <w:p w:rsidR="00F63024" w:rsidRDefault="00F63024" w:rsidP="00D83552">
      <w:pPr>
        <w:pStyle w:val="ListParagraph"/>
        <w:numPr>
          <w:ilvl w:val="0"/>
          <w:numId w:val="136"/>
        </w:numPr>
        <w:spacing w:after="200" w:line="360" w:lineRule="auto"/>
      </w:pPr>
      <w:r>
        <w:rPr>
          <w:u w:val="single"/>
        </w:rPr>
        <w:t>Components of the MC Model</w:t>
      </w:r>
      <w:r w:rsidRPr="00F63024">
        <w:t>:</w:t>
      </w:r>
      <w:r>
        <w:t xml:space="preserve"> The portfolio can contain all kinds of swaps (fixed-fixed, fixed-floating, and floating-floating). Within the portfolio at least one swap must be cross-currency. The main components of this model are listed below.</w:t>
      </w:r>
    </w:p>
    <w:p w:rsidR="00F63024" w:rsidRDefault="00F63024" w:rsidP="00D83552">
      <w:pPr>
        <w:pStyle w:val="ListParagraph"/>
        <w:numPr>
          <w:ilvl w:val="0"/>
          <w:numId w:val="136"/>
        </w:numPr>
        <w:spacing w:after="200" w:line="360" w:lineRule="auto"/>
      </w:pPr>
      <w:r>
        <w:rPr>
          <w:u w:val="single"/>
        </w:rPr>
        <w:t>XCCY MC Model - Rates Volatility</w:t>
      </w:r>
      <w:r w:rsidRPr="00F63024">
        <w:t>:</w:t>
      </w:r>
      <w:r>
        <w:t xml:space="preserve"> The interest rates in each currency is modeled using a Hull White model globally calibrated to the corresponding interest rate ATM volatility surface.</w:t>
      </w:r>
    </w:p>
    <w:p w:rsidR="00F63024" w:rsidRDefault="00F63024" w:rsidP="00D83552">
      <w:pPr>
        <w:pStyle w:val="ListParagraph"/>
        <w:numPr>
          <w:ilvl w:val="0"/>
          <w:numId w:val="136"/>
        </w:numPr>
        <w:spacing w:after="200" w:line="360" w:lineRule="auto"/>
      </w:pPr>
      <w:r>
        <w:rPr>
          <w:u w:val="single"/>
        </w:rPr>
        <w:t>XCCY MC Model - FX Volatility</w:t>
      </w:r>
      <w:r w:rsidRPr="00F63024">
        <w:t>:</w:t>
      </w:r>
      <w:r>
        <w:t xml:space="preserve"> The exchange rates are calibrated using Black Scholes calibrated to ATM FX options applying the corresponding FX volatility surfaces.</w:t>
      </w:r>
    </w:p>
    <w:p w:rsidR="00F63024" w:rsidRDefault="00F63024" w:rsidP="00D83552">
      <w:pPr>
        <w:pStyle w:val="ListParagraph"/>
        <w:numPr>
          <w:ilvl w:val="0"/>
          <w:numId w:val="136"/>
        </w:numPr>
        <w:spacing w:after="200" w:line="360" w:lineRule="auto"/>
      </w:pPr>
      <w:r>
        <w:rPr>
          <w:u w:val="single"/>
        </w:rPr>
        <w:lastRenderedPageBreak/>
        <w:t>XCCY MC Model - Rates/FX</w:t>
      </w:r>
      <w:r w:rsidRPr="00F63024">
        <w:t>:</w:t>
      </w:r>
      <w:r>
        <w:t xml:space="preserve"> The correlations among the exchange rates and the interest rates are estimated historically and assumed to be constants.</w:t>
      </w:r>
    </w:p>
    <w:p w:rsidR="0001446A" w:rsidRDefault="0001446A" w:rsidP="00D83552">
      <w:pPr>
        <w:pStyle w:val="ListParagraph"/>
        <w:numPr>
          <w:ilvl w:val="0"/>
          <w:numId w:val="136"/>
        </w:numPr>
        <w:spacing w:after="200" w:line="360" w:lineRule="auto"/>
      </w:pPr>
      <w:r>
        <w:rPr>
          <w:u w:val="single"/>
        </w:rPr>
        <w:t>Bank/Counter Party Credit State</w:t>
      </w:r>
      <w:r w:rsidRPr="0001446A">
        <w:t>:</w:t>
      </w:r>
      <w:r>
        <w:t xml:space="preserve"> The hazard rate is assumed to be deterministic and directly calculated from the hazard curve.</w:t>
      </w:r>
    </w:p>
    <w:p w:rsidR="0001446A" w:rsidRDefault="0001446A" w:rsidP="00D83552">
      <w:pPr>
        <w:pStyle w:val="ListParagraph"/>
        <w:numPr>
          <w:ilvl w:val="0"/>
          <w:numId w:val="136"/>
        </w:numPr>
        <w:spacing w:after="200" w:line="360" w:lineRule="auto"/>
      </w:pPr>
      <w:r>
        <w:rPr>
          <w:u w:val="single"/>
        </w:rPr>
        <w:t>Bank/Counter Party Recovery Rate</w:t>
      </w:r>
      <w:r w:rsidRPr="0001446A">
        <w:t>:</w:t>
      </w:r>
      <w:r>
        <w:t xml:space="preserve"> The recovery rate map and the CSA collateral dynamics for the margin period of risk are supported.</w:t>
      </w:r>
    </w:p>
    <w:p w:rsidR="0001446A" w:rsidRDefault="0001446A" w:rsidP="00D83552">
      <w:pPr>
        <w:pStyle w:val="ListParagraph"/>
        <w:numPr>
          <w:ilvl w:val="0"/>
          <w:numId w:val="136"/>
        </w:numPr>
        <w:spacing w:after="200" w:line="360" w:lineRule="auto"/>
      </w:pPr>
      <w:r>
        <w:rPr>
          <w:u w:val="single"/>
        </w:rPr>
        <w:t>Monte Carlo Path Simulation Settings</w:t>
      </w:r>
      <w:r w:rsidRPr="0001446A">
        <w:t>:</w:t>
      </w:r>
      <w:r>
        <w:t xml:space="preserve"> The model is simulated using the Monte Carlo settings.</w:t>
      </w:r>
    </w:p>
    <w:p w:rsidR="0001446A" w:rsidRDefault="0001446A" w:rsidP="00D83552">
      <w:pPr>
        <w:pStyle w:val="ListParagraph"/>
        <w:numPr>
          <w:ilvl w:val="0"/>
          <w:numId w:val="136"/>
        </w:numPr>
        <w:spacing w:after="200" w:line="360" w:lineRule="auto"/>
      </w:pPr>
      <w:r>
        <w:rPr>
          <w:u w:val="single"/>
        </w:rPr>
        <w:t>Adjusted Union of Pay Dates</w:t>
      </w:r>
      <w:r w:rsidRPr="0001446A">
        <w:t>:</w:t>
      </w:r>
      <w:r>
        <w:t xml:space="preserve"> The credit dates are generated from all payment dates, and from all streams in the portfolio. The credit dates are super-imposed step-by-step to ensure that the steps are small enough for Monte Carlo simulation.</w:t>
      </w:r>
    </w:p>
    <w:p w:rsidR="0001446A" w:rsidRDefault="0001446A" w:rsidP="00D83552">
      <w:pPr>
        <w:pStyle w:val="ListParagraph"/>
        <w:numPr>
          <w:ilvl w:val="0"/>
          <w:numId w:val="136"/>
        </w:numPr>
        <w:spacing w:after="200" w:line="360" w:lineRule="auto"/>
      </w:pPr>
      <w:r>
        <w:rPr>
          <w:u w:val="single"/>
        </w:rPr>
        <w:t>HW Based Rates Volatility Surfaces</w:t>
      </w:r>
      <w:r w:rsidRPr="0001446A">
        <w:t>:</w:t>
      </w:r>
      <w:r>
        <w:t xml:space="preserve"> As discussed earlier, the Hull White model for each currency is calibrated to the given market data, in either the base scenario, or in the stressed scenario.</w:t>
      </w:r>
    </w:p>
    <w:p w:rsidR="0001446A" w:rsidRDefault="0001446A" w:rsidP="00D83552">
      <w:pPr>
        <w:pStyle w:val="ListParagraph"/>
        <w:numPr>
          <w:ilvl w:val="0"/>
          <w:numId w:val="136"/>
        </w:numPr>
        <w:spacing w:after="200" w:line="360" w:lineRule="auto"/>
      </w:pPr>
      <w:r>
        <w:rPr>
          <w:u w:val="single"/>
        </w:rPr>
        <w:t>Stresses/Unstressed Rates Volatility Surfaces</w:t>
      </w:r>
      <w:r w:rsidRPr="0001446A">
        <w:t>:</w:t>
      </w:r>
      <w:r>
        <w:t xml:space="preserve"> If the market data is in the base scenario as discussed in daily pricing, the unstressed interest rate curves and the volatility surfaces are used in the Hull White model calibration; if the market data has been stressed, the stressed interest rates curves and/or stressed volatility surfaces are used in the Hull White calibration. The mean reversion speed parameter in the Hull White model is not calibrated in either the base or in the stressed scenarios.</w:t>
      </w:r>
    </w:p>
    <w:p w:rsidR="0001446A" w:rsidRDefault="0001446A" w:rsidP="00D83552">
      <w:pPr>
        <w:pStyle w:val="ListParagraph"/>
        <w:numPr>
          <w:ilvl w:val="0"/>
          <w:numId w:val="136"/>
        </w:numPr>
        <w:spacing w:after="200" w:line="360" w:lineRule="auto"/>
      </w:pPr>
      <w:r>
        <w:rPr>
          <w:u w:val="single"/>
        </w:rPr>
        <w:t>Stressed/Unstressed FX Volatility Dynamics</w:t>
      </w:r>
      <w:r w:rsidRPr="0001446A">
        <w:t>:</w:t>
      </w:r>
      <w:r>
        <w:t xml:space="preserve"> The model for the exchange rates </w:t>
      </w:r>
      <w:r w:rsidR="00E11BC1">
        <w:t>is</w:t>
      </w:r>
      <w:r>
        <w:t xml:space="preserve"> calibrated to given FX volatility surfaces, in either the base or in the stressed scenario, respectively.</w:t>
      </w:r>
    </w:p>
    <w:p w:rsidR="00E11BC1" w:rsidRDefault="00463F15" w:rsidP="00D83552">
      <w:pPr>
        <w:pStyle w:val="ListParagraph"/>
        <w:numPr>
          <w:ilvl w:val="0"/>
          <w:numId w:val="136"/>
        </w:numPr>
        <w:spacing w:after="200" w:line="360" w:lineRule="auto"/>
      </w:pPr>
      <w:r>
        <w:rPr>
          <w:u w:val="single"/>
        </w:rPr>
        <w:t>Domestic Risk Neutral Measure Dynamics</w:t>
      </w:r>
      <w:r w:rsidRPr="00463F15">
        <w:t>:</w:t>
      </w:r>
      <w:r>
        <w:t xml:space="preserve"> Under the domestic risk-neutral measure, the processes of interest rates and the exchange rates for </w:t>
      </w:r>
      <m:oMath>
        <m:r>
          <w:rPr>
            <w:rFonts w:ascii="Cambria Math" w:hAnsi="Cambria Math"/>
          </w:rPr>
          <m:t>N+1</m:t>
        </m:r>
      </m:oMath>
      <w:r>
        <w:t xml:space="preserve"> currencies (index </w:t>
      </w:r>
      <m:oMath>
        <m:r>
          <w:rPr>
            <w:rFonts w:ascii="Cambria Math" w:hAnsi="Cambria Math"/>
          </w:rPr>
          <m:t>0</m:t>
        </m:r>
      </m:oMath>
      <w:r>
        <w:t xml:space="preserve"> as domestic currency) are</w:t>
      </w:r>
    </w:p>
    <w:p w:rsidR="00E11BC1" w:rsidRDefault="00E11BC1" w:rsidP="00E11BC1">
      <w:pPr>
        <w:pStyle w:val="ListParagraph"/>
        <w:spacing w:after="200" w:line="360" w:lineRule="auto"/>
        <w:ind w:left="360"/>
        <w:rPr>
          <w:u w:val="single"/>
        </w:rPr>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w:lastRenderedPageBreak/>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463F15" w:rsidRPr="00E11BC1" w:rsidRDefault="00463F15"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E11BC1" w:rsidRDefault="00D1527A" w:rsidP="00D83552">
      <w:pPr>
        <w:pStyle w:val="ListParagraph"/>
        <w:numPr>
          <w:ilvl w:val="0"/>
          <w:numId w:val="136"/>
        </w:numPr>
        <w:spacing w:after="200" w:line="360" w:lineRule="auto"/>
      </w:pPr>
      <w:r>
        <w:rPr>
          <w:u w:val="single"/>
        </w:rPr>
        <w:t>Correlations among the Brownian Processes</w:t>
      </w:r>
      <w:r>
        <w:t xml:space="preserve">: The Brownian motions from the rates and the FX rates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w:p>
    <w:p w:rsidR="00E11BC1" w:rsidRDefault="00E11BC1" w:rsidP="00E11BC1">
      <w:pPr>
        <w:pStyle w:val="ListParagraph"/>
        <w:spacing w:after="200" w:line="360" w:lineRule="auto"/>
        <w:ind w:left="360"/>
        <w:rPr>
          <w:u w:val="single"/>
        </w:rPr>
      </w:pPr>
    </w:p>
    <w:p w:rsidR="00E11BC1" w:rsidRDefault="00D1527A" w:rsidP="00E11BC1">
      <w:pPr>
        <w:pStyle w:val="ListParagraph"/>
        <w:spacing w:after="200" w:line="360" w:lineRule="auto"/>
        <w:ind w:left="360"/>
      </w:pPr>
      <m:oMathPara>
        <m:oMath>
          <m:r>
            <w:rPr>
              <w:rFonts w:ascii="Cambria Math" w:hAnsi="Cambria Math"/>
            </w:rPr>
            <m:t>i=0, ⋯, 2N</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w:r>
        <w:t>are correlated with each other. The correlation matrix</w:t>
      </w:r>
    </w:p>
    <w:p w:rsidR="00E11BC1" w:rsidRDefault="00E11BC1" w:rsidP="00E11BC1">
      <w:pPr>
        <w:pStyle w:val="ListParagraph"/>
        <w:spacing w:after="200" w:line="360" w:lineRule="auto"/>
        <w:ind w:left="360"/>
      </w:pPr>
    </w:p>
    <w:p w:rsidR="00E11BC1" w:rsidRDefault="005D6A21" w:rsidP="00E11BC1">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m:oMathPara>
        <m:oMath>
          <m:r>
            <w:rPr>
              <w:rFonts w:ascii="Cambria Math" w:hAnsi="Cambria Math"/>
            </w:rPr>
            <m:t>i, j=1, ⋯, 2N</m:t>
          </m:r>
        </m:oMath>
      </m:oMathPara>
    </w:p>
    <w:p w:rsidR="00E11BC1" w:rsidRDefault="00E11BC1" w:rsidP="00E11BC1">
      <w:pPr>
        <w:pStyle w:val="ListParagraph"/>
        <w:spacing w:after="200" w:line="360" w:lineRule="auto"/>
        <w:ind w:left="360"/>
      </w:pPr>
    </w:p>
    <w:p w:rsidR="00D1527A" w:rsidRDefault="00D1527A" w:rsidP="00E11BC1">
      <w:pPr>
        <w:pStyle w:val="ListParagraph"/>
        <w:spacing w:after="200" w:line="360" w:lineRule="auto"/>
        <w:ind w:left="360"/>
      </w:pPr>
      <w:r>
        <w:t>is estimated through a statistical analysis from historical data, typically by the desks and the middle office, periodically.</w:t>
      </w:r>
    </w:p>
    <w:p w:rsidR="00E11BC1" w:rsidRDefault="009A4F80" w:rsidP="00D83552">
      <w:pPr>
        <w:pStyle w:val="ListParagraph"/>
        <w:numPr>
          <w:ilvl w:val="0"/>
          <w:numId w:val="136"/>
        </w:numPr>
        <w:spacing w:after="200" w:line="360" w:lineRule="auto"/>
      </w:pPr>
      <w:r>
        <w:rPr>
          <w:u w:val="single"/>
        </w:rPr>
        <w:t>Draw of Correlated Random Variables</w:t>
      </w:r>
      <w:r w:rsidRPr="009A4F80">
        <w:t>:</w:t>
      </w:r>
      <w:r>
        <w:t xml:space="preserve"> Simulation proceeds by the generation of correlated normal random variables. Let the correlation matrix be </w:t>
      </w:r>
      <m:oMath>
        <m:r>
          <w:rPr>
            <w:rFonts w:ascii="Cambria Math" w:hAnsi="Cambria Math"/>
          </w:rPr>
          <m:t>ρ</m:t>
        </m:r>
      </m:oMath>
      <w:r>
        <w:t xml:space="preserve"> and its Cholesky decomposition be</w:t>
      </w:r>
    </w:p>
    <w:p w:rsidR="00E11BC1" w:rsidRDefault="00E11BC1" w:rsidP="00E11BC1">
      <w:pPr>
        <w:pStyle w:val="ListParagraph"/>
        <w:spacing w:after="200" w:line="360" w:lineRule="auto"/>
        <w:ind w:left="360"/>
        <w:rPr>
          <w:u w:val="single"/>
        </w:rPr>
      </w:pPr>
    </w:p>
    <w:p w:rsidR="00E11BC1" w:rsidRDefault="009A4F80" w:rsidP="00E11BC1">
      <w:pPr>
        <w:pStyle w:val="ListParagraph"/>
        <w:spacing w:after="200" w:line="360" w:lineRule="auto"/>
        <w:ind w:left="360"/>
      </w:pPr>
      <m:oMathPara>
        <m:oMath>
          <m:r>
            <w:rPr>
              <w:rFonts w:ascii="Cambria Math" w:hAnsi="Cambria Math"/>
            </w:rPr>
            <m:t>ρ=A</m:t>
          </m:r>
          <m:sSup>
            <m:sSupPr>
              <m:ctrlPr>
                <w:rPr>
                  <w:rFonts w:ascii="Cambria Math" w:hAnsi="Cambria Math"/>
                  <w:i/>
                </w:rPr>
              </m:ctrlPr>
            </m:sSupPr>
            <m:e>
              <m:r>
                <w:rPr>
                  <w:rFonts w:ascii="Cambria Math" w:hAnsi="Cambria Math"/>
                </w:rPr>
                <m:t>A</m:t>
              </m:r>
            </m:e>
            <m:sup>
              <m:r>
                <w:rPr>
                  <w:rFonts w:ascii="Cambria Math" w:hAnsi="Cambria Math"/>
                </w:rPr>
                <m:t>T</m:t>
              </m:r>
            </m:sup>
          </m:sSup>
        </m:oMath>
      </m:oMathPara>
    </w:p>
    <w:p w:rsidR="00E11BC1" w:rsidRDefault="00E11BC1" w:rsidP="00E11BC1">
      <w:pPr>
        <w:pStyle w:val="ListParagraph"/>
        <w:spacing w:after="200" w:line="360" w:lineRule="auto"/>
        <w:ind w:left="360"/>
      </w:pPr>
    </w:p>
    <w:p w:rsidR="009A4F80" w:rsidRDefault="009A4F80" w:rsidP="00E11BC1">
      <w:pPr>
        <w:pStyle w:val="ListParagraph"/>
        <w:spacing w:after="200" w:line="360" w:lineRule="auto"/>
        <w:ind w:left="360"/>
      </w:pPr>
      <w:r>
        <w:t xml:space="preserve">By simulating uncorrelated normal variables, one can generate correlated normal variables, that is </w:t>
      </w:r>
      <m:oMath>
        <m:r>
          <w:rPr>
            <w:rFonts w:ascii="Cambria Math" w:hAnsi="Cambria Math"/>
          </w:rPr>
          <m:t>Aϵ</m:t>
        </m:r>
      </m:oMath>
      <w:r>
        <w:t xml:space="preserve">, where </w:t>
      </w:r>
      <m:oMath>
        <m:r>
          <w:rPr>
            <w:rFonts w:ascii="Cambria Math" w:hAnsi="Cambria Math"/>
          </w:rPr>
          <m:t>ϵ</m:t>
        </m:r>
      </m:oMath>
      <w:r>
        <w:t xml:space="preserve"> is a vector with each component independently drawn from the standard normal distribution.</w:t>
      </w:r>
    </w:p>
    <w:p w:rsidR="00E11BC1" w:rsidRDefault="007A354A" w:rsidP="00D83552">
      <w:pPr>
        <w:pStyle w:val="ListParagraph"/>
        <w:numPr>
          <w:ilvl w:val="0"/>
          <w:numId w:val="136"/>
        </w:numPr>
        <w:spacing w:after="200" w:line="360" w:lineRule="auto"/>
      </w:pPr>
      <w:r>
        <w:rPr>
          <w:u w:val="single"/>
        </w:rPr>
        <w:t>Rates/FX Stochastic Evolution Increments</w:t>
      </w:r>
      <w:r w:rsidRPr="007A354A">
        <w:t>:</w:t>
      </w:r>
      <w:r>
        <w:t xml:space="preserve"> At each time step the variables are evolved according to the following Euler scheme (here </w:t>
      </w:r>
      <m:oMath>
        <m:r>
          <w:rPr>
            <w:rFonts w:ascii="Cambria Math" w:hAnsi="Cambria Math"/>
          </w:rPr>
          <m:t>∆t</m:t>
        </m:r>
      </m:oMath>
      <w:r>
        <w:t xml:space="preserve"> is the step size)</w:t>
      </w:r>
    </w:p>
    <w:p w:rsidR="00E11BC1" w:rsidRDefault="00E11BC1" w:rsidP="00E11BC1">
      <w:pPr>
        <w:pStyle w:val="ListParagraph"/>
        <w:spacing w:after="200" w:line="360" w:lineRule="auto"/>
        <w:ind w:left="360"/>
        <w:rPr>
          <w:u w:val="single"/>
        </w:rPr>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t+∆t</m:t>
                      </m:r>
                    </m:e>
                  </m:d>
                </m:e>
              </m:func>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i+N+1</m:t>
              </m:r>
            </m:sub>
          </m:sSub>
        </m:oMath>
      </m:oMathPara>
    </w:p>
    <w:p w:rsidR="00E11BC1" w:rsidRDefault="00E11BC1" w:rsidP="00E11BC1">
      <w:pPr>
        <w:pStyle w:val="ListParagraph"/>
        <w:spacing w:after="200" w:line="360" w:lineRule="auto"/>
        <w:ind w:left="360"/>
      </w:pPr>
    </w:p>
    <w:p w:rsidR="007A354A" w:rsidRPr="00E11BC1" w:rsidRDefault="007A354A"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987D62" w:rsidRDefault="00987D62" w:rsidP="00D83552">
      <w:pPr>
        <w:pStyle w:val="ListParagraph"/>
        <w:numPr>
          <w:ilvl w:val="0"/>
          <w:numId w:val="136"/>
        </w:numPr>
        <w:spacing w:after="200" w:line="360" w:lineRule="auto"/>
      </w:pPr>
      <w:r>
        <w:rPr>
          <w:u w:val="single"/>
        </w:rPr>
        <w:t>Incorporation of the Drift Adjustment</w:t>
      </w:r>
      <w:r>
        <w:t>: An adjustment method is used to adjust the drifts by adding an extra constant drift term for all paths at each step to make sure that the average from the MC simulation matches that from the discount curve for each currency.</w:t>
      </w:r>
    </w:p>
    <w:p w:rsidR="00CC765E" w:rsidRDefault="00CC765E" w:rsidP="00D83552">
      <w:pPr>
        <w:pStyle w:val="ListParagraph"/>
        <w:numPr>
          <w:ilvl w:val="0"/>
          <w:numId w:val="136"/>
        </w:numPr>
        <w:spacing w:after="200" w:line="360" w:lineRule="auto"/>
      </w:pPr>
      <w:r>
        <w:rPr>
          <w:u w:val="single"/>
        </w:rPr>
        <w:t>MC Path Martingale Test Verification</w:t>
      </w:r>
      <w:r w:rsidRPr="00CC765E">
        <w:t>:</w:t>
      </w:r>
      <w:r>
        <w:t xml:space="preserve"> This will guarantee that the underlying NPV from the MC simulation matches that with that of the underlying pricer. More detailed description of the processes for the interest rates and the exchange rates can be found in the DRIP Fixed Income Specification.</w:t>
      </w:r>
    </w:p>
    <w:p w:rsidR="00E11BC1" w:rsidRDefault="00CC765E" w:rsidP="00D83552">
      <w:pPr>
        <w:pStyle w:val="ListParagraph"/>
        <w:numPr>
          <w:ilvl w:val="0"/>
          <w:numId w:val="136"/>
        </w:numPr>
        <w:spacing w:after="200" w:line="360" w:lineRule="auto"/>
      </w:pPr>
      <w:r>
        <w:rPr>
          <w:u w:val="single"/>
        </w:rPr>
        <w:t>Path-wise Gross Adjusted Credit Exposure</w:t>
      </w:r>
      <w:r w:rsidRPr="00CC765E">
        <w:t>:</w:t>
      </w:r>
      <w:r>
        <w:t xml:space="preserve"> The total aggregated credit exposure is then calculated as follows:</w:t>
      </w:r>
    </w:p>
    <w:p w:rsidR="00E11BC1" w:rsidRDefault="00E11BC1" w:rsidP="00E11BC1">
      <w:pPr>
        <w:pStyle w:val="ListParagraph"/>
        <w:spacing w:after="200" w:line="360" w:lineRule="auto"/>
        <w:ind w:left="360"/>
        <w:rPr>
          <w:u w:val="single"/>
        </w:rPr>
      </w:pPr>
    </w:p>
    <w:p w:rsidR="00E11BC1" w:rsidRDefault="00CC765E" w:rsidP="00E11BC1">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E11BC1" w:rsidRDefault="00E11BC1" w:rsidP="00E11BC1">
      <w:pPr>
        <w:pStyle w:val="ListParagraph"/>
        <w:spacing w:after="200" w:line="360" w:lineRule="auto"/>
        <w:ind w:left="360"/>
      </w:pPr>
    </w:p>
    <w:p w:rsidR="00CC765E" w:rsidRDefault="00CC765E" w:rsidP="00E11BC1">
      <w:pPr>
        <w:pStyle w:val="ListParagraph"/>
        <w:spacing w:after="200" w:line="360" w:lineRule="auto"/>
        <w:ind w:left="360"/>
      </w:pPr>
      <w:r>
        <w:t xml:space="preserve">where the option values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rsidR="00E11BC1">
        <w:t>,</w:t>
      </w:r>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are used and calculated using MC simulation. The recovery rate map is then used to calculate the recovery given an exposure.</w:t>
      </w:r>
    </w:p>
    <w:p w:rsidR="00E11BC1" w:rsidRDefault="00E11BC1" w:rsidP="00E11BC1">
      <w:pPr>
        <w:spacing w:after="200" w:line="360" w:lineRule="auto"/>
      </w:pPr>
    </w:p>
    <w:p w:rsidR="00E11BC1" w:rsidRDefault="00E11BC1" w:rsidP="00E11BC1">
      <w:pPr>
        <w:spacing w:after="200" w:line="360" w:lineRule="auto"/>
      </w:pPr>
    </w:p>
    <w:p w:rsidR="00E11BC1" w:rsidRPr="00E11BC1" w:rsidRDefault="00E11BC1" w:rsidP="00E11BC1">
      <w:pPr>
        <w:spacing w:after="200" w:line="360" w:lineRule="auto"/>
        <w:rPr>
          <w:b/>
          <w:sz w:val="28"/>
          <w:szCs w:val="28"/>
        </w:rPr>
      </w:pPr>
      <w:r w:rsidRPr="00E11BC1">
        <w:rPr>
          <w:b/>
          <w:sz w:val="28"/>
          <w:szCs w:val="28"/>
        </w:rPr>
        <w:lastRenderedPageBreak/>
        <w:t>Cross-Currency Swaps with MTM Legs for Notional Rates</w:t>
      </w:r>
    </w:p>
    <w:p w:rsidR="00E11BC1" w:rsidRDefault="00E11BC1" w:rsidP="00E11BC1">
      <w:pPr>
        <w:spacing w:after="200" w:line="360" w:lineRule="auto"/>
      </w:pPr>
    </w:p>
    <w:p w:rsidR="00E11BC1" w:rsidRDefault="00E11BC1" w:rsidP="00D83552">
      <w:pPr>
        <w:pStyle w:val="ListParagraph"/>
        <w:numPr>
          <w:ilvl w:val="0"/>
          <w:numId w:val="137"/>
        </w:numPr>
        <w:spacing w:after="200" w:line="360" w:lineRule="auto"/>
      </w:pPr>
      <w:r w:rsidRPr="00E11BC1">
        <w:rPr>
          <w:u w:val="single"/>
        </w:rPr>
        <w:t>MTM XCCY Portfolio Swaps Extension</w:t>
      </w:r>
      <w:r>
        <w:t>: The CVA/DVA model for the portfolio of cross-currency swaps has been extended to cover the cross-currency swaps with Mark-To-Market (MTM) legs for notional resets.</w:t>
      </w:r>
    </w:p>
    <w:p w:rsidR="00E11BC1" w:rsidRDefault="00E11BC1" w:rsidP="00D83552">
      <w:pPr>
        <w:pStyle w:val="ListParagraph"/>
        <w:numPr>
          <w:ilvl w:val="0"/>
          <w:numId w:val="137"/>
        </w:numPr>
        <w:spacing w:after="200" w:line="360" w:lineRule="auto"/>
      </w:pPr>
      <w:r>
        <w:rPr>
          <w:u w:val="single"/>
        </w:rPr>
        <w:t>The MTM Notional Reset Lag</w:t>
      </w:r>
      <w:r w:rsidRPr="00E11BC1">
        <w:t>:</w:t>
      </w:r>
      <w:r>
        <w:t xml:space="preserve"> For example, a EURUSD cross-currency swaps has deterministic notionals for the EUR leg, and MTM notionals for the USD leg, in which the notional for each accrual period is reset</w:t>
      </w:r>
      <w:r w:rsidR="00B57F4A">
        <w:t xml:space="preserve"> at the beginning of each accrual period from the forward FX rate.</w:t>
      </w:r>
    </w:p>
    <w:p w:rsidR="005C661E" w:rsidRDefault="005C661E" w:rsidP="00D83552">
      <w:pPr>
        <w:pStyle w:val="ListParagraph"/>
        <w:numPr>
          <w:ilvl w:val="0"/>
          <w:numId w:val="137"/>
        </w:numPr>
        <w:spacing w:after="200" w:line="360" w:lineRule="auto"/>
      </w:pPr>
      <w:r>
        <w:rPr>
          <w:u w:val="single"/>
        </w:rPr>
        <w:t>Handling Float-Float XCCY Swaps</w:t>
      </w:r>
      <w:r w:rsidRPr="005C661E">
        <w:t>:</w:t>
      </w:r>
      <w:r>
        <w:t xml:space="preserve"> In particular, special consideration needs to be paid for float-float XCCY swaps with notional resets. The uncertainty of the notionals for the USD leg will increase the complexity of the XCCYCVA model, and the existing frameworks based on MC simulation and equivalent cash flows cannot be applied directly.</w:t>
      </w:r>
    </w:p>
    <w:p w:rsidR="005C661E" w:rsidRDefault="005C661E" w:rsidP="00D83552">
      <w:pPr>
        <w:pStyle w:val="ListParagraph"/>
        <w:numPr>
          <w:ilvl w:val="0"/>
          <w:numId w:val="137"/>
        </w:numPr>
        <w:spacing w:after="200" w:line="360" w:lineRule="auto"/>
      </w:pPr>
      <w:r>
        <w:rPr>
          <w:u w:val="single"/>
        </w:rPr>
        <w:t>Simulation of the Discount/Forward Numeraire</w:t>
      </w:r>
      <w:r w:rsidRPr="005C661E">
        <w:t>:</w:t>
      </w:r>
      <w:r>
        <w:t xml:space="preserve"> In the existing CVA model, for each leg, the equivalent cash flows are generated by a discount curve and a forward curve on each credit date once, and after that, only the simulated discount curve is needed to evaluate the leg NPV for each MC path, and this feature of the modeling speeds up the CVA.</w:t>
      </w:r>
    </w:p>
    <w:p w:rsidR="005C661E" w:rsidRDefault="005C661E" w:rsidP="00D83552">
      <w:pPr>
        <w:pStyle w:val="ListParagraph"/>
        <w:numPr>
          <w:ilvl w:val="0"/>
          <w:numId w:val="137"/>
        </w:numPr>
        <w:spacing w:after="200" w:line="360" w:lineRule="auto"/>
      </w:pPr>
      <w:r>
        <w:rPr>
          <w:u w:val="single"/>
        </w:rPr>
        <w:t>Non-deterministic Equivalent Cash Flows</w:t>
      </w:r>
      <w:r w:rsidRPr="005C661E">
        <w:t>:</w:t>
      </w:r>
      <w:r>
        <w:t xml:space="preserve"> The equivalent cash flow approach will not be used for the notional reset legs, and the MC simulation will be directly used for the underlying pricing. The equivalent cash flow approach only works for the legs with deterministic notionals. At high level, there are two major components of the MC simulation model for the notional reset legs.</w:t>
      </w:r>
    </w:p>
    <w:p w:rsidR="005C661E" w:rsidRDefault="005C661E" w:rsidP="00D83552">
      <w:pPr>
        <w:pStyle w:val="ListParagraph"/>
        <w:numPr>
          <w:ilvl w:val="0"/>
          <w:numId w:val="137"/>
        </w:numPr>
        <w:spacing w:after="200" w:line="360" w:lineRule="auto"/>
      </w:pPr>
      <w:r>
        <w:rPr>
          <w:u w:val="single"/>
        </w:rPr>
        <w:t>Simulating Discount and Forward Curves</w:t>
      </w:r>
      <w:r w:rsidRPr="005C661E">
        <w:t>:</w:t>
      </w:r>
      <w:r>
        <w:t xml:space="preserve"> </w:t>
      </w:r>
      <w:r w:rsidR="00AA23CC">
        <w:t>The first is the simulation of the discount and the forward curve in the MC simulation framework.</w:t>
      </w:r>
    </w:p>
    <w:p w:rsidR="007D0B5A" w:rsidRDefault="007D0B5A" w:rsidP="00D83552">
      <w:pPr>
        <w:pStyle w:val="ListParagraph"/>
        <w:numPr>
          <w:ilvl w:val="0"/>
          <w:numId w:val="137"/>
        </w:numPr>
        <w:spacing w:after="200" w:line="360" w:lineRule="auto"/>
      </w:pPr>
      <w:r>
        <w:rPr>
          <w:u w:val="single"/>
        </w:rPr>
        <w:t>Pricing of Notional Reset Legs</w:t>
      </w:r>
      <w:r w:rsidRPr="007D0B5A">
        <w:t>:</w:t>
      </w:r>
      <w:r>
        <w:t xml:space="preserve"> The second is to price the notional reset leg given the simulated discount and the forward curves above. DRIP Fixed Income Specification contains the mechanics of pricing the MTM legs. As long as the discount and the forward curves have been simulated, the MTM legs can be priced using the forward FX rates documented there.</w:t>
      </w:r>
    </w:p>
    <w:p w:rsidR="007D0B5A" w:rsidRDefault="007D0B5A" w:rsidP="00D83552">
      <w:pPr>
        <w:pStyle w:val="ListParagraph"/>
        <w:numPr>
          <w:ilvl w:val="0"/>
          <w:numId w:val="137"/>
        </w:numPr>
        <w:spacing w:after="200" w:line="360" w:lineRule="auto"/>
      </w:pPr>
      <w:r>
        <w:rPr>
          <w:u w:val="single"/>
        </w:rPr>
        <w:lastRenderedPageBreak/>
        <w:t>Notional Date MTM Reset Lags</w:t>
      </w:r>
      <w:r w:rsidRPr="007D0B5A">
        <w:t>:</w:t>
      </w:r>
      <w:r>
        <w:t xml:space="preserve"> Because of the special feature of the exposures of MTM legs on notional reset dates, </w:t>
      </w:r>
      <w:r w:rsidR="00202BF1">
        <w:t>more credit dates have been added for valuing CVA/DVA. In addition to the accrual start and the accrual end dates for each period, 7 days after the accrual start and 7 days before the accrual end are also added.</w:t>
      </w:r>
    </w:p>
    <w:p w:rsidR="00202BF1" w:rsidRDefault="00202BF1" w:rsidP="00D83552">
      <w:pPr>
        <w:pStyle w:val="ListParagraph"/>
        <w:numPr>
          <w:ilvl w:val="0"/>
          <w:numId w:val="137"/>
        </w:numPr>
        <w:spacing w:after="200" w:line="360" w:lineRule="auto"/>
      </w:pPr>
      <w:r>
        <w:rPr>
          <w:u w:val="single"/>
        </w:rPr>
        <w:t>Rates Curve Hull White Model</w:t>
      </w:r>
      <w:r w:rsidRPr="00202BF1">
        <w:t>:</w:t>
      </w:r>
      <w:r>
        <w:t xml:space="preserve"> In the current MC framework, each discount curve in each currency has been modeled in terms of a Hull-White model. As usual, the state variables are simulated from the valuation date to each credit date.</w:t>
      </w:r>
    </w:p>
    <w:p w:rsidR="00202BF1" w:rsidRDefault="00202BF1" w:rsidP="00D83552">
      <w:pPr>
        <w:pStyle w:val="ListParagraph"/>
        <w:numPr>
          <w:ilvl w:val="0"/>
          <w:numId w:val="137"/>
        </w:numPr>
        <w:spacing w:after="200" w:line="360" w:lineRule="auto"/>
      </w:pPr>
      <w:r>
        <w:rPr>
          <w:u w:val="single"/>
        </w:rPr>
        <w:t>Construction of the Discount/Forward Curve</w:t>
      </w:r>
      <w:r w:rsidRPr="00202BF1">
        <w:t>:</w:t>
      </w:r>
      <w:r>
        <w:t xml:space="preserve"> A discount curve is constructed for each path using the simulated rates, and the Hull White model with the discount dates from all payment dates, at all notional payment dates, and all notional spot dates, to avoid interpolation. The assumption made here is that the spread cure is static, i.e., the simulated forward curve can be constructed from the simulated discount curve and a static spread curve constructed from the discount curve and the forward curve.</w:t>
      </w:r>
    </w:p>
    <w:p w:rsidR="00317AE9" w:rsidRDefault="00317AE9" w:rsidP="00D83552">
      <w:pPr>
        <w:pStyle w:val="ListParagraph"/>
        <w:numPr>
          <w:ilvl w:val="0"/>
          <w:numId w:val="137"/>
        </w:numPr>
        <w:spacing w:after="200" w:line="360" w:lineRule="auto"/>
      </w:pPr>
      <w:r>
        <w:rPr>
          <w:u w:val="single"/>
        </w:rPr>
        <w:t>Use of Discount/Forward Curves</w:t>
      </w:r>
      <w:r w:rsidRPr="00317AE9">
        <w:t>:</w:t>
      </w:r>
      <w:r>
        <w:t xml:space="preserve"> For optimization purposes, and to speed up the calculations, the discount and the forward curve for the notional reset leg have to be handled in the following way.</w:t>
      </w:r>
    </w:p>
    <w:p w:rsidR="00317AE9" w:rsidRDefault="00317AE9" w:rsidP="00D83552">
      <w:pPr>
        <w:pStyle w:val="ListParagraph"/>
        <w:numPr>
          <w:ilvl w:val="0"/>
          <w:numId w:val="137"/>
        </w:numPr>
        <w:spacing w:after="200" w:line="360" w:lineRule="auto"/>
      </w:pPr>
      <w:r>
        <w:rPr>
          <w:u w:val="single"/>
        </w:rPr>
        <w:t>The Static Spread Based Forward Curve</w:t>
      </w:r>
      <w:r w:rsidRPr="00317AE9">
        <w:t>:</w:t>
      </w:r>
      <w:r>
        <w:t xml:space="preserve"> Construct a static spread forward curve from the discount and the forward curves.</w:t>
      </w:r>
    </w:p>
    <w:p w:rsidR="00317AE9" w:rsidRDefault="00317AE9" w:rsidP="00D83552">
      <w:pPr>
        <w:pStyle w:val="ListParagraph"/>
        <w:numPr>
          <w:ilvl w:val="0"/>
          <w:numId w:val="137"/>
        </w:numPr>
        <w:spacing w:after="200" w:line="360" w:lineRule="auto"/>
      </w:pPr>
      <w:r>
        <w:rPr>
          <w:u w:val="single"/>
        </w:rPr>
        <w:t>Simulating the Interest Rate/FX Curve</w:t>
      </w:r>
      <w:r>
        <w:t>: Simulate the interest rates and the FX rate to each credit date.</w:t>
      </w:r>
    </w:p>
    <w:p w:rsidR="00317AE9" w:rsidRDefault="00317AE9" w:rsidP="00D83552">
      <w:pPr>
        <w:pStyle w:val="ListParagraph"/>
        <w:numPr>
          <w:ilvl w:val="0"/>
          <w:numId w:val="137"/>
        </w:numPr>
        <w:spacing w:after="200" w:line="360" w:lineRule="auto"/>
      </w:pPr>
      <w:r>
        <w:rPr>
          <w:u w:val="single"/>
        </w:rPr>
        <w:t>Hull White Discount Curve Construction</w:t>
      </w:r>
      <w:r w:rsidRPr="00317AE9">
        <w:t>:</w:t>
      </w:r>
      <w:r>
        <w:t xml:space="preserve"> Construct a discount curve from the simulated rates and the discount factors from the Hull White model for each MC path.</w:t>
      </w:r>
    </w:p>
    <w:p w:rsidR="00AE5FB9" w:rsidRDefault="00AE5FB9" w:rsidP="00D83552">
      <w:pPr>
        <w:pStyle w:val="ListParagraph"/>
        <w:numPr>
          <w:ilvl w:val="0"/>
          <w:numId w:val="137"/>
        </w:numPr>
        <w:spacing w:after="200" w:line="360" w:lineRule="auto"/>
      </w:pPr>
      <w:r>
        <w:rPr>
          <w:u w:val="single"/>
        </w:rPr>
        <w:t>Spread Based Forward Curve Construction</w:t>
      </w:r>
      <w:r w:rsidRPr="00AE5FB9">
        <w:t>:</w:t>
      </w:r>
      <w:r>
        <w:t xml:space="preserve"> Construct a forward curve from the simulated discount curve and the static spread forward curve.</w:t>
      </w:r>
    </w:p>
    <w:p w:rsidR="00AE5FB9" w:rsidRDefault="00AE5FB9" w:rsidP="00D83552">
      <w:pPr>
        <w:pStyle w:val="ListParagraph"/>
        <w:numPr>
          <w:ilvl w:val="0"/>
          <w:numId w:val="137"/>
        </w:numPr>
        <w:spacing w:after="200" w:line="360" w:lineRule="auto"/>
      </w:pPr>
      <w:r>
        <w:rPr>
          <w:u w:val="single"/>
        </w:rPr>
        <w:t>NPV from the Simulated Discount/Forward</w:t>
      </w:r>
      <w:r w:rsidRPr="00AE5FB9">
        <w:t>:</w:t>
      </w:r>
      <w:r>
        <w:t xml:space="preserve"> Finally calculate the NPV from the simulated discount curve and the simulated forward curve for each path on each credit date for each notional leg.</w:t>
      </w:r>
    </w:p>
    <w:p w:rsidR="00AE5FB9" w:rsidRDefault="00AE5FB9" w:rsidP="00D83552">
      <w:pPr>
        <w:pStyle w:val="ListParagraph"/>
        <w:numPr>
          <w:ilvl w:val="0"/>
          <w:numId w:val="137"/>
        </w:numPr>
        <w:spacing w:after="200" w:line="360" w:lineRule="auto"/>
      </w:pPr>
      <w:r>
        <w:rPr>
          <w:u w:val="single"/>
        </w:rPr>
        <w:t>Treatment of Non-MTM Legs</w:t>
      </w:r>
      <w:r w:rsidRPr="00AE5FB9">
        <w:t>:</w:t>
      </w:r>
      <w:r>
        <w:t xml:space="preserve"> For all the non-MTM legs, the algorithm based on equivalent cash flows is kept the same. After each leg on each path is priced for each credit date, the </w:t>
      </w:r>
      <w:r>
        <w:lastRenderedPageBreak/>
        <w:t>NPV is aggregated from all the legs on each credit date, and all the remaining steps for the CVA/DVA valuation is the same as in the existing model.</w:t>
      </w:r>
    </w:p>
    <w:p w:rsidR="00AE5FB9" w:rsidRDefault="00AE5FB9" w:rsidP="00AE5FB9">
      <w:pPr>
        <w:spacing w:after="200" w:line="360" w:lineRule="auto"/>
      </w:pPr>
    </w:p>
    <w:p w:rsidR="00AE5FB9" w:rsidRDefault="00AE5FB9" w:rsidP="00AE5FB9">
      <w:pPr>
        <w:spacing w:after="200" w:line="360" w:lineRule="auto"/>
      </w:pPr>
    </w:p>
    <w:p w:rsidR="00AE5FB9" w:rsidRPr="00622F18" w:rsidRDefault="00AE5FB9" w:rsidP="00AE5FB9">
      <w:pPr>
        <w:spacing w:after="200" w:line="360" w:lineRule="auto"/>
        <w:rPr>
          <w:b/>
          <w:sz w:val="28"/>
          <w:szCs w:val="28"/>
        </w:rPr>
      </w:pPr>
      <w:r w:rsidRPr="00622F18">
        <w:rPr>
          <w:b/>
          <w:sz w:val="28"/>
          <w:szCs w:val="28"/>
        </w:rPr>
        <w:t>FX Delta and Gamma Calculation and PnL</w:t>
      </w:r>
    </w:p>
    <w:p w:rsidR="00AE5FB9" w:rsidRDefault="00AE5FB9" w:rsidP="00AE5FB9">
      <w:pPr>
        <w:spacing w:after="200" w:line="360" w:lineRule="auto"/>
      </w:pPr>
    </w:p>
    <w:p w:rsidR="00AE5FB9" w:rsidRDefault="00AE5FB9" w:rsidP="00D83552">
      <w:pPr>
        <w:pStyle w:val="ListParagraph"/>
        <w:numPr>
          <w:ilvl w:val="0"/>
          <w:numId w:val="138"/>
        </w:numPr>
        <w:spacing w:after="200" w:line="360" w:lineRule="auto"/>
      </w:pPr>
      <w:r w:rsidRPr="00622F18">
        <w:rPr>
          <w:u w:val="single"/>
        </w:rPr>
        <w:t>Base Quote Pair FX Sensitivities</w:t>
      </w:r>
      <w:r>
        <w:t>: FX delt</w:t>
      </w:r>
      <w:r w:rsidR="00622F18">
        <w:t xml:space="preserve">a and gamma are important risk </w:t>
      </w:r>
      <w:r>
        <w:t>m</w:t>
      </w:r>
      <w:r w:rsidR="00622F18">
        <w:t>e</w:t>
      </w:r>
      <w:r>
        <w:t>asures for portfolio hedge and PnL ana</w:t>
      </w:r>
      <w:r w:rsidR="00622F18">
        <w:t>lysis for counter party trades with underlying of cross-currency swap portfolios. This section discusses with FX delta and gamma in two cases for base/quote currency pairs, USD as quote currency (as in GBPUSD) and USD as in base currency (like USDJPY), respectively.</w:t>
      </w:r>
    </w:p>
    <w:p w:rsidR="0070274C" w:rsidRDefault="003579EF" w:rsidP="00D83552">
      <w:pPr>
        <w:pStyle w:val="ListParagraph"/>
        <w:numPr>
          <w:ilvl w:val="0"/>
          <w:numId w:val="138"/>
        </w:numPr>
        <w:spacing w:after="200" w:line="360" w:lineRule="auto"/>
      </w:pPr>
      <w:r>
        <w:rPr>
          <w:u w:val="single"/>
        </w:rPr>
        <w:t>FX Delta/Gamma Sensitivity Increment</w:t>
      </w:r>
      <w:r w:rsidRPr="003579EF">
        <w:t>:</w:t>
      </w:r>
      <w:r>
        <w:t xml:space="preserve"> The FX delta risk is calculated by shifting up the FX rate by 1%</w:t>
      </w:r>
    </w:p>
    <w:p w:rsidR="0070274C" w:rsidRDefault="0070274C" w:rsidP="0070274C">
      <w:pPr>
        <w:pStyle w:val="ListParagraph"/>
        <w:spacing w:after="200" w:line="360" w:lineRule="auto"/>
        <w:ind w:left="360"/>
        <w:rPr>
          <w:u w:val="single"/>
        </w:rPr>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w:r>
        <w:t>or down 1%</w:t>
      </w:r>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3579EF" w:rsidRDefault="003579EF" w:rsidP="0070274C">
      <w:pPr>
        <w:pStyle w:val="ListParagraph"/>
        <w:spacing w:after="200" w:line="360" w:lineRule="auto"/>
        <w:ind w:left="360"/>
      </w:pPr>
      <w:r>
        <w:t>of the FX rate. The average FX delta is the average of FX deltas from up and down shifts.</w:t>
      </w:r>
    </w:p>
    <w:p w:rsidR="0070274C" w:rsidRDefault="003579EF" w:rsidP="00D83552">
      <w:pPr>
        <w:pStyle w:val="ListParagraph"/>
        <w:numPr>
          <w:ilvl w:val="0"/>
          <w:numId w:val="138"/>
        </w:numPr>
        <w:spacing w:after="200" w:line="360" w:lineRule="auto"/>
      </w:pPr>
      <w:r>
        <w:rPr>
          <w:u w:val="single"/>
        </w:rPr>
        <w:t>Base Currency Base Case NPV</w:t>
      </w:r>
      <w:r w:rsidRPr="003579EF">
        <w:t>:</w:t>
      </w:r>
      <w:r>
        <w:t xml:space="preserve"> For the case of USD as the quote currency in the base/quote currency pair, like GBP/USD, the FX rate is quoted as</w:t>
      </w:r>
    </w:p>
    <w:p w:rsidR="0070274C" w:rsidRDefault="0070274C" w:rsidP="0070274C">
      <w:pPr>
        <w:pStyle w:val="ListParagraph"/>
        <w:spacing w:after="200" w:line="360" w:lineRule="auto"/>
        <w:ind w:left="360"/>
        <w:rPr>
          <w:u w:val="single"/>
        </w:rPr>
      </w:pPr>
    </w:p>
    <w:p w:rsidR="003579EF" w:rsidRPr="0070274C" w:rsidRDefault="003579EF" w:rsidP="0070274C">
      <w:pPr>
        <w:pStyle w:val="ListParagraph"/>
        <w:spacing w:after="200" w:line="360" w:lineRule="auto"/>
        <w:ind w:left="360"/>
      </w:pPr>
      <m:oMathPara>
        <m:oMath>
          <m:r>
            <w:rPr>
              <w:rFonts w:ascii="Cambria Math" w:hAnsi="Cambria Math"/>
            </w:rPr>
            <m:t>GBPUSD=1.5</m:t>
          </m:r>
        </m:oMath>
      </m:oMathPara>
    </w:p>
    <w:p w:rsidR="0070274C" w:rsidRDefault="0070274C" w:rsidP="0070274C">
      <w:pPr>
        <w:pStyle w:val="ListParagraph"/>
        <w:spacing w:after="200" w:line="360" w:lineRule="auto"/>
        <w:ind w:left="360"/>
      </w:pPr>
    </w:p>
    <w:p w:rsidR="003579EF" w:rsidRDefault="003579EF" w:rsidP="00D83552">
      <w:pPr>
        <w:pStyle w:val="ListParagraph"/>
        <w:numPr>
          <w:ilvl w:val="0"/>
          <w:numId w:val="138"/>
        </w:numPr>
        <w:spacing w:after="200" w:line="360" w:lineRule="auto"/>
      </w:pPr>
      <w:r>
        <w:rPr>
          <w:u w:val="single"/>
        </w:rPr>
        <w:lastRenderedPageBreak/>
        <w:t>Base Currency Bump Case NPV</w:t>
      </w:r>
      <w:r>
        <w:t xml:space="preserve">: Let NPV in USD be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After shifting the FX rate the NPV becomes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oMath>
      <w:r>
        <w:t xml:space="preserve">. The NPV difference on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p>
    <w:p w:rsidR="0070274C" w:rsidRDefault="003579EF" w:rsidP="00D83552">
      <w:pPr>
        <w:pStyle w:val="ListParagraph"/>
        <w:numPr>
          <w:ilvl w:val="0"/>
          <w:numId w:val="138"/>
        </w:numPr>
        <w:spacing w:after="200" w:line="360" w:lineRule="auto"/>
      </w:pPr>
      <w:r>
        <w:rPr>
          <w:u w:val="single"/>
        </w:rPr>
        <w:t>Base Currency FX Delta PnL</w:t>
      </w:r>
      <w:r>
        <w:t xml:space="preserve">: Let the FX delta in GBP be </w:t>
      </w:r>
      <m:oMath>
        <m:sSub>
          <m:sSubPr>
            <m:ctrlPr>
              <w:rPr>
                <w:rFonts w:ascii="Cambria Math" w:hAnsi="Cambria Math"/>
                <w:i/>
              </w:rPr>
            </m:ctrlPr>
          </m:sSubPr>
          <m:e>
            <m:r>
              <w:rPr>
                <w:rFonts w:ascii="Cambria Math" w:hAnsi="Cambria Math"/>
              </w:rPr>
              <m:t>D</m:t>
            </m:r>
          </m:e>
          <m:sub>
            <m:r>
              <w:rPr>
                <w:rFonts w:ascii="Cambria Math" w:hAnsi="Cambria Math"/>
              </w:rPr>
              <m:t>GBP</m:t>
            </m:r>
          </m:sub>
        </m:sSub>
      </m:oMath>
      <w:r w:rsidR="00CC2A5B">
        <w:t>. The FX risk on these trades is equivalent to holding this amount in GBP. The value change in USD after the FX shift for this amount of GBP is</w:t>
      </w:r>
    </w:p>
    <w:p w:rsidR="0070274C" w:rsidRDefault="0070274C" w:rsidP="0070274C">
      <w:pPr>
        <w:pStyle w:val="ListParagraph"/>
        <w:spacing w:after="200" w:line="360" w:lineRule="auto"/>
        <w:ind w:left="360"/>
        <w:rPr>
          <w:u w:val="single"/>
        </w:rPr>
      </w:pPr>
    </w:p>
    <w:p w:rsidR="003579EF" w:rsidRPr="0070274C" w:rsidRDefault="005D6A2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d>
            <m:dPr>
              <m:ctrlPr>
                <w:rPr>
                  <w:rFonts w:ascii="Cambria Math" w:hAnsi="Cambria Math"/>
                  <w:i/>
                </w:rPr>
              </m:ctrlPr>
            </m:dPr>
            <m:e>
              <m:r>
                <w:rPr>
                  <w:rFonts w:ascii="Cambria Math" w:hAnsi="Cambria Math"/>
                </w:rPr>
                <m:t>FX+∆FX-FX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∙∆FX</m:t>
          </m:r>
        </m:oMath>
      </m:oMathPara>
    </w:p>
    <w:p w:rsidR="0070274C" w:rsidRDefault="0070274C" w:rsidP="0070274C">
      <w:pPr>
        <w:pStyle w:val="ListParagraph"/>
        <w:spacing w:after="200" w:line="360" w:lineRule="auto"/>
        <w:ind w:left="360"/>
      </w:pPr>
    </w:p>
    <w:p w:rsidR="0070274C" w:rsidRDefault="00E571B9" w:rsidP="00D83552">
      <w:pPr>
        <w:pStyle w:val="ListParagraph"/>
        <w:numPr>
          <w:ilvl w:val="0"/>
          <w:numId w:val="138"/>
        </w:numPr>
        <w:spacing w:after="200" w:line="360" w:lineRule="auto"/>
      </w:pPr>
      <w:r>
        <w:rPr>
          <w:u w:val="single"/>
        </w:rPr>
        <w:t>Base Currency FX Position Delta</w:t>
      </w:r>
      <w:r>
        <w:t>: By equating these two risk quantities, the FX Delta is GBP becomes</w:t>
      </w:r>
    </w:p>
    <w:p w:rsidR="0070274C" w:rsidRDefault="0070274C" w:rsidP="0070274C">
      <w:pPr>
        <w:pStyle w:val="ListParagraph"/>
        <w:spacing w:after="200" w:line="360" w:lineRule="auto"/>
        <w:ind w:left="360"/>
        <w:rPr>
          <w:u w:val="single"/>
        </w:rPr>
      </w:pPr>
    </w:p>
    <w:p w:rsidR="00E571B9" w:rsidRPr="0070274C" w:rsidRDefault="005D6A2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t>Base Currency Position FX Gamma</w:t>
      </w:r>
      <w:r>
        <w:t>: FX delta can be calculated by up shift and down shift. The FX gamma is defined by</w:t>
      </w:r>
    </w:p>
    <w:p w:rsidR="0070274C" w:rsidRDefault="0070274C" w:rsidP="0070274C">
      <w:pPr>
        <w:pStyle w:val="ListParagraph"/>
        <w:spacing w:after="200" w:line="360" w:lineRule="auto"/>
        <w:ind w:left="360"/>
        <w:rPr>
          <w:u w:val="single"/>
        </w:rPr>
      </w:pPr>
    </w:p>
    <w:p w:rsidR="003F78EE" w:rsidRPr="0070274C" w:rsidRDefault="005D6A2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t>Quote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5D6A2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F78EE"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8EE" w:rsidRPr="0070274C" w:rsidRDefault="005D6A2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lastRenderedPageBreak/>
        <w:t>Position FX Delta and 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FX </w:t>
      </w:r>
      <w:r w:rsidR="00077E59">
        <w:t>can be approximated by the FX Delta and FX Gamma. According to</w:t>
      </w:r>
    </w:p>
    <w:p w:rsidR="0070274C" w:rsidRDefault="0070274C" w:rsidP="0070274C">
      <w:pPr>
        <w:pStyle w:val="ListParagraph"/>
        <w:spacing w:after="200" w:line="360" w:lineRule="auto"/>
        <w:ind w:left="360"/>
        <w:rPr>
          <w:u w:val="single"/>
        </w:rPr>
      </w:pPr>
    </w:p>
    <w:p w:rsidR="0070274C" w:rsidRDefault="005D6A2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m:t>
                  </m:r>
                  <m:r>
                    <w:rPr>
                      <w:rFonts w:ascii="Cambria Math" w:hAnsi="Cambria Math"/>
                    </w:rPr>
                    <m:t>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70274C" w:rsidRDefault="005D6A2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r>
        <w:t>one has</w:t>
      </w:r>
    </w:p>
    <w:p w:rsidR="0070274C" w:rsidRDefault="0070274C" w:rsidP="0070274C">
      <w:pPr>
        <w:pStyle w:val="ListParagraph"/>
        <w:spacing w:after="200" w:line="360" w:lineRule="auto"/>
        <w:ind w:left="360"/>
      </w:pPr>
    </w:p>
    <w:p w:rsidR="0070274C" w:rsidRDefault="005D6A2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3F78EE" w:rsidRPr="0070274C" w:rsidRDefault="005D6A2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D</m:t>
                  </m:r>
                </m:e>
                <m:sup>
                  <m:r>
                    <w:rPr>
                      <w:rFonts w:ascii="Cambria Math" w:hAnsi="Cambria Math"/>
                    </w:rPr>
                    <m:t>'</m:t>
                  </m:r>
                </m:sup>
              </m:sSup>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Delta Gamma Based FX PnL</w:t>
      </w:r>
      <w:r>
        <w:t>: Finally</w:t>
      </w:r>
    </w:p>
    <w:p w:rsidR="0070274C" w:rsidRDefault="0070274C" w:rsidP="0070274C">
      <w:pPr>
        <w:pStyle w:val="ListParagraph"/>
        <w:spacing w:after="200" w:line="360" w:lineRule="auto"/>
        <w:ind w:left="360"/>
        <w:rPr>
          <w:u w:val="single"/>
        </w:rPr>
      </w:pPr>
    </w:p>
    <w:p w:rsidR="003A66D4" w:rsidRPr="0070274C" w:rsidRDefault="005D6A2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Daily Change in FX Delta</w:t>
      </w:r>
      <w:r>
        <w:t>: The daily change in FX delta</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70274C">
      <w:pPr>
        <w:pStyle w:val="ListParagraph"/>
        <w:spacing w:after="200" w:line="360" w:lineRule="auto"/>
        <w:ind w:left="360"/>
      </w:pPr>
      <w:r>
        <w:t>is</w:t>
      </w:r>
    </w:p>
    <w:p w:rsidR="0070274C" w:rsidRDefault="0070274C" w:rsidP="0070274C">
      <w:pPr>
        <w:pStyle w:val="ListParagraph"/>
        <w:spacing w:after="200" w:line="360" w:lineRule="auto"/>
        <w:ind w:left="360"/>
      </w:pPr>
    </w:p>
    <w:p w:rsidR="003A66D4" w:rsidRPr="0070274C" w:rsidRDefault="005D6A2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Base Currency Daily FX PnL</w:t>
      </w:r>
      <w:r>
        <w:t>: For the case of USD as the base currency in the base/quote pair, the FX rate is quoted as</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USDJPY=120</m:t>
          </m:r>
        </m:oMath>
      </m:oMathPara>
    </w:p>
    <w:p w:rsidR="0070274C" w:rsidRDefault="0070274C" w:rsidP="0070274C">
      <w:pPr>
        <w:pStyle w:val="ListParagraph"/>
        <w:spacing w:after="200" w:line="360" w:lineRule="auto"/>
        <w:ind w:left="360"/>
      </w:pPr>
    </w:p>
    <w:p w:rsidR="003A66D4" w:rsidRDefault="003A66D4" w:rsidP="0070274C">
      <w:pPr>
        <w:pStyle w:val="ListParagraph"/>
        <w:spacing w:after="200" w:line="360" w:lineRule="auto"/>
        <w:ind w:left="360"/>
      </w:pPr>
      <w:r>
        <w:t xml:space="preserve">The NPV difference by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in USD.</w:t>
      </w:r>
    </w:p>
    <w:p w:rsidR="0070274C" w:rsidRDefault="003A66D4" w:rsidP="00D83552">
      <w:pPr>
        <w:pStyle w:val="ListParagraph"/>
        <w:numPr>
          <w:ilvl w:val="0"/>
          <w:numId w:val="138"/>
        </w:numPr>
        <w:spacing w:after="200" w:line="360" w:lineRule="auto"/>
      </w:pPr>
      <w:r>
        <w:rPr>
          <w:u w:val="single"/>
        </w:rPr>
        <w:t xml:space="preserve">The </w:t>
      </w:r>
      <w:r w:rsidRPr="003A66D4">
        <w:rPr>
          <w:i/>
          <w:u w:val="single"/>
        </w:rPr>
        <w:t>Other Currency</w:t>
      </w:r>
      <w:r>
        <w:rPr>
          <w:u w:val="single"/>
        </w:rPr>
        <w:t xml:space="preserve"> Delta PnL</w:t>
      </w:r>
      <w:r w:rsidRPr="003A66D4">
        <w:t>:</w:t>
      </w:r>
      <w:r>
        <w:t xml:space="preserve"> Let FX delta in JPY be </w:t>
      </w:r>
      <m:oMath>
        <m:sSub>
          <m:sSubPr>
            <m:ctrlPr>
              <w:rPr>
                <w:rFonts w:ascii="Cambria Math" w:hAnsi="Cambria Math"/>
                <w:i/>
              </w:rPr>
            </m:ctrlPr>
          </m:sSubPr>
          <m:e>
            <m:r>
              <w:rPr>
                <w:rFonts w:ascii="Cambria Math" w:hAnsi="Cambria Math"/>
              </w:rPr>
              <m:t>D</m:t>
            </m:r>
          </m:e>
          <m:sub>
            <m:r>
              <w:rPr>
                <w:rFonts w:ascii="Cambria Math" w:hAnsi="Cambria Math"/>
              </w:rPr>
              <m:t>JPY</m:t>
            </m:r>
          </m:sub>
        </m:sSub>
      </m:oMath>
      <w:r>
        <w:t>. The FX risk of this trade is equivalent to holding this amount of JPY. The value of change in USD after FX shift for this amount of JPY is</w:t>
      </w:r>
    </w:p>
    <w:p w:rsidR="0070274C" w:rsidRDefault="0070274C" w:rsidP="0070274C">
      <w:pPr>
        <w:pStyle w:val="ListParagraph"/>
        <w:spacing w:after="200" w:line="360" w:lineRule="auto"/>
        <w:ind w:left="360"/>
        <w:rPr>
          <w:u w:val="single"/>
        </w:rPr>
      </w:pPr>
    </w:p>
    <w:p w:rsidR="003A66D4" w:rsidRPr="0070274C" w:rsidRDefault="005D6A2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FX+∆FX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FX</m:t>
                  </m:r>
                </m:den>
              </m:f>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f>
            <m:fPr>
              <m:ctrlPr>
                <w:rPr>
                  <w:rFonts w:ascii="Cambria Math" w:hAnsi="Cambria Math"/>
                  <w:i/>
                </w:rPr>
              </m:ctrlPr>
            </m:fPr>
            <m:num>
              <m:r>
                <w:rPr>
                  <w:rFonts w:ascii="Cambria Math" w:hAnsi="Cambria Math"/>
                </w:rPr>
                <m:t>-∆FX</m:t>
              </m:r>
            </m:num>
            <m:den>
              <m:r>
                <w:rPr>
                  <w:rFonts w:ascii="Cambria Math" w:hAnsi="Cambria Math"/>
                </w:rPr>
                <m:t>FX</m:t>
              </m:r>
              <m:d>
                <m:dPr>
                  <m:ctrlPr>
                    <w:rPr>
                      <w:rFonts w:ascii="Cambria Math" w:hAnsi="Cambria Math"/>
                      <w:i/>
                    </w:rPr>
                  </m:ctrlPr>
                </m:dPr>
                <m:e>
                  <m:r>
                    <w:rPr>
                      <w:rFonts w:ascii="Cambria Math" w:hAnsi="Cambria Math"/>
                    </w:rPr>
                    <m:t>FX+∆FX</m:t>
                  </m:r>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r>
                <w:rPr>
                  <w:rFonts w:ascii="Cambria Math" w:hAnsi="Cambria Math"/>
                </w:rPr>
                <m:t>-∆FX</m:t>
              </m:r>
            </m:num>
            <m:den>
              <m:sSup>
                <m:sSupPr>
                  <m:ctrlPr>
                    <w:rPr>
                      <w:rFonts w:ascii="Cambria Math" w:hAnsi="Cambria Math"/>
                      <w:i/>
                    </w:rPr>
                  </m:ctrlPr>
                </m:sSupPr>
                <m:e>
                  <m:r>
                    <w:rPr>
                      <w:rFonts w:ascii="Cambria Math" w:hAnsi="Cambria Math"/>
                    </w:rPr>
                    <m:t>FX</m:t>
                  </m:r>
                </m:e>
                <m:sup>
                  <m:r>
                    <w:rPr>
                      <w:rFonts w:ascii="Cambria Math" w:hAnsi="Cambria Math"/>
                    </w:rPr>
                    <m:t>2</m:t>
                  </m:r>
                </m:sup>
              </m:sSup>
            </m:den>
          </m:f>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Quote Currency FX Delta</w:t>
      </w:r>
      <w:r>
        <w:t>: By equating these two risk quantities the FX Delta in JPY becomes</w:t>
      </w:r>
    </w:p>
    <w:p w:rsidR="0070274C" w:rsidRDefault="0070274C" w:rsidP="0070274C">
      <w:pPr>
        <w:pStyle w:val="ListParagraph"/>
        <w:spacing w:after="200" w:line="360" w:lineRule="auto"/>
        <w:ind w:left="360"/>
        <w:rPr>
          <w:u w:val="single"/>
        </w:rPr>
      </w:pPr>
    </w:p>
    <w:p w:rsidR="003F7E82" w:rsidRPr="0070274C" w:rsidRDefault="005D6A2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Base Currency FX Delta</w:t>
      </w:r>
      <w:r>
        <w:t>: Then the FX delta in the base currency USD is</w:t>
      </w:r>
    </w:p>
    <w:p w:rsidR="0070274C" w:rsidRDefault="0070274C" w:rsidP="0070274C">
      <w:pPr>
        <w:pStyle w:val="ListParagraph"/>
        <w:spacing w:after="200" w:line="360" w:lineRule="auto"/>
        <w:ind w:left="360"/>
        <w:rPr>
          <w:u w:val="single"/>
        </w:rPr>
      </w:pPr>
    </w:p>
    <w:p w:rsidR="003F7E82" w:rsidRPr="0070274C" w:rsidRDefault="005D6A2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Base Currency FX Gamma</w:t>
      </w:r>
      <w:r>
        <w:t>: The FX gamma is then calculated by the up/down shifts of the delta</w:t>
      </w:r>
    </w:p>
    <w:p w:rsidR="0070274C" w:rsidRDefault="0070274C" w:rsidP="0070274C">
      <w:pPr>
        <w:pStyle w:val="ListParagraph"/>
        <w:spacing w:after="200" w:line="360" w:lineRule="auto"/>
        <w:ind w:left="360"/>
        <w:rPr>
          <w:u w:val="single"/>
        </w:rPr>
      </w:pPr>
    </w:p>
    <w:p w:rsidR="003F7E82" w:rsidRPr="0070274C" w:rsidRDefault="005D6A2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Base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5D6A2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E82" w:rsidRPr="0070274C" w:rsidRDefault="005D6A2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t>Base Currency Position Delta/Gamma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the FX can be approximated in terms of the delta and the gamma. According to</w:t>
      </w:r>
    </w:p>
    <w:p w:rsidR="0070274C" w:rsidRDefault="0070274C" w:rsidP="0070274C">
      <w:pPr>
        <w:pStyle w:val="ListParagraph"/>
        <w:spacing w:after="200" w:line="360" w:lineRule="auto"/>
        <w:ind w:left="360"/>
        <w:rPr>
          <w:u w:val="single"/>
        </w:rPr>
      </w:pPr>
    </w:p>
    <w:p w:rsidR="0070274C" w:rsidRDefault="005D6A2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70274C" w:rsidRDefault="005D6A2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one has</w:t>
      </w:r>
    </w:p>
    <w:p w:rsidR="0070274C" w:rsidRDefault="0070274C" w:rsidP="0070274C">
      <w:pPr>
        <w:pStyle w:val="ListParagraph"/>
        <w:spacing w:after="200" w:line="360" w:lineRule="auto"/>
        <w:ind w:left="360"/>
      </w:pPr>
    </w:p>
    <w:p w:rsidR="0070274C" w:rsidRDefault="005D6A2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F51434" w:rsidRPr="0070274C" w:rsidRDefault="005D6A2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lastRenderedPageBreak/>
        <w:t>The Position Delta/Gamma PnL</w:t>
      </w:r>
      <w:r>
        <w:t>: Finally</w:t>
      </w:r>
    </w:p>
    <w:p w:rsidR="0070274C" w:rsidRDefault="0070274C" w:rsidP="0070274C">
      <w:pPr>
        <w:pStyle w:val="ListParagraph"/>
        <w:spacing w:after="200" w:line="360" w:lineRule="auto"/>
        <w:ind w:left="360"/>
        <w:rPr>
          <w:u w:val="single"/>
        </w:rPr>
      </w:pPr>
    </w:p>
    <w:p w:rsidR="00F51434" w:rsidRPr="0070274C" w:rsidRDefault="005D6A2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USD</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t>The FX Delta Daily Change</w:t>
      </w:r>
      <w:r>
        <w:t>: The daily change of FX delta  is</w:t>
      </w:r>
    </w:p>
    <w:p w:rsidR="0070274C" w:rsidRDefault="0070274C" w:rsidP="0070274C">
      <w:pPr>
        <w:pStyle w:val="ListParagraph"/>
        <w:spacing w:after="200" w:line="360" w:lineRule="auto"/>
        <w:ind w:left="360"/>
        <w:rPr>
          <w:u w:val="single"/>
        </w:rPr>
      </w:pPr>
    </w:p>
    <w:p w:rsid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m:t>
              </m:r>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70274C">
      <w:pPr>
        <w:pStyle w:val="ListParagraph"/>
        <w:spacing w:after="200" w:line="360" w:lineRule="auto"/>
        <w:ind w:left="360"/>
      </w:pPr>
      <w:r>
        <w:t>is</w:t>
      </w:r>
    </w:p>
    <w:p w:rsidR="0070274C" w:rsidRDefault="0070274C" w:rsidP="0070274C">
      <w:pPr>
        <w:pStyle w:val="ListParagraph"/>
        <w:spacing w:after="200" w:line="360" w:lineRule="auto"/>
        <w:ind w:left="360"/>
      </w:pPr>
    </w:p>
    <w:p w:rsidR="00F51434" w:rsidRP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D83552">
      <w:pPr>
        <w:pStyle w:val="ListParagraph"/>
        <w:numPr>
          <w:ilvl w:val="0"/>
          <w:numId w:val="138"/>
        </w:numPr>
        <w:spacing w:after="200" w:line="360" w:lineRule="auto"/>
      </w:pPr>
      <w:r>
        <w:rPr>
          <w:u w:val="single"/>
        </w:rPr>
        <w:t>GBP/USD FX Delta/Gamma</w:t>
      </w:r>
      <w:r>
        <w:t>: In summary the GBP/USD FX deltas and gammas are calculated by</w:t>
      </w:r>
    </w:p>
    <w:p w:rsidR="0070274C" w:rsidRDefault="0070274C" w:rsidP="0070274C">
      <w:pPr>
        <w:pStyle w:val="ListParagraph"/>
        <w:spacing w:after="200" w:line="360" w:lineRule="auto"/>
        <w:ind w:left="360"/>
        <w:rPr>
          <w:u w:val="single"/>
        </w:rPr>
      </w:pPr>
    </w:p>
    <w:p w:rsidR="0070274C" w:rsidRDefault="005D6A2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5D6A2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-FX</m:t>
              </m:r>
            </m:e>
          </m:d>
        </m:oMath>
      </m:oMathPara>
    </w:p>
    <w:p w:rsidR="0070274C" w:rsidRDefault="0070274C" w:rsidP="0070274C">
      <w:pPr>
        <w:pStyle w:val="ListParagraph"/>
        <w:spacing w:after="200" w:line="360" w:lineRule="auto"/>
        <w:ind w:left="360"/>
      </w:pPr>
    </w:p>
    <w:p w:rsidR="00100D36" w:rsidRPr="0070274C" w:rsidRDefault="005D6A2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CF32F1" w:rsidP="00D83552">
      <w:pPr>
        <w:pStyle w:val="ListParagraph"/>
        <w:numPr>
          <w:ilvl w:val="0"/>
          <w:numId w:val="138"/>
        </w:numPr>
        <w:spacing w:after="200" w:line="360" w:lineRule="auto"/>
      </w:pPr>
      <w:r>
        <w:rPr>
          <w:u w:val="single"/>
        </w:rPr>
        <w:t>USD/JPY FX Delta/Gamma</w:t>
      </w:r>
      <w:r>
        <w:t>:</w:t>
      </w:r>
    </w:p>
    <w:p w:rsidR="0070274C" w:rsidRDefault="0070274C" w:rsidP="0070274C">
      <w:pPr>
        <w:pStyle w:val="ListParagraph"/>
        <w:spacing w:after="200" w:line="360" w:lineRule="auto"/>
        <w:ind w:left="360"/>
        <w:rPr>
          <w:u w:val="single"/>
        </w:rPr>
      </w:pPr>
    </w:p>
    <w:p w:rsidR="0070274C" w:rsidRDefault="005D6A2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5D6A2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CF32F1" w:rsidRPr="0070274C" w:rsidRDefault="005D6A2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B4E1A" w:rsidRDefault="007B4E1A" w:rsidP="00D83552">
      <w:pPr>
        <w:pStyle w:val="ListParagraph"/>
        <w:numPr>
          <w:ilvl w:val="0"/>
          <w:numId w:val="138"/>
        </w:numPr>
        <w:spacing w:after="200" w:line="360" w:lineRule="auto"/>
      </w:pPr>
      <w:r>
        <w:rPr>
          <w:u w:val="single"/>
        </w:rPr>
        <w:t>Position FX Delta and Gamma</w:t>
      </w:r>
      <w:r>
        <w:t xml:space="preserve">: With the FX average delta and gamma the daily PnL and the change of FX delta from the FX rate movement can be calculated from the day </w:t>
      </w:r>
      <m:oMath>
        <m:r>
          <w:rPr>
            <w:rFonts w:ascii="Cambria Math" w:hAnsi="Cambria Math"/>
          </w:rPr>
          <m:t>T</m:t>
        </m:r>
      </m:oMath>
      <w:r>
        <w:t xml:space="preserve"> to the next day </w:t>
      </w:r>
      <m:oMath>
        <m:r>
          <w:rPr>
            <w:rFonts w:ascii="Cambria Math" w:hAnsi="Cambria Math"/>
          </w:rPr>
          <m:t>T+1</m:t>
        </m:r>
      </m:oMath>
      <w:r>
        <w:t xml:space="preserve"> respectively as follows.</w:t>
      </w:r>
    </w:p>
    <w:p w:rsidR="0070274C" w:rsidRDefault="000A6E38" w:rsidP="00D83552">
      <w:pPr>
        <w:pStyle w:val="ListParagraph"/>
        <w:numPr>
          <w:ilvl w:val="0"/>
          <w:numId w:val="138"/>
        </w:numPr>
        <w:spacing w:after="200" w:line="360" w:lineRule="auto"/>
      </w:pPr>
      <w:r>
        <w:rPr>
          <w:u w:val="single"/>
        </w:rPr>
        <w:t>GBP/USD Delta Gamma PnL</w:t>
      </w:r>
      <w:r>
        <w:t>:</w:t>
      </w:r>
    </w:p>
    <w:p w:rsidR="0070274C" w:rsidRDefault="0070274C" w:rsidP="0070274C">
      <w:pPr>
        <w:pStyle w:val="ListParagraph"/>
        <w:spacing w:after="200" w:line="360" w:lineRule="auto"/>
        <w:ind w:left="360"/>
        <w:rPr>
          <w:u w:val="single"/>
        </w:rPr>
      </w:pPr>
    </w:p>
    <w:p w:rsidR="0070274C" w:rsidRDefault="005D6A2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B4E1A" w:rsidRPr="0070274C"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B3417C" w:rsidP="00D83552">
      <w:pPr>
        <w:pStyle w:val="ListParagraph"/>
        <w:numPr>
          <w:ilvl w:val="0"/>
          <w:numId w:val="138"/>
        </w:numPr>
        <w:spacing w:after="200" w:line="360" w:lineRule="auto"/>
      </w:pPr>
      <w:r>
        <w:rPr>
          <w:u w:val="single"/>
        </w:rPr>
        <w:t>USD</w:t>
      </w:r>
      <w:r w:rsidR="000A6E38">
        <w:rPr>
          <w:u w:val="single"/>
        </w:rPr>
        <w:t>/</w:t>
      </w:r>
      <w:r>
        <w:rPr>
          <w:u w:val="single"/>
        </w:rPr>
        <w:t>JPY</w:t>
      </w:r>
      <w:r w:rsidR="000A6E38">
        <w:rPr>
          <w:u w:val="single"/>
        </w:rPr>
        <w:t xml:space="preserve"> Delta Gamma PnL</w:t>
      </w:r>
      <w:r w:rsidR="000A6E38">
        <w:t>:</w:t>
      </w:r>
    </w:p>
    <w:p w:rsidR="0070274C" w:rsidRDefault="0070274C" w:rsidP="0070274C">
      <w:pPr>
        <w:pStyle w:val="ListParagraph"/>
        <w:spacing w:after="200" w:line="360" w:lineRule="auto"/>
        <w:ind w:left="360"/>
        <w:rPr>
          <w:u w:val="single"/>
        </w:rPr>
      </w:pPr>
    </w:p>
    <w:p w:rsidR="0070274C" w:rsidRDefault="005D6A2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0A6E38"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831741" w:rsidRDefault="00831741" w:rsidP="007A09A2">
      <w:pPr>
        <w:spacing w:after="200" w:line="360" w:lineRule="auto"/>
      </w:pPr>
    </w:p>
    <w:p w:rsidR="00296C4B" w:rsidRDefault="00296C4B" w:rsidP="007A09A2">
      <w:pPr>
        <w:spacing w:after="200" w:line="360" w:lineRule="auto"/>
      </w:pPr>
    </w:p>
    <w:p w:rsidR="00296C4B" w:rsidRPr="00CC314B" w:rsidRDefault="00296C4B" w:rsidP="007A09A2">
      <w:pPr>
        <w:spacing w:after="200" w:line="360" w:lineRule="auto"/>
        <w:rPr>
          <w:b/>
          <w:sz w:val="28"/>
          <w:szCs w:val="28"/>
        </w:rPr>
      </w:pPr>
      <w:r w:rsidRPr="00CC314B">
        <w:rPr>
          <w:b/>
          <w:sz w:val="28"/>
          <w:szCs w:val="28"/>
        </w:rPr>
        <w:t>Negative Rate Distribution in XCCY swap CVA Model</w:t>
      </w:r>
    </w:p>
    <w:p w:rsidR="00296C4B" w:rsidRDefault="00296C4B" w:rsidP="007A09A2">
      <w:pPr>
        <w:spacing w:after="200" w:line="360" w:lineRule="auto"/>
      </w:pPr>
    </w:p>
    <w:p w:rsidR="00296C4B" w:rsidRDefault="00296C4B" w:rsidP="00D83552">
      <w:pPr>
        <w:pStyle w:val="ListParagraph"/>
        <w:numPr>
          <w:ilvl w:val="0"/>
          <w:numId w:val="139"/>
        </w:numPr>
        <w:spacing w:after="200" w:line="360" w:lineRule="auto"/>
      </w:pPr>
      <w:r w:rsidRPr="00CC314B">
        <w:rPr>
          <w:u w:val="single"/>
        </w:rPr>
        <w:t>Negative Rates from Monte Carlo</w:t>
      </w:r>
      <w:r>
        <w:t xml:space="preserve">: The XCCY swap CVA is based on Monte Carlo simulation. At each time step the interest rates in each currency is evolved to the next time </w:t>
      </w:r>
      <w:r>
        <w:lastRenderedPageBreak/>
        <w:t>step. By counting the paths with negative rates the statistics on negative rates on each credit date can be generated.</w:t>
      </w:r>
    </w:p>
    <w:p w:rsidR="005D0F14" w:rsidRDefault="005D0F14" w:rsidP="00D83552">
      <w:pPr>
        <w:pStyle w:val="ListParagraph"/>
        <w:numPr>
          <w:ilvl w:val="0"/>
          <w:numId w:val="139"/>
        </w:numPr>
        <w:spacing w:after="200" w:line="360" w:lineRule="auto"/>
      </w:pPr>
      <w:r>
        <w:rPr>
          <w:u w:val="single"/>
        </w:rPr>
        <w:t>Generation of Negative Rate Statistics</w:t>
      </w:r>
      <w:r w:rsidRPr="005D0F14">
        <w:t>:</w:t>
      </w:r>
      <w:r>
        <w:t xml:space="preserve"> A distribution of negative rates for each currency has been added in the model output. The same set of credit dates as in the CVA/DVA profile is used to show the percent of negative rates on each credit date.</w:t>
      </w:r>
    </w:p>
    <w:p w:rsidR="005D0F14" w:rsidRDefault="005D0F14" w:rsidP="005D0F14">
      <w:pPr>
        <w:spacing w:after="200" w:line="360" w:lineRule="auto"/>
      </w:pPr>
    </w:p>
    <w:p w:rsidR="005D0F14" w:rsidRDefault="005D0F14" w:rsidP="005D0F14">
      <w:pPr>
        <w:spacing w:after="200" w:line="360" w:lineRule="auto"/>
      </w:pPr>
    </w:p>
    <w:p w:rsidR="005D0F14" w:rsidRPr="005D0F14" w:rsidRDefault="005D0F14" w:rsidP="005D0F14">
      <w:pPr>
        <w:spacing w:after="200" w:line="360" w:lineRule="auto"/>
        <w:rPr>
          <w:b/>
          <w:sz w:val="28"/>
          <w:szCs w:val="28"/>
        </w:rPr>
      </w:pPr>
      <w:r w:rsidRPr="005D0F14">
        <w:rPr>
          <w:b/>
          <w:sz w:val="28"/>
          <w:szCs w:val="28"/>
        </w:rPr>
        <w:t>CVA/DVA of Credit Products</w:t>
      </w:r>
    </w:p>
    <w:p w:rsidR="005D0F14" w:rsidRDefault="005D0F14" w:rsidP="005D0F14">
      <w:pPr>
        <w:spacing w:after="200" w:line="360" w:lineRule="auto"/>
      </w:pPr>
    </w:p>
    <w:p w:rsidR="005D0F14" w:rsidRDefault="005D0F14" w:rsidP="00D83552">
      <w:pPr>
        <w:pStyle w:val="ListParagraph"/>
        <w:numPr>
          <w:ilvl w:val="0"/>
          <w:numId w:val="140"/>
        </w:numPr>
        <w:spacing w:after="200" w:line="360" w:lineRule="auto"/>
      </w:pPr>
      <w:r w:rsidRPr="005D0F14">
        <w:rPr>
          <w:u w:val="single"/>
        </w:rPr>
        <w:t>Factor Copula Based Static Model</w:t>
      </w:r>
      <w:r>
        <w:t>: Two methods are provided to evaluate CVA/DVA in the portfolio of CDS. The first method is based on a static model, where a factor copula is used to generate the correlated default times.</w:t>
      </w:r>
    </w:p>
    <w:p w:rsidR="005D0F14" w:rsidRDefault="005D0F14" w:rsidP="00D83552">
      <w:pPr>
        <w:pStyle w:val="ListParagraph"/>
        <w:numPr>
          <w:ilvl w:val="0"/>
          <w:numId w:val="140"/>
        </w:numPr>
        <w:spacing w:after="200" w:line="360" w:lineRule="auto"/>
      </w:pPr>
      <w:r>
        <w:rPr>
          <w:u w:val="single"/>
        </w:rPr>
        <w:t>Brute Force Based Hybrid Approach</w:t>
      </w:r>
      <w:r w:rsidRPr="005D0F14">
        <w:t>:</w:t>
      </w:r>
      <w:r>
        <w:t xml:space="preserve"> This method allows pricing risk in a hybrid approach where the forward values of the CDS portfolio can be produced externally, and the NPV’s consumed by DRIP, from where a lower estimate of risk – consistent with th</w:t>
      </w:r>
      <w:r w:rsidR="005772F3">
        <w:t>e model and the input correlation</w:t>
      </w:r>
      <w:r>
        <w:t xml:space="preserve"> – can be calculated.</w:t>
      </w:r>
    </w:p>
    <w:p w:rsidR="00A611B3" w:rsidRDefault="00A611B3" w:rsidP="00D83552">
      <w:pPr>
        <w:pStyle w:val="ListParagraph"/>
        <w:numPr>
          <w:ilvl w:val="0"/>
          <w:numId w:val="140"/>
        </w:numPr>
        <w:spacing w:after="200" w:line="360" w:lineRule="auto"/>
      </w:pPr>
      <w:r>
        <w:rPr>
          <w:u w:val="single"/>
        </w:rPr>
        <w:t>Estimating the Lower/Upper Bounds</w:t>
      </w:r>
      <w:r w:rsidRPr="00A611B3">
        <w:t>:</w:t>
      </w:r>
      <w:r w:rsidR="00F35FE4">
        <w:t xml:space="preserve"> An upper estimate can also be made in the hybrid approach, although it is to be noted that a better calculation – using a recursive method not available in the hybrid approach – tends to be closer to the lower than to the upper estimate.</w:t>
      </w:r>
    </w:p>
    <w:p w:rsidR="00F35FE4" w:rsidRDefault="00F35FE4" w:rsidP="00D83552">
      <w:pPr>
        <w:pStyle w:val="ListParagraph"/>
        <w:numPr>
          <w:ilvl w:val="0"/>
          <w:numId w:val="140"/>
        </w:numPr>
        <w:spacing w:after="200" w:line="360" w:lineRule="auto"/>
      </w:pPr>
      <w:r>
        <w:rPr>
          <w:u w:val="single"/>
        </w:rPr>
        <w:t>Joint Market Factor Evolution Model</w:t>
      </w:r>
      <w:r w:rsidRPr="00F35FE4">
        <w:t>:</w:t>
      </w:r>
      <w:r>
        <w:t xml:space="preserve"> The second method is a Monte Carlo based simulation that follows the joint correlated evolution of the short rate, the hazard rate intensities of the credit names reference in the underlying portfolio, and also the intensities of the bank and the counter party. A reduced dimensionality (4 factor) has also been implemented for comparison.</w:t>
      </w:r>
    </w:p>
    <w:p w:rsidR="0029706F" w:rsidRDefault="00F35FE4" w:rsidP="00D83552">
      <w:pPr>
        <w:pStyle w:val="ListParagraph"/>
        <w:numPr>
          <w:ilvl w:val="0"/>
          <w:numId w:val="140"/>
        </w:numPr>
        <w:spacing w:after="200" w:line="360" w:lineRule="auto"/>
      </w:pPr>
      <w:r>
        <w:rPr>
          <w:u w:val="single"/>
        </w:rPr>
        <w:t>Bank/Counter Party Entity Defaults</w:t>
      </w:r>
      <w:r>
        <w:t>: In the simulation one can observer either the defaults o</w:t>
      </w:r>
      <w:r w:rsidR="00826ED9">
        <w:t>f the bank or the counter party, and track the default of the credit names referenced in the portfolio, which allows computation of the payoff</w:t>
      </w:r>
    </w:p>
    <w:p w:rsidR="0029706F" w:rsidRDefault="0029706F" w:rsidP="0029706F">
      <w:pPr>
        <w:pStyle w:val="ListParagraph"/>
        <w:spacing w:after="200" w:line="360" w:lineRule="auto"/>
        <w:ind w:left="360"/>
        <w:rPr>
          <w:u w:val="single"/>
        </w:rPr>
      </w:pPr>
    </w:p>
    <w:p w:rsidR="0029706F" w:rsidRDefault="00826ED9" w:rsidP="0029706F">
      <w:pPr>
        <w:pStyle w:val="ListParagraph"/>
        <w:spacing w:after="200" w:line="360" w:lineRule="auto"/>
        <w:ind w:left="360"/>
      </w:pPr>
      <m:oMathPara>
        <m:oMath>
          <m:r>
            <w:rPr>
              <w:rFonts w:ascii="Cambria Math" w:hAnsi="Cambria Math"/>
            </w:rPr>
            <w:lastRenderedPageBreak/>
            <m:t>Adjustm</m:t>
          </m:r>
          <m:r>
            <w:rPr>
              <w:rFonts w:ascii="Cambria Math" w:hAnsi="Cambria Math"/>
            </w:rPr>
            <m:t>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29706F" w:rsidRDefault="0029706F" w:rsidP="0029706F">
      <w:pPr>
        <w:pStyle w:val="ListParagraph"/>
        <w:spacing w:after="200" w:line="360" w:lineRule="auto"/>
        <w:ind w:left="360"/>
      </w:pPr>
    </w:p>
    <w:p w:rsidR="00F35FE4" w:rsidRDefault="00826ED9" w:rsidP="0029706F">
      <w:pPr>
        <w:pStyle w:val="ListParagraph"/>
        <w:spacing w:after="200" w:line="360" w:lineRule="auto"/>
        <w:ind w:left="360"/>
      </w:pPr>
      <w:r>
        <w:t>in each simulation path. The credit dynamics can be set to either HW or CIR++. While both tend to produce similar results at small and moderate volatilities, CIR++ is preferred.</w:t>
      </w:r>
    </w:p>
    <w:p w:rsidR="00826ED9" w:rsidRDefault="00826ED9" w:rsidP="00D83552">
      <w:pPr>
        <w:pStyle w:val="ListParagraph"/>
        <w:numPr>
          <w:ilvl w:val="0"/>
          <w:numId w:val="140"/>
        </w:numPr>
        <w:spacing w:after="200" w:line="360" w:lineRule="auto"/>
      </w:pPr>
      <w:r>
        <w:rPr>
          <w:u w:val="single"/>
        </w:rPr>
        <w:t>HW vs. CIR++ Model Comparison</w:t>
      </w:r>
      <w:r w:rsidRPr="00826ED9">
        <w:t>:</w:t>
      </w:r>
      <w:r>
        <w:t xml:space="preserve"> This is because in HW the short rate has a finite probability of becoming negative with typical credit market volatilities, while the CIR++ model parameters can be chosen in such a way to ensure that the short rate is positive.</w:t>
      </w:r>
    </w:p>
    <w:p w:rsidR="0029706F" w:rsidRDefault="0029706F" w:rsidP="00D83552">
      <w:pPr>
        <w:pStyle w:val="ListParagraph"/>
        <w:numPr>
          <w:ilvl w:val="0"/>
          <w:numId w:val="140"/>
        </w:numPr>
        <w:spacing w:after="200" w:line="360" w:lineRule="auto"/>
      </w:pPr>
      <w:r>
        <w:rPr>
          <w:u w:val="single"/>
        </w:rPr>
        <w:t>Spread Based Dynamic Model Parameters</w:t>
      </w:r>
      <w:r w:rsidRPr="0029706F">
        <w:t>:</w:t>
      </w:r>
      <w:r>
        <w:t xml:space="preserve"> In general use of the dynamic model is recommended as it addresses several shortcomings of the static model. The dynamic model parameters can be estimated from historical information, as they involve spread correlation and spread volatilities.</w:t>
      </w:r>
    </w:p>
    <w:p w:rsidR="0029706F" w:rsidRDefault="0029706F" w:rsidP="0029706F">
      <w:pPr>
        <w:spacing w:after="200" w:line="360" w:lineRule="auto"/>
      </w:pPr>
    </w:p>
    <w:p w:rsidR="0029706F" w:rsidRDefault="0029706F" w:rsidP="0029706F">
      <w:pPr>
        <w:spacing w:after="200" w:line="360" w:lineRule="auto"/>
      </w:pPr>
    </w:p>
    <w:p w:rsidR="0029706F" w:rsidRPr="0029706F" w:rsidRDefault="0029706F" w:rsidP="0029706F">
      <w:pPr>
        <w:spacing w:after="200" w:line="360" w:lineRule="auto"/>
        <w:rPr>
          <w:b/>
          <w:sz w:val="28"/>
          <w:szCs w:val="28"/>
        </w:rPr>
      </w:pPr>
      <w:r w:rsidRPr="0029706F">
        <w:rPr>
          <w:b/>
          <w:sz w:val="28"/>
          <w:szCs w:val="28"/>
        </w:rPr>
        <w:t>An approximate Method to combine Credit Exposure Profiles with a given Correlation</w:t>
      </w:r>
    </w:p>
    <w:p w:rsidR="0029706F" w:rsidRDefault="0029706F" w:rsidP="0029706F">
      <w:pPr>
        <w:spacing w:after="200" w:line="360" w:lineRule="auto"/>
      </w:pPr>
    </w:p>
    <w:p w:rsidR="0029706F" w:rsidRDefault="0029706F" w:rsidP="00D83552">
      <w:pPr>
        <w:pStyle w:val="ListParagraph"/>
        <w:numPr>
          <w:ilvl w:val="0"/>
          <w:numId w:val="141"/>
        </w:numPr>
        <w:spacing w:after="200" w:line="360" w:lineRule="auto"/>
      </w:pPr>
      <w:r w:rsidRPr="0029706F">
        <w:rPr>
          <w:u w:val="single"/>
        </w:rPr>
        <w:t>Cross XVA Model Exposure Combination</w:t>
      </w:r>
      <w:r>
        <w:t>: This chapter formulates an approximate method to combine credit exposure profiles from two different CVA/DVA models to estimate the impact of cross-asset correlation and netting in credit valuation. For example, for a counter party with interest rate and commodity exposures, each credit exposure for each asset class can be calculated from the corresponding CVA/DVA model; the approximation method can combine credit exposure profiles from the interest rate CVA/DVA and the commodity CVA/DVA models.</w:t>
      </w:r>
    </w:p>
    <w:p w:rsidR="0029706F" w:rsidRDefault="005344A9" w:rsidP="00D83552">
      <w:pPr>
        <w:pStyle w:val="ListParagraph"/>
        <w:numPr>
          <w:ilvl w:val="0"/>
          <w:numId w:val="141"/>
        </w:numPr>
        <w:spacing w:after="200" w:line="360" w:lineRule="auto"/>
      </w:pPr>
      <w:r>
        <w:rPr>
          <w:u w:val="single"/>
        </w:rPr>
        <w:t>Combination of Positive/Negative Exposures</w:t>
      </w:r>
      <w:r>
        <w:t xml:space="preserve">: Each model provides period-wise positive and negative credit exposures, following which additional steps are needed for pre-processing the </w:t>
      </w:r>
      <w:r>
        <w:lastRenderedPageBreak/>
        <w:t>credit profiles before combining them. The first step is to normalize the credit dates that result from the union across the two profiles.</w:t>
      </w:r>
    </w:p>
    <w:p w:rsidR="005344A9" w:rsidRDefault="005344A9" w:rsidP="00D83552">
      <w:pPr>
        <w:pStyle w:val="ListParagraph"/>
        <w:numPr>
          <w:ilvl w:val="0"/>
          <w:numId w:val="141"/>
        </w:numPr>
        <w:spacing w:after="200" w:line="360" w:lineRule="auto"/>
      </w:pPr>
      <w:r>
        <w:rPr>
          <w:u w:val="single"/>
        </w:rPr>
        <w:t>Union of Credit Dates/Exposures</w:t>
      </w:r>
      <w:r w:rsidRPr="005344A9">
        <w:t>:</w:t>
      </w:r>
      <w:r>
        <w:t xml:space="preserve"> Then in each profile, a linear interpolation is done of the expected positive (EPE) and the expected negative (ENE) exposures for the new dates. After this step the profiles share the same credit dates.</w:t>
      </w:r>
    </w:p>
    <w:p w:rsidR="00354F45" w:rsidRDefault="005344A9" w:rsidP="00D83552">
      <w:pPr>
        <w:pStyle w:val="ListParagraph"/>
        <w:numPr>
          <w:ilvl w:val="0"/>
          <w:numId w:val="141"/>
        </w:numPr>
        <w:spacing w:after="200" w:line="360" w:lineRule="auto"/>
      </w:pPr>
      <w:r>
        <w:rPr>
          <w:u w:val="single"/>
        </w:rPr>
        <w:t>Expected Positive/Negative Vertex Exposures</w:t>
      </w:r>
      <w:r w:rsidRPr="005344A9">
        <w:t>:</w:t>
      </w:r>
      <w:r>
        <w:t xml:space="preserve"> On each credit date the expected positive and negative credit exposures are</w:t>
      </w:r>
    </w:p>
    <w:p w:rsidR="00354F45" w:rsidRDefault="00354F45" w:rsidP="00354F45">
      <w:pPr>
        <w:pStyle w:val="ListParagraph"/>
        <w:spacing w:after="200" w:line="360" w:lineRule="auto"/>
        <w:ind w:left="360"/>
        <w:rPr>
          <w:u w:val="single"/>
        </w:rPr>
      </w:pPr>
    </w:p>
    <w:p w:rsidR="00354F45" w:rsidRDefault="005344A9" w:rsidP="00354F45">
      <w:pPr>
        <w:pStyle w:val="ListParagraph"/>
        <w:spacing w:after="200" w:line="360" w:lineRule="auto"/>
        <w:ind w:left="360"/>
      </w:pPr>
      <m:oMathPara>
        <m:oMath>
          <m:r>
            <w:rPr>
              <w:rFonts w:ascii="Cambria Math" w:hAnsi="Cambria Math"/>
            </w:rPr>
            <m:t>EPE=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=a</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ENE=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=b</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r>
        <w:t xml:space="preserve">where </w:t>
      </w:r>
      <m:oMath>
        <m:r>
          <w:rPr>
            <w:rFonts w:ascii="Cambria Math" w:hAnsi="Cambria Math"/>
          </w:rPr>
          <m:t>P</m:t>
        </m:r>
      </m:oMath>
      <w:r>
        <w:t xml:space="preserve"> is the portfolio value,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positive exposure,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negative exposure, and</w:t>
      </w:r>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a≥0</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r>
        <w:t>and</w:t>
      </w:r>
    </w:p>
    <w:p w:rsidR="00354F45" w:rsidRDefault="00354F45" w:rsidP="00354F45">
      <w:pPr>
        <w:pStyle w:val="ListParagraph"/>
        <w:spacing w:after="200" w:line="360" w:lineRule="auto"/>
        <w:ind w:left="360"/>
      </w:pPr>
    </w:p>
    <w:p w:rsidR="005344A9" w:rsidRPr="00354F45" w:rsidRDefault="005344A9" w:rsidP="00354F45">
      <w:pPr>
        <w:pStyle w:val="ListParagraph"/>
        <w:spacing w:after="200" w:line="360" w:lineRule="auto"/>
        <w:ind w:left="360"/>
      </w:pPr>
      <m:oMathPara>
        <m:oMath>
          <m:r>
            <w:rPr>
              <w:rFonts w:ascii="Cambria Math" w:hAnsi="Cambria Math"/>
            </w:rPr>
            <m:t>b≥0</m:t>
          </m:r>
        </m:oMath>
      </m:oMathPara>
    </w:p>
    <w:p w:rsidR="00354F45" w:rsidRDefault="00354F45" w:rsidP="00354F45">
      <w:pPr>
        <w:pStyle w:val="ListParagraph"/>
        <w:spacing w:after="200" w:line="360" w:lineRule="auto"/>
        <w:ind w:left="360"/>
      </w:pPr>
    </w:p>
    <w:p w:rsidR="00354F45" w:rsidRDefault="005344A9" w:rsidP="00D83552">
      <w:pPr>
        <w:pStyle w:val="ListParagraph"/>
        <w:numPr>
          <w:ilvl w:val="0"/>
          <w:numId w:val="141"/>
        </w:numPr>
        <w:spacing w:after="200" w:line="360" w:lineRule="auto"/>
      </w:pPr>
      <w:r>
        <w:rPr>
          <w:u w:val="single"/>
        </w:rPr>
        <w:t>Exposure Mean and Variance Fits</w:t>
      </w:r>
      <w:r>
        <w:t xml:space="preserve">: </w:t>
      </w:r>
      <w:r w:rsidR="007910A3">
        <w:t xml:space="preserve">The assumption is that the portfolio value </w:t>
      </w:r>
      <m:oMath>
        <m:r>
          <w:rPr>
            <w:rFonts w:ascii="Cambria Math" w:hAnsi="Cambria Math"/>
          </w:rPr>
          <m:t>P</m:t>
        </m:r>
      </m:oMath>
      <w:r w:rsidR="007910A3">
        <w:t xml:space="preserve"> is normally distributed. With positive and negative exposures the two parameters of the normal distribution are backed out. Let</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354F45" w:rsidRDefault="00354F45" w:rsidP="00354F45">
      <w:pPr>
        <w:pStyle w:val="ListParagraph"/>
        <w:spacing w:after="200" w:line="360" w:lineRule="auto"/>
        <w:ind w:left="360"/>
      </w:pPr>
    </w:p>
    <w:p w:rsidR="005344A9" w:rsidRDefault="007910A3" w:rsidP="00354F45">
      <w:pPr>
        <w:pStyle w:val="ListParagraph"/>
        <w:spacing w:after="200" w:line="360" w:lineRule="auto"/>
        <w:ind w:left="360"/>
      </w:pPr>
      <w:r>
        <w:t xml:space="preserve">with mean </w:t>
      </w:r>
      <m:oMath>
        <m:r>
          <w:rPr>
            <w:rFonts w:ascii="Cambria Math" w:hAnsi="Cambria Math"/>
          </w:rPr>
          <m:t>μ</m:t>
        </m:r>
      </m:oMath>
      <w:r>
        <w:t xml:space="preserve"> and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of a normal distribution.</w:t>
      </w:r>
    </w:p>
    <w:p w:rsidR="00354F45" w:rsidRDefault="007910A3" w:rsidP="00D83552">
      <w:pPr>
        <w:pStyle w:val="ListParagraph"/>
        <w:numPr>
          <w:ilvl w:val="0"/>
          <w:numId w:val="141"/>
        </w:numPr>
        <w:spacing w:after="200" w:line="360" w:lineRule="auto"/>
      </w:pPr>
      <w:r>
        <w:rPr>
          <w:u w:val="single"/>
        </w:rPr>
        <w:t>Single Factor Exposure Mean/Variance</w:t>
      </w:r>
      <w:r w:rsidRPr="007910A3">
        <w:t>:</w:t>
      </w:r>
      <w:r>
        <w:t xml:space="preserve"> There are two equations with two unknowns.</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w:r>
        <w:t xml:space="preserve">where </w:t>
      </w:r>
      <m:oMath>
        <m:r>
          <m:rPr>
            <m:sty m:val="p"/>
          </m:rPr>
          <w:rPr>
            <w:rFonts w:ascii="Cambria Math" w:hAnsi="Cambria Math"/>
          </w:rPr>
          <m:t>Φ</m:t>
        </m:r>
        <m:d>
          <m:dPr>
            <m:ctrlPr>
              <w:rPr>
                <w:rFonts w:ascii="Cambria Math" w:hAnsi="Cambria Math"/>
                <w:i/>
              </w:rPr>
            </m:ctrlPr>
          </m:dPr>
          <m:e>
            <m:r>
              <w:rPr>
                <w:rFonts w:ascii="Cambria Math" w:hAnsi="Cambria Math"/>
              </w:rPr>
              <m:t>∙</m:t>
            </m:r>
          </m:e>
        </m:d>
      </m:oMath>
      <w:r>
        <w:t xml:space="preserve"> is the cumulative probability distribution function,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probability density function for the standard Normal distribution. two equations to solve for </w:t>
      </w:r>
      <m:oMath>
        <m:r>
          <w:rPr>
            <w:rFonts w:ascii="Cambria Math" w:hAnsi="Cambria Math"/>
          </w:rPr>
          <m:t>μ</m:t>
        </m:r>
      </m:oMath>
      <w:r>
        <w:t xml:space="preserve"> </w:t>
      </w:r>
      <w:r w:rsidR="003C05A1">
        <w:t xml:space="preserve">and </w:t>
      </w:r>
      <m:oMath>
        <m:r>
          <w:rPr>
            <w:rFonts w:ascii="Cambria Math" w:hAnsi="Cambria Math"/>
          </w:rPr>
          <m:t>σ</m:t>
        </m:r>
      </m:oMath>
      <w:r w:rsidR="003C05A1">
        <w:t xml:space="preserve"> are</w:t>
      </w:r>
    </w:p>
    <w:p w:rsidR="00354F45" w:rsidRDefault="00354F45" w:rsidP="00354F45">
      <w:pPr>
        <w:pStyle w:val="ListParagraph"/>
        <w:spacing w:after="200" w:line="360" w:lineRule="auto"/>
        <w:ind w:left="360"/>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=a</m:t>
          </m:r>
        </m:oMath>
      </m:oMathPara>
    </w:p>
    <w:p w:rsidR="00354F45" w:rsidRDefault="00354F45" w:rsidP="00354F45">
      <w:pPr>
        <w:pStyle w:val="ListParagraph"/>
        <w:spacing w:after="200" w:line="360" w:lineRule="auto"/>
        <w:ind w:left="360"/>
      </w:pPr>
    </w:p>
    <w:p w:rsidR="007910A3" w:rsidRP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354F45" w:rsidRDefault="003C05A1" w:rsidP="00D83552">
      <w:pPr>
        <w:pStyle w:val="ListParagraph"/>
        <w:numPr>
          <w:ilvl w:val="0"/>
          <w:numId w:val="141"/>
        </w:numPr>
        <w:spacing w:after="200" w:line="360" w:lineRule="auto"/>
      </w:pPr>
      <w:r>
        <w:rPr>
          <w:u w:val="single"/>
        </w:rPr>
        <w:t>Exposure Variance Estimation –</w:t>
      </w:r>
      <w:r w:rsidRPr="003C05A1">
        <w:rPr>
          <w:u w:val="single"/>
        </w:rPr>
        <w:t xml:space="preserve"> Special Cases</w:t>
      </w:r>
      <w:r>
        <w:t>: From this it follows that</w:t>
      </w:r>
    </w:p>
    <w:p w:rsidR="00354F45" w:rsidRDefault="00354F45" w:rsidP="00354F45">
      <w:pPr>
        <w:pStyle w:val="ListParagraph"/>
        <w:spacing w:after="200" w:line="360" w:lineRule="auto"/>
        <w:ind w:left="360"/>
        <w:rPr>
          <w:u w:val="single"/>
        </w:rPr>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1A421A" w:rsidRDefault="003C05A1" w:rsidP="00354F45">
      <w:pPr>
        <w:pStyle w:val="ListParagraph"/>
        <w:spacing w:after="200" w:line="360" w:lineRule="auto"/>
        <w:ind w:left="360"/>
      </w:pPr>
      <w:r>
        <w:t xml:space="preserve">To find </w:t>
      </w:r>
      <m:oMath>
        <m:r>
          <w:rPr>
            <w:rFonts w:ascii="Cambria Math" w:hAnsi="Cambria Math"/>
          </w:rPr>
          <m:t>σ</m:t>
        </m:r>
      </m:oMath>
      <w:r>
        <w:t xml:space="preserve"> one defines the function</w:t>
      </w:r>
    </w:p>
    <w:p w:rsidR="001A421A" w:rsidRDefault="001A421A" w:rsidP="00354F45">
      <w:pPr>
        <w:pStyle w:val="ListParagraph"/>
        <w:spacing w:after="200" w:line="360" w:lineRule="auto"/>
        <w:ind w:left="360"/>
      </w:pPr>
    </w:p>
    <w:p w:rsidR="001A421A" w:rsidRDefault="003C05A1" w:rsidP="00354F45">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oMath>
      </m:oMathPara>
    </w:p>
    <w:p w:rsidR="001A421A" w:rsidRDefault="001A421A" w:rsidP="00354F45">
      <w:pPr>
        <w:pStyle w:val="ListParagraph"/>
        <w:spacing w:after="200" w:line="360" w:lineRule="auto"/>
        <w:ind w:left="360"/>
      </w:pPr>
    </w:p>
    <w:p w:rsidR="003C05A1" w:rsidRDefault="003C05A1" w:rsidP="00354F45">
      <w:pPr>
        <w:pStyle w:val="ListParagraph"/>
        <w:spacing w:after="200" w:line="360" w:lineRule="auto"/>
        <w:ind w:left="360"/>
      </w:pPr>
      <w:r>
        <w:t>and the following special cases immediately result:</w:t>
      </w: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w:lastRenderedPageBreak/>
            <m:t>a=0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1A421A"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m:t>
          </m:r>
          <m:f>
            <m:fPr>
              <m:ctrlPr>
                <w:rPr>
                  <w:rFonts w:ascii="Cambria Math" w:hAnsi="Cambria Math"/>
                  <w:i/>
                </w:rPr>
              </m:ctrlPr>
            </m:fPr>
            <m:num>
              <m:r>
                <w:rPr>
                  <w:rFonts w:ascii="Cambria Math" w:hAnsi="Cambria Math"/>
                </w:rPr>
                <m:t>a</m:t>
              </m:r>
            </m:num>
            <m:den>
              <m:r>
                <w:rPr>
                  <w:rFonts w:ascii="Cambria Math" w:hAnsi="Cambria Math"/>
                </w:rPr>
                <m:t>ϕ</m:t>
              </m:r>
              <m:d>
                <m:dPr>
                  <m:ctrlPr>
                    <w:rPr>
                      <w:rFonts w:ascii="Cambria Math" w:hAnsi="Cambria Math"/>
                      <w:i/>
                    </w:rPr>
                  </m:ctrlPr>
                </m:dPr>
                <m:e>
                  <m:r>
                    <w:rPr>
                      <w:rFonts w:ascii="Cambria Math" w:hAnsi="Cambria Math"/>
                    </w:rPr>
                    <m:t>0</m:t>
                  </m:r>
                </m:e>
              </m:d>
            </m:den>
          </m:f>
        </m:oMath>
      </m:oMathPara>
    </w:p>
    <w:p w:rsidR="001A421A" w:rsidRDefault="001A421A" w:rsidP="001A421A">
      <w:pPr>
        <w:pStyle w:val="ListParagraph"/>
        <w:spacing w:after="200" w:line="360" w:lineRule="auto"/>
        <w:ind w:left="1080"/>
      </w:pPr>
    </w:p>
    <w:p w:rsidR="001A421A" w:rsidRDefault="00AF3CA4" w:rsidP="00D83552">
      <w:pPr>
        <w:pStyle w:val="ListParagraph"/>
        <w:numPr>
          <w:ilvl w:val="0"/>
          <w:numId w:val="141"/>
        </w:numPr>
        <w:spacing w:after="200" w:line="360" w:lineRule="auto"/>
      </w:pPr>
      <w:r w:rsidRPr="00AF3CA4">
        <w:rPr>
          <w:u w:val="single"/>
        </w:rPr>
        <w:t>Exposure Variance Estimation – General Cases</w:t>
      </w:r>
      <w:r>
        <w:t xml:space="preserve">: In general one finds </w:t>
      </w:r>
      <m:oMath>
        <m:r>
          <w:rPr>
            <w:rFonts w:ascii="Cambria Math" w:hAnsi="Cambria Math"/>
          </w:rPr>
          <m:t>x</m:t>
        </m:r>
      </m:oMath>
      <w:r>
        <w:t xml:space="preserve"> such that</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a+b</m:t>
              </m:r>
            </m:den>
          </m:f>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so that</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w:rPr>
              <w:rFonts w:ascii="Cambria Math" w:hAnsi="Cambria Math"/>
            </w:rPr>
            <m:t>σ=</m:t>
          </m:r>
          <m:f>
            <m:fPr>
              <m:ctrlPr>
                <w:rPr>
                  <w:rFonts w:ascii="Cambria Math" w:hAnsi="Cambria Math"/>
                  <w:i/>
                </w:rPr>
              </m:ctrlPr>
            </m:fPr>
            <m:num>
              <m:r>
                <w:rPr>
                  <w:rFonts w:ascii="Cambria Math" w:hAnsi="Cambria Math"/>
                </w:rPr>
                <m:t>μ</m:t>
              </m:r>
            </m:num>
            <m:den>
              <m:r>
                <w:rPr>
                  <w:rFonts w:ascii="Cambria Math" w:hAnsi="Cambria Math"/>
                </w:rPr>
                <m:t>x</m:t>
              </m:r>
            </m:den>
          </m:f>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r>
        <w:t xml:space="preserve">Note that given the shape of the function </w:t>
      </w:r>
      <m:oMath>
        <m:r>
          <w:rPr>
            <w:rFonts w:ascii="Cambria Math" w:hAnsi="Cambria Math"/>
          </w:rPr>
          <m:t>f</m:t>
        </m:r>
        <m:d>
          <m:dPr>
            <m:ctrlPr>
              <w:rPr>
                <w:rFonts w:ascii="Cambria Math" w:hAnsi="Cambria Math"/>
                <w:i/>
              </w:rPr>
            </m:ctrlPr>
          </m:dPr>
          <m:e>
            <m:r>
              <w:rPr>
                <w:rFonts w:ascii="Cambria Math" w:hAnsi="Cambria Math"/>
              </w:rPr>
              <m:t>x</m:t>
            </m:r>
          </m:e>
        </m:d>
      </m:oMath>
      <w:r>
        <w:t xml:space="preserve"> in the range </w:t>
      </w:r>
      <m:oMath>
        <m:d>
          <m:dPr>
            <m:ctrlPr>
              <w:rPr>
                <w:rFonts w:ascii="Cambria Math" w:hAnsi="Cambria Math"/>
                <w:i/>
              </w:rPr>
            </m:ctrlPr>
          </m:dPr>
          <m:e>
            <m:r>
              <w:rPr>
                <w:rFonts w:ascii="Cambria Math" w:hAnsi="Cambria Math"/>
              </w:rPr>
              <m:t>-∞, +∞</m:t>
            </m:r>
          </m:e>
        </m:d>
      </m:oMath>
      <w:r>
        <w:t xml:space="preserve"> one can always find the root through </w:t>
      </w:r>
      <m:oMath>
        <m:r>
          <w:rPr>
            <w:rFonts w:ascii="Cambria Math" w:hAnsi="Cambria Math"/>
          </w:rPr>
          <m:t>1D</m:t>
        </m:r>
      </m:oMath>
      <w:r>
        <w:t xml:space="preserve"> search.</w:t>
      </w:r>
    </w:p>
    <w:p w:rsidR="001A421A" w:rsidRDefault="00AF3CA4" w:rsidP="00D83552">
      <w:pPr>
        <w:pStyle w:val="ListParagraph"/>
        <w:numPr>
          <w:ilvl w:val="0"/>
          <w:numId w:val="141"/>
        </w:numPr>
        <w:spacing w:after="200" w:line="360" w:lineRule="auto"/>
      </w:pPr>
      <w:r>
        <w:rPr>
          <w:u w:val="single"/>
        </w:rPr>
        <w:t>Profile Specific Mean and Variance</w:t>
      </w:r>
      <w:r w:rsidRPr="00AF3CA4">
        <w:t>:</w:t>
      </w:r>
      <w:r>
        <w:t xml:space="preserve"> After extracting two parameters</w:t>
      </w:r>
      <w:r w:rsidR="001A421A">
        <w:t xml:space="preserve"> </w:t>
      </w:r>
      <w:r>
        <w:t>for the normal distribution of each asset, the normal distribution for each asset becomes</w:t>
      </w:r>
    </w:p>
    <w:p w:rsidR="001A421A" w:rsidRDefault="001A421A" w:rsidP="001A421A">
      <w:pPr>
        <w:pStyle w:val="ListParagraph"/>
        <w:spacing w:after="200" w:line="360" w:lineRule="auto"/>
        <w:ind w:left="360"/>
        <w:rPr>
          <w:u w:val="single"/>
        </w:rPr>
      </w:pPr>
    </w:p>
    <w:p w:rsidR="001A421A" w:rsidRDefault="005D6A21"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5D6A21"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One can combine the exposures as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r>
        <w:t xml:space="preserve">with a correlation </w:t>
      </w:r>
      <m:oMath>
        <m:r>
          <w:rPr>
            <w:rFonts w:ascii="Cambria Math" w:hAnsi="Cambria Math"/>
          </w:rPr>
          <m:t>ρ</m:t>
        </m:r>
      </m:oMath>
      <w:r>
        <w:t>.</w:t>
      </w:r>
    </w:p>
    <w:p w:rsidR="001A421A" w:rsidRDefault="00AF3CA4" w:rsidP="00D83552">
      <w:pPr>
        <w:pStyle w:val="ListParagraph"/>
        <w:numPr>
          <w:ilvl w:val="0"/>
          <w:numId w:val="141"/>
        </w:numPr>
        <w:spacing w:after="200" w:line="360" w:lineRule="auto"/>
      </w:pPr>
      <w:r>
        <w:rPr>
          <w:u w:val="single"/>
        </w:rPr>
        <w:t>Combining the Separate Factor Exposures</w:t>
      </w:r>
      <w:r w:rsidRPr="00AF3CA4">
        <w:t>:</w:t>
      </w:r>
      <w:r>
        <w:t xml:space="preserve"> Since the combination of a normal distribution is also a normal distribution, one has</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5D6A21" w:rsidP="001A421A">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Thus the combined normal distribution is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r>
        <w:lastRenderedPageBreak/>
        <w:t>Thus the positive and the negative exposures can be expressed as</w:t>
      </w:r>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1A421A" w:rsidRDefault="001A421A" w:rsidP="001A421A">
      <w:pPr>
        <w:pStyle w:val="ListParagraph"/>
        <w:spacing w:after="200" w:line="360" w:lineRule="auto"/>
        <w:ind w:left="360"/>
      </w:pPr>
    </w:p>
    <w:p w:rsidR="00AF3CA4" w:rsidRP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oMath>
      </m:oMathPara>
    </w:p>
    <w:p w:rsidR="001A421A" w:rsidRDefault="001A421A" w:rsidP="001A421A">
      <w:pPr>
        <w:pStyle w:val="ListParagraph"/>
        <w:spacing w:after="200" w:line="360" w:lineRule="auto"/>
        <w:ind w:left="360"/>
      </w:pPr>
    </w:p>
    <w:p w:rsidR="001A421A" w:rsidRDefault="00ED2FBA" w:rsidP="00D83552">
      <w:pPr>
        <w:pStyle w:val="ListParagraph"/>
        <w:numPr>
          <w:ilvl w:val="0"/>
          <w:numId w:val="141"/>
        </w:numPr>
        <w:spacing w:after="200" w:line="360" w:lineRule="auto"/>
      </w:pPr>
      <w:r>
        <w:rPr>
          <w:u w:val="single"/>
        </w:rPr>
        <w:t>Calculation of CVA and DVA</w:t>
      </w:r>
      <w:r>
        <w:t>: Finally the CVA/DVA can be calculated with exposures, recovery rates, and the probabilities of default as</w:t>
      </w:r>
    </w:p>
    <w:p w:rsidR="001A421A" w:rsidRDefault="001A421A" w:rsidP="001A421A">
      <w:pPr>
        <w:pStyle w:val="ListParagraph"/>
        <w:spacing w:after="200" w:line="360" w:lineRule="auto"/>
        <w:ind w:left="360"/>
        <w:rPr>
          <w:u w:val="single"/>
        </w:rPr>
      </w:pPr>
    </w:p>
    <w:p w:rsidR="001A421A" w:rsidRDefault="00ED2FBA" w:rsidP="001A421A">
      <w:pPr>
        <w:pStyle w:val="ListParagraph"/>
        <w:spacing w:after="20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i=1, ⋯, n</m:t>
          </m:r>
        </m:oMath>
      </m:oMathPara>
    </w:p>
    <w:p w:rsidR="001A421A" w:rsidRDefault="001A421A" w:rsidP="001A421A">
      <w:pPr>
        <w:pStyle w:val="ListParagraph"/>
        <w:spacing w:after="200" w:line="360" w:lineRule="auto"/>
        <w:ind w:left="360"/>
      </w:pPr>
    </w:p>
    <w:p w:rsidR="00ED2FBA" w:rsidRDefault="00ED2FBA" w:rsidP="001A421A">
      <w:pPr>
        <w:pStyle w:val="ListParagraph"/>
        <w:spacing w:after="200" w:line="360" w:lineRule="auto"/>
        <w:ind w:left="360"/>
      </w:pPr>
      <w:r>
        <w:t xml:space="preserve">is the credit date,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recovery rate, and </w:t>
      </w:r>
      <m:oMath>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are the CP/bank probabilities of default calculated from the hazard curve.</w:t>
      </w:r>
    </w:p>
    <w:p w:rsidR="00385075" w:rsidRDefault="00385075" w:rsidP="007A09A2">
      <w:pPr>
        <w:spacing w:after="200" w:line="360" w:lineRule="auto"/>
      </w:pPr>
    </w:p>
    <w:p w:rsidR="005D0F14" w:rsidRDefault="005D0F14" w:rsidP="007A09A2">
      <w:pPr>
        <w:spacing w:after="200" w:line="360" w:lineRule="auto"/>
      </w:pPr>
    </w:p>
    <w:p w:rsidR="007A09A2" w:rsidRPr="00F81EB1" w:rsidRDefault="007A09A2" w:rsidP="007A09A2">
      <w:pPr>
        <w:spacing w:after="200" w:line="360" w:lineRule="auto"/>
        <w:rPr>
          <w:b/>
          <w:sz w:val="28"/>
          <w:szCs w:val="28"/>
        </w:rPr>
      </w:pPr>
      <w:r w:rsidRPr="00F81EB1">
        <w:rPr>
          <w:b/>
          <w:sz w:val="28"/>
          <w:szCs w:val="28"/>
        </w:rPr>
        <w:t>References</w:t>
      </w:r>
    </w:p>
    <w:p w:rsidR="007A09A2" w:rsidRDefault="007A09A2" w:rsidP="007A09A2">
      <w:pPr>
        <w:spacing w:after="200" w:line="360" w:lineRule="auto"/>
      </w:pPr>
    </w:p>
    <w:p w:rsidR="008A0E18" w:rsidRDefault="008A0E18" w:rsidP="00D83552">
      <w:pPr>
        <w:pStyle w:val="ListParagraph"/>
        <w:numPr>
          <w:ilvl w:val="0"/>
          <w:numId w:val="119"/>
        </w:numPr>
        <w:spacing w:after="200" w:line="360" w:lineRule="auto"/>
      </w:pPr>
      <w:r>
        <w:t xml:space="preserve">Andersen, L. B. G., and V. Piterbarg (2010): </w:t>
      </w:r>
      <w:r>
        <w:rPr>
          <w:i/>
        </w:rPr>
        <w:t>Interest Rate Modeling, Volume III: Products and Risk Management</w:t>
      </w:r>
      <w:r>
        <w:t xml:space="preserve"> </w:t>
      </w:r>
      <w:r>
        <w:rPr>
          <w:b/>
        </w:rPr>
        <w:t>Atlantic Financial Press</w:t>
      </w:r>
      <w:r>
        <w:t>.</w:t>
      </w:r>
    </w:p>
    <w:p w:rsidR="007A09A2" w:rsidRDefault="00F81EB1" w:rsidP="00D83552">
      <w:pPr>
        <w:pStyle w:val="ListParagraph"/>
        <w:numPr>
          <w:ilvl w:val="0"/>
          <w:numId w:val="119"/>
        </w:numPr>
        <w:spacing w:after="200" w:line="360" w:lineRule="auto"/>
      </w:pPr>
      <w:r>
        <w:lastRenderedPageBreak/>
        <w:t xml:space="preserve">Duffie, D., and H. Ming (1996): Swap Rates and Credit Quality Adjustment </w:t>
      </w:r>
      <w:r w:rsidRPr="00F81EB1">
        <w:rPr>
          <w:i/>
        </w:rPr>
        <w:t>Journal of Finance</w:t>
      </w:r>
      <w:r>
        <w:t xml:space="preserve"> </w:t>
      </w:r>
      <w:r w:rsidRPr="00F81EB1">
        <w:rPr>
          <w:b/>
        </w:rPr>
        <w:t>51 (3)</w:t>
      </w:r>
      <w:r>
        <w:t xml:space="preserve"> 921-950.</w:t>
      </w:r>
    </w:p>
    <w:p w:rsidR="000248F3" w:rsidRDefault="000248F3" w:rsidP="00D83552">
      <w:pPr>
        <w:pStyle w:val="ListParagraph"/>
        <w:numPr>
          <w:ilvl w:val="0"/>
          <w:numId w:val="119"/>
        </w:numPr>
        <w:spacing w:after="200" w:line="360" w:lineRule="auto"/>
      </w:pPr>
      <w:r>
        <w:t xml:space="preserve">Gregory, J. (2012): </w:t>
      </w:r>
      <w:r>
        <w:rPr>
          <w:i/>
        </w:rPr>
        <w:t>Counter Party Credit Risk and Credit Valuation Adjustment</w:t>
      </w:r>
      <w:r>
        <w:t xml:space="preserve"> </w:t>
      </w:r>
      <w:r>
        <w:rPr>
          <w:b/>
        </w:rPr>
        <w:t>Wiley Finance</w:t>
      </w:r>
      <w:r>
        <w:t>.</w:t>
      </w:r>
    </w:p>
    <w:p w:rsidR="00620960" w:rsidRDefault="00620960" w:rsidP="00D83552">
      <w:pPr>
        <w:pStyle w:val="ListParagraph"/>
        <w:numPr>
          <w:ilvl w:val="0"/>
          <w:numId w:val="119"/>
        </w:numPr>
        <w:spacing w:after="200" w:line="360" w:lineRule="auto"/>
      </w:pPr>
      <w:r>
        <w:t xml:space="preserve">Press, W. H., B. P. Flannery, S. A. Teukolsky, and W. T. Vetterling (2002): </w:t>
      </w:r>
      <w:r>
        <w:rPr>
          <w:i/>
        </w:rPr>
        <w:t>Numerical Recipes in C: The Art of Scientific Computing</w:t>
      </w:r>
      <w:r>
        <w:t xml:space="preserve"> </w:t>
      </w:r>
      <w:r>
        <w:rPr>
          <w:b/>
        </w:rPr>
        <w:t>Cambridge University Press</w:t>
      </w:r>
      <w:r>
        <w:t>.</w:t>
      </w:r>
    </w:p>
    <w:p w:rsidR="000248F3" w:rsidRPr="00F81EB1" w:rsidRDefault="000248F3" w:rsidP="00D83552">
      <w:pPr>
        <w:pStyle w:val="ListParagraph"/>
        <w:numPr>
          <w:ilvl w:val="0"/>
          <w:numId w:val="119"/>
        </w:numPr>
        <w:spacing w:after="200" w:line="360" w:lineRule="auto"/>
      </w:pPr>
      <w:r>
        <w:t xml:space="preserve">Pykhtin, M. (2009): Modeling Credit Exposures for Collateralized Counterparties </w:t>
      </w:r>
      <w:r>
        <w:rPr>
          <w:i/>
        </w:rPr>
        <w:t>Risk</w:t>
      </w:r>
      <w:r>
        <w:t xml:space="preserve"> </w:t>
      </w:r>
      <w:r>
        <w:rPr>
          <w:b/>
        </w:rPr>
        <w:t>5 (4)</w:t>
      </w:r>
      <w:r>
        <w:t xml:space="preserve"> 3-27.</w:t>
      </w:r>
    </w:p>
    <w:p w:rsidR="006F6E8B" w:rsidRDefault="006F6E8B">
      <w:pPr>
        <w:spacing w:after="200" w:line="276" w:lineRule="auto"/>
        <w:rPr>
          <w:b/>
        </w:rPr>
      </w:pPr>
      <w:r>
        <w:rPr>
          <w:b/>
        </w:rPr>
        <w:br w:type="page"/>
      </w:r>
    </w:p>
    <w:p w:rsidR="006F6E8B" w:rsidRPr="006F6E8B" w:rsidRDefault="006F6E8B" w:rsidP="008F462D">
      <w:pPr>
        <w:spacing w:after="200" w:line="360" w:lineRule="auto"/>
      </w:pPr>
    </w:p>
    <w:p w:rsidR="006F6E8B" w:rsidRPr="006F6E8B" w:rsidRDefault="006F6E8B" w:rsidP="006F6E8B">
      <w:pPr>
        <w:spacing w:after="200" w:line="360" w:lineRule="auto"/>
        <w:jc w:val="center"/>
        <w:rPr>
          <w:b/>
          <w:sz w:val="32"/>
          <w:szCs w:val="32"/>
        </w:rPr>
      </w:pPr>
      <w:r w:rsidRPr="006F6E8B">
        <w:rPr>
          <w:b/>
          <w:sz w:val="32"/>
          <w:szCs w:val="32"/>
        </w:rPr>
        <w:t>Cross Asset CVA Modeling</w:t>
      </w:r>
      <w:r w:rsidR="00416ECC">
        <w:rPr>
          <w:b/>
          <w:sz w:val="32"/>
          <w:szCs w:val="32"/>
        </w:rPr>
        <w:t>, Testing, and Validation</w:t>
      </w:r>
    </w:p>
    <w:p w:rsidR="006F6E8B" w:rsidRDefault="006F6E8B" w:rsidP="008F462D">
      <w:pPr>
        <w:spacing w:after="200" w:line="360" w:lineRule="auto"/>
      </w:pPr>
    </w:p>
    <w:p w:rsidR="006F6E8B" w:rsidRDefault="006F6E8B" w:rsidP="008F462D">
      <w:pPr>
        <w:spacing w:after="200" w:line="360" w:lineRule="auto"/>
      </w:pPr>
    </w:p>
    <w:p w:rsidR="006F6E8B" w:rsidRPr="006F6E8B" w:rsidRDefault="006F6E8B" w:rsidP="008F462D">
      <w:pPr>
        <w:spacing w:after="200" w:line="360" w:lineRule="auto"/>
        <w:rPr>
          <w:b/>
          <w:sz w:val="28"/>
          <w:szCs w:val="28"/>
        </w:rPr>
      </w:pPr>
      <w:r w:rsidRPr="006F6E8B">
        <w:rPr>
          <w:b/>
          <w:sz w:val="28"/>
          <w:szCs w:val="28"/>
        </w:rPr>
        <w:t>Executive Summary of the Framework</w:t>
      </w:r>
    </w:p>
    <w:p w:rsidR="006F6E8B" w:rsidRDefault="006F6E8B" w:rsidP="008F462D">
      <w:pPr>
        <w:spacing w:after="200" w:line="360" w:lineRule="auto"/>
      </w:pPr>
    </w:p>
    <w:p w:rsidR="006F6E8B" w:rsidRDefault="006F6E8B" w:rsidP="00D83552">
      <w:pPr>
        <w:pStyle w:val="ListParagraph"/>
        <w:numPr>
          <w:ilvl w:val="0"/>
          <w:numId w:val="142"/>
        </w:numPr>
        <w:spacing w:after="200" w:line="360" w:lineRule="auto"/>
      </w:pPr>
      <w:r w:rsidRPr="006F6E8B">
        <w:rPr>
          <w:u w:val="single"/>
        </w:rPr>
        <w:t>Overview of the Chapter</w:t>
      </w:r>
      <w:r>
        <w:t>: This chapter presents the methodology design of a modular cross-asset CVA and DVA framework for credit, FX, equity, commodity, and IR OTC derivatives. Contents of this class will be referenced by the models in specific asset classes.</w:t>
      </w:r>
    </w:p>
    <w:p w:rsidR="006F6E8B" w:rsidRDefault="006F6E8B" w:rsidP="00D83552">
      <w:pPr>
        <w:pStyle w:val="ListParagraph"/>
        <w:numPr>
          <w:ilvl w:val="0"/>
          <w:numId w:val="142"/>
        </w:numPr>
        <w:spacing w:after="200" w:line="360" w:lineRule="auto"/>
      </w:pPr>
      <w:r>
        <w:rPr>
          <w:u w:val="single"/>
        </w:rPr>
        <w:t>Flexible Cross Asset Framework</w:t>
      </w:r>
      <w:r w:rsidRPr="006F6E8B">
        <w:t>:</w:t>
      </w:r>
      <w:r>
        <w:t xml:space="preserve"> The focus here is on providing a methodology design of a flexible cross-asset CVA (credit valuation adjustment) framework.</w:t>
      </w:r>
    </w:p>
    <w:p w:rsidR="006F6E8B" w:rsidRDefault="006F6E8B" w:rsidP="00D83552">
      <w:pPr>
        <w:pStyle w:val="ListParagraph"/>
        <w:numPr>
          <w:ilvl w:val="0"/>
          <w:numId w:val="142"/>
        </w:numPr>
        <w:spacing w:after="200" w:line="360" w:lineRule="auto"/>
      </w:pPr>
      <w:r>
        <w:rPr>
          <w:u w:val="single"/>
        </w:rPr>
        <w:t>Line of Business Model Integration</w:t>
      </w:r>
      <w:r w:rsidRPr="006F6E8B">
        <w:t>:</w:t>
      </w:r>
      <w:r>
        <w:t xml:space="preserve"> In this design, the CVA models for credit, FX, equity, commodity, and IR OTC (over-the-counter) derivatives can be first implemented in the </w:t>
      </w:r>
      <w:r w:rsidR="008671B2">
        <w:t>cross-asset CVA framework in parallel on an individual asset basis or an individual line-of-business (LOB) basis, and then can be integrated to obtain the true cross-asset CVA model (minimization of the throw-away work).</w:t>
      </w:r>
    </w:p>
    <w:p w:rsidR="003E19B4" w:rsidRDefault="003E19B4" w:rsidP="00D83552">
      <w:pPr>
        <w:pStyle w:val="ListParagraph"/>
        <w:numPr>
          <w:ilvl w:val="0"/>
          <w:numId w:val="142"/>
        </w:numPr>
        <w:spacing w:after="200" w:line="360" w:lineRule="auto"/>
      </w:pPr>
      <w:r>
        <w:rPr>
          <w:u w:val="single"/>
        </w:rPr>
        <w:t>Out-of-Scope - SFT/TBA</w:t>
      </w:r>
      <w:r w:rsidRPr="003E19B4">
        <w:t>:</w:t>
      </w:r>
      <w:r>
        <w:t xml:space="preserve"> The exchange traded or listed derivatives, SFT’s (structured finance transactions), and non-derivatives trades are not in the scope of the current methodology. TBA’s (to-be-announced) will be covered in a later phase.</w:t>
      </w:r>
    </w:p>
    <w:p w:rsidR="003E19B4" w:rsidRDefault="003E19B4" w:rsidP="00D83552">
      <w:pPr>
        <w:pStyle w:val="ListParagraph"/>
        <w:numPr>
          <w:ilvl w:val="0"/>
          <w:numId w:val="142"/>
        </w:numPr>
        <w:spacing w:after="200" w:line="360" w:lineRule="auto"/>
      </w:pPr>
      <w:r>
        <w:rPr>
          <w:u w:val="single"/>
        </w:rPr>
        <w:t>Out-of-Scope - Monolines/CDPC’s</w:t>
      </w:r>
      <w:r w:rsidRPr="003E19B4">
        <w:t>:</w:t>
      </w:r>
      <w:r>
        <w:t xml:space="preserve"> OTC derivatives facing monolines and CDPC’s (credit derivatives product companies) will be handled separately (possibly using conservative approximations), as they require additional modeling methodologies.</w:t>
      </w:r>
    </w:p>
    <w:p w:rsidR="003E19B4" w:rsidRDefault="003E19B4" w:rsidP="00D83552">
      <w:pPr>
        <w:pStyle w:val="ListParagraph"/>
        <w:numPr>
          <w:ilvl w:val="0"/>
          <w:numId w:val="142"/>
        </w:numPr>
        <w:spacing w:after="200" w:line="360" w:lineRule="auto"/>
      </w:pPr>
      <w:r>
        <w:rPr>
          <w:u w:val="single"/>
        </w:rPr>
        <w:t>Out-of-Scope - Trusts/SPVs</w:t>
      </w:r>
      <w:r w:rsidRPr="003E19B4">
        <w:t>:</w:t>
      </w:r>
      <w:r>
        <w:t xml:space="preserve"> Currently no handling is done for OTC derivatives trades facing trusts and SPV’s (special purpose vehicles) for CDO’s or repackaging.</w:t>
      </w:r>
    </w:p>
    <w:p w:rsidR="00707B1C" w:rsidRDefault="00707B1C" w:rsidP="00D83552">
      <w:pPr>
        <w:pStyle w:val="ListParagraph"/>
        <w:numPr>
          <w:ilvl w:val="0"/>
          <w:numId w:val="142"/>
        </w:numPr>
        <w:spacing w:after="200" w:line="360" w:lineRule="auto"/>
      </w:pPr>
      <w:r>
        <w:rPr>
          <w:u w:val="single"/>
        </w:rPr>
        <w:t>Centrally Generated Correlated Random Numbers</w:t>
      </w:r>
      <w:r w:rsidRPr="00707B1C">
        <w:t>:</w:t>
      </w:r>
      <w:r>
        <w:t xml:space="preserve"> A key feature of this framework is the usage of properly correlated and centrally generated random numbers (or Gaussian variates) as inputs for generating future market simulations that are naturally correlated with other </w:t>
      </w:r>
      <w:r>
        <w:lastRenderedPageBreak/>
        <w:t>asset classes (as opposed to generating their own random numbers that are not correlated with other asset classes).</w:t>
      </w:r>
    </w:p>
    <w:p w:rsidR="00707B1C" w:rsidRDefault="00707B1C" w:rsidP="00D83552">
      <w:pPr>
        <w:pStyle w:val="ListParagraph"/>
        <w:numPr>
          <w:ilvl w:val="0"/>
          <w:numId w:val="142"/>
        </w:numPr>
        <w:spacing w:after="200" w:line="360" w:lineRule="auto"/>
      </w:pPr>
      <w:r>
        <w:rPr>
          <w:u w:val="single"/>
        </w:rPr>
        <w:t>Capturing Right/Wrong Way Risk</w:t>
      </w:r>
      <w:r w:rsidRPr="00707B1C">
        <w:t>:</w:t>
      </w:r>
      <w:r>
        <w:t xml:space="preserve"> General wrong-way/right-way risks based on the correlation of the counter party (CP) credit spreads (or default probabilities) with the market are captured in the same way.</w:t>
      </w:r>
    </w:p>
    <w:p w:rsidR="00535A63" w:rsidRDefault="00535A63" w:rsidP="00D83552">
      <w:pPr>
        <w:pStyle w:val="ListParagraph"/>
        <w:numPr>
          <w:ilvl w:val="0"/>
          <w:numId w:val="142"/>
        </w:numPr>
        <w:spacing w:after="200" w:line="360" w:lineRule="auto"/>
      </w:pPr>
      <w:r>
        <w:rPr>
          <w:u w:val="single"/>
        </w:rPr>
        <w:t>Using Product Data/Models</w:t>
      </w:r>
      <w:r w:rsidRPr="00535A63">
        <w:t>:</w:t>
      </w:r>
      <w:r>
        <w:t xml:space="preserve"> Another important feature of this framework is to leverage the desk models and the data as much as feasible, including calling the underlying trade prices (with performance and other enhancements as needed) directly to price the underlying trades on simulated market paths</w:t>
      </w:r>
      <w:r w:rsidR="00313DDE">
        <w:t xml:space="preserve"> as of future dates for the purposes of calculating the exposures for CVA.</w:t>
      </w:r>
    </w:p>
    <w:p w:rsidR="00313DDE" w:rsidRDefault="00313DDE" w:rsidP="00D83552">
      <w:pPr>
        <w:pStyle w:val="ListParagraph"/>
        <w:numPr>
          <w:ilvl w:val="0"/>
          <w:numId w:val="142"/>
        </w:numPr>
        <w:spacing w:after="200" w:line="360" w:lineRule="auto"/>
      </w:pPr>
      <w:r>
        <w:rPr>
          <w:u w:val="single"/>
        </w:rPr>
        <w:t>Ensuring Consistency of the Simulations</w:t>
      </w:r>
      <w:r w:rsidRPr="00313DDE">
        <w:t>:</w:t>
      </w:r>
      <w:r>
        <w:t xml:space="preserve"> This ensures the consistency of the underlying desk models and the CVA models at time 0, and lays down the foundation for such consistency in the simulation and the exposure calculation at future time steps.</w:t>
      </w:r>
    </w:p>
    <w:p w:rsidR="00313DDE" w:rsidRDefault="00313DDE" w:rsidP="00D83552">
      <w:pPr>
        <w:pStyle w:val="ListParagraph"/>
        <w:numPr>
          <w:ilvl w:val="0"/>
          <w:numId w:val="142"/>
        </w:numPr>
        <w:spacing w:after="200" w:line="360" w:lineRule="auto"/>
      </w:pPr>
      <w:r>
        <w:rPr>
          <w:u w:val="single"/>
        </w:rPr>
        <w:t>Treatment of the Intermediate Results</w:t>
      </w:r>
      <w:r w:rsidRPr="00313DDE">
        <w:t>:</w:t>
      </w:r>
      <w:r>
        <w:t xml:space="preserve"> The saving and retrieving if the intermediate results is an important part of the framework to make the integration of the LOB CVA models into a true cross-asset CVA modeling framework relatively easier.</w:t>
      </w:r>
    </w:p>
    <w:p w:rsidR="00313DDE" w:rsidRDefault="00313DDE" w:rsidP="00D83552">
      <w:pPr>
        <w:pStyle w:val="ListParagraph"/>
        <w:numPr>
          <w:ilvl w:val="0"/>
          <w:numId w:val="142"/>
        </w:numPr>
        <w:spacing w:after="200" w:line="360" w:lineRule="auto"/>
      </w:pPr>
      <w:r>
        <w:rPr>
          <w:u w:val="single"/>
        </w:rPr>
        <w:t>Flexibility across other Application Types</w:t>
      </w:r>
      <w:r w:rsidRPr="00313DDE">
        <w:t>:</w:t>
      </w:r>
      <w:r>
        <w:t xml:space="preserve"> The framework is also designed for flexibility across other applications such as FVA (funding value adjustment), liquidity risk, and contingent funding/liquidity derivatives.</w:t>
      </w:r>
    </w:p>
    <w:p w:rsidR="00D57545" w:rsidRDefault="00D57545" w:rsidP="00D83552">
      <w:pPr>
        <w:pStyle w:val="ListParagraph"/>
        <w:numPr>
          <w:ilvl w:val="0"/>
          <w:numId w:val="142"/>
        </w:numPr>
        <w:spacing w:after="200" w:line="360" w:lineRule="auto"/>
      </w:pPr>
      <w:r>
        <w:rPr>
          <w:u w:val="single"/>
        </w:rPr>
        <w:t>Extension of CVA to DVA</w:t>
      </w:r>
      <w:r w:rsidRPr="00D57545">
        <w:t>:</w:t>
      </w:r>
      <w:r>
        <w:t xml:space="preserve"> </w:t>
      </w:r>
      <w:r w:rsidR="006B0528">
        <w:t>While this chapter focusses on CVA, it also provides the modeling requirements for DVA (Debt Valuation Adjustment). These models will also be used for the firm’s CVA and DVA valuation and risk management.</w:t>
      </w:r>
    </w:p>
    <w:p w:rsidR="006B0528" w:rsidRDefault="006B0528" w:rsidP="006B0528">
      <w:pPr>
        <w:spacing w:after="200" w:line="360" w:lineRule="auto"/>
      </w:pPr>
    </w:p>
    <w:p w:rsidR="006B0528" w:rsidRDefault="006B0528" w:rsidP="006B0528">
      <w:pPr>
        <w:spacing w:after="200" w:line="360" w:lineRule="auto"/>
      </w:pPr>
    </w:p>
    <w:p w:rsidR="006B0528" w:rsidRPr="006B0528" w:rsidRDefault="006B0528" w:rsidP="006B0528">
      <w:pPr>
        <w:spacing w:after="200" w:line="360" w:lineRule="auto"/>
        <w:rPr>
          <w:b/>
          <w:sz w:val="28"/>
          <w:szCs w:val="28"/>
        </w:rPr>
      </w:pPr>
      <w:r w:rsidRPr="006B0528">
        <w:rPr>
          <w:b/>
          <w:sz w:val="28"/>
          <w:szCs w:val="28"/>
        </w:rPr>
        <w:t>Features of the LOB CVA Models</w:t>
      </w:r>
    </w:p>
    <w:p w:rsidR="006B0528" w:rsidRDefault="006B0528" w:rsidP="006B0528">
      <w:pPr>
        <w:spacing w:after="200" w:line="360" w:lineRule="auto"/>
      </w:pPr>
    </w:p>
    <w:p w:rsidR="006B0528" w:rsidRDefault="006B0528" w:rsidP="00D83552">
      <w:pPr>
        <w:pStyle w:val="ListParagraph"/>
        <w:numPr>
          <w:ilvl w:val="0"/>
          <w:numId w:val="143"/>
        </w:numPr>
        <w:spacing w:after="200" w:line="360" w:lineRule="auto"/>
      </w:pPr>
      <w:r w:rsidRPr="006B0528">
        <w:rPr>
          <w:u w:val="single"/>
        </w:rPr>
        <w:lastRenderedPageBreak/>
        <w:t>Accommodating Intra-Asset Class Correlation</w:t>
      </w:r>
      <w:r>
        <w:t>: Correlation within each asset class such credit, FX, equity, commodity, and IR (but not the cross-asset correlation), with no interest rate simulations for non-IR derivatives and no FX simulations for non-FX derivatives.</w:t>
      </w:r>
    </w:p>
    <w:p w:rsidR="008D56A2" w:rsidRDefault="008D56A2" w:rsidP="00D83552">
      <w:pPr>
        <w:pStyle w:val="ListParagraph"/>
        <w:numPr>
          <w:ilvl w:val="0"/>
          <w:numId w:val="143"/>
        </w:numPr>
        <w:spacing w:after="200" w:line="360" w:lineRule="auto"/>
      </w:pPr>
      <w:r>
        <w:rPr>
          <w:u w:val="single"/>
        </w:rPr>
        <w:t>Multi-Factor Term Structure Solutions</w:t>
      </w:r>
      <w:r w:rsidRPr="008D56A2">
        <w:t>:</w:t>
      </w:r>
      <w:r>
        <w:t xml:space="preserve"> Multi-factor term structure solutions are used where applicable. An exception is that one-factor simulation is used (contingent on immaterality) for credit derivatives (excluding those facing monolines and CDPC’s).</w:t>
      </w:r>
    </w:p>
    <w:p w:rsidR="008D56A2" w:rsidRDefault="008D56A2" w:rsidP="00D83552">
      <w:pPr>
        <w:pStyle w:val="ListParagraph"/>
        <w:numPr>
          <w:ilvl w:val="0"/>
          <w:numId w:val="143"/>
        </w:numPr>
        <w:spacing w:after="200" w:line="360" w:lineRule="auto"/>
      </w:pPr>
      <w:r>
        <w:rPr>
          <w:u w:val="single"/>
        </w:rPr>
        <w:t>Simulation and Pricing of Volatility Skews</w:t>
      </w:r>
      <w:r w:rsidRPr="008D56A2">
        <w:t>:</w:t>
      </w:r>
      <w:r>
        <w:t xml:space="preserve"> Volatility skews are used in market simulation and trade pricing models when applicable.</w:t>
      </w:r>
    </w:p>
    <w:p w:rsidR="008D56A2" w:rsidRDefault="008D56A2" w:rsidP="00D83552">
      <w:pPr>
        <w:pStyle w:val="ListParagraph"/>
        <w:numPr>
          <w:ilvl w:val="1"/>
          <w:numId w:val="143"/>
        </w:numPr>
        <w:spacing w:after="200" w:line="360" w:lineRule="auto"/>
      </w:pPr>
      <w:r>
        <w:t>It is recommended that, in general, no stochastic volatility be deployed in production, except for the limited cases where there are major concentrated volatility risks (including variance and volatility swaps) or for the PFE (potential future exposures) calculation.</w:t>
      </w:r>
    </w:p>
    <w:p w:rsidR="008D56A2" w:rsidRDefault="008D56A2" w:rsidP="00D83552">
      <w:pPr>
        <w:pStyle w:val="ListParagraph"/>
        <w:numPr>
          <w:ilvl w:val="1"/>
          <w:numId w:val="143"/>
        </w:numPr>
        <w:spacing w:after="200" w:line="360" w:lineRule="auto"/>
      </w:pPr>
      <w:r>
        <w:t>Simplified, uncorrelated, non-arbitrage free stochastic volatility simulation is used for materiality analysis only – not recommended in production – and also applies to the materiality analysis of other non-simulated risk factors.</w:t>
      </w:r>
    </w:p>
    <w:p w:rsidR="008D56A2" w:rsidRDefault="008D56A2" w:rsidP="00D83552">
      <w:pPr>
        <w:pStyle w:val="ListParagraph"/>
        <w:numPr>
          <w:ilvl w:val="0"/>
          <w:numId w:val="143"/>
        </w:numPr>
        <w:spacing w:after="200" w:line="360" w:lineRule="auto"/>
      </w:pPr>
      <w:r>
        <w:rPr>
          <w:u w:val="single"/>
        </w:rPr>
        <w:t>Handling Wrong/Right Way Risks</w:t>
      </w:r>
      <w:r>
        <w:t>:</w:t>
      </w:r>
    </w:p>
    <w:p w:rsidR="008D56A2" w:rsidRDefault="008D56A2" w:rsidP="00D83552">
      <w:pPr>
        <w:pStyle w:val="ListParagraph"/>
        <w:numPr>
          <w:ilvl w:val="1"/>
          <w:numId w:val="143"/>
        </w:numPr>
        <w:spacing w:after="200" w:line="360" w:lineRule="auto"/>
      </w:pPr>
      <w:r>
        <w:t>Limited handling of specific wrong way and right way risks, such as the right-way equity call spreads.</w:t>
      </w:r>
    </w:p>
    <w:p w:rsidR="008D56A2" w:rsidRDefault="008D56A2" w:rsidP="00D83552">
      <w:pPr>
        <w:pStyle w:val="ListParagraph"/>
        <w:numPr>
          <w:ilvl w:val="1"/>
          <w:numId w:val="143"/>
        </w:numPr>
        <w:spacing w:after="200" w:line="360" w:lineRule="auto"/>
      </w:pPr>
      <w:r>
        <w:t>Limited handling of general wrong way/right way risks, with simplifying approximations for large counterparties.</w:t>
      </w:r>
    </w:p>
    <w:p w:rsidR="008D56A2" w:rsidRDefault="008D56A2" w:rsidP="00D83552">
      <w:pPr>
        <w:pStyle w:val="ListParagraph"/>
        <w:numPr>
          <w:ilvl w:val="1"/>
          <w:numId w:val="143"/>
        </w:numPr>
        <w:spacing w:after="200" w:line="360" w:lineRule="auto"/>
      </w:pPr>
      <w:r>
        <w:t>They will be systematically handled in true cross-asset CVA models.</w:t>
      </w:r>
    </w:p>
    <w:p w:rsidR="008D56A2" w:rsidRDefault="00D52B86" w:rsidP="00D83552">
      <w:pPr>
        <w:pStyle w:val="ListParagraph"/>
        <w:numPr>
          <w:ilvl w:val="0"/>
          <w:numId w:val="143"/>
        </w:numPr>
        <w:spacing w:after="200" w:line="360" w:lineRule="auto"/>
      </w:pPr>
      <w:r>
        <w:rPr>
          <w:u w:val="single"/>
        </w:rPr>
        <w:t>Cross Asset CVA Handling #1</w:t>
      </w:r>
      <w:r>
        <w:t>: For a CP netting and/or collateral group with trades across assets, before the true cross-asset CVA models become available, the CP netting and/or collateral groups are artificially broken into multiple sub-groups with each group containing only trades from a single asset class. These are then run independently for the CVA.</w:t>
      </w:r>
    </w:p>
    <w:p w:rsidR="00D52B86" w:rsidRDefault="00D52B86" w:rsidP="00D83552">
      <w:pPr>
        <w:pStyle w:val="ListParagraph"/>
        <w:numPr>
          <w:ilvl w:val="0"/>
          <w:numId w:val="143"/>
        </w:numPr>
        <w:spacing w:after="200" w:line="360" w:lineRule="auto"/>
      </w:pPr>
      <w:r>
        <w:rPr>
          <w:u w:val="single"/>
        </w:rPr>
        <w:t>Cross-Asset CVA Handling #2</w:t>
      </w:r>
      <w:r w:rsidRPr="00D52B86">
        <w:t>:</w:t>
      </w:r>
      <w:r>
        <w:t xml:space="preserve"> The same collateral rules are applied to each sub-group independently with proper collateral allocation. Collaboration is needed across other groups such as the Counter Party Credit Risk Analytics (CCRA) for proper collateral allocation, if needed.</w:t>
      </w:r>
    </w:p>
    <w:p w:rsidR="00792306" w:rsidRDefault="00792306" w:rsidP="00D83552">
      <w:pPr>
        <w:pStyle w:val="ListParagraph"/>
        <w:numPr>
          <w:ilvl w:val="0"/>
          <w:numId w:val="143"/>
        </w:numPr>
        <w:spacing w:after="200" w:line="360" w:lineRule="auto"/>
      </w:pPr>
      <w:r>
        <w:rPr>
          <w:u w:val="single"/>
        </w:rPr>
        <w:lastRenderedPageBreak/>
        <w:t>Market Implied Default and Recovery</w:t>
      </w:r>
      <w:r w:rsidRPr="00792306">
        <w:t>:</w:t>
      </w:r>
      <w:r>
        <w:t xml:space="preserve"> Market implied default probabilities (and recovery rates) and used, along with the appropriate waterfall logic.</w:t>
      </w:r>
    </w:p>
    <w:p w:rsidR="00792306" w:rsidRDefault="00792306" w:rsidP="00D83552">
      <w:pPr>
        <w:pStyle w:val="ListParagraph"/>
        <w:numPr>
          <w:ilvl w:val="0"/>
          <w:numId w:val="143"/>
        </w:numPr>
        <w:spacing w:after="200" w:line="360" w:lineRule="auto"/>
      </w:pPr>
      <w:r>
        <w:rPr>
          <w:u w:val="single"/>
        </w:rPr>
        <w:t>Underlying Product CVA Pricer Improvement</w:t>
      </w:r>
      <w:r w:rsidRPr="00792306">
        <w:t>:</w:t>
      </w:r>
    </w:p>
    <w:p w:rsidR="00792306" w:rsidRDefault="00792306" w:rsidP="00D83552">
      <w:pPr>
        <w:pStyle w:val="ListParagraph"/>
        <w:numPr>
          <w:ilvl w:val="1"/>
          <w:numId w:val="143"/>
        </w:numPr>
        <w:spacing w:after="200" w:line="360" w:lineRule="auto"/>
      </w:pPr>
      <w:r>
        <w:t>Pricing speed optimization – for example, for vanilla swaps, XCCY swaps, and concealable swaps.</w:t>
      </w:r>
    </w:p>
    <w:p w:rsidR="00792306" w:rsidRDefault="00792306" w:rsidP="00D83552">
      <w:pPr>
        <w:pStyle w:val="ListParagraph"/>
        <w:numPr>
          <w:ilvl w:val="1"/>
          <w:numId w:val="143"/>
        </w:numPr>
        <w:spacing w:after="200" w:line="360" w:lineRule="auto"/>
      </w:pPr>
      <w:r>
        <w:t>Handling of trades with physical settlement, MTM reset, or accrual based convention, or possibly other future trade event.</w:t>
      </w:r>
    </w:p>
    <w:p w:rsidR="00792306" w:rsidRDefault="00792306" w:rsidP="00D83552">
      <w:pPr>
        <w:pStyle w:val="ListParagraph"/>
        <w:numPr>
          <w:ilvl w:val="1"/>
          <w:numId w:val="143"/>
        </w:numPr>
        <w:spacing w:after="200" w:line="360" w:lineRule="auto"/>
      </w:pPr>
      <w:r>
        <w:t>Cash flow handling.</w:t>
      </w:r>
    </w:p>
    <w:p w:rsidR="00792306" w:rsidRDefault="00792306" w:rsidP="00D83552">
      <w:pPr>
        <w:pStyle w:val="ListParagraph"/>
        <w:numPr>
          <w:ilvl w:val="0"/>
          <w:numId w:val="143"/>
        </w:numPr>
        <w:spacing w:after="200" w:line="360" w:lineRule="auto"/>
      </w:pPr>
      <w:r w:rsidRPr="00EA5C8F">
        <w:rPr>
          <w:u w:val="single"/>
        </w:rPr>
        <w:t>Proxy Pricers for Trade Pricing</w:t>
      </w:r>
      <w:r w:rsidRPr="00EA5C8F">
        <w:t xml:space="preserve">: </w:t>
      </w:r>
      <w:r w:rsidR="00EA5C8F">
        <w:t>Approximated fallback trade pricing models with conservative measures will be used in very limited cases:</w:t>
      </w:r>
    </w:p>
    <w:p w:rsidR="00EA5C8F" w:rsidRDefault="00EA5C8F" w:rsidP="00D83552">
      <w:pPr>
        <w:pStyle w:val="ListParagraph"/>
        <w:numPr>
          <w:ilvl w:val="1"/>
          <w:numId w:val="143"/>
        </w:numPr>
        <w:spacing w:after="200" w:line="360" w:lineRule="auto"/>
      </w:pPr>
      <w:r>
        <w:t>On complex trades with limited materiality that cannot be priced efficiently and accurately for CVA.</w:t>
      </w:r>
    </w:p>
    <w:p w:rsidR="00EA5C8F" w:rsidRDefault="00EA5C8F" w:rsidP="00D83552">
      <w:pPr>
        <w:pStyle w:val="ListParagraph"/>
        <w:numPr>
          <w:ilvl w:val="1"/>
          <w:numId w:val="143"/>
        </w:numPr>
        <w:spacing w:after="200" w:line="360" w:lineRule="auto"/>
      </w:pPr>
      <w:r>
        <w:t>On trades with limited materiality that cannot be priced accurately due to data quality issues.</w:t>
      </w:r>
    </w:p>
    <w:p w:rsidR="00EA5C8F" w:rsidRDefault="00EA5C8F" w:rsidP="00D83552">
      <w:pPr>
        <w:pStyle w:val="ListParagraph"/>
        <w:numPr>
          <w:ilvl w:val="1"/>
          <w:numId w:val="143"/>
        </w:numPr>
        <w:spacing w:after="200" w:line="360" w:lineRule="auto"/>
      </w:pPr>
      <w:r>
        <w:t>Collaboration with CCRA.</w:t>
      </w:r>
    </w:p>
    <w:p w:rsidR="00EA5C8F" w:rsidRDefault="00EA5C8F" w:rsidP="00EA5C8F">
      <w:pPr>
        <w:spacing w:after="200" w:line="360" w:lineRule="auto"/>
      </w:pPr>
    </w:p>
    <w:p w:rsidR="00EA5C8F" w:rsidRDefault="00EA5C8F" w:rsidP="00EA5C8F">
      <w:pPr>
        <w:spacing w:after="200" w:line="360" w:lineRule="auto"/>
      </w:pPr>
    </w:p>
    <w:p w:rsidR="00EA5C8F" w:rsidRPr="00EA5C8F" w:rsidRDefault="00EA5C8F" w:rsidP="00EA5C8F">
      <w:pPr>
        <w:spacing w:after="200" w:line="360" w:lineRule="auto"/>
        <w:rPr>
          <w:b/>
          <w:sz w:val="28"/>
          <w:szCs w:val="28"/>
        </w:rPr>
      </w:pPr>
      <w:r w:rsidRPr="00EA5C8F">
        <w:rPr>
          <w:b/>
          <w:sz w:val="28"/>
          <w:szCs w:val="28"/>
        </w:rPr>
        <w:t>Cross Asset CVA Model Features</w:t>
      </w:r>
    </w:p>
    <w:p w:rsidR="00EA5C8F" w:rsidRDefault="00EA5C8F" w:rsidP="00EA5C8F">
      <w:pPr>
        <w:spacing w:after="200" w:line="360" w:lineRule="auto"/>
      </w:pPr>
    </w:p>
    <w:p w:rsidR="00EA5C8F" w:rsidRDefault="00EA5C8F" w:rsidP="00D83552">
      <w:pPr>
        <w:pStyle w:val="ListParagraph"/>
        <w:numPr>
          <w:ilvl w:val="0"/>
          <w:numId w:val="144"/>
        </w:numPr>
        <w:spacing w:after="200" w:line="360" w:lineRule="auto"/>
      </w:pPr>
      <w:r w:rsidRPr="00EA5C8F">
        <w:rPr>
          <w:u w:val="single"/>
        </w:rPr>
        <w:t>Centralized Correlated Random Number Generation</w:t>
      </w:r>
      <w:r>
        <w:t>: Centralized correlated random numbers (or Gaussian variates) for use by the CVA model for each asset class for capturing the cross-correlation.</w:t>
      </w:r>
    </w:p>
    <w:p w:rsidR="00720ADD" w:rsidRDefault="00720ADD" w:rsidP="00D83552">
      <w:pPr>
        <w:pStyle w:val="ListParagraph"/>
        <w:numPr>
          <w:ilvl w:val="0"/>
          <w:numId w:val="144"/>
        </w:numPr>
        <w:spacing w:after="200" w:line="360" w:lineRule="auto"/>
      </w:pPr>
      <w:r>
        <w:rPr>
          <w:u w:val="single"/>
        </w:rPr>
        <w:t>Centralized Simulation of IR/FX</w:t>
      </w:r>
      <w:r w:rsidRPr="00720ADD">
        <w:t>:</w:t>
      </w:r>
      <w:r w:rsidR="00016001">
        <w:t xml:space="preserve"> Use the</w:t>
      </w:r>
      <w:r>
        <w:t xml:space="preserve"> simulated IR and FX</w:t>
      </w:r>
      <w:r w:rsidR="00016001">
        <w:t xml:space="preserve"> markets from the IR and the FX CVA models in the other CVA models for all asset classes.</w:t>
      </w:r>
    </w:p>
    <w:p w:rsidR="00016001" w:rsidRDefault="00016001" w:rsidP="00D83552">
      <w:pPr>
        <w:pStyle w:val="ListParagraph"/>
        <w:numPr>
          <w:ilvl w:val="0"/>
          <w:numId w:val="144"/>
        </w:numPr>
        <w:spacing w:after="200" w:line="360" w:lineRule="auto"/>
      </w:pPr>
      <w:r>
        <w:rPr>
          <w:u w:val="single"/>
        </w:rPr>
        <w:t>Consistent Cross Asset Exposure Aggregation</w:t>
      </w:r>
      <w:r w:rsidRPr="00016001">
        <w:t>:</w:t>
      </w:r>
      <w:r>
        <w:t xml:space="preserve"> Aggregate the counter party exposures consistently across all asset classes for computing the CVA and the DVA.</w:t>
      </w:r>
    </w:p>
    <w:p w:rsidR="00016001" w:rsidRDefault="00016001" w:rsidP="00D83552">
      <w:pPr>
        <w:pStyle w:val="ListParagraph"/>
        <w:numPr>
          <w:ilvl w:val="0"/>
          <w:numId w:val="144"/>
        </w:numPr>
        <w:spacing w:after="200" w:line="360" w:lineRule="auto"/>
      </w:pPr>
      <w:r>
        <w:rPr>
          <w:u w:val="single"/>
        </w:rPr>
        <w:lastRenderedPageBreak/>
        <w:t>Generic Right/Wrong Way Risks</w:t>
      </w:r>
      <w:r w:rsidRPr="00016001">
        <w:t>:</w:t>
      </w:r>
      <w:r>
        <w:t xml:space="preserve"> Systematic handling of the generic wrong-way/right way risks based on the correlation between the bank and the counter party credit spreads (or default probabilities) with the market risk factors for all asset classes.</w:t>
      </w:r>
    </w:p>
    <w:p w:rsidR="00016001" w:rsidRDefault="00016001" w:rsidP="00D83552">
      <w:pPr>
        <w:pStyle w:val="ListParagraph"/>
        <w:numPr>
          <w:ilvl w:val="0"/>
          <w:numId w:val="144"/>
        </w:numPr>
        <w:spacing w:after="200" w:line="360" w:lineRule="auto"/>
      </w:pPr>
      <w:r>
        <w:rPr>
          <w:u w:val="single"/>
        </w:rPr>
        <w:t>Specific Right/Wrong Way Risks</w:t>
      </w:r>
      <w:r w:rsidRPr="00016001">
        <w:t>:</w:t>
      </w:r>
    </w:p>
    <w:p w:rsidR="00016001" w:rsidRDefault="00016001" w:rsidP="00D83552">
      <w:pPr>
        <w:pStyle w:val="ListParagraph"/>
        <w:numPr>
          <w:ilvl w:val="1"/>
          <w:numId w:val="144"/>
        </w:numPr>
        <w:spacing w:after="200" w:line="360" w:lineRule="auto"/>
      </w:pPr>
      <w:r>
        <w:t>Enhanced handling of specific wrong-way/right-way risks with systematic identifications of self-referencing trades.</w:t>
      </w:r>
    </w:p>
    <w:p w:rsidR="00016001" w:rsidRDefault="00016001" w:rsidP="00D83552">
      <w:pPr>
        <w:pStyle w:val="ListParagraph"/>
        <w:numPr>
          <w:ilvl w:val="1"/>
          <w:numId w:val="144"/>
        </w:numPr>
        <w:spacing w:after="200" w:line="360" w:lineRule="auto"/>
      </w:pPr>
      <w:r>
        <w:t>Productionization of the tactical approximations for the wrong-way/right-way risks.</w:t>
      </w:r>
    </w:p>
    <w:p w:rsidR="00016001" w:rsidRDefault="00016001" w:rsidP="00D83552">
      <w:pPr>
        <w:pStyle w:val="ListParagraph"/>
        <w:numPr>
          <w:ilvl w:val="0"/>
          <w:numId w:val="144"/>
        </w:numPr>
        <w:spacing w:after="200" w:line="360" w:lineRule="auto"/>
      </w:pPr>
      <w:r>
        <w:rPr>
          <w:u w:val="single"/>
        </w:rPr>
        <w:t>Handling Margin Period of Risk</w:t>
      </w:r>
      <w:r>
        <w:t>:</w:t>
      </w:r>
    </w:p>
    <w:p w:rsidR="00016001" w:rsidRDefault="00016001" w:rsidP="00D83552">
      <w:pPr>
        <w:pStyle w:val="ListParagraph"/>
        <w:numPr>
          <w:ilvl w:val="1"/>
          <w:numId w:val="144"/>
        </w:numPr>
        <w:spacing w:after="200" w:line="360" w:lineRule="auto"/>
      </w:pPr>
      <w:r>
        <w:t>Improvement on handling the trade contractual cash flow at risk in the default window.</w:t>
      </w:r>
    </w:p>
    <w:p w:rsidR="00016001" w:rsidRDefault="00016001" w:rsidP="00D83552">
      <w:pPr>
        <w:pStyle w:val="ListParagraph"/>
        <w:numPr>
          <w:ilvl w:val="1"/>
          <w:numId w:val="144"/>
        </w:numPr>
        <w:spacing w:after="200" w:line="360" w:lineRule="auto"/>
      </w:pPr>
      <w:r>
        <w:t>Improvement on handling non-daily margin frequency.</w:t>
      </w:r>
    </w:p>
    <w:p w:rsidR="0082029E" w:rsidRDefault="0082029E" w:rsidP="00D83552">
      <w:pPr>
        <w:pStyle w:val="ListParagraph"/>
        <w:numPr>
          <w:ilvl w:val="0"/>
          <w:numId w:val="144"/>
        </w:numPr>
        <w:spacing w:after="200" w:line="360" w:lineRule="auto"/>
      </w:pPr>
      <w:r>
        <w:rPr>
          <w:u w:val="single"/>
        </w:rPr>
        <w:t>Simplified Materiality Analysis Risk Run</w:t>
      </w:r>
      <w:r>
        <w:t>: Simplified, uncorrelated, and non-arbitrage free stochastic simulation of the non-simulated risk factors for materiality analysis only (and not for daily production runs).</w:t>
      </w:r>
    </w:p>
    <w:p w:rsidR="0082029E" w:rsidRDefault="0082029E" w:rsidP="00D83552">
      <w:pPr>
        <w:pStyle w:val="ListParagraph"/>
        <w:numPr>
          <w:ilvl w:val="0"/>
          <w:numId w:val="144"/>
        </w:numPr>
        <w:spacing w:after="200" w:line="360" w:lineRule="auto"/>
      </w:pPr>
      <w:r>
        <w:rPr>
          <w:u w:val="single"/>
        </w:rPr>
        <w:t>Handling Additional Collateral and Credit</w:t>
      </w:r>
      <w:r w:rsidRPr="0082029E">
        <w:t>:</w:t>
      </w:r>
      <w:r>
        <w:t xml:space="preserve"> Handle additional collateral and </w:t>
      </w:r>
      <w:r w:rsidR="004778D0">
        <w:t>credit terms, as needed.</w:t>
      </w:r>
    </w:p>
    <w:p w:rsidR="004778D0" w:rsidRDefault="004778D0" w:rsidP="00D83552">
      <w:pPr>
        <w:pStyle w:val="ListParagraph"/>
        <w:numPr>
          <w:ilvl w:val="0"/>
          <w:numId w:val="144"/>
        </w:numPr>
        <w:spacing w:after="200" w:line="360" w:lineRule="auto"/>
      </w:pPr>
      <w:r>
        <w:rPr>
          <w:u w:val="single"/>
        </w:rPr>
        <w:t>Accuracy/Stability with Martingale Resampling</w:t>
      </w:r>
      <w:r>
        <w:t>: Martingale resampling for improving accuracy and numerical stability.</w:t>
      </w:r>
    </w:p>
    <w:p w:rsidR="004778D0" w:rsidRDefault="004778D0" w:rsidP="00D83552">
      <w:pPr>
        <w:pStyle w:val="ListParagraph"/>
        <w:numPr>
          <w:ilvl w:val="0"/>
          <w:numId w:val="144"/>
        </w:numPr>
        <w:spacing w:after="200" w:line="360" w:lineRule="auto"/>
      </w:pPr>
      <w:r>
        <w:rPr>
          <w:u w:val="single"/>
        </w:rPr>
        <w:t>Replication Model for Trade Pricing</w:t>
      </w:r>
      <w:r w:rsidRPr="004778D0">
        <w:t>:</w:t>
      </w:r>
    </w:p>
    <w:p w:rsidR="004778D0" w:rsidRDefault="004778D0" w:rsidP="00D83552">
      <w:pPr>
        <w:pStyle w:val="ListParagraph"/>
        <w:numPr>
          <w:ilvl w:val="1"/>
          <w:numId w:val="144"/>
        </w:numPr>
        <w:spacing w:after="200" w:line="360" w:lineRule="auto"/>
      </w:pPr>
      <w:r>
        <w:t>Use the underlying hedge portfolio to replicate or approximate complex trades that cannot be otherwise priced for CVA.</w:t>
      </w:r>
    </w:p>
    <w:p w:rsidR="004778D0" w:rsidRDefault="004778D0" w:rsidP="00D83552">
      <w:pPr>
        <w:pStyle w:val="ListParagraph"/>
        <w:numPr>
          <w:ilvl w:val="1"/>
          <w:numId w:val="144"/>
        </w:numPr>
        <w:spacing w:after="200" w:line="360" w:lineRule="auto"/>
      </w:pPr>
      <w:r>
        <w:t>This is the first waterfall of the fallback trade pricing model, if the original pricing model fails. If the replication model also fails, one falls back to the proxy pricer for trade pricing.</w:t>
      </w:r>
    </w:p>
    <w:p w:rsidR="009D3E2B" w:rsidRDefault="009D3E2B" w:rsidP="009D3E2B">
      <w:pPr>
        <w:spacing w:after="200" w:line="360" w:lineRule="auto"/>
      </w:pPr>
    </w:p>
    <w:p w:rsidR="009D3E2B" w:rsidRDefault="009D3E2B" w:rsidP="009D3E2B">
      <w:pPr>
        <w:spacing w:after="200" w:line="360" w:lineRule="auto"/>
      </w:pPr>
    </w:p>
    <w:p w:rsidR="009D3E2B" w:rsidRPr="00A0478C" w:rsidRDefault="009D3E2B" w:rsidP="009D3E2B">
      <w:pPr>
        <w:spacing w:after="200" w:line="360" w:lineRule="auto"/>
        <w:rPr>
          <w:b/>
          <w:sz w:val="28"/>
          <w:szCs w:val="28"/>
        </w:rPr>
      </w:pPr>
      <w:r w:rsidRPr="00A0478C">
        <w:rPr>
          <w:b/>
          <w:sz w:val="28"/>
          <w:szCs w:val="28"/>
        </w:rPr>
        <w:t>Overview</w:t>
      </w:r>
    </w:p>
    <w:p w:rsidR="009D3E2B" w:rsidRDefault="009D3E2B" w:rsidP="009D3E2B">
      <w:pPr>
        <w:spacing w:after="200" w:line="360" w:lineRule="auto"/>
      </w:pPr>
    </w:p>
    <w:p w:rsidR="009D3E2B" w:rsidRDefault="009D3E2B" w:rsidP="00D83552">
      <w:pPr>
        <w:pStyle w:val="ListParagraph"/>
        <w:numPr>
          <w:ilvl w:val="0"/>
          <w:numId w:val="145"/>
        </w:numPr>
        <w:spacing w:after="200" w:line="360" w:lineRule="auto"/>
      </w:pPr>
      <w:r w:rsidRPr="00A0478C">
        <w:rPr>
          <w:u w:val="single"/>
        </w:rPr>
        <w:lastRenderedPageBreak/>
        <w:t>Definition of CVA and DVA</w:t>
      </w:r>
      <w:r>
        <w:t xml:space="preserve">: CVA (credit valuation adjustment) is the arbitrage free price (or present value) of the counter party credit risk with respect to the bank’s counter party default. DVA (debt valuation adjustment) is the arbitrage free price (or present value) of the counter party credit risk with respect to </w:t>
      </w:r>
      <w:r w:rsidR="00A0478C">
        <w:t>bank</w:t>
      </w:r>
      <w:r>
        <w:t>’s own default</w:t>
      </w:r>
      <w:r w:rsidR="00A0478C">
        <w:t xml:space="preserve"> for a portfolio of OTC derivatives.</w:t>
      </w:r>
    </w:p>
    <w:p w:rsidR="00A0478C" w:rsidRDefault="00A0478C" w:rsidP="00D83552">
      <w:pPr>
        <w:pStyle w:val="ListParagraph"/>
        <w:numPr>
          <w:ilvl w:val="0"/>
          <w:numId w:val="145"/>
        </w:numPr>
        <w:spacing w:after="200" w:line="360" w:lineRule="auto"/>
      </w:pPr>
      <w:r>
        <w:rPr>
          <w:u w:val="single"/>
        </w:rPr>
        <w:t>Counter Party/Bank Total Adjustments</w:t>
      </w:r>
      <w:r w:rsidRPr="00A0478C">
        <w:t>:</w:t>
      </w:r>
      <w:r>
        <w:t xml:space="preserve"> CVA and DVA together are used as an adjustment to the default free price of the OTC derivatives (from the underlying LOB models) to achieve proper fair market value.</w:t>
      </w:r>
    </w:p>
    <w:p w:rsidR="00A0478C" w:rsidRDefault="00A0478C" w:rsidP="00D83552">
      <w:pPr>
        <w:pStyle w:val="ListParagraph"/>
        <w:numPr>
          <w:ilvl w:val="0"/>
          <w:numId w:val="145"/>
        </w:numPr>
        <w:spacing w:after="200" w:line="360" w:lineRule="auto"/>
      </w:pPr>
      <w:r>
        <w:rPr>
          <w:u w:val="single"/>
        </w:rPr>
        <w:t>Challenges with the CVA/DVA Estimation</w:t>
      </w:r>
      <w:r w:rsidRPr="00A0478C">
        <w:t>:</w:t>
      </w:r>
      <w:r>
        <w:t xml:space="preserve"> The major challenges in valuing the CVA and the DVA are the non-linear portfolio effects (including all the trades in a counter party portfolio) arising from, for example, the portfolio option-like payoff (due to the default settlement asymmetry), portfolio based netting and collateral agreements, and other credit terms, which require significant modeling effort in addition to pricing underlying trades. The LOB models are heavily leveraged for valuing CVA and DVA.</w:t>
      </w:r>
    </w:p>
    <w:p w:rsidR="000007A6" w:rsidRDefault="000007A6" w:rsidP="00D83552">
      <w:pPr>
        <w:pStyle w:val="ListParagraph"/>
        <w:numPr>
          <w:ilvl w:val="0"/>
          <w:numId w:val="145"/>
        </w:numPr>
        <w:spacing w:after="200" w:line="360" w:lineRule="auto"/>
      </w:pPr>
      <w:r>
        <w:rPr>
          <w:u w:val="single"/>
        </w:rPr>
        <w:t>CVA/DVA Calculation Framework</w:t>
      </w:r>
      <w:r w:rsidRPr="000007A6">
        <w:t>:</w:t>
      </w:r>
      <w:r>
        <w:t xml:space="preserve"> The high level framework for valuing CVA and DVA is as follows.</w:t>
      </w:r>
    </w:p>
    <w:p w:rsidR="005B4534" w:rsidRDefault="005B4534" w:rsidP="00D83552">
      <w:pPr>
        <w:pStyle w:val="ListParagraph"/>
        <w:numPr>
          <w:ilvl w:val="0"/>
          <w:numId w:val="145"/>
        </w:numPr>
        <w:spacing w:after="200" w:line="360" w:lineRule="auto"/>
      </w:pPr>
      <w:r>
        <w:rPr>
          <w:u w:val="single"/>
        </w:rPr>
        <w:t>Centralized Correlated Random Numbers Generation</w:t>
      </w:r>
      <w:r w:rsidRPr="005B4534">
        <w:t>:</w:t>
      </w:r>
      <w:r>
        <w:t xml:space="preserve"> The centralized correlated random numbers (or Gaussian variates) is used for:</w:t>
      </w:r>
    </w:p>
    <w:p w:rsidR="005B4534" w:rsidRDefault="005B4534" w:rsidP="00D83552">
      <w:pPr>
        <w:pStyle w:val="ListParagraph"/>
        <w:numPr>
          <w:ilvl w:val="1"/>
          <w:numId w:val="145"/>
        </w:numPr>
        <w:spacing w:after="200" w:line="360" w:lineRule="auto"/>
      </w:pPr>
      <w:r>
        <w:t>Handling correlations within each asset class and across assets</w:t>
      </w:r>
    </w:p>
    <w:p w:rsidR="005B4534" w:rsidRDefault="005B4534" w:rsidP="00D83552">
      <w:pPr>
        <w:pStyle w:val="ListParagraph"/>
        <w:numPr>
          <w:ilvl w:val="1"/>
          <w:numId w:val="145"/>
        </w:numPr>
        <w:spacing w:after="200" w:line="360" w:lineRule="auto"/>
      </w:pPr>
      <w:r>
        <w:t>Before using this functionality, each LOB CVA can optionally generate its own random numbers (or Gaussian variates).</w:t>
      </w:r>
    </w:p>
    <w:p w:rsidR="005B4534" w:rsidRDefault="005B4534" w:rsidP="00D83552">
      <w:pPr>
        <w:pStyle w:val="ListParagraph"/>
        <w:numPr>
          <w:ilvl w:val="0"/>
          <w:numId w:val="145"/>
        </w:numPr>
        <w:spacing w:after="200" w:line="360" w:lineRule="auto"/>
      </w:pPr>
      <w:r>
        <w:rPr>
          <w:u w:val="single"/>
        </w:rPr>
        <w:t>Material Market Factors Generation/Simulation</w:t>
      </w:r>
      <w:r>
        <w:t>: The arbitrage free simulation of all the material market risk factors takes the centralized correlated random numbers (or Gaussian variates) as inputs. It also leverages the underling LOB models.</w:t>
      </w:r>
    </w:p>
    <w:p w:rsidR="005B4534" w:rsidRDefault="005B4534" w:rsidP="00D83552">
      <w:pPr>
        <w:pStyle w:val="ListParagraph"/>
        <w:numPr>
          <w:ilvl w:val="0"/>
          <w:numId w:val="145"/>
        </w:numPr>
        <w:spacing w:after="200" w:line="360" w:lineRule="auto"/>
      </w:pPr>
      <w:r>
        <w:rPr>
          <w:u w:val="single"/>
        </w:rPr>
        <w:t>Approximation for Immaterial Market Factors</w:t>
      </w:r>
      <w:r w:rsidRPr="005B4534">
        <w:t>:</w:t>
      </w:r>
      <w:r>
        <w:t xml:space="preserve"> The market generation/simulation also employs approximations for immaterial market risk factors (including no-arbitrage-free and/or uncorrelated simulations for materiality analysis).</w:t>
      </w:r>
    </w:p>
    <w:p w:rsidR="005B4534" w:rsidRDefault="005B4534" w:rsidP="00D83552">
      <w:pPr>
        <w:pStyle w:val="ListParagraph"/>
        <w:numPr>
          <w:ilvl w:val="0"/>
          <w:numId w:val="145"/>
        </w:numPr>
        <w:spacing w:after="200" w:line="360" w:lineRule="auto"/>
      </w:pPr>
      <w:r>
        <w:rPr>
          <w:u w:val="single"/>
        </w:rPr>
        <w:t>Trade Valuation No Arbitrage Principle</w:t>
      </w:r>
      <w:r w:rsidRPr="005B4534">
        <w:t>:</w:t>
      </w:r>
      <w:r>
        <w:t xml:space="preserve"> The arbitrage-free valuation of all material trades in each counter party portfolio on each of the above simulated market paths, and as of each simulation time step, is achieved by calling the underlying desk pricers directly – with </w:t>
      </w:r>
      <w:r>
        <w:lastRenderedPageBreak/>
        <w:t>improvements in some cases. Proper handling needs to be done of the physical settlement, the MTM resets, the accrual conventions, or possibly other future trade events.</w:t>
      </w:r>
    </w:p>
    <w:p w:rsidR="005B4534" w:rsidRDefault="005B4534" w:rsidP="00D83552">
      <w:pPr>
        <w:pStyle w:val="ListParagraph"/>
        <w:numPr>
          <w:ilvl w:val="0"/>
          <w:numId w:val="145"/>
        </w:numPr>
        <w:spacing w:after="200" w:line="360" w:lineRule="auto"/>
      </w:pPr>
      <w:r>
        <w:rPr>
          <w:u w:val="single"/>
        </w:rPr>
        <w:t>Simulation Vertex Cash Flow Computation</w:t>
      </w:r>
      <w:r w:rsidRPr="005B4534">
        <w:t>:</w:t>
      </w:r>
      <w:r>
        <w:t xml:space="preserve"> </w:t>
      </w:r>
      <w:r w:rsidR="00D82334">
        <w:t>The pricing model also needs to compute the cash flow amount in the payment currency (discounted to the simulation time step) with payment dates for each leg (possibly separately) of each trade on each simulated market path and as of each simulation time step.</w:t>
      </w:r>
    </w:p>
    <w:p w:rsidR="00400003" w:rsidRDefault="00400003" w:rsidP="00D83552">
      <w:pPr>
        <w:pStyle w:val="ListParagraph"/>
        <w:numPr>
          <w:ilvl w:val="0"/>
          <w:numId w:val="145"/>
        </w:numPr>
        <w:spacing w:after="200" w:line="360" w:lineRule="auto"/>
      </w:pPr>
      <w:r>
        <w:rPr>
          <w:u w:val="single"/>
        </w:rPr>
        <w:t>Trade Valuation using Replication Model</w:t>
      </w:r>
      <w:r w:rsidRPr="00400003">
        <w:t>:</w:t>
      </w:r>
    </w:p>
    <w:p w:rsidR="00400003" w:rsidRDefault="00400003" w:rsidP="00D83552">
      <w:pPr>
        <w:pStyle w:val="ListParagraph"/>
        <w:numPr>
          <w:ilvl w:val="1"/>
          <w:numId w:val="145"/>
        </w:numPr>
        <w:spacing w:after="200" w:line="360" w:lineRule="auto"/>
      </w:pPr>
      <w:r>
        <w:t>Use the underlying trade portfolio to replicate or approximate complex trades that cannot be otherwise priced for the CVA.</w:t>
      </w:r>
    </w:p>
    <w:p w:rsidR="00400003" w:rsidRDefault="00400003" w:rsidP="00D83552">
      <w:pPr>
        <w:pStyle w:val="ListParagraph"/>
        <w:numPr>
          <w:ilvl w:val="1"/>
          <w:numId w:val="145"/>
        </w:numPr>
        <w:spacing w:after="200" w:line="360" w:lineRule="auto"/>
      </w:pPr>
      <w:r>
        <w:t>This is also helpful in speeding up CVA and DVA computation for the major dealers.</w:t>
      </w:r>
    </w:p>
    <w:p w:rsidR="00400003" w:rsidRDefault="00400003" w:rsidP="00D83552">
      <w:pPr>
        <w:pStyle w:val="ListParagraph"/>
        <w:numPr>
          <w:ilvl w:val="1"/>
          <w:numId w:val="145"/>
        </w:numPr>
        <w:spacing w:after="200" w:line="360" w:lineRule="auto"/>
      </w:pPr>
      <w:r>
        <w:t>However, this needs to pass back testing.</w:t>
      </w:r>
    </w:p>
    <w:p w:rsidR="00400003" w:rsidRDefault="00400003" w:rsidP="00D83552">
      <w:pPr>
        <w:pStyle w:val="ListParagraph"/>
        <w:numPr>
          <w:ilvl w:val="0"/>
          <w:numId w:val="145"/>
        </w:numPr>
        <w:spacing w:after="200" w:line="360" w:lineRule="auto"/>
      </w:pPr>
      <w:r>
        <w:rPr>
          <w:u w:val="single"/>
        </w:rPr>
        <w:t>Trade Valuation under Proxy Pricers</w:t>
      </w:r>
      <w:r>
        <w:t>:</w:t>
      </w:r>
    </w:p>
    <w:p w:rsidR="00400003" w:rsidRDefault="00400003" w:rsidP="00D83552">
      <w:pPr>
        <w:pStyle w:val="ListParagraph"/>
        <w:numPr>
          <w:ilvl w:val="1"/>
          <w:numId w:val="145"/>
        </w:numPr>
        <w:spacing w:after="200" w:line="360" w:lineRule="auto"/>
      </w:pPr>
      <w:r>
        <w:t>Approximate fallback trade pricing models with conservative measures to be used in very limited cases.</w:t>
      </w:r>
    </w:p>
    <w:p w:rsidR="00400003" w:rsidRDefault="00400003" w:rsidP="00D83552">
      <w:pPr>
        <w:pStyle w:val="ListParagraph"/>
        <w:numPr>
          <w:ilvl w:val="2"/>
          <w:numId w:val="145"/>
        </w:numPr>
        <w:spacing w:after="200" w:line="360" w:lineRule="auto"/>
      </w:pPr>
      <w:r>
        <w:t>On complex trades with limited materiality that cannot be accurately and efficiently priced for CVA</w:t>
      </w:r>
    </w:p>
    <w:p w:rsidR="00400003" w:rsidRDefault="00400003" w:rsidP="00D83552">
      <w:pPr>
        <w:pStyle w:val="ListParagraph"/>
        <w:numPr>
          <w:ilvl w:val="2"/>
          <w:numId w:val="145"/>
        </w:numPr>
        <w:spacing w:after="200" w:line="360" w:lineRule="auto"/>
      </w:pPr>
      <w:r>
        <w:t>On trades with limited materiality that cannot be priced accurately for CVA due to data quality issues</w:t>
      </w:r>
    </w:p>
    <w:p w:rsidR="00400003" w:rsidRDefault="00400003" w:rsidP="00D83552">
      <w:pPr>
        <w:pStyle w:val="ListParagraph"/>
        <w:numPr>
          <w:ilvl w:val="1"/>
          <w:numId w:val="145"/>
        </w:numPr>
        <w:spacing w:after="200" w:line="360" w:lineRule="auto"/>
      </w:pPr>
      <w:r>
        <w:t>Conservatives measures with no netting allowed with any other trades, no DVA allowed.</w:t>
      </w:r>
    </w:p>
    <w:p w:rsidR="00400003" w:rsidRDefault="00400003" w:rsidP="00D83552">
      <w:pPr>
        <w:pStyle w:val="ListParagraph"/>
        <w:numPr>
          <w:ilvl w:val="1"/>
          <w:numId w:val="145"/>
        </w:numPr>
        <w:spacing w:after="200" w:line="360" w:lineRule="auto"/>
      </w:pPr>
      <w:r>
        <w:t>Does need to pass back-testing.</w:t>
      </w:r>
    </w:p>
    <w:p w:rsidR="00400003" w:rsidRDefault="00400003" w:rsidP="00D83552">
      <w:pPr>
        <w:pStyle w:val="ListParagraph"/>
        <w:numPr>
          <w:ilvl w:val="0"/>
          <w:numId w:val="145"/>
        </w:numPr>
        <w:spacing w:after="200" w:line="360" w:lineRule="auto"/>
      </w:pPr>
      <w:r>
        <w:rPr>
          <w:u w:val="single"/>
        </w:rPr>
        <w:t>Counter Party Exposure Valuation/Aggregation</w:t>
      </w:r>
      <w:r>
        <w:t xml:space="preserve">: </w:t>
      </w:r>
      <w:r w:rsidR="002C178E">
        <w:t>Valuation of the counter party exposures (positive and negative exposures separately) by aggregating the trade values corresponding to a given counter party taking into account netting, collateral, default window, margin period of risk (MPoR), as well as other credit terms.</w:t>
      </w:r>
    </w:p>
    <w:p w:rsidR="002C178E" w:rsidRDefault="002C178E" w:rsidP="00D83552">
      <w:pPr>
        <w:pStyle w:val="ListParagraph"/>
        <w:numPr>
          <w:ilvl w:val="0"/>
          <w:numId w:val="145"/>
        </w:numPr>
        <w:spacing w:after="200" w:line="360" w:lineRule="auto"/>
      </w:pPr>
      <w:r>
        <w:rPr>
          <w:u w:val="single"/>
        </w:rPr>
        <w:t>Margin/Collateral Exposure Valuation/Aggregation</w:t>
      </w:r>
      <w:r w:rsidRPr="002C178E">
        <w:t>:</w:t>
      </w:r>
      <w:r>
        <w:t xml:space="preserve"> Collateral handling for the variation margin (VM) and the independent amount (IA) or the initial margin (IM).The time-0 collateral balance should be the actual collateral balance or the required collateral balance in the base case. This is important for the CCAR scenarios. Also required in the handling of the cash flow at risk as part of MPoR.</w:t>
      </w:r>
    </w:p>
    <w:p w:rsidR="00F93A6F" w:rsidRDefault="00F93A6F" w:rsidP="00D83552">
      <w:pPr>
        <w:pStyle w:val="ListParagraph"/>
        <w:numPr>
          <w:ilvl w:val="0"/>
          <w:numId w:val="145"/>
        </w:numPr>
        <w:spacing w:after="200" w:line="360" w:lineRule="auto"/>
      </w:pPr>
      <w:r>
        <w:rPr>
          <w:u w:val="single"/>
        </w:rPr>
        <w:lastRenderedPageBreak/>
        <w:t>Cross Asset Exposure Valuation/Aggregation</w:t>
      </w:r>
      <w:r w:rsidRPr="00F93A6F">
        <w:t>:</w:t>
      </w:r>
      <w:r>
        <w:t xml:space="preserve"> Before the true cross-asset CVA model gets used, the trades of each asset class of a CP netting and/or collateral group needs to be separated into artificial netting and/or collateral groups with proper collateral allocation.</w:t>
      </w:r>
    </w:p>
    <w:p w:rsidR="00F93A6F" w:rsidRDefault="00F93A6F" w:rsidP="00D83552">
      <w:pPr>
        <w:pStyle w:val="ListParagraph"/>
        <w:numPr>
          <w:ilvl w:val="0"/>
          <w:numId w:val="145"/>
        </w:numPr>
        <w:spacing w:after="200" w:line="360" w:lineRule="auto"/>
      </w:pPr>
      <w:r>
        <w:rPr>
          <w:u w:val="single"/>
        </w:rPr>
        <w:t>CVA/DVA No Arbitrage Principle</w:t>
      </w:r>
      <w:r w:rsidRPr="00F93A6F">
        <w:t>:</w:t>
      </w:r>
    </w:p>
    <w:p w:rsidR="00F93A6F" w:rsidRDefault="00F93A6F" w:rsidP="00D83552">
      <w:pPr>
        <w:pStyle w:val="ListParagraph"/>
        <w:numPr>
          <w:ilvl w:val="1"/>
          <w:numId w:val="145"/>
        </w:numPr>
        <w:spacing w:after="200" w:line="360" w:lineRule="auto"/>
      </w:pPr>
      <w:r>
        <w:t>Market implied default probabilities and recoveries, if available, and the waterfall logic.</w:t>
      </w:r>
    </w:p>
    <w:p w:rsidR="00F93A6F" w:rsidRDefault="00F93A6F" w:rsidP="00D83552">
      <w:pPr>
        <w:pStyle w:val="ListParagraph"/>
        <w:numPr>
          <w:ilvl w:val="1"/>
          <w:numId w:val="145"/>
        </w:numPr>
        <w:spacing w:after="200" w:line="360" w:lineRule="auto"/>
      </w:pPr>
      <w:r>
        <w:t>Valuation of CVA and DVA as arbitrage-free expected default losses combining the counter party exposures, default probabilities, and recovery (of the bank and the counter party).</w:t>
      </w:r>
    </w:p>
    <w:p w:rsidR="00F93A6F" w:rsidRDefault="00F93A6F" w:rsidP="00D83552">
      <w:pPr>
        <w:pStyle w:val="ListParagraph"/>
        <w:numPr>
          <w:ilvl w:val="0"/>
          <w:numId w:val="145"/>
        </w:numPr>
        <w:spacing w:after="200" w:line="360" w:lineRule="auto"/>
      </w:pPr>
      <w:r>
        <w:rPr>
          <w:u w:val="single"/>
        </w:rPr>
        <w:t xml:space="preserve">Accuracy and Stability </w:t>
      </w:r>
      <w:r w:rsidR="00547A7B">
        <w:rPr>
          <w:u w:val="single"/>
        </w:rPr>
        <w:t>using Martingale Resampling</w:t>
      </w:r>
      <w:r w:rsidR="00547A7B">
        <w:t>: The underlying models need to provide martingale targets, such as the PV of the underlying trade, PV of the forward starting underlying trade, PV of the call and the put options on the underlying trade.</w:t>
      </w:r>
    </w:p>
    <w:p w:rsidR="00547A7B" w:rsidRDefault="00547A7B" w:rsidP="00D83552">
      <w:pPr>
        <w:pStyle w:val="ListParagraph"/>
        <w:numPr>
          <w:ilvl w:val="0"/>
          <w:numId w:val="145"/>
        </w:numPr>
        <w:spacing w:after="200" w:line="360" w:lineRule="auto"/>
      </w:pPr>
      <w:r>
        <w:rPr>
          <w:u w:val="single"/>
        </w:rPr>
        <w:t>CVA/DVA Development/Run Tests</w:t>
      </w:r>
      <w:r w:rsidRPr="00547A7B">
        <w:t>:</w:t>
      </w:r>
    </w:p>
    <w:p w:rsidR="00547A7B" w:rsidRDefault="00547A7B" w:rsidP="00D83552">
      <w:pPr>
        <w:pStyle w:val="ListParagraph"/>
        <w:numPr>
          <w:ilvl w:val="1"/>
          <w:numId w:val="145"/>
        </w:numPr>
        <w:spacing w:after="200" w:line="360" w:lineRule="auto"/>
      </w:pPr>
      <w:r>
        <w:t>Convergence testing (by varying the number of simulation paths, time steps, and the random seeds).</w:t>
      </w:r>
    </w:p>
    <w:p w:rsidR="00547A7B" w:rsidRDefault="00547A7B" w:rsidP="00D83552">
      <w:pPr>
        <w:pStyle w:val="ListParagraph"/>
        <w:numPr>
          <w:ilvl w:val="1"/>
          <w:numId w:val="145"/>
        </w:numPr>
        <w:spacing w:after="200" w:line="360" w:lineRule="auto"/>
      </w:pPr>
      <w:r>
        <w:t>Smoothness testing on the CVA and the DVA, and the risk metrics.</w:t>
      </w:r>
    </w:p>
    <w:p w:rsidR="00547A7B" w:rsidRDefault="00547A7B" w:rsidP="00D83552">
      <w:pPr>
        <w:pStyle w:val="ListParagraph"/>
        <w:numPr>
          <w:ilvl w:val="1"/>
          <w:numId w:val="145"/>
        </w:numPr>
        <w:spacing w:after="200" w:line="360" w:lineRule="auto"/>
      </w:pPr>
      <w:r>
        <w:t>Various Boundary Cases Testing.</w:t>
      </w:r>
    </w:p>
    <w:p w:rsidR="00547A7B" w:rsidRDefault="00547A7B" w:rsidP="00D83552">
      <w:pPr>
        <w:pStyle w:val="ListParagraph"/>
        <w:numPr>
          <w:ilvl w:val="1"/>
          <w:numId w:val="145"/>
        </w:numPr>
        <w:spacing w:after="200" w:line="360" w:lineRule="auto"/>
      </w:pPr>
      <w:r>
        <w:t>Various Martingale Testing.</w:t>
      </w:r>
    </w:p>
    <w:p w:rsidR="00547A7B" w:rsidRDefault="00547A7B" w:rsidP="00D83552">
      <w:pPr>
        <w:pStyle w:val="ListParagraph"/>
        <w:numPr>
          <w:ilvl w:val="1"/>
          <w:numId w:val="145"/>
        </w:numPr>
        <w:spacing w:after="200" w:line="360" w:lineRule="auto"/>
      </w:pPr>
      <w:r>
        <w:t>P&amp;L explanation testing.</w:t>
      </w:r>
    </w:p>
    <w:p w:rsidR="00547A7B" w:rsidRDefault="00547A7B" w:rsidP="00D83552">
      <w:pPr>
        <w:pStyle w:val="ListParagraph"/>
        <w:numPr>
          <w:ilvl w:val="1"/>
          <w:numId w:val="145"/>
        </w:numPr>
        <w:spacing w:after="200" w:line="360" w:lineRule="auto"/>
      </w:pPr>
      <w:r>
        <w:t>Back-testing.</w:t>
      </w:r>
    </w:p>
    <w:p w:rsidR="00080265" w:rsidRDefault="00080265" w:rsidP="00D83552">
      <w:pPr>
        <w:pStyle w:val="ListParagraph"/>
        <w:numPr>
          <w:ilvl w:val="0"/>
          <w:numId w:val="145"/>
        </w:numPr>
        <w:spacing w:after="200" w:line="360" w:lineRule="auto"/>
      </w:pPr>
      <w:r w:rsidRPr="00080265">
        <w:rPr>
          <w:u w:val="single"/>
        </w:rPr>
        <w:t>Other Functionality – CVA/DVA Scenarios</w:t>
      </w:r>
      <w:r>
        <w:t>:</w:t>
      </w:r>
    </w:p>
    <w:p w:rsidR="00080265" w:rsidRDefault="00080265" w:rsidP="00D83552">
      <w:pPr>
        <w:pStyle w:val="ListParagraph"/>
        <w:numPr>
          <w:ilvl w:val="1"/>
          <w:numId w:val="145"/>
        </w:numPr>
        <w:spacing w:after="200" w:line="360" w:lineRule="auto"/>
      </w:pPr>
      <w:r>
        <w:t>Interactive Live and Proposed Trade (and what-if) CVA and DVA calculator</w:t>
      </w:r>
    </w:p>
    <w:p w:rsidR="00080265" w:rsidRDefault="00080265" w:rsidP="00D83552">
      <w:pPr>
        <w:pStyle w:val="ListParagraph"/>
        <w:numPr>
          <w:ilvl w:val="1"/>
          <w:numId w:val="145"/>
        </w:numPr>
        <w:spacing w:after="200" w:line="360" w:lineRule="auto"/>
      </w:pPr>
      <w:r>
        <w:t>Scenario analysis engine – particularly for CCAR</w:t>
      </w:r>
    </w:p>
    <w:p w:rsidR="00080265" w:rsidRDefault="00080265" w:rsidP="00D83552">
      <w:pPr>
        <w:pStyle w:val="ListParagraph"/>
        <w:numPr>
          <w:ilvl w:val="0"/>
          <w:numId w:val="145"/>
        </w:numPr>
        <w:spacing w:after="200" w:line="360" w:lineRule="auto"/>
      </w:pPr>
      <w:r w:rsidRPr="00080265">
        <w:rPr>
          <w:u w:val="single"/>
        </w:rPr>
        <w:t>Other Functionality – PnL and Risk</w:t>
      </w:r>
      <w:r>
        <w:t>:</w:t>
      </w:r>
    </w:p>
    <w:p w:rsidR="00080265" w:rsidRDefault="00080265" w:rsidP="00D83552">
      <w:pPr>
        <w:pStyle w:val="ListParagraph"/>
        <w:numPr>
          <w:ilvl w:val="1"/>
          <w:numId w:val="145"/>
        </w:numPr>
        <w:spacing w:after="200" w:line="360" w:lineRule="auto"/>
      </w:pPr>
      <w:r>
        <w:t>Risk Metrics</w:t>
      </w:r>
    </w:p>
    <w:p w:rsidR="00080265" w:rsidRDefault="00080265" w:rsidP="00D83552">
      <w:pPr>
        <w:pStyle w:val="ListParagraph"/>
        <w:numPr>
          <w:ilvl w:val="1"/>
          <w:numId w:val="145"/>
        </w:numPr>
        <w:spacing w:after="200" w:line="360" w:lineRule="auto"/>
      </w:pPr>
      <w:r>
        <w:t>PnL Explanation (based on the risks) and PnL attribution (based on the actual market moves)</w:t>
      </w:r>
    </w:p>
    <w:p w:rsidR="00080265" w:rsidRDefault="00080265" w:rsidP="00D83552">
      <w:pPr>
        <w:pStyle w:val="ListParagraph"/>
        <w:numPr>
          <w:ilvl w:val="0"/>
          <w:numId w:val="145"/>
        </w:numPr>
        <w:spacing w:after="200" w:line="360" w:lineRule="auto"/>
      </w:pPr>
      <w:r w:rsidRPr="00080265">
        <w:rPr>
          <w:u w:val="single"/>
        </w:rPr>
        <w:t>Asset LOB CVA Schematic Sketch</w:t>
      </w:r>
      <w:r>
        <w:t xml:space="preserve">: The schematic composition of a LOB CVA framework for a particular asset class contains four dynamic modules – market generation, trade </w:t>
      </w:r>
      <w:r>
        <w:lastRenderedPageBreak/>
        <w:t>valuation, exposure valuation and aggregation, and CVA and DVA valuation – to be run daily.</w:t>
      </w:r>
    </w:p>
    <w:p w:rsidR="00080265" w:rsidRDefault="00080265" w:rsidP="00D83552">
      <w:pPr>
        <w:pStyle w:val="ListParagraph"/>
        <w:numPr>
          <w:ilvl w:val="0"/>
          <w:numId w:val="145"/>
        </w:numPr>
        <w:spacing w:after="200" w:line="360" w:lineRule="auto"/>
      </w:pPr>
      <w:r>
        <w:rPr>
          <w:u w:val="single"/>
        </w:rPr>
        <w:t>Cross Asset CVA Schematic Sketch</w:t>
      </w:r>
      <w:r w:rsidRPr="00080265">
        <w:t>:</w:t>
      </w:r>
      <w:r>
        <w:t xml:space="preserve"> The schematic of the cross-asset CVA modeling framework – that is integration LOB CVA models with further enhancements – follows.</w:t>
      </w:r>
      <w:r w:rsidR="00B270D6">
        <w:t xml:space="preserve"> It consists of four dynamic modules (market generation, trade valuation, exposure valuation and aggregation, and CVA and DVA valuation to be run daily) an</w:t>
      </w:r>
      <w:r w:rsidR="00514DF5">
        <w:t>d</w:t>
      </w:r>
      <w:r w:rsidR="00B270D6">
        <w:t xml:space="preserve"> one quasi-dynamic module (centralized random number generation to be run on demand, but not necessarily daily).</w:t>
      </w:r>
    </w:p>
    <w:p w:rsidR="00B270D6" w:rsidRDefault="00B270D6" w:rsidP="00D83552">
      <w:pPr>
        <w:pStyle w:val="ListParagraph"/>
        <w:numPr>
          <w:ilvl w:val="0"/>
          <w:numId w:val="145"/>
        </w:numPr>
        <w:spacing w:after="200" w:line="360" w:lineRule="auto"/>
      </w:pPr>
      <w:r>
        <w:rPr>
          <w:u w:val="single"/>
        </w:rPr>
        <w:t>Persistence Retrieval - CVA Component Calculation</w:t>
      </w:r>
      <w:r w:rsidRPr="00B270D6">
        <w:t>:</w:t>
      </w:r>
      <w:r>
        <w:t xml:space="preserve"> </w:t>
      </w:r>
      <w:r w:rsidR="00514DF5">
        <w:t>The saving and retrieval of the intermediate results are an important part of the framework.</w:t>
      </w:r>
    </w:p>
    <w:p w:rsidR="00514DF5" w:rsidRDefault="00514DF5" w:rsidP="00D83552">
      <w:pPr>
        <w:pStyle w:val="ListParagraph"/>
        <w:numPr>
          <w:ilvl w:val="0"/>
          <w:numId w:val="145"/>
        </w:numPr>
        <w:spacing w:after="200" w:line="360" w:lineRule="auto"/>
      </w:pPr>
      <w:r>
        <w:rPr>
          <w:u w:val="single"/>
        </w:rPr>
        <w:t>Dependence #1 - Intra/Inter Correlations</w:t>
      </w:r>
      <w:r w:rsidRPr="00514DF5">
        <w:t>:</w:t>
      </w:r>
      <w:r>
        <w:t xml:space="preserve"> The centralized random number generator produces the correlation for each asset class, and for each cross-asset correlation.</w:t>
      </w:r>
    </w:p>
    <w:p w:rsidR="00514DF5" w:rsidRDefault="00514DF5" w:rsidP="00D83552">
      <w:pPr>
        <w:pStyle w:val="ListParagraph"/>
        <w:numPr>
          <w:ilvl w:val="0"/>
          <w:numId w:val="145"/>
        </w:numPr>
        <w:spacing w:after="200" w:line="360" w:lineRule="auto"/>
      </w:pPr>
      <w:r>
        <w:rPr>
          <w:u w:val="single"/>
        </w:rPr>
        <w:t>Dependence #2 - IR CVA Metrics</w:t>
      </w:r>
      <w:r w:rsidRPr="00514DF5">
        <w:t>:</w:t>
      </w:r>
      <w:r>
        <w:t xml:space="preserve"> The dependency of the simulations and the trade valuations of the non-IR CVA models on IR needs to be modeled.</w:t>
      </w:r>
    </w:p>
    <w:p w:rsidR="00514DF5" w:rsidRDefault="00514DF5" w:rsidP="00D83552">
      <w:pPr>
        <w:pStyle w:val="ListParagraph"/>
        <w:numPr>
          <w:ilvl w:val="0"/>
          <w:numId w:val="145"/>
        </w:numPr>
        <w:spacing w:after="200" w:line="360" w:lineRule="auto"/>
      </w:pPr>
      <w:r>
        <w:rPr>
          <w:u w:val="single"/>
        </w:rPr>
        <w:t>Dependence #3 - FX CVA Metrics</w:t>
      </w:r>
      <w:r>
        <w:t>: The dependency of the trade valuation, exposure valuation and aggregation, and possibly CVA and DVA valuation on the FX rate must be modeled.</w:t>
      </w:r>
    </w:p>
    <w:p w:rsidR="0051272B" w:rsidRDefault="0051272B" w:rsidP="00D83552">
      <w:pPr>
        <w:pStyle w:val="ListParagraph"/>
        <w:numPr>
          <w:ilvl w:val="0"/>
          <w:numId w:val="145"/>
        </w:numPr>
        <w:spacing w:after="200" w:line="360" w:lineRule="auto"/>
      </w:pPr>
      <w:r>
        <w:rPr>
          <w:u w:val="single"/>
        </w:rPr>
        <w:t>Dependence #4 - Entity Credit Spreads</w:t>
      </w:r>
      <w:r w:rsidRPr="0051272B">
        <w:t>:</w:t>
      </w:r>
      <w:r>
        <w:t xml:space="preserve"> </w:t>
      </w:r>
      <w:r w:rsidR="007573D0">
        <w:t>The dependency of the CVA and the DVA valuation (and possibly exposure aggregation and valuation) on the simulated bank and the counter party credit spreads (and possibly default events) for the wrong-way and the right-ay risks need to be modeled.</w:t>
      </w:r>
    </w:p>
    <w:p w:rsidR="007573D0" w:rsidRDefault="007573D0" w:rsidP="00D83552">
      <w:pPr>
        <w:pStyle w:val="ListParagraph"/>
        <w:numPr>
          <w:ilvl w:val="0"/>
          <w:numId w:val="145"/>
        </w:numPr>
        <w:spacing w:after="200" w:line="360" w:lineRule="auto"/>
      </w:pPr>
      <w:r>
        <w:rPr>
          <w:u w:val="single"/>
        </w:rPr>
        <w:t>Dependence #3 - Martingale Resampling/Testing</w:t>
      </w:r>
      <w:r w:rsidRPr="007573D0">
        <w:t>:</w:t>
      </w:r>
      <w:r>
        <w:t xml:space="preserve"> Martingale resampling and testing needs to be performed across all modules, and at all levels.</w:t>
      </w:r>
    </w:p>
    <w:p w:rsidR="007573D0" w:rsidRDefault="007573D0" w:rsidP="007573D0">
      <w:pPr>
        <w:spacing w:after="200" w:line="360" w:lineRule="auto"/>
      </w:pPr>
    </w:p>
    <w:p w:rsidR="007573D0" w:rsidRDefault="007573D0" w:rsidP="007573D0">
      <w:pPr>
        <w:spacing w:after="200" w:line="360" w:lineRule="auto"/>
      </w:pPr>
    </w:p>
    <w:p w:rsidR="007573D0" w:rsidRPr="00EE5890" w:rsidRDefault="007573D0" w:rsidP="007573D0">
      <w:pPr>
        <w:spacing w:after="200" w:line="360" w:lineRule="auto"/>
        <w:rPr>
          <w:b/>
          <w:sz w:val="28"/>
          <w:szCs w:val="28"/>
        </w:rPr>
      </w:pPr>
      <w:r w:rsidRPr="00EE5890">
        <w:rPr>
          <w:b/>
          <w:sz w:val="28"/>
          <w:szCs w:val="28"/>
        </w:rPr>
        <w:t>Overview of the Mathematical Definitions – CVA</w:t>
      </w:r>
    </w:p>
    <w:p w:rsidR="007573D0" w:rsidRDefault="007573D0" w:rsidP="007573D0">
      <w:pPr>
        <w:spacing w:after="200" w:line="360" w:lineRule="auto"/>
      </w:pPr>
    </w:p>
    <w:p w:rsidR="00331F68" w:rsidRDefault="007573D0" w:rsidP="00D83552">
      <w:pPr>
        <w:pStyle w:val="ListParagraph"/>
        <w:numPr>
          <w:ilvl w:val="0"/>
          <w:numId w:val="146"/>
        </w:numPr>
        <w:spacing w:after="200" w:line="360" w:lineRule="auto"/>
      </w:pPr>
      <w:r w:rsidRPr="00EE5890">
        <w:rPr>
          <w:u w:val="single"/>
        </w:rPr>
        <w:lastRenderedPageBreak/>
        <w:t>USD LIBOR Risk Neutral Numeraire</w:t>
      </w:r>
      <w:r>
        <w:t xml:space="preserve">: The notations used here are as follows. The expectation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oMath>
      <w:r>
        <w:t xml:space="preserve"> is used under the USD LIBOR risk neutral probability measure with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xml:space="preserve"> as the time-</w:t>
      </w:r>
      <m:oMath>
        <m:r>
          <w:rPr>
            <w:rFonts w:ascii="Cambria Math" w:hAnsi="Cambria Math"/>
          </w:rPr>
          <m:t>t</m:t>
        </m:r>
      </m:oMath>
      <w:r>
        <w:t xml:space="preserve"> value of a money market account – with</w:t>
      </w:r>
    </w:p>
    <w:p w:rsidR="00331F68" w:rsidRDefault="00331F68" w:rsidP="00331F68">
      <w:pPr>
        <w:pStyle w:val="ListParagraph"/>
        <w:spacing w:after="200" w:line="360" w:lineRule="auto"/>
        <w:ind w:left="360"/>
        <w:rPr>
          <w:u w:val="single"/>
        </w:rPr>
      </w:pPr>
    </w:p>
    <w:p w:rsidR="00331F68" w:rsidRDefault="005D6A21" w:rsidP="00331F68">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=1</m:t>
          </m:r>
        </m:oMath>
      </m:oMathPara>
    </w:p>
    <w:p w:rsidR="00331F68" w:rsidRDefault="00331F68" w:rsidP="00331F68">
      <w:pPr>
        <w:pStyle w:val="ListParagraph"/>
        <w:spacing w:after="200" w:line="360" w:lineRule="auto"/>
        <w:ind w:left="360"/>
      </w:pPr>
    </w:p>
    <w:p w:rsidR="007573D0" w:rsidRDefault="007573D0" w:rsidP="00331F68">
      <w:pPr>
        <w:pStyle w:val="ListParagraph"/>
        <w:spacing w:after="200" w:line="360" w:lineRule="auto"/>
        <w:ind w:left="360"/>
      </w:pPr>
      <w:r>
        <w:t>that is consistent with the discounting of the uncollateralized underlying trades</w:t>
      </w:r>
      <w:r w:rsidR="00EE5890">
        <w:t>.</w:t>
      </w:r>
    </w:p>
    <w:p w:rsidR="00EE5890" w:rsidRDefault="00EE5890" w:rsidP="00D83552">
      <w:pPr>
        <w:pStyle w:val="ListParagraph"/>
        <w:numPr>
          <w:ilvl w:val="0"/>
          <w:numId w:val="146"/>
        </w:numPr>
        <w:spacing w:after="200" w:line="360" w:lineRule="auto"/>
      </w:pPr>
      <w:r>
        <w:rPr>
          <w:u w:val="single"/>
        </w:rPr>
        <w:t>Netting Group Cash Flow Dates</w:t>
      </w:r>
      <w:r w:rsidRPr="00EE5890">
        <w: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default time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with recovery on default of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900B59" w:rsidRDefault="00900B59" w:rsidP="00D83552">
      <w:pPr>
        <w:pStyle w:val="ListParagraph"/>
        <w:numPr>
          <w:ilvl w:val="0"/>
          <w:numId w:val="146"/>
        </w:numPr>
        <w:spacing w:after="200" w:line="360" w:lineRule="auto"/>
      </w:pPr>
      <w:r>
        <w:rPr>
          <w:u w:val="single"/>
        </w:rPr>
        <w:t>Netting Group Cash Flow Values</w:t>
      </w:r>
      <w:r w:rsidRPr="00900B59">
        <w:t>:</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cash price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using the then FX spot rate).</w:t>
      </w:r>
    </w:p>
    <w:p w:rsidR="00B73030" w:rsidRDefault="00241F2B" w:rsidP="00D83552">
      <w:pPr>
        <w:pStyle w:val="ListParagraph"/>
        <w:numPr>
          <w:ilvl w:val="0"/>
          <w:numId w:val="146"/>
        </w:numPr>
        <w:spacing w:after="200" w:line="360" w:lineRule="auto"/>
      </w:pPr>
      <w:r>
        <w:rPr>
          <w:u w:val="single"/>
        </w:rPr>
        <w:t>Netting Group Gap Cash Flows</w:t>
      </w:r>
      <w:r w:rsidRPr="00241F2B">
        <w:t>:</w:t>
      </w:r>
      <w: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cash flow at risk, which is the sum of all the contractual cash flows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with the then FX spot rate) with payment dates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e>
            </m:d>
          </m:e>
        </m:func>
      </m:oMath>
      <w:r>
        <w:t xml:space="preserve"> where </w:t>
      </w:r>
      <m:oMath>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is the default window. Initially one can approximate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by the sum of all cash flows with payment date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w:t>
      </w:r>
    </w:p>
    <w:p w:rsidR="00B73030" w:rsidRDefault="00B73030" w:rsidP="00B73030">
      <w:pPr>
        <w:pStyle w:val="ListParagraph"/>
        <w:spacing w:after="200" w:line="360" w:lineRule="auto"/>
        <w:ind w:left="360"/>
        <w:rPr>
          <w:u w:val="single"/>
        </w:rPr>
      </w:pPr>
    </w:p>
    <w:p w:rsidR="00241F2B" w:rsidRPr="00B73030" w:rsidRDefault="005D6A21"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=t</m:t>
          </m:r>
        </m:oMath>
      </m:oMathPara>
    </w:p>
    <w:p w:rsidR="00B73030" w:rsidRDefault="00B73030" w:rsidP="00B73030">
      <w:pPr>
        <w:pStyle w:val="ListParagraph"/>
        <w:spacing w:after="200" w:line="360" w:lineRule="auto"/>
        <w:ind w:left="360"/>
      </w:pPr>
    </w:p>
    <w:p w:rsidR="00241F2B" w:rsidRDefault="00241F2B" w:rsidP="00D83552">
      <w:pPr>
        <w:pStyle w:val="ListParagraph"/>
        <w:numPr>
          <w:ilvl w:val="0"/>
          <w:numId w:val="146"/>
        </w:numPr>
        <w:spacing w:after="200" w:line="360" w:lineRule="auto"/>
      </w:pPr>
      <w:r>
        <w:rPr>
          <w:u w:val="single"/>
        </w:rPr>
        <w:t>Netting Group Cash Flow Collateral</w:t>
      </w:r>
      <w:r>
        <w:t xml:space="preserve">: </w:t>
      </w:r>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collateral available for mitigating the counter party (or the bank) default risk (or subject to the counter party or the bank default risk) which will be discussed in more detail later.</w:t>
      </w:r>
    </w:p>
    <w:p w:rsidR="00241F2B" w:rsidRDefault="00241F2B" w:rsidP="00D83552">
      <w:pPr>
        <w:pStyle w:val="ListParagraph"/>
        <w:numPr>
          <w:ilvl w:val="0"/>
          <w:numId w:val="146"/>
        </w:numPr>
        <w:spacing w:after="200" w:line="360" w:lineRule="auto"/>
      </w:pPr>
      <w:r>
        <w:rPr>
          <w:u w:val="single"/>
        </w:rPr>
        <w:t>Netting Group CP Default Probability</w:t>
      </w:r>
      <w:r w:rsidRPr="00241F2B">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 xml:space="preserve"> t</m:t>
        </m:r>
      </m:oMath>
      <w:r>
        <w:t xml:space="preserve"> value of the cumulative probability of default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0, t</m:t>
            </m:r>
          </m:e>
        </m:d>
      </m:oMath>
      <w:r>
        <w:t xml:space="preserve"> is the time-</w:t>
      </w:r>
      <m:oMath>
        <m:r>
          <w:rPr>
            <w:rFonts w:ascii="Cambria Math" w:hAnsi="Cambria Math"/>
          </w:rPr>
          <m:t>0</m:t>
        </m:r>
      </m:oMath>
      <w:r>
        <w:t xml:space="preserve"> value of the cumulative default probability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w:t>
      </w:r>
    </w:p>
    <w:p w:rsidR="00B73030" w:rsidRDefault="007D0349" w:rsidP="00D83552">
      <w:pPr>
        <w:pStyle w:val="ListParagraph"/>
        <w:numPr>
          <w:ilvl w:val="0"/>
          <w:numId w:val="146"/>
        </w:numPr>
        <w:spacing w:after="200" w:line="360" w:lineRule="auto"/>
      </w:pPr>
      <w:r>
        <w:rPr>
          <w:u w:val="single"/>
        </w:rPr>
        <w:lastRenderedPageBreak/>
        <w:t>The Netting Group CVA #1</w:t>
      </w:r>
      <w:r w:rsidRPr="007D0349">
        <w:t>:</w:t>
      </w:r>
      <w:r>
        <w:t xml:space="preserve"> The CVA due to the CP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B73030" w:rsidRDefault="00B73030" w:rsidP="00B73030">
      <w:pPr>
        <w:pStyle w:val="ListParagraph"/>
        <w:spacing w:after="200" w:line="360" w:lineRule="auto"/>
        <w:ind w:left="360"/>
        <w:rPr>
          <w:u w:val="single"/>
        </w:rPr>
      </w:pPr>
    </w:p>
    <w:p w:rsidR="00B73030" w:rsidRDefault="005D6A21"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7D0349" w:rsidP="00B73030">
      <w:pPr>
        <w:pStyle w:val="ListParagraph"/>
        <w:spacing w:after="200" w:line="360" w:lineRule="auto"/>
        <w:ind w:left="360"/>
      </w:pPr>
      <w:r>
        <w:t>or</w:t>
      </w:r>
    </w:p>
    <w:p w:rsidR="00B73030" w:rsidRDefault="00B73030" w:rsidP="00B73030">
      <w:pPr>
        <w:pStyle w:val="ListParagraph"/>
        <w:spacing w:after="200" w:line="360" w:lineRule="auto"/>
        <w:ind w:left="360"/>
      </w:pPr>
    </w:p>
    <w:p w:rsidR="00B73030" w:rsidRDefault="005D6A21"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8E5A6F" w:rsidP="00B73030">
      <w:pPr>
        <w:pStyle w:val="ListParagraph"/>
        <w:spacing w:after="200" w:line="360" w:lineRule="auto"/>
        <w:ind w:left="360"/>
      </w:pPr>
      <w:r>
        <w:t>with</w:t>
      </w:r>
    </w:p>
    <w:p w:rsidR="00B73030" w:rsidRDefault="00B73030" w:rsidP="00B73030">
      <w:pPr>
        <w:pStyle w:val="ListParagraph"/>
        <w:spacing w:after="200" w:line="360" w:lineRule="auto"/>
        <w:ind w:left="360"/>
      </w:pPr>
    </w:p>
    <w:p w:rsidR="007D0349" w:rsidRPr="00B73030" w:rsidRDefault="005D6A21" w:rsidP="00B7303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B73030" w:rsidRDefault="00B73030" w:rsidP="00B73030">
      <w:pPr>
        <w:pStyle w:val="ListParagraph"/>
        <w:spacing w:after="200" w:line="360" w:lineRule="auto"/>
        <w:ind w:left="360"/>
      </w:pPr>
    </w:p>
    <w:p w:rsidR="00B73030" w:rsidRDefault="008E5A6F" w:rsidP="00D83552">
      <w:pPr>
        <w:pStyle w:val="ListParagraph"/>
        <w:numPr>
          <w:ilvl w:val="0"/>
          <w:numId w:val="146"/>
        </w:numPr>
        <w:spacing w:after="200" w:line="360" w:lineRule="auto"/>
      </w:pPr>
      <w:r>
        <w:rPr>
          <w:u w:val="single"/>
        </w:rPr>
        <w:t>The Netting Group CVA #2</w:t>
      </w:r>
      <w:r>
        <w:t>: If there is no CP default event correlation, the above can be reduced to</w:t>
      </w:r>
    </w:p>
    <w:p w:rsidR="00B73030" w:rsidRDefault="00B73030" w:rsidP="00B73030">
      <w:pPr>
        <w:pStyle w:val="ListParagraph"/>
        <w:spacing w:after="200" w:line="360" w:lineRule="auto"/>
        <w:ind w:left="360"/>
        <w:rPr>
          <w:u w:val="single"/>
        </w:rPr>
      </w:pPr>
    </w:p>
    <w:p w:rsidR="00B73030" w:rsidRDefault="005D6A21"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D</m:t>
                      </m:r>
                    </m:sub>
                  </m:sSub>
                  <m:d>
                    <m:dPr>
                      <m:ctrlPr>
                        <w:rPr>
                          <w:rFonts w:ascii="Cambria Math" w:hAnsi="Cambria Math"/>
                          <w:i/>
                        </w:rPr>
                      </m:ctrlPr>
                    </m:dPr>
                    <m:e>
                      <m:r>
                        <w:rPr>
                          <w:rFonts w:ascii="Cambria Math" w:hAnsi="Cambria Math"/>
                        </w:rPr>
                        <m:t>t</m:t>
                      </m:r>
                    </m:e>
                  </m:d>
                </m:e>
              </m:nary>
            </m:e>
          </m:d>
        </m:oMath>
      </m:oMathPara>
    </w:p>
    <w:p w:rsidR="00B73030" w:rsidRDefault="00B73030" w:rsidP="00B73030">
      <w:pPr>
        <w:pStyle w:val="ListParagraph"/>
        <w:spacing w:after="200" w:line="360" w:lineRule="auto"/>
        <w:ind w:left="360"/>
      </w:pPr>
    </w:p>
    <w:p w:rsidR="00E30E62" w:rsidRDefault="008E5A6F" w:rsidP="00B73030">
      <w:pPr>
        <w:pStyle w:val="ListParagraph"/>
        <w:spacing w:after="200" w:line="360" w:lineRule="auto"/>
        <w:ind w:left="360"/>
      </w:pPr>
      <w:r>
        <w:t>which, if there is no CP default probability (or spread) correlation, can be further reduced to</w:t>
      </w:r>
    </w:p>
    <w:p w:rsidR="00E30E62" w:rsidRDefault="00E30E62" w:rsidP="00B73030">
      <w:pPr>
        <w:pStyle w:val="ListParagraph"/>
        <w:spacing w:after="200" w:line="360" w:lineRule="auto"/>
        <w:ind w:left="360"/>
      </w:pPr>
    </w:p>
    <w:p w:rsidR="00E30E62" w:rsidRDefault="005D6A21"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lastRenderedPageBreak/>
        <w:t>which, if the CP default recovery is constant, can be even further reduced to</w:t>
      </w:r>
    </w:p>
    <w:p w:rsidR="00E30E62" w:rsidRDefault="00E30E62" w:rsidP="00B73030">
      <w:pPr>
        <w:pStyle w:val="ListParagraph"/>
        <w:spacing w:after="200" w:line="360" w:lineRule="auto"/>
        <w:ind w:left="360"/>
      </w:pPr>
    </w:p>
    <w:p w:rsidR="00E30E62" w:rsidRDefault="005D6A21"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with the discounted expected positive exposure (EPE) given by</w:t>
      </w:r>
    </w:p>
    <w:p w:rsidR="00E30E62" w:rsidRDefault="00E30E62" w:rsidP="00B73030">
      <w:pPr>
        <w:pStyle w:val="ListParagraph"/>
        <w:spacing w:after="200" w:line="360" w:lineRule="auto"/>
        <w:ind w:left="360"/>
      </w:pPr>
    </w:p>
    <w:p w:rsidR="00E30E62" w:rsidRDefault="005D6A21"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the discounted expected negative exposure (ENE) given by</w:t>
      </w:r>
    </w:p>
    <w:p w:rsidR="00E30E62" w:rsidRDefault="00E30E62" w:rsidP="00B73030">
      <w:pPr>
        <w:pStyle w:val="ListParagraph"/>
        <w:spacing w:after="200" w:line="360" w:lineRule="auto"/>
        <w:ind w:left="360"/>
      </w:pPr>
    </w:p>
    <w:p w:rsidR="00E30E62" w:rsidRDefault="005D6A21"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and the total discounted expected positive exposure (TEPE) given by</w:t>
      </w:r>
    </w:p>
    <w:p w:rsidR="00E30E62" w:rsidRDefault="00E30E62" w:rsidP="00B73030">
      <w:pPr>
        <w:pStyle w:val="ListParagraph"/>
        <w:spacing w:after="200" w:line="360" w:lineRule="auto"/>
        <w:ind w:left="360"/>
      </w:pPr>
    </w:p>
    <w:p w:rsidR="00E30E62" w:rsidRDefault="005D6A21"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TE</m:t>
              </m:r>
              <m:r>
                <w:rPr>
                  <w:rFonts w:ascii="Cambria Math" w:hAnsi="Cambria Math"/>
                </w:rPr>
                <m:t>PE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and the average discounted expected positive exposure (AEPE) given by</w:t>
      </w:r>
    </w:p>
    <w:p w:rsidR="00E30E62" w:rsidRDefault="00E30E62" w:rsidP="00B73030">
      <w:pPr>
        <w:pStyle w:val="ListParagraph"/>
        <w:spacing w:after="200" w:line="360" w:lineRule="auto"/>
        <w:ind w:left="360"/>
      </w:pPr>
    </w:p>
    <w:p w:rsidR="008E5A6F" w:rsidRPr="00E30E62" w:rsidRDefault="005D6A21"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AEPE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TEPE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E30E62" w:rsidRDefault="00E30E62" w:rsidP="00B73030">
      <w:pPr>
        <w:pStyle w:val="ListParagraph"/>
        <w:spacing w:after="200" w:line="360" w:lineRule="auto"/>
        <w:ind w:left="360"/>
      </w:pPr>
    </w:p>
    <w:p w:rsidR="00E30E62" w:rsidRDefault="00654F9D" w:rsidP="00D83552">
      <w:pPr>
        <w:pStyle w:val="ListParagraph"/>
        <w:numPr>
          <w:ilvl w:val="0"/>
          <w:numId w:val="146"/>
        </w:numPr>
        <w:spacing w:after="200" w:line="360" w:lineRule="auto"/>
      </w:pPr>
      <w:r>
        <w:rPr>
          <w:u w:val="single"/>
        </w:rPr>
        <w:t>The Netting Group PDE Formulation</w:t>
      </w:r>
      <w:r>
        <w:t xml:space="preserve">: Further the PFE at </w:t>
      </w:r>
      <m:oMath>
        <m:r>
          <w:rPr>
            <w:rFonts w:ascii="Cambria Math" w:hAnsi="Cambria Math"/>
          </w:rPr>
          <m:t>p</m:t>
        </m:r>
      </m:oMath>
      <w:r>
        <w:t>-percentile is defined as</w:t>
      </w:r>
    </w:p>
    <w:p w:rsidR="00E30E62" w:rsidRDefault="00E30E62" w:rsidP="00E30E62">
      <w:pPr>
        <w:pStyle w:val="ListParagraph"/>
        <w:spacing w:after="200" w:line="360" w:lineRule="auto"/>
        <w:ind w:left="360"/>
        <w:rPr>
          <w:u w:val="single"/>
        </w:rPr>
      </w:pPr>
    </w:p>
    <w:p w:rsidR="00E30E62" w:rsidRDefault="005D6A21"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func>
        </m:oMath>
      </m:oMathPara>
    </w:p>
    <w:p w:rsidR="00E30E62" w:rsidRDefault="00E30E62" w:rsidP="00E30E62">
      <w:pPr>
        <w:pStyle w:val="ListParagraph"/>
        <w:spacing w:after="200" w:line="360" w:lineRule="auto"/>
        <w:ind w:left="360"/>
      </w:pPr>
    </w:p>
    <w:p w:rsidR="00E30E62" w:rsidRDefault="00654F9D" w:rsidP="00E30E62">
      <w:pPr>
        <w:pStyle w:val="ListParagraph"/>
        <w:spacing w:after="200" w:line="360" w:lineRule="auto"/>
        <w:ind w:left="360"/>
      </w:pPr>
      <w:r>
        <w:lastRenderedPageBreak/>
        <w:t>and the maximum PFE (MPFE) as</w:t>
      </w:r>
    </w:p>
    <w:p w:rsidR="00E30E62" w:rsidRDefault="00E30E62" w:rsidP="00E30E62">
      <w:pPr>
        <w:pStyle w:val="ListParagraph"/>
        <w:spacing w:after="200" w:line="360" w:lineRule="auto"/>
        <w:ind w:left="360"/>
      </w:pPr>
    </w:p>
    <w:p w:rsidR="00654F9D" w:rsidRDefault="005D6A21"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MPFE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D5BC5" w:rsidRDefault="00AD5BC5" w:rsidP="00AD5BC5">
      <w:pPr>
        <w:spacing w:after="200" w:line="360" w:lineRule="auto"/>
      </w:pPr>
    </w:p>
    <w:p w:rsidR="00AD5BC5" w:rsidRDefault="00AD5BC5" w:rsidP="00AD5BC5">
      <w:pPr>
        <w:spacing w:after="200" w:line="360" w:lineRule="auto"/>
      </w:pPr>
    </w:p>
    <w:p w:rsidR="00AD5BC5" w:rsidRPr="00AD5BC5" w:rsidRDefault="00AD5BC5" w:rsidP="00AD5BC5">
      <w:pPr>
        <w:spacing w:after="200" w:line="360" w:lineRule="auto"/>
        <w:rPr>
          <w:b/>
          <w:sz w:val="28"/>
          <w:szCs w:val="28"/>
        </w:rPr>
      </w:pPr>
      <w:r w:rsidRPr="00AD5BC5">
        <w:rPr>
          <w:b/>
          <w:sz w:val="28"/>
          <w:szCs w:val="28"/>
        </w:rPr>
        <w:t>Overview of the Mathematical Definitions – DVA</w:t>
      </w:r>
    </w:p>
    <w:p w:rsidR="00AD5BC5" w:rsidRDefault="00AD5BC5" w:rsidP="00AD5BC5">
      <w:pPr>
        <w:spacing w:after="200" w:line="360" w:lineRule="auto"/>
      </w:pPr>
    </w:p>
    <w:p w:rsidR="00AD5BC5" w:rsidRDefault="00AD5BC5" w:rsidP="00D83552">
      <w:pPr>
        <w:pStyle w:val="ListParagraph"/>
        <w:numPr>
          <w:ilvl w:val="0"/>
          <w:numId w:val="147"/>
        </w:numPr>
        <w:spacing w:after="200" w:line="360" w:lineRule="auto"/>
      </w:pPr>
      <w:r w:rsidRPr="00AD5BC5">
        <w:rPr>
          <w:u w:val="single"/>
        </w:rPr>
        <w:t>Netting Group Bank Default Time</w:t>
      </w:r>
      <w:r>
        <w:t xml:space="preserve">: The additional notations used here are as follows: </w:t>
      </w:r>
      <m:oMath>
        <m:sSub>
          <m:sSubPr>
            <m:ctrlPr>
              <w:rPr>
                <w:rFonts w:ascii="Cambria Math" w:hAnsi="Cambria Math"/>
                <w:i/>
              </w:rPr>
            </m:ctrlPr>
          </m:sSubPr>
          <m:e>
            <m:r>
              <w:rPr>
                <w:rFonts w:ascii="Cambria Math" w:hAnsi="Cambria Math"/>
              </w:rPr>
              <m:t>t</m:t>
            </m:r>
          </m:e>
          <m:sub>
            <m:r>
              <w:rPr>
                <w:rFonts w:ascii="Cambria Math" w:hAnsi="Cambria Math"/>
              </w:rPr>
              <m:t>BANK</m:t>
            </m:r>
          </m:sub>
        </m:sSub>
      </m:oMath>
      <w:r>
        <w:t xml:space="preserve"> is the default time of the bank with recovery </w:t>
      </w:r>
      <m:oMath>
        <m:sSub>
          <m:sSubPr>
            <m:ctrlPr>
              <w:rPr>
                <w:rFonts w:ascii="Cambria Math" w:hAnsi="Cambria Math"/>
                <w:i/>
              </w:rPr>
            </m:ctrlPr>
          </m:sSubPr>
          <m:e>
            <m:r>
              <w:rPr>
                <w:rFonts w:ascii="Cambria Math" w:hAnsi="Cambria Math"/>
              </w:rPr>
              <m:t>R</m:t>
            </m:r>
          </m:e>
          <m:sub>
            <m:r>
              <w:rPr>
                <w:rFonts w:ascii="Cambria Math" w:hAnsi="Cambria Math"/>
              </w:rPr>
              <m:t>BANK</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51475F" w:rsidRDefault="0051475F" w:rsidP="00D83552">
      <w:pPr>
        <w:pStyle w:val="ListParagraph"/>
        <w:numPr>
          <w:ilvl w:val="0"/>
          <w:numId w:val="147"/>
        </w:numPr>
        <w:spacing w:after="200" w:line="360" w:lineRule="auto"/>
      </w:pPr>
      <w:r>
        <w:rPr>
          <w:u w:val="single"/>
        </w:rPr>
        <w:t>Netting Group Bank Default Probability</w:t>
      </w:r>
      <w:r w:rsidRPr="0051475F">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t</m:t>
            </m:r>
          </m:e>
        </m:d>
      </m:oMath>
      <w:r>
        <w:t xml:space="preserve"> is the time- value of the cumulative self-default probability (accumulating to time </w:t>
      </w:r>
      <m:oMath>
        <m:r>
          <w:rPr>
            <w:rFonts w:ascii="Cambria Math" w:hAnsi="Cambria Math"/>
          </w:rPr>
          <m:t>t</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0, t</m:t>
            </m:r>
          </m:e>
        </m:d>
      </m:oMath>
      <w:r>
        <w:t xml:space="preserve"> is the time </w:t>
      </w:r>
      <m:oMath>
        <m:r>
          <w:rPr>
            <w:rFonts w:ascii="Cambria Math" w:hAnsi="Cambria Math"/>
          </w:rPr>
          <m:t>0</m:t>
        </m:r>
      </m:oMath>
      <w:r>
        <w:t xml:space="preserve"> value of the cumulative self-default probability (accumulating to time </w:t>
      </w:r>
      <m:oMath>
        <m:r>
          <w:rPr>
            <w:rFonts w:ascii="Cambria Math" w:hAnsi="Cambria Math"/>
          </w:rPr>
          <m:t>t</m:t>
        </m:r>
      </m:oMath>
      <w:r>
        <w:t>).</w:t>
      </w:r>
    </w:p>
    <w:p w:rsidR="00A02A9E" w:rsidRDefault="0051475F" w:rsidP="00D83552">
      <w:pPr>
        <w:pStyle w:val="ListParagraph"/>
        <w:numPr>
          <w:ilvl w:val="0"/>
          <w:numId w:val="147"/>
        </w:numPr>
        <w:spacing w:after="200" w:line="360" w:lineRule="auto"/>
      </w:pPr>
      <w:r>
        <w:rPr>
          <w:u w:val="single"/>
        </w:rPr>
        <w:t>The Netting Group DVA #1</w:t>
      </w:r>
      <w:r w:rsidRPr="0051475F">
        <w:t>:</w:t>
      </w:r>
      <w:r>
        <w:t xml:space="preserve"> The DVA due to the bank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A02A9E" w:rsidRDefault="00A02A9E" w:rsidP="00A02A9E">
      <w:pPr>
        <w:pStyle w:val="ListParagraph"/>
        <w:spacing w:after="200" w:line="360" w:lineRule="auto"/>
        <w:ind w:left="360"/>
        <w:rPr>
          <w:u w:val="single"/>
        </w:rPr>
      </w:pPr>
    </w:p>
    <w:p w:rsidR="00A02A9E" w:rsidRDefault="005D6A21"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or</w:t>
      </w:r>
    </w:p>
    <w:p w:rsidR="00A02A9E" w:rsidRDefault="00A02A9E" w:rsidP="00A02A9E">
      <w:pPr>
        <w:pStyle w:val="ListParagraph"/>
        <w:spacing w:after="200" w:line="360" w:lineRule="auto"/>
        <w:ind w:left="360"/>
      </w:pPr>
    </w:p>
    <w:p w:rsidR="00A02A9E" w:rsidRDefault="005D6A21"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with</w:t>
      </w:r>
    </w:p>
    <w:p w:rsidR="00A02A9E" w:rsidRDefault="00A02A9E" w:rsidP="00A02A9E">
      <w:pPr>
        <w:pStyle w:val="ListParagraph"/>
        <w:spacing w:after="200" w:line="360" w:lineRule="auto"/>
        <w:ind w:left="360"/>
      </w:pPr>
    </w:p>
    <w:p w:rsidR="00A02A9E" w:rsidRDefault="005D6A21" w:rsidP="00A02A9E">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1E562F" w:rsidP="00A02A9E">
      <w:pPr>
        <w:pStyle w:val="ListParagraph"/>
        <w:spacing w:after="200" w:line="360" w:lineRule="auto"/>
        <w:ind w:left="360"/>
      </w:pPr>
      <w:r>
        <w:t>which, i</w:t>
      </w:r>
      <w:r w:rsidR="0051475F">
        <w:t xml:space="preserve">f there is </w:t>
      </w:r>
      <w:r>
        <w:t xml:space="preserve">no </w:t>
      </w:r>
      <w:r w:rsidR="0051475F">
        <w:t>self-default event correlation, can be reduced to</w:t>
      </w:r>
    </w:p>
    <w:p w:rsidR="00A02A9E" w:rsidRDefault="00A02A9E" w:rsidP="00A02A9E">
      <w:pPr>
        <w:pStyle w:val="ListParagraph"/>
        <w:spacing w:after="200" w:line="360" w:lineRule="auto"/>
        <w:ind w:left="360"/>
      </w:pPr>
    </w:p>
    <w:p w:rsidR="00A02A9E" w:rsidRDefault="005D6A21"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which, if there is no self-default probability (or spread) correlation, can be further reduced to</w:t>
      </w:r>
    </w:p>
    <w:p w:rsidR="00A02A9E" w:rsidRDefault="00A02A9E" w:rsidP="00A02A9E">
      <w:pPr>
        <w:pStyle w:val="ListParagraph"/>
        <w:spacing w:after="200" w:line="360" w:lineRule="auto"/>
        <w:ind w:left="360"/>
      </w:pPr>
    </w:p>
    <w:p w:rsidR="00A02A9E" w:rsidRDefault="005D6A21"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e>
              </m:d>
            </m:e>
          </m:nary>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which, if the self-default recovery is constant, can be even further reduced to</w:t>
      </w:r>
    </w:p>
    <w:p w:rsidR="00A02A9E" w:rsidRDefault="00A02A9E" w:rsidP="00A02A9E">
      <w:pPr>
        <w:pStyle w:val="ListParagraph"/>
        <w:spacing w:after="200" w:line="360" w:lineRule="auto"/>
        <w:ind w:left="360"/>
      </w:pPr>
    </w:p>
    <w:p w:rsidR="00A02A9E" w:rsidRDefault="005D6A21"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with the discounted expected negative exposure (ENE) given by</w:t>
      </w:r>
    </w:p>
    <w:p w:rsidR="00A02A9E" w:rsidRDefault="00A02A9E" w:rsidP="00A02A9E">
      <w:pPr>
        <w:pStyle w:val="ListParagraph"/>
        <w:spacing w:after="200" w:line="360" w:lineRule="auto"/>
        <w:ind w:left="360"/>
      </w:pPr>
    </w:p>
    <w:p w:rsidR="00A02A9E" w:rsidRDefault="005D6A21"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the discounted total expected negative exposure (TENE) given by</w:t>
      </w:r>
    </w:p>
    <w:p w:rsidR="00A02A9E" w:rsidRDefault="00A02A9E" w:rsidP="00A02A9E">
      <w:pPr>
        <w:pStyle w:val="ListParagraph"/>
        <w:spacing w:after="200" w:line="360" w:lineRule="auto"/>
        <w:ind w:left="360"/>
      </w:pPr>
    </w:p>
    <w:p w:rsidR="00A02A9E" w:rsidRDefault="005D6A21"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TENE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and the discounted average expected negative exposure AENE given by</w:t>
      </w:r>
    </w:p>
    <w:p w:rsidR="00A02A9E" w:rsidRDefault="00A02A9E" w:rsidP="00A02A9E">
      <w:pPr>
        <w:pStyle w:val="ListParagraph"/>
        <w:spacing w:after="200" w:line="360" w:lineRule="auto"/>
        <w:ind w:left="360"/>
      </w:pPr>
    </w:p>
    <w:p w:rsidR="0051475F" w:rsidRPr="00A02A9E" w:rsidRDefault="005D6A21"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AENE</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TENE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A02A9E" w:rsidRDefault="00A02A9E" w:rsidP="00A02A9E">
      <w:pPr>
        <w:pStyle w:val="ListParagraph"/>
        <w:spacing w:after="200" w:line="360" w:lineRule="auto"/>
        <w:ind w:left="360"/>
      </w:pPr>
    </w:p>
    <w:p w:rsidR="00A02A9E" w:rsidRDefault="00F57FF4" w:rsidP="00D83552">
      <w:pPr>
        <w:pStyle w:val="ListParagraph"/>
        <w:numPr>
          <w:ilvl w:val="0"/>
          <w:numId w:val="147"/>
        </w:numPr>
        <w:spacing w:after="200" w:line="360" w:lineRule="auto"/>
      </w:pPr>
      <w:r>
        <w:rPr>
          <w:u w:val="single"/>
        </w:rPr>
        <w:t>The Netting Group DVA #2</w:t>
      </w:r>
      <w:r>
        <w:t>: For convenience the discounted expected exposure EE is defined as</w:t>
      </w:r>
    </w:p>
    <w:p w:rsidR="00A02A9E" w:rsidRDefault="00A02A9E" w:rsidP="00A02A9E">
      <w:pPr>
        <w:pStyle w:val="ListParagraph"/>
        <w:spacing w:after="200" w:line="360" w:lineRule="auto"/>
        <w:ind w:left="360"/>
        <w:rPr>
          <w:u w:val="single"/>
        </w:rPr>
      </w:pPr>
    </w:p>
    <w:p w:rsidR="00A02A9E" w:rsidRDefault="005D6A21"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A02A9E" w:rsidRDefault="00A02A9E" w:rsidP="00A02A9E">
      <w:pPr>
        <w:pStyle w:val="ListParagraph"/>
        <w:spacing w:after="200" w:line="360" w:lineRule="auto"/>
        <w:ind w:left="360"/>
      </w:pPr>
    </w:p>
    <w:p w:rsidR="00A02A9E" w:rsidRDefault="00F57FF4" w:rsidP="00A02A9E">
      <w:pPr>
        <w:pStyle w:val="ListParagraph"/>
        <w:spacing w:after="200" w:line="360" w:lineRule="auto"/>
        <w:ind w:left="360"/>
      </w:pPr>
      <w:r>
        <w:t>and</w:t>
      </w:r>
    </w:p>
    <w:p w:rsidR="00A02A9E" w:rsidRDefault="00A02A9E" w:rsidP="00A02A9E">
      <w:pPr>
        <w:pStyle w:val="ListParagraph"/>
        <w:spacing w:after="200" w:line="360" w:lineRule="auto"/>
        <w:ind w:left="360"/>
      </w:pPr>
    </w:p>
    <w:p w:rsidR="00F57FF4" w:rsidRPr="00A02A9E" w:rsidRDefault="005D6A21"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0B0074" w:rsidP="00D83552">
      <w:pPr>
        <w:pStyle w:val="ListParagraph"/>
        <w:numPr>
          <w:ilvl w:val="0"/>
          <w:numId w:val="147"/>
        </w:numPr>
        <w:spacing w:after="200" w:line="360" w:lineRule="auto"/>
      </w:pPr>
      <w:r>
        <w:rPr>
          <w:u w:val="single"/>
        </w:rPr>
        <w:t>The Netting Group PFNE Expression</w:t>
      </w:r>
      <w:r>
        <w:t xml:space="preserve">: The </w:t>
      </w:r>
      <m:oMath>
        <m:r>
          <w:rPr>
            <w:rFonts w:ascii="Cambria Math" w:hAnsi="Cambria Math"/>
          </w:rPr>
          <m:t>p</m:t>
        </m:r>
      </m:oMath>
      <w:r>
        <w:t>-percentile potential future negative exposure (PFNE) is further defined as</w:t>
      </w:r>
    </w:p>
    <w:p w:rsidR="00A02A9E" w:rsidRDefault="00A02A9E" w:rsidP="00A02A9E">
      <w:pPr>
        <w:pStyle w:val="ListParagraph"/>
        <w:spacing w:after="200" w:line="360" w:lineRule="auto"/>
        <w:ind w:left="360"/>
        <w:rPr>
          <w:u w:val="single"/>
        </w:rPr>
      </w:pPr>
    </w:p>
    <w:p w:rsidR="00A02A9E" w:rsidRDefault="005D6A21"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sup</m:t>
              </m:r>
            </m:fName>
            <m:e>
              <m:d>
                <m:dPr>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d>
            </m:e>
          </m:func>
        </m:oMath>
      </m:oMathPara>
    </w:p>
    <w:p w:rsidR="00A02A9E" w:rsidRDefault="00A02A9E" w:rsidP="00A02A9E">
      <w:pPr>
        <w:pStyle w:val="ListParagraph"/>
        <w:spacing w:after="200" w:line="360" w:lineRule="auto"/>
        <w:ind w:left="360"/>
      </w:pPr>
    </w:p>
    <w:p w:rsidR="008C63C0" w:rsidRDefault="000B0074" w:rsidP="00A02A9E">
      <w:pPr>
        <w:pStyle w:val="ListParagraph"/>
        <w:spacing w:after="200" w:line="360" w:lineRule="auto"/>
        <w:ind w:left="360"/>
      </w:pPr>
      <w:r>
        <w:t>and minimum PFNE as</w:t>
      </w:r>
    </w:p>
    <w:p w:rsidR="008C63C0" w:rsidRDefault="008C63C0" w:rsidP="00A02A9E">
      <w:pPr>
        <w:pStyle w:val="ListParagraph"/>
        <w:spacing w:after="200" w:line="360" w:lineRule="auto"/>
        <w:ind w:left="360"/>
      </w:pPr>
    </w:p>
    <w:p w:rsidR="000B0074" w:rsidRDefault="005D6A21"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MPFNE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02A9E" w:rsidRDefault="00A02A9E" w:rsidP="00A02A9E">
      <w:pPr>
        <w:spacing w:after="200" w:line="360" w:lineRule="auto"/>
      </w:pPr>
    </w:p>
    <w:p w:rsidR="00A02A9E" w:rsidRDefault="00A02A9E" w:rsidP="00A02A9E">
      <w:pPr>
        <w:spacing w:after="200" w:line="360" w:lineRule="auto"/>
      </w:pPr>
    </w:p>
    <w:p w:rsidR="00A02A9E" w:rsidRPr="00A02A9E" w:rsidRDefault="00A02A9E" w:rsidP="00A02A9E">
      <w:pPr>
        <w:spacing w:after="200" w:line="360" w:lineRule="auto"/>
        <w:rPr>
          <w:b/>
          <w:sz w:val="28"/>
          <w:szCs w:val="28"/>
        </w:rPr>
      </w:pPr>
      <w:r w:rsidRPr="00A02A9E">
        <w:rPr>
          <w:b/>
          <w:sz w:val="28"/>
          <w:szCs w:val="28"/>
        </w:rPr>
        <w:t>Collateral</w:t>
      </w:r>
    </w:p>
    <w:p w:rsidR="00A02A9E" w:rsidRDefault="00A02A9E" w:rsidP="00A02A9E">
      <w:pPr>
        <w:spacing w:after="200" w:line="360" w:lineRule="auto"/>
      </w:pPr>
    </w:p>
    <w:p w:rsidR="00E7469E" w:rsidRDefault="00A02A9E" w:rsidP="00D83552">
      <w:pPr>
        <w:pStyle w:val="ListParagraph"/>
        <w:numPr>
          <w:ilvl w:val="0"/>
          <w:numId w:val="148"/>
        </w:numPr>
        <w:spacing w:after="200" w:line="360" w:lineRule="auto"/>
      </w:pPr>
      <w:r w:rsidRPr="00A02A9E">
        <w:rPr>
          <w:u w:val="single"/>
        </w:rPr>
        <w:t>Counter Party/Margin Consolidated Window</w:t>
      </w:r>
      <w:r>
        <w:t xml:space="preserve">: The notations used here are as follows.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is the total default window based on the default window (uncollateralized case)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and the margin call time period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oMath>
      <w:r>
        <w:t xml:space="preserve"> that is</w:t>
      </w:r>
    </w:p>
    <w:p w:rsidR="00E7469E" w:rsidRDefault="00E7469E" w:rsidP="00E7469E">
      <w:pPr>
        <w:pStyle w:val="ListParagraph"/>
        <w:spacing w:after="200" w:line="360" w:lineRule="auto"/>
        <w:ind w:left="360"/>
        <w:rPr>
          <w:u w:val="single"/>
        </w:rPr>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r>
            <w:rPr>
              <w:rFonts w:ascii="Cambria Math" w:hAnsi="Cambria Math"/>
            </w:rPr>
            <m:t>-1D</m:t>
          </m:r>
        </m:oMath>
      </m:oMathPara>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w:r>
        <w:t xml:space="preserve">with </w:t>
      </w:r>
      <m:oMath>
        <m:r>
          <w:rPr>
            <w:rFonts w:ascii="Cambria Math" w:hAnsi="Cambria Math"/>
          </w:rPr>
          <m:t>1D</m:t>
        </m:r>
      </m:oMath>
      <w:r>
        <w:t xml:space="preserve"> denoting one business day making</w:t>
      </w:r>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m:oMathPara>
    </w:p>
    <w:p w:rsidR="00E7469E" w:rsidRDefault="00E7469E" w:rsidP="00E7469E">
      <w:pPr>
        <w:pStyle w:val="ListParagraph"/>
        <w:spacing w:after="200" w:line="360" w:lineRule="auto"/>
        <w:ind w:left="360"/>
      </w:pPr>
    </w:p>
    <w:p w:rsidR="00A02A9E" w:rsidRDefault="00A02A9E" w:rsidP="00E7469E">
      <w:pPr>
        <w:pStyle w:val="ListParagraph"/>
        <w:spacing w:after="200" w:line="360" w:lineRule="auto"/>
        <w:ind w:left="360"/>
      </w:pPr>
      <w:r>
        <w:t>for daily margin period.</w:t>
      </w:r>
    </w:p>
    <w:p w:rsidR="00E7469E" w:rsidRDefault="009014E8" w:rsidP="00D83552">
      <w:pPr>
        <w:pStyle w:val="ListParagraph"/>
        <w:numPr>
          <w:ilvl w:val="0"/>
          <w:numId w:val="148"/>
        </w:numPr>
        <w:spacing w:after="200" w:line="360" w:lineRule="auto"/>
      </w:pPr>
      <w:r>
        <w:rPr>
          <w:u w:val="single"/>
        </w:rPr>
        <w:t>Start of the Total Default Window</w:t>
      </w:r>
      <w:r w:rsidRPr="009014E8">
        <w:t>:</w:t>
      </w:r>
    </w:p>
    <w:p w:rsidR="00E7469E" w:rsidRDefault="00E7469E" w:rsidP="00E7469E">
      <w:pPr>
        <w:pStyle w:val="ListParagraph"/>
        <w:spacing w:after="200" w:line="360" w:lineRule="auto"/>
        <w:ind w:left="360"/>
        <w:rPr>
          <w:u w:val="single"/>
        </w:rPr>
      </w:pPr>
    </w:p>
    <w:p w:rsidR="00E7469E" w:rsidRDefault="005D6A21"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 0</m:t>
                  </m:r>
                </m:e>
              </m:d>
            </m:e>
          </m:func>
        </m:oMath>
      </m:oMathPara>
    </w:p>
    <w:p w:rsidR="00E7469E" w:rsidRDefault="00E7469E" w:rsidP="00E7469E">
      <w:pPr>
        <w:pStyle w:val="ListParagraph"/>
        <w:spacing w:after="200" w:line="360" w:lineRule="auto"/>
        <w:ind w:left="360"/>
      </w:pPr>
    </w:p>
    <w:p w:rsidR="009014E8" w:rsidRDefault="009014E8" w:rsidP="00E7469E">
      <w:pPr>
        <w:pStyle w:val="ListParagraph"/>
        <w:spacing w:after="200" w:line="360" w:lineRule="auto"/>
        <w:ind w:left="360"/>
      </w:pPr>
      <w:r>
        <w:t xml:space="preserve">is the time at the beginning of the total default window, </w:t>
      </w:r>
      <m:oMath>
        <m:sSub>
          <m:sSubPr>
            <m:ctrlPr>
              <w:rPr>
                <w:rFonts w:ascii="Cambria Math" w:hAnsi="Cambria Math"/>
                <w:i/>
              </w:rPr>
            </m:ctrlPr>
          </m:sSubPr>
          <m:e>
            <m:r>
              <w:rPr>
                <w:rFonts w:ascii="Cambria Math" w:hAnsi="Cambria Math"/>
              </w:rPr>
              <m:t>V</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sub>
        </m:sSub>
      </m:oMath>
      <w:r>
        <w:t xml:space="preserve"> is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values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w:t>
      </w:r>
      <m:oMath>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a positive number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w:t>
      </w:r>
      <w:r w:rsidR="002B48A0">
        <w:t>A</w:t>
      </w:r>
      <w:r>
        <w:t xml:space="preserve"> (independent amount) requirements governing the counter party collateral posting, </w:t>
      </w:r>
      <m:oMath>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effective collateral threshold governing the counter party –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 collateral posting, which is the sum of the counter party threshold and the minimum transfer amounts (MTA) both of which are model inputs.</w:t>
      </w:r>
    </w:p>
    <w:p w:rsidR="002B48A0" w:rsidRDefault="002B48A0" w:rsidP="00D83552">
      <w:pPr>
        <w:pStyle w:val="ListParagraph"/>
        <w:numPr>
          <w:ilvl w:val="0"/>
          <w:numId w:val="148"/>
        </w:numPr>
        <w:spacing w:after="200" w:line="360" w:lineRule="auto"/>
      </w:pPr>
      <w:r>
        <w:rPr>
          <w:u w:val="single"/>
        </w:rPr>
        <w:t>Intuition behind Default Window Start</w:t>
      </w:r>
      <w:r w:rsidRPr="002B48A0">
        <w:t>:</w:t>
      </w:r>
      <w:r>
        <w:t xml:space="preserve"> Intuitively, the collateral is to be posted if the exposure plus IA cushion exceeds the effective collateral threshold.</w:t>
      </w:r>
    </w:p>
    <w:p w:rsidR="002B48A0" w:rsidRDefault="002B48A0" w:rsidP="00D83552">
      <w:pPr>
        <w:pStyle w:val="ListParagraph"/>
        <w:numPr>
          <w:ilvl w:val="0"/>
          <w:numId w:val="148"/>
        </w:numPr>
        <w:spacing w:after="200" w:line="360" w:lineRule="auto"/>
      </w:pPr>
      <w:r>
        <w:rPr>
          <w:u w:val="single"/>
        </w:rPr>
        <w:lastRenderedPageBreak/>
        <w:t>Bank Independent Amount/Collateral Threshold</w:t>
      </w:r>
      <w:r w:rsidRPr="002B48A0">
        <w:t>:</w:t>
      </w:r>
      <w:r>
        <w:t xml:space="preserve"> Similarly </w:t>
      </w:r>
      <m:oMath>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both negative numbers – are the IA requirements and the effective collateral threshold (which is the sum of the threshold and the MTA) governing the bank’s collateral posting (which are negative numbers).</w:t>
      </w:r>
    </w:p>
    <w:p w:rsidR="00CB2EC4" w:rsidRDefault="00CB2EC4" w:rsidP="00D83552">
      <w:pPr>
        <w:pStyle w:val="ListParagraph"/>
        <w:numPr>
          <w:ilvl w:val="0"/>
          <w:numId w:val="148"/>
        </w:numPr>
        <w:spacing w:after="200" w:line="360" w:lineRule="auto"/>
      </w:pPr>
      <w:r>
        <w:rPr>
          <w:u w:val="single"/>
        </w:rPr>
        <w:t>Collateral IA/IM Vertex Balances</w:t>
      </w:r>
      <w:r w:rsidRPr="00CB2EC4">
        <w:t>:</w:t>
      </w:r>
      <w:r>
        <w:t xml:space="preserve"> </w:t>
      </w:r>
      <m:oMath>
        <m:sSub>
          <m:sSubPr>
            <m:ctrlPr>
              <w:rPr>
                <w:rFonts w:ascii="Cambria Math" w:hAnsi="Cambria Math"/>
                <w:i/>
              </w:rPr>
            </m:ctrlPr>
          </m:sSubPr>
          <m:e>
            <m:r>
              <w:rPr>
                <w:rFonts w:ascii="Cambria Math" w:hAnsi="Cambria Math"/>
              </w:rPr>
              <m:t>Collateral</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w:t>
      </w:r>
      <m:oMath>
        <m:sSub>
          <m:sSubPr>
            <m:ctrlPr>
              <w:rPr>
                <w:rFonts w:ascii="Cambria Math" w:hAnsi="Cambria Math"/>
                <w:i/>
              </w:rPr>
            </m:ctrlPr>
          </m:sSubPr>
          <m:e>
            <m:r>
              <w:rPr>
                <w:rFonts w:ascii="Cambria Math" w:hAnsi="Cambria Math"/>
              </w:rPr>
              <m:t>IA</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VM</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are the </w:t>
      </w:r>
      <w:r w:rsidR="00215B22">
        <w:t>time</w:t>
      </w:r>
      <w:r>
        <w:t xml:space="preserv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 of balance of the total collateral, IA, and VM (variation margin). These can be positive or negative numbers, with positive numbers indicating tha</w:t>
      </w:r>
      <w:r w:rsidR="00215B22">
        <w:t xml:space="preserve">t the bank receives collateral </w:t>
      </w:r>
      <w:r>
        <w:t>and negative numbers indicating that the bank posts collateral.</w:t>
      </w:r>
    </w:p>
    <w:p w:rsidR="00215B22" w:rsidRDefault="00215B22" w:rsidP="00D83552">
      <w:pPr>
        <w:pStyle w:val="ListParagraph"/>
        <w:numPr>
          <w:ilvl w:val="0"/>
          <w:numId w:val="148"/>
        </w:numPr>
        <w:spacing w:after="200" w:line="360" w:lineRule="auto"/>
      </w:pPr>
      <w:r>
        <w:rPr>
          <w:u w:val="single"/>
        </w:rPr>
        <w:t>First Order Collateral Effect #1</w:t>
      </w:r>
      <w:r w:rsidRPr="00215B22">
        <w:t>:</w:t>
      </w:r>
      <w:r>
        <w:t xml:space="preserve"> The first-order impact of the collateral is the mitigation of the counter party default risk. More specifically when the counter party posts collateral to the bank, the bank’s risk to the counter party default is reduced – with the exposure reduced by the amount of the collateral the bank receives.</w:t>
      </w:r>
    </w:p>
    <w:p w:rsidR="00215B22" w:rsidRDefault="00215B22" w:rsidP="00D83552">
      <w:pPr>
        <w:pStyle w:val="ListParagraph"/>
        <w:numPr>
          <w:ilvl w:val="0"/>
          <w:numId w:val="148"/>
        </w:numPr>
        <w:spacing w:after="200" w:line="360" w:lineRule="auto"/>
      </w:pPr>
      <w:r>
        <w:rPr>
          <w:u w:val="single"/>
        </w:rPr>
        <w:t>First Order Collateral Effect #2</w:t>
      </w:r>
      <w:r w:rsidRPr="00215B22">
        <w:t>:</w:t>
      </w:r>
      <w:r>
        <w:t xml:space="preserve"> Similarly when the bank posts collateral to the counter party, the counter party’s exposure to the bank’s default risk is reduced (with the absolute value of the exposure reduced by the absolute value of the collateral posted).</w:t>
      </w:r>
    </w:p>
    <w:p w:rsidR="00215B22" w:rsidRDefault="00215B22" w:rsidP="00D83552">
      <w:pPr>
        <w:pStyle w:val="ListParagraph"/>
        <w:numPr>
          <w:ilvl w:val="0"/>
          <w:numId w:val="148"/>
        </w:numPr>
        <w:spacing w:after="200" w:line="360" w:lineRule="auto"/>
      </w:pPr>
      <w:r>
        <w:rPr>
          <w:u w:val="single"/>
        </w:rPr>
        <w:t>Second Order Collateral Effect #1</w:t>
      </w:r>
      <w:r w:rsidRPr="00215B22">
        <w:t>:</w:t>
      </w:r>
      <w:r>
        <w:t xml:space="preserve"> The second order effect of the collateral is that a part of the collateral is subject to the counter party default risk if the collateral is not segregated. More specifically, when the bank posts collateral to the counter party, and when it expects the counter party to return some of the collateral back (for example, if the receivable amount decreases), the amount of collateral to be returned to the bank is subject to the counter party default risk, if the collateral is not segregated.</w:t>
      </w:r>
    </w:p>
    <w:p w:rsidR="000C371B" w:rsidRDefault="000C371B" w:rsidP="00D83552">
      <w:pPr>
        <w:pStyle w:val="ListParagraph"/>
        <w:numPr>
          <w:ilvl w:val="0"/>
          <w:numId w:val="148"/>
        </w:numPr>
        <w:spacing w:after="200" w:line="360" w:lineRule="auto"/>
      </w:pPr>
      <w:r>
        <w:rPr>
          <w:u w:val="single"/>
        </w:rPr>
        <w:t>Second Order Collateral Effect #2</w:t>
      </w:r>
      <w:r w:rsidRPr="000C371B">
        <w:t>:</w:t>
      </w:r>
      <w:r>
        <w:t xml:space="preserve"> Similarly when the counter party posts collateral to the bank, and the bank is expected to return some collateral to the counter party (for example if the payable amount decreases), the amount of collateral to be returned to the counter party is subject to the bank’s default risk, if the collateral is not segregated.</w:t>
      </w:r>
    </w:p>
    <w:p w:rsidR="000C371B" w:rsidRDefault="000C371B" w:rsidP="00D83552">
      <w:pPr>
        <w:pStyle w:val="ListParagraph"/>
        <w:numPr>
          <w:ilvl w:val="0"/>
          <w:numId w:val="148"/>
        </w:numPr>
        <w:spacing w:after="200" w:line="360" w:lineRule="auto"/>
      </w:pPr>
      <w:r>
        <w:rPr>
          <w:u w:val="single"/>
        </w:rPr>
        <w:t>Computing the Required Collateral Balance</w:t>
      </w:r>
      <w:r w:rsidRPr="000C371B">
        <w:t>:</w:t>
      </w:r>
      <w:r>
        <w:t xml:space="preserve"> The time </w:t>
      </w:r>
      <m:oMath>
        <m:r>
          <w:rPr>
            <w:rFonts w:ascii="Cambria Math" w:hAnsi="Cambria Math"/>
          </w:rPr>
          <m:t>t</m:t>
        </m:r>
      </m:oMath>
      <w:r>
        <w:t xml:space="preserve"> required collateral balance </w:t>
      </w:r>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 the following collateral rules – taking into account the margin period of risk. As a starting point, the assumption here is that the collateral group and the netting group are identical.</w:t>
      </w:r>
    </w:p>
    <w:p w:rsidR="00E7469E" w:rsidRDefault="000C371B" w:rsidP="00D83552">
      <w:pPr>
        <w:pStyle w:val="ListParagraph"/>
        <w:numPr>
          <w:ilvl w:val="0"/>
          <w:numId w:val="148"/>
        </w:numPr>
        <w:spacing w:after="200" w:line="360" w:lineRule="auto"/>
      </w:pPr>
      <w:r>
        <w:rPr>
          <w:u w:val="single"/>
        </w:rPr>
        <w:lastRenderedPageBreak/>
        <w:t>Counter Party Required Collateral Balance</w:t>
      </w:r>
      <w:r w:rsidRPr="000C371B">
        <w:t>:</w:t>
      </w:r>
      <w:r>
        <w:t xml:space="preserve"> When the bank has net default exposures to the counter party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collateral group), the scenario for the counter party to post collateral, that is, if:</w:t>
      </w:r>
    </w:p>
    <w:p w:rsidR="00E7469E" w:rsidRDefault="00E7469E" w:rsidP="00E7469E">
      <w:pPr>
        <w:pStyle w:val="ListParagraph"/>
        <w:spacing w:after="200" w:line="360" w:lineRule="auto"/>
        <w:ind w:left="360"/>
        <w:rPr>
          <w:u w:val="single"/>
        </w:rPr>
      </w:pPr>
    </w:p>
    <w:p w:rsidR="00E7469E" w:rsidRDefault="005D6A21"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&gt;0</m:t>
          </m:r>
        </m:oMath>
      </m:oMathPara>
    </w:p>
    <w:p w:rsidR="00E7469E" w:rsidRDefault="00E7469E" w:rsidP="00E7469E">
      <w:pPr>
        <w:pStyle w:val="ListParagraph"/>
        <w:spacing w:after="200" w:line="360" w:lineRule="auto"/>
        <w:ind w:left="360"/>
      </w:pPr>
    </w:p>
    <w:p w:rsidR="00E7469E" w:rsidRDefault="000C371B" w:rsidP="00E7469E">
      <w:pPr>
        <w:pStyle w:val="ListParagraph"/>
        <w:spacing w:after="200" w:line="360" w:lineRule="auto"/>
        <w:ind w:left="360"/>
      </w:pPr>
      <w:r>
        <w:t>then</w:t>
      </w:r>
    </w:p>
    <w:p w:rsidR="00E7469E" w:rsidRDefault="00E7469E" w:rsidP="00E7469E">
      <w:pPr>
        <w:pStyle w:val="ListParagraph"/>
        <w:spacing w:after="200" w:line="360" w:lineRule="auto"/>
        <w:ind w:left="360"/>
      </w:pPr>
    </w:p>
    <w:p w:rsidR="00E7469E" w:rsidRDefault="005D6A21"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5D6A21"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0C371B" w:rsidRPr="00E7469E" w:rsidRDefault="005D6A21"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3855A2" w:rsidP="00D83552">
      <w:pPr>
        <w:pStyle w:val="ListParagraph"/>
        <w:numPr>
          <w:ilvl w:val="0"/>
          <w:numId w:val="148"/>
        </w:numPr>
        <w:spacing w:after="200" w:line="360" w:lineRule="auto"/>
      </w:pPr>
      <w:r>
        <w:rPr>
          <w:u w:val="single"/>
        </w:rPr>
        <w:t>Required Collateral Balance for Bank</w:t>
      </w:r>
      <w:r>
        <w:t xml:space="preserve">: Similarly when the counter party has net default exposures to the bank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the scenario for the bank to post collateral, that is, if:</w:t>
      </w:r>
    </w:p>
    <w:p w:rsidR="00E7469E" w:rsidRDefault="00E7469E" w:rsidP="00E7469E">
      <w:pPr>
        <w:pStyle w:val="ListParagraph"/>
        <w:spacing w:after="200" w:line="360" w:lineRule="auto"/>
        <w:ind w:left="360"/>
        <w:rPr>
          <w:u w:val="single"/>
        </w:rPr>
      </w:pPr>
    </w:p>
    <w:p w:rsidR="00E7469E" w:rsidRDefault="005D6A21"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&lt;0</m:t>
          </m:r>
        </m:oMath>
      </m:oMathPara>
    </w:p>
    <w:p w:rsidR="00E7469E" w:rsidRDefault="00E7469E" w:rsidP="00E7469E">
      <w:pPr>
        <w:pStyle w:val="ListParagraph"/>
        <w:spacing w:after="200" w:line="360" w:lineRule="auto"/>
        <w:ind w:left="360"/>
      </w:pPr>
    </w:p>
    <w:p w:rsidR="00E7469E" w:rsidRDefault="003855A2" w:rsidP="00E7469E">
      <w:pPr>
        <w:pStyle w:val="ListParagraph"/>
        <w:spacing w:after="200" w:line="360" w:lineRule="auto"/>
        <w:ind w:left="360"/>
      </w:pPr>
      <w:r>
        <w:t>then</w:t>
      </w:r>
    </w:p>
    <w:p w:rsidR="00E7469E" w:rsidRDefault="00E7469E" w:rsidP="00E7469E">
      <w:pPr>
        <w:pStyle w:val="ListParagraph"/>
        <w:spacing w:after="200" w:line="360" w:lineRule="auto"/>
        <w:ind w:left="360"/>
      </w:pPr>
    </w:p>
    <w:p w:rsidR="00E7469E" w:rsidRDefault="005D6A21"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5D6A21"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3855A2" w:rsidRPr="00E7469E" w:rsidRDefault="005D6A21"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E505CE" w:rsidP="00D83552">
      <w:pPr>
        <w:pStyle w:val="ListParagraph"/>
        <w:numPr>
          <w:ilvl w:val="0"/>
          <w:numId w:val="148"/>
        </w:numPr>
        <w:spacing w:after="200" w:line="360" w:lineRule="auto"/>
      </w:pPr>
      <w:r>
        <w:rPr>
          <w:u w:val="single"/>
        </w:rPr>
        <w:t>Collateral Balance under other Scenarios</w:t>
      </w:r>
      <w:r>
        <w:t>: In other scenarios</w:t>
      </w:r>
    </w:p>
    <w:p w:rsidR="00E7469E" w:rsidRDefault="00E7469E" w:rsidP="00E7469E">
      <w:pPr>
        <w:pStyle w:val="ListParagraph"/>
        <w:spacing w:after="200" w:line="360" w:lineRule="auto"/>
        <w:ind w:left="360"/>
        <w:rPr>
          <w:u w:val="single"/>
        </w:rPr>
      </w:pPr>
    </w:p>
    <w:p w:rsidR="00E505CE" w:rsidRPr="00E7469E" w:rsidRDefault="005D6A21"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=0</m:t>
          </m:r>
        </m:oMath>
      </m:oMathPara>
    </w:p>
    <w:p w:rsidR="00E7469E" w:rsidRDefault="00E7469E" w:rsidP="00E7469E">
      <w:pPr>
        <w:pStyle w:val="ListParagraph"/>
        <w:spacing w:after="200" w:line="360" w:lineRule="auto"/>
        <w:ind w:left="360"/>
      </w:pPr>
    </w:p>
    <w:p w:rsidR="00E7469E" w:rsidRDefault="00E505CE" w:rsidP="00D83552">
      <w:pPr>
        <w:pStyle w:val="ListParagraph"/>
        <w:numPr>
          <w:ilvl w:val="0"/>
          <w:numId w:val="148"/>
        </w:numPr>
        <w:spacing w:after="200" w:line="360" w:lineRule="auto"/>
      </w:pPr>
      <w:r>
        <w:rPr>
          <w:u w:val="single"/>
        </w:rPr>
        <w:t>Collateral Balance without Segregation Effects</w:t>
      </w:r>
      <w:r w:rsidRPr="00E505CE">
        <w:t>: Ignoring the colla</w:t>
      </w:r>
      <w:r>
        <w:t>teral segregation effects (which would be conservative for the CVA) results in</w:t>
      </w:r>
    </w:p>
    <w:p w:rsidR="00E7469E" w:rsidRDefault="00E7469E" w:rsidP="00E7469E">
      <w:pPr>
        <w:pStyle w:val="ListParagraph"/>
        <w:spacing w:after="200" w:line="360" w:lineRule="auto"/>
        <w:ind w:left="360"/>
        <w:rPr>
          <w:u w:val="single"/>
        </w:rPr>
      </w:pPr>
    </w:p>
    <w:p w:rsidR="00E505CE" w:rsidRPr="00E7469E" w:rsidRDefault="005D6A21"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505CE" w:rsidRDefault="00E505CE" w:rsidP="00D83552">
      <w:pPr>
        <w:pStyle w:val="ListParagraph"/>
        <w:numPr>
          <w:ilvl w:val="0"/>
          <w:numId w:val="148"/>
        </w:numPr>
        <w:spacing w:after="200" w:line="360" w:lineRule="auto"/>
      </w:pPr>
      <w:r>
        <w:rPr>
          <w:u w:val="single"/>
        </w:rPr>
        <w:t>Dual Party IA/IM Posting</w:t>
      </w:r>
      <w:r>
        <w:t>: Currently DRIP assumes that if one party posts IA/IM then the other party posts no collateral. Both parties posting segregated IA/IM will be considered in future phases.</w:t>
      </w:r>
    </w:p>
    <w:p w:rsidR="00E505CE" w:rsidRDefault="00E505CE" w:rsidP="00D83552">
      <w:pPr>
        <w:pStyle w:val="ListParagraph"/>
        <w:numPr>
          <w:ilvl w:val="0"/>
          <w:numId w:val="148"/>
        </w:numPr>
        <w:spacing w:after="200" w:line="360" w:lineRule="auto"/>
      </w:pPr>
      <w:r>
        <w:rPr>
          <w:u w:val="single"/>
        </w:rPr>
        <w:t>Importance of the Initial Collateral Balance</w:t>
      </w:r>
      <w:r w:rsidRPr="00E505CE">
        <w:t>:</w:t>
      </w:r>
      <w:r>
        <w:t xml:space="preserve"> The time-</w:t>
      </w:r>
      <m:oMath>
        <m:r>
          <w:rPr>
            <w:rFonts w:ascii="Cambria Math" w:hAnsi="Cambria Math"/>
          </w:rPr>
          <m:t>0</m:t>
        </m:r>
      </m:oMath>
      <w:r>
        <w:t xml:space="preserve"> collateral balance should be the actual collateral balance, or the required collateral balance in the base case. This is important for the CCAR scenarios.</w:t>
      </w:r>
    </w:p>
    <w:p w:rsidR="00080A69" w:rsidRDefault="00080A69" w:rsidP="00D83552">
      <w:pPr>
        <w:pStyle w:val="ListParagraph"/>
        <w:numPr>
          <w:ilvl w:val="0"/>
          <w:numId w:val="148"/>
        </w:numPr>
        <w:spacing w:after="200" w:line="360" w:lineRule="auto"/>
      </w:pPr>
      <w:r>
        <w:rPr>
          <w:u w:val="single"/>
        </w:rPr>
        <w:t>Hierarchy of the Aggregation Groups</w:t>
      </w:r>
      <w:r w:rsidRPr="00080A69">
        <w:t>:</w:t>
      </w:r>
      <w:r>
        <w:t xml:space="preserve"> In general, a counter party portfolio (for example, based on a legal entity) contains zero or more netting groups and/or non-netted trades. A netting group in turn contains zero or more collateral groups, and/or trades with trade level collateral, and/or uncollateralized trades. A collateral group contains a group of trades for which a particular set of collateral rules – or CSA – is applied.</w:t>
      </w:r>
    </w:p>
    <w:p w:rsidR="00080A69" w:rsidRDefault="00080A69" w:rsidP="00D83552">
      <w:pPr>
        <w:pStyle w:val="ListParagraph"/>
        <w:numPr>
          <w:ilvl w:val="0"/>
          <w:numId w:val="148"/>
        </w:numPr>
        <w:spacing w:after="200" w:line="360" w:lineRule="auto"/>
      </w:pPr>
      <w:r>
        <w:rPr>
          <w:u w:val="single"/>
        </w:rPr>
        <w:t>Enforceability of Collateral/Netting Groups</w:t>
      </w:r>
      <w:r w:rsidRPr="00080A69">
        <w:t>:</w:t>
      </w:r>
      <w:r>
        <w:t xml:space="preserve"> Finally the netting enforceability and the collateral enforceability also need to be considered.</w:t>
      </w:r>
    </w:p>
    <w:p w:rsidR="00080A69" w:rsidRDefault="00080A69" w:rsidP="00080A69">
      <w:pPr>
        <w:spacing w:after="200" w:line="360" w:lineRule="auto"/>
      </w:pPr>
    </w:p>
    <w:p w:rsidR="00080A69" w:rsidRDefault="00080A69" w:rsidP="00080A69">
      <w:pPr>
        <w:spacing w:after="200" w:line="360" w:lineRule="auto"/>
      </w:pPr>
    </w:p>
    <w:p w:rsidR="00080A69" w:rsidRPr="00080A69" w:rsidRDefault="00080A69" w:rsidP="00080A69">
      <w:pPr>
        <w:spacing w:after="200" w:line="360" w:lineRule="auto"/>
        <w:rPr>
          <w:b/>
          <w:sz w:val="28"/>
          <w:szCs w:val="28"/>
        </w:rPr>
      </w:pPr>
      <w:r w:rsidRPr="00080A69">
        <w:rPr>
          <w:b/>
          <w:sz w:val="28"/>
          <w:szCs w:val="28"/>
        </w:rPr>
        <w:t>Summary of Model Inputs</w:t>
      </w:r>
    </w:p>
    <w:p w:rsidR="00080A69" w:rsidRDefault="00080A69" w:rsidP="00080A69">
      <w:pPr>
        <w:spacing w:after="200" w:line="360" w:lineRule="auto"/>
      </w:pPr>
    </w:p>
    <w:p w:rsidR="00080A69" w:rsidRDefault="00080A69" w:rsidP="00D83552">
      <w:pPr>
        <w:pStyle w:val="ListParagraph"/>
        <w:numPr>
          <w:ilvl w:val="0"/>
          <w:numId w:val="149"/>
        </w:numPr>
        <w:spacing w:after="200" w:line="360" w:lineRule="auto"/>
      </w:pPr>
      <w:r w:rsidRPr="00080A69">
        <w:rPr>
          <w:u w:val="single"/>
        </w:rPr>
        <w:t>Materiality Criterion Based Market Inputs</w:t>
      </w:r>
      <w:r>
        <w:t>: The model inputs include the following categories based on the materiality criteria above.</w:t>
      </w:r>
    </w:p>
    <w:p w:rsidR="00080A69" w:rsidRDefault="00080A69" w:rsidP="00D83552">
      <w:pPr>
        <w:pStyle w:val="ListParagraph"/>
        <w:numPr>
          <w:ilvl w:val="0"/>
          <w:numId w:val="149"/>
        </w:numPr>
        <w:spacing w:after="200" w:line="360" w:lineRule="auto"/>
      </w:pPr>
      <w:r>
        <w:rPr>
          <w:u w:val="single"/>
        </w:rPr>
        <w:lastRenderedPageBreak/>
        <w:t>Market Data - Underlying Trade Pricing</w:t>
      </w:r>
      <w:r w:rsidRPr="00080A69">
        <w:t>:</w:t>
      </w:r>
      <w:r>
        <w:t xml:space="preserve"> All market data needed for underlying desk pricing (leveraging the underlying desk data).</w:t>
      </w:r>
    </w:p>
    <w:p w:rsidR="00C0345F" w:rsidRDefault="00C0345F" w:rsidP="00D83552">
      <w:pPr>
        <w:pStyle w:val="ListParagraph"/>
        <w:numPr>
          <w:ilvl w:val="0"/>
          <w:numId w:val="149"/>
        </w:numPr>
        <w:spacing w:after="200" w:line="360" w:lineRule="auto"/>
      </w:pPr>
      <w:r>
        <w:rPr>
          <w:u w:val="single"/>
        </w:rPr>
        <w:t>Market Data - Implied Volatility Surface</w:t>
      </w:r>
      <w:r w:rsidRPr="00C0345F">
        <w:t>:</w:t>
      </w:r>
      <w:r>
        <w:t xml:space="preserve"> Approximated implied volatilities based on proxies or benchmarks, if the true implied volatilities are not available.</w:t>
      </w:r>
    </w:p>
    <w:p w:rsidR="00C0345F" w:rsidRDefault="00C0345F" w:rsidP="00D83552">
      <w:pPr>
        <w:pStyle w:val="ListParagraph"/>
        <w:numPr>
          <w:ilvl w:val="0"/>
          <w:numId w:val="149"/>
        </w:numPr>
        <w:spacing w:after="200" w:line="360" w:lineRule="auto"/>
      </w:pPr>
      <w:r>
        <w:rPr>
          <w:u w:val="single"/>
        </w:rPr>
        <w:t>Market Data - Asset Class History</w:t>
      </w:r>
      <w:r w:rsidRPr="00C0345F">
        <w:t>:</w:t>
      </w:r>
      <w:r>
        <w:t xml:space="preserve"> Historical data for all (or most of) the market risk factors in all asset classes.</w:t>
      </w:r>
    </w:p>
    <w:p w:rsidR="00C0345F" w:rsidRDefault="00C0345F" w:rsidP="00D83552">
      <w:pPr>
        <w:pStyle w:val="ListParagraph"/>
        <w:numPr>
          <w:ilvl w:val="0"/>
          <w:numId w:val="149"/>
        </w:numPr>
        <w:spacing w:after="200" w:line="360" w:lineRule="auto"/>
      </w:pPr>
      <w:r>
        <w:rPr>
          <w:u w:val="single"/>
        </w:rPr>
        <w:t>Market Data – CDS/Spread Data</w:t>
      </w:r>
      <w:r w:rsidRPr="00C0345F">
        <w:t>:</w:t>
      </w:r>
      <w:r>
        <w:t xml:space="preserve"> CDS spread and recovery (or the equivalent) for each counter party, the bank’s CDS spread and recovery, and the implied volatilities – or approximated implied volatilities – of these credit spreads.</w:t>
      </w:r>
    </w:p>
    <w:p w:rsidR="00C0345F" w:rsidRDefault="00C0345F" w:rsidP="00D83552">
      <w:pPr>
        <w:pStyle w:val="ListParagraph"/>
        <w:numPr>
          <w:ilvl w:val="0"/>
          <w:numId w:val="149"/>
        </w:numPr>
        <w:spacing w:after="200" w:line="360" w:lineRule="auto"/>
      </w:pPr>
      <w:r>
        <w:rPr>
          <w:u w:val="single"/>
        </w:rPr>
        <w:t>Market Data - Counter Party History</w:t>
      </w:r>
      <w:r w:rsidRPr="00C0345F">
        <w:t>:</w:t>
      </w:r>
      <w:r>
        <w:t xml:space="preserve"> Historical data for the CDS spread (or the equivalent) for each counter party.</w:t>
      </w:r>
    </w:p>
    <w:p w:rsidR="006F27C3" w:rsidRDefault="006F27C3" w:rsidP="00D83552">
      <w:pPr>
        <w:pStyle w:val="ListParagraph"/>
        <w:numPr>
          <w:ilvl w:val="0"/>
          <w:numId w:val="149"/>
        </w:numPr>
        <w:spacing w:after="200" w:line="360" w:lineRule="auto"/>
      </w:pPr>
      <w:r>
        <w:rPr>
          <w:u w:val="single"/>
        </w:rPr>
        <w:t>Market Data - Bank Spread History</w:t>
      </w:r>
      <w:r w:rsidRPr="006F27C3">
        <w:t>:</w:t>
      </w:r>
      <w:r>
        <w:t xml:space="preserve"> Historical data of the bank CDS spread (</w:t>
      </w:r>
      <w:proofErr w:type="spellStart"/>
      <w:r>
        <w:t>wrt</w:t>
      </w:r>
      <w:proofErr w:type="spellEnd"/>
      <w:r>
        <w:t xml:space="preserve"> each counter party, if possible).</w:t>
      </w:r>
    </w:p>
    <w:p w:rsidR="006F27C3" w:rsidRDefault="006F27C3" w:rsidP="00D83552">
      <w:pPr>
        <w:pStyle w:val="ListParagraph"/>
        <w:numPr>
          <w:ilvl w:val="0"/>
          <w:numId w:val="149"/>
        </w:numPr>
        <w:spacing w:after="200" w:line="360" w:lineRule="auto"/>
      </w:pPr>
      <w:r>
        <w:rPr>
          <w:u w:val="single"/>
        </w:rPr>
        <w:t>Trade Data - Product Contractual Details</w:t>
      </w:r>
      <w:r w:rsidRPr="006F27C3">
        <w:t>:</w:t>
      </w:r>
      <w:r>
        <w:t xml:space="preserve"> All trade data needed for the underlying desk trade pricing – leveraging the underlying desk data.</w:t>
      </w:r>
    </w:p>
    <w:p w:rsidR="006F27C3" w:rsidRDefault="006F27C3" w:rsidP="00D83552">
      <w:pPr>
        <w:pStyle w:val="ListParagraph"/>
        <w:numPr>
          <w:ilvl w:val="0"/>
          <w:numId w:val="149"/>
        </w:numPr>
        <w:spacing w:after="200" w:line="360" w:lineRule="auto"/>
      </w:pPr>
      <w:r>
        <w:rPr>
          <w:u w:val="single"/>
        </w:rPr>
        <w:t>Trade Data - Operational/Settlement Details</w:t>
      </w:r>
      <w:r w:rsidRPr="006F27C3">
        <w:t>:</w:t>
      </w:r>
      <w:r>
        <w:t xml:space="preserve"> Information on physical settlement, MTM reset, or accrual based convention, or possibly other future trade events.</w:t>
      </w:r>
    </w:p>
    <w:p w:rsidR="006F27C3" w:rsidRDefault="006F27C3" w:rsidP="00D83552">
      <w:pPr>
        <w:pStyle w:val="ListParagraph"/>
        <w:numPr>
          <w:ilvl w:val="0"/>
          <w:numId w:val="149"/>
        </w:numPr>
        <w:spacing w:after="200" w:line="360" w:lineRule="auto"/>
      </w:pPr>
      <w:r>
        <w:rPr>
          <w:u w:val="single"/>
        </w:rPr>
        <w:t>Bank/Counter Party Netting Enforceability</w:t>
      </w:r>
      <w:r w:rsidRPr="006F27C3">
        <w:t>:</w:t>
      </w:r>
      <w:r>
        <w:t xml:space="preserve"> Netting and netting enforceability reference data settings, for each counter party and bank.</w:t>
      </w:r>
    </w:p>
    <w:p w:rsidR="00C15CDA" w:rsidRDefault="00C15CDA" w:rsidP="00D83552">
      <w:pPr>
        <w:pStyle w:val="ListParagraph"/>
        <w:numPr>
          <w:ilvl w:val="0"/>
          <w:numId w:val="149"/>
        </w:numPr>
        <w:spacing w:after="200" w:line="360" w:lineRule="auto"/>
      </w:pPr>
      <w:r>
        <w:rPr>
          <w:u w:val="single"/>
        </w:rPr>
        <w:t>Bank/Counter Party CSA Settings</w:t>
      </w:r>
      <w:r w:rsidRPr="00C15CDA">
        <w:t>:</w:t>
      </w:r>
      <w:r>
        <w:t xml:space="preserve"> All CSA data, such as variation margin rules, IA/IM rules, mandatory and optional mutual breaks, rating based contingencies, collateral segregation flag, and rehypothecation flag.</w:t>
      </w:r>
    </w:p>
    <w:p w:rsidR="00C15CDA" w:rsidRDefault="00C15CDA" w:rsidP="00D83552">
      <w:pPr>
        <w:pStyle w:val="ListParagraph"/>
        <w:numPr>
          <w:ilvl w:val="0"/>
          <w:numId w:val="149"/>
        </w:numPr>
        <w:spacing w:after="200" w:line="360" w:lineRule="auto"/>
      </w:pPr>
      <w:r>
        <w:rPr>
          <w:u w:val="single"/>
        </w:rPr>
        <w:t>Bank/Counter Party Collateral Enforceability</w:t>
      </w:r>
      <w:r w:rsidRPr="00C15CDA">
        <w:t>:</w:t>
      </w:r>
      <w:r>
        <w:t xml:space="preserve"> Collateral enforceability reference data settings, for each counter party and the bank.</w:t>
      </w:r>
    </w:p>
    <w:p w:rsidR="00C15CDA" w:rsidRDefault="00C15CDA" w:rsidP="00D83552">
      <w:pPr>
        <w:pStyle w:val="ListParagraph"/>
        <w:numPr>
          <w:ilvl w:val="0"/>
          <w:numId w:val="149"/>
        </w:numPr>
        <w:spacing w:after="200" w:line="360" w:lineRule="auto"/>
      </w:pPr>
      <w:r>
        <w:rPr>
          <w:u w:val="single"/>
        </w:rPr>
        <w:t>Bank/Counter Party Credit Settings</w:t>
      </w:r>
      <w:r w:rsidRPr="00C15CDA">
        <w:t>:</w:t>
      </w:r>
      <w:r>
        <w:t xml:space="preserve"> Credit ratings, GICS (Global Industry Classification Standard) at all levels.</w:t>
      </w:r>
    </w:p>
    <w:p w:rsidR="00C15CDA" w:rsidRDefault="00C15CDA" w:rsidP="00D83552">
      <w:pPr>
        <w:pStyle w:val="ListParagraph"/>
        <w:numPr>
          <w:ilvl w:val="0"/>
          <w:numId w:val="149"/>
        </w:numPr>
        <w:spacing w:after="200" w:line="360" w:lineRule="auto"/>
      </w:pPr>
      <w:r>
        <w:rPr>
          <w:u w:val="single"/>
        </w:rPr>
        <w:t>Collateral/Netting Group Trade Lists</w:t>
      </w:r>
      <w:r w:rsidRPr="00C15CDA">
        <w:t>:</w:t>
      </w:r>
    </w:p>
    <w:p w:rsidR="00C15CDA" w:rsidRDefault="00C15CDA" w:rsidP="00D83552">
      <w:pPr>
        <w:pStyle w:val="ListParagraph"/>
        <w:numPr>
          <w:ilvl w:val="1"/>
          <w:numId w:val="149"/>
        </w:numPr>
        <w:spacing w:after="200" w:line="360" w:lineRule="auto"/>
      </w:pPr>
      <w:r>
        <w:t>Complete trade list for each netting or collateral group or for non-netted and/or uncollateralized trades</w:t>
      </w:r>
    </w:p>
    <w:p w:rsidR="00C15CDA" w:rsidRDefault="00C15CDA" w:rsidP="00D83552">
      <w:pPr>
        <w:pStyle w:val="ListParagraph"/>
        <w:numPr>
          <w:ilvl w:val="1"/>
          <w:numId w:val="149"/>
        </w:numPr>
        <w:spacing w:after="200" w:line="360" w:lineRule="auto"/>
      </w:pPr>
      <w:r>
        <w:t>Trade population for each CP netting and collateral group</w:t>
      </w:r>
    </w:p>
    <w:p w:rsidR="00C15CDA" w:rsidRDefault="00C15CDA" w:rsidP="00D83552">
      <w:pPr>
        <w:pStyle w:val="ListParagraph"/>
        <w:numPr>
          <w:ilvl w:val="0"/>
          <w:numId w:val="149"/>
        </w:numPr>
        <w:spacing w:after="200" w:line="360" w:lineRule="auto"/>
      </w:pPr>
      <w:r>
        <w:rPr>
          <w:u w:val="single"/>
        </w:rPr>
        <w:lastRenderedPageBreak/>
        <w:t>Asset/Trade Specific Reference Data</w:t>
      </w:r>
      <w:r>
        <w:t xml:space="preserve">: </w:t>
      </w:r>
      <w:r w:rsidR="00E72F24">
        <w:t>Trade reference data for each trade.</w:t>
      </w:r>
    </w:p>
    <w:p w:rsidR="00E72F24" w:rsidRDefault="00E72F24" w:rsidP="00D83552">
      <w:pPr>
        <w:pStyle w:val="ListParagraph"/>
        <w:numPr>
          <w:ilvl w:val="1"/>
          <w:numId w:val="149"/>
        </w:numPr>
        <w:spacing w:after="200" w:line="360" w:lineRule="auto"/>
      </w:pPr>
      <w:r>
        <w:t>Trade type, asset class, and underlying model for each trade.</w:t>
      </w:r>
    </w:p>
    <w:p w:rsidR="00E72F24" w:rsidRDefault="00E72F24" w:rsidP="00D83552">
      <w:pPr>
        <w:pStyle w:val="ListParagraph"/>
        <w:numPr>
          <w:ilvl w:val="1"/>
          <w:numId w:val="149"/>
        </w:numPr>
        <w:spacing w:after="200" w:line="360" w:lineRule="auto"/>
      </w:pPr>
      <w:r>
        <w:t>Trading book, accounts, and the bank entity.</w:t>
      </w:r>
    </w:p>
    <w:p w:rsidR="00E72F24" w:rsidRDefault="00E72F24" w:rsidP="00D83552">
      <w:pPr>
        <w:pStyle w:val="ListParagraph"/>
        <w:numPr>
          <w:ilvl w:val="0"/>
          <w:numId w:val="149"/>
        </w:numPr>
        <w:spacing w:after="200" w:line="360" w:lineRule="auto"/>
      </w:pPr>
      <w:r>
        <w:rPr>
          <w:u w:val="single"/>
        </w:rPr>
        <w:t>Assorted Set of Martingale Targets</w:t>
      </w:r>
      <w:r>
        <w:t>: Martingale targets such as the PV of the underlying trade, PV of the forward starting underlying trade, and the PV of the call and the put options on the underlying trade for the martingale testing and re-sampling under the based and the stressed scenarios.</w:t>
      </w:r>
    </w:p>
    <w:p w:rsidR="00E72F24" w:rsidRDefault="00E72F24" w:rsidP="00D83552">
      <w:pPr>
        <w:pStyle w:val="ListParagraph"/>
        <w:numPr>
          <w:ilvl w:val="0"/>
          <w:numId w:val="149"/>
        </w:numPr>
        <w:spacing w:after="200" w:line="360" w:lineRule="auto"/>
      </w:pPr>
      <w:r>
        <w:rPr>
          <w:u w:val="single"/>
        </w:rPr>
        <w:t>Base/Stressed Scenarios Trade PV</w:t>
      </w:r>
      <w:r w:rsidRPr="00E72F24">
        <w:t>:</w:t>
      </w:r>
      <w:r>
        <w:t xml:space="preserve"> Underlying trade PV and risks under the base and the stressed scenarios.</w:t>
      </w:r>
    </w:p>
    <w:p w:rsidR="00E72F24" w:rsidRDefault="00E72F24" w:rsidP="00D83552">
      <w:pPr>
        <w:pStyle w:val="ListParagraph"/>
        <w:numPr>
          <w:ilvl w:val="1"/>
          <w:numId w:val="149"/>
        </w:numPr>
        <w:spacing w:after="200" w:line="360" w:lineRule="auto"/>
      </w:pPr>
      <w:r>
        <w:t>To be used by the replication model using the underlying hedge portfolio.</w:t>
      </w:r>
    </w:p>
    <w:p w:rsidR="00E72F24" w:rsidRDefault="00E72F24" w:rsidP="00D83552">
      <w:pPr>
        <w:pStyle w:val="ListParagraph"/>
        <w:numPr>
          <w:ilvl w:val="1"/>
          <w:numId w:val="149"/>
        </w:numPr>
        <w:spacing w:after="200" w:line="360" w:lineRule="auto"/>
      </w:pPr>
      <w:r>
        <w:t>To be used by the proxy pricers.</w:t>
      </w:r>
    </w:p>
    <w:p w:rsidR="009961CB" w:rsidRDefault="009961CB" w:rsidP="009961CB">
      <w:pPr>
        <w:spacing w:after="200" w:line="360" w:lineRule="auto"/>
      </w:pPr>
    </w:p>
    <w:p w:rsidR="009961CB" w:rsidRPr="00623730" w:rsidRDefault="009961CB" w:rsidP="009961CB">
      <w:pPr>
        <w:spacing w:after="200" w:line="360" w:lineRule="auto"/>
        <w:rPr>
          <w:u w:val="single"/>
        </w:rPr>
      </w:pPr>
    </w:p>
    <w:p w:rsidR="009961CB" w:rsidRPr="009961CB" w:rsidRDefault="009961CB" w:rsidP="009961CB">
      <w:pPr>
        <w:spacing w:after="200" w:line="360" w:lineRule="auto"/>
        <w:rPr>
          <w:b/>
          <w:sz w:val="28"/>
          <w:szCs w:val="28"/>
        </w:rPr>
      </w:pPr>
      <w:r w:rsidRPr="009961CB">
        <w:rPr>
          <w:b/>
          <w:sz w:val="28"/>
          <w:szCs w:val="28"/>
        </w:rPr>
        <w:t>Summary of Model Outputs</w:t>
      </w:r>
    </w:p>
    <w:p w:rsidR="009961CB" w:rsidRDefault="009961CB" w:rsidP="009961CB">
      <w:pPr>
        <w:spacing w:after="200" w:line="360" w:lineRule="auto"/>
      </w:pPr>
    </w:p>
    <w:p w:rsidR="009961CB" w:rsidRDefault="009961CB" w:rsidP="00D83552">
      <w:pPr>
        <w:pStyle w:val="ListParagraph"/>
        <w:numPr>
          <w:ilvl w:val="0"/>
          <w:numId w:val="150"/>
        </w:numPr>
        <w:spacing w:after="200" w:line="360" w:lineRule="auto"/>
      </w:pPr>
      <w:r w:rsidRPr="009961CB">
        <w:rPr>
          <w:u w:val="single"/>
        </w:rPr>
        <w:t>Final Results #1 CVA/DVA</w:t>
      </w:r>
      <w:r>
        <w:t>: For production runs, for each counter party,</w:t>
      </w:r>
    </w:p>
    <w:p w:rsidR="009961CB" w:rsidRDefault="009961CB" w:rsidP="00D83552">
      <w:pPr>
        <w:pStyle w:val="ListParagraph"/>
        <w:numPr>
          <w:ilvl w:val="1"/>
          <w:numId w:val="150"/>
        </w:numPr>
        <w:spacing w:after="200" w:line="360" w:lineRule="auto"/>
      </w:pPr>
      <w:r>
        <w:t>CVA and DVA</w:t>
      </w:r>
    </w:p>
    <w:p w:rsidR="009961CB" w:rsidRDefault="009961CB" w:rsidP="00D83552">
      <w:pPr>
        <w:pStyle w:val="ListParagraph"/>
        <w:numPr>
          <w:ilvl w:val="1"/>
          <w:numId w:val="150"/>
        </w:numPr>
        <w:spacing w:after="200" w:line="360" w:lineRule="auto"/>
      </w:pPr>
      <w:r>
        <w:t>CVA and DVA time profile (or CVA and DVA by time period)</w:t>
      </w:r>
    </w:p>
    <w:p w:rsidR="009961CB" w:rsidRDefault="009961CB" w:rsidP="00D83552">
      <w:pPr>
        <w:pStyle w:val="ListParagraph"/>
        <w:numPr>
          <w:ilvl w:val="0"/>
          <w:numId w:val="150"/>
        </w:numPr>
        <w:spacing w:after="200" w:line="360" w:lineRule="auto"/>
      </w:pPr>
      <w:r>
        <w:rPr>
          <w:u w:val="single"/>
        </w:rPr>
        <w:t>Final Results #2 EPE/ENE</w:t>
      </w:r>
      <w:r>
        <w:t>:</w:t>
      </w:r>
    </w:p>
    <w:p w:rsidR="009961CB" w:rsidRDefault="009961CB" w:rsidP="00D83552">
      <w:pPr>
        <w:pStyle w:val="ListParagraph"/>
        <w:numPr>
          <w:ilvl w:val="1"/>
          <w:numId w:val="150"/>
        </w:numPr>
        <w:spacing w:after="200" w:line="360" w:lineRule="auto"/>
      </w:pPr>
      <w:r>
        <w:t>EPE and ENE exposures time profile</w:t>
      </w:r>
    </w:p>
    <w:p w:rsidR="009961CB" w:rsidRDefault="009961CB" w:rsidP="00D83552">
      <w:pPr>
        <w:pStyle w:val="ListParagraph"/>
        <w:numPr>
          <w:ilvl w:val="1"/>
          <w:numId w:val="150"/>
        </w:numPr>
        <w:spacing w:after="200" w:line="360" w:lineRule="auto"/>
      </w:pPr>
      <w:r>
        <w:t>PFE time profile</w:t>
      </w:r>
    </w:p>
    <w:p w:rsidR="009961CB" w:rsidRDefault="009961CB" w:rsidP="00D83552">
      <w:pPr>
        <w:pStyle w:val="ListParagraph"/>
        <w:numPr>
          <w:ilvl w:val="1"/>
          <w:numId w:val="150"/>
        </w:numPr>
        <w:spacing w:after="200" w:line="360" w:lineRule="auto"/>
      </w:pPr>
      <w:r>
        <w:t>Uncollateralized EPE and ENE exposures time profile</w:t>
      </w:r>
    </w:p>
    <w:p w:rsidR="009961CB" w:rsidRDefault="009961CB" w:rsidP="00D83552">
      <w:pPr>
        <w:pStyle w:val="ListParagraph"/>
        <w:numPr>
          <w:ilvl w:val="0"/>
          <w:numId w:val="150"/>
        </w:numPr>
        <w:spacing w:after="200" w:line="360" w:lineRule="auto"/>
      </w:pPr>
      <w:r>
        <w:rPr>
          <w:u w:val="single"/>
        </w:rPr>
        <w:t>Final Results #3 Defaults/Collateral</w:t>
      </w:r>
      <w:r>
        <w:t>:</w:t>
      </w:r>
    </w:p>
    <w:p w:rsidR="009961CB" w:rsidRDefault="009961CB" w:rsidP="00D83552">
      <w:pPr>
        <w:pStyle w:val="ListParagraph"/>
        <w:numPr>
          <w:ilvl w:val="1"/>
          <w:numId w:val="150"/>
        </w:numPr>
        <w:spacing w:after="200" w:line="360" w:lineRule="auto"/>
      </w:pPr>
      <w:r>
        <w:t xml:space="preserve">Time-0 Default </w:t>
      </w:r>
      <w:r w:rsidR="00623730">
        <w:t>Probabilities time profile for the bank and the counter parties</w:t>
      </w:r>
    </w:p>
    <w:p w:rsidR="00623730" w:rsidRDefault="00623730" w:rsidP="00D83552">
      <w:pPr>
        <w:pStyle w:val="ListParagraph"/>
        <w:numPr>
          <w:ilvl w:val="1"/>
          <w:numId w:val="150"/>
        </w:numPr>
        <w:spacing w:after="200" w:line="360" w:lineRule="auto"/>
      </w:pPr>
      <w:r>
        <w:t>Posted and received collateral time profile</w:t>
      </w:r>
    </w:p>
    <w:p w:rsidR="00623730" w:rsidRDefault="00623730" w:rsidP="00D83552">
      <w:pPr>
        <w:pStyle w:val="ListParagraph"/>
        <w:numPr>
          <w:ilvl w:val="0"/>
          <w:numId w:val="150"/>
        </w:numPr>
        <w:spacing w:after="200" w:line="360" w:lineRule="auto"/>
      </w:pPr>
      <w:r>
        <w:rPr>
          <w:u w:val="single"/>
        </w:rPr>
        <w:t>Intermediate Results - Factors/XVA Measures</w:t>
      </w:r>
      <w:r>
        <w:t>:</w:t>
      </w:r>
    </w:p>
    <w:p w:rsidR="00623730" w:rsidRDefault="00623730" w:rsidP="00D83552">
      <w:pPr>
        <w:pStyle w:val="ListParagraph"/>
        <w:numPr>
          <w:ilvl w:val="1"/>
          <w:numId w:val="150"/>
        </w:numPr>
        <w:spacing w:after="200" w:line="360" w:lineRule="auto"/>
      </w:pPr>
      <w:r>
        <w:t>Entire market simulations with the risk factor values on all the simulation time steps and paths</w:t>
      </w:r>
    </w:p>
    <w:p w:rsidR="00623730" w:rsidRDefault="00623730" w:rsidP="00D83552">
      <w:pPr>
        <w:pStyle w:val="ListParagraph"/>
        <w:numPr>
          <w:ilvl w:val="1"/>
          <w:numId w:val="150"/>
        </w:numPr>
        <w:spacing w:after="200" w:line="360" w:lineRule="auto"/>
      </w:pPr>
      <w:r>
        <w:lastRenderedPageBreak/>
        <w:t>The entire trade prices, cash flows, and exposures on all simulation time steps and paths</w:t>
      </w:r>
    </w:p>
    <w:p w:rsidR="00623730" w:rsidRDefault="00623730" w:rsidP="00D83552">
      <w:pPr>
        <w:pStyle w:val="ListParagraph"/>
        <w:numPr>
          <w:ilvl w:val="0"/>
          <w:numId w:val="150"/>
        </w:numPr>
        <w:spacing w:after="200" w:line="360" w:lineRule="auto"/>
      </w:pPr>
      <w:r>
        <w:rPr>
          <w:u w:val="single"/>
        </w:rPr>
        <w:t>Intermediate Results - PnL Attributions/Scenarios</w:t>
      </w:r>
      <w:r>
        <w:t>: Risks, scenario analysis, PnL explanations based on the risks, and PnL attribution based on the actual market moves.</w:t>
      </w:r>
    </w:p>
    <w:p w:rsidR="00CA6A95" w:rsidRDefault="00CA6A95" w:rsidP="00CA6A95">
      <w:pPr>
        <w:spacing w:after="200" w:line="360" w:lineRule="auto"/>
      </w:pPr>
    </w:p>
    <w:p w:rsidR="00CA6A95" w:rsidRDefault="00CA6A95" w:rsidP="00CA6A95">
      <w:pPr>
        <w:spacing w:after="200" w:line="360" w:lineRule="auto"/>
      </w:pPr>
    </w:p>
    <w:p w:rsidR="00CA6A95" w:rsidRPr="00CA6A95" w:rsidRDefault="00CA6A95" w:rsidP="00CA6A95">
      <w:pPr>
        <w:spacing w:after="200" w:line="360" w:lineRule="auto"/>
        <w:rPr>
          <w:b/>
          <w:sz w:val="28"/>
          <w:szCs w:val="28"/>
        </w:rPr>
      </w:pPr>
      <w:r w:rsidRPr="00CA6A95">
        <w:rPr>
          <w:b/>
          <w:sz w:val="28"/>
          <w:szCs w:val="28"/>
        </w:rPr>
        <w:t>Centralized Random Number Generation</w:t>
      </w:r>
    </w:p>
    <w:p w:rsidR="00CA6A95" w:rsidRDefault="00CA6A95" w:rsidP="00CA6A95">
      <w:pPr>
        <w:spacing w:after="200" w:line="360" w:lineRule="auto"/>
      </w:pPr>
    </w:p>
    <w:p w:rsidR="00CA6A95" w:rsidRDefault="00CA6A95" w:rsidP="00D83552">
      <w:pPr>
        <w:pStyle w:val="ListParagraph"/>
        <w:numPr>
          <w:ilvl w:val="0"/>
          <w:numId w:val="151"/>
        </w:numPr>
        <w:spacing w:after="200" w:line="360" w:lineRule="auto"/>
      </w:pPr>
      <w:r w:rsidRPr="00CA6A95">
        <w:rPr>
          <w:u w:val="single"/>
        </w:rPr>
        <w:t>Intra vs. Cross Asset Correlation</w:t>
      </w:r>
      <w:r>
        <w:t>: This scheme is for handling correlations within each asset class, as well as correlations across asset classes.</w:t>
      </w:r>
    </w:p>
    <w:p w:rsidR="00CA6A95" w:rsidRDefault="00CA6A95" w:rsidP="00D83552">
      <w:pPr>
        <w:pStyle w:val="ListParagraph"/>
        <w:numPr>
          <w:ilvl w:val="0"/>
          <w:numId w:val="151"/>
        </w:numPr>
        <w:spacing w:after="200" w:line="360" w:lineRule="auto"/>
      </w:pPr>
      <w:r>
        <w:rPr>
          <w:u w:val="single"/>
        </w:rPr>
        <w:t>Asset/Risk Factor Historical Correlation</w:t>
      </w:r>
      <w:r w:rsidRPr="00CA6A95">
        <w:t>:</w:t>
      </w:r>
      <w:r>
        <w:t xml:space="preserve"> First the correlation matric within each asset class and across assets is obtained with the historical time series data of all the risk </w:t>
      </w:r>
      <w:proofErr w:type="spellStart"/>
      <w:r>
        <w:t>factoes</w:t>
      </w:r>
      <w:proofErr w:type="spellEnd"/>
      <w:r>
        <w:t>, or implied or specified correlations, if available (with proper functional transformation, depending upon the simulation model).</w:t>
      </w:r>
    </w:p>
    <w:p w:rsidR="00CA6A95" w:rsidRDefault="00CA6A95" w:rsidP="00D83552">
      <w:pPr>
        <w:pStyle w:val="ListParagraph"/>
        <w:numPr>
          <w:ilvl w:val="0"/>
          <w:numId w:val="151"/>
        </w:numPr>
        <w:spacing w:after="200" w:line="360" w:lineRule="auto"/>
      </w:pPr>
      <w:r>
        <w:rPr>
          <w:u w:val="single"/>
        </w:rPr>
        <w:t>PCA within Single Risk Family</w:t>
      </w:r>
      <w:r w:rsidRPr="00CA6A95">
        <w:t>:</w:t>
      </w:r>
      <w:r>
        <w:t xml:space="preserve"> For risk factors with term structure (except for credit derivatives), </w:t>
      </w:r>
      <w:r w:rsidR="00BA6CE1">
        <w:t>all the tenors in the correlation matrix are included, and then the PCA is performed to obtain the equivalent driving factors.</w:t>
      </w:r>
    </w:p>
    <w:p w:rsidR="00BA6CE1" w:rsidRDefault="00BA6CE1" w:rsidP="00D83552">
      <w:pPr>
        <w:pStyle w:val="ListParagraph"/>
        <w:numPr>
          <w:ilvl w:val="0"/>
          <w:numId w:val="151"/>
        </w:numPr>
        <w:spacing w:after="200" w:line="360" w:lineRule="auto"/>
      </w:pPr>
      <w:r>
        <w:rPr>
          <w:u w:val="single"/>
        </w:rPr>
        <w:t>Cholesky Based Correlated Random Draws</w:t>
      </w:r>
      <w:r w:rsidRPr="00BA6CE1">
        <w:t>:</w:t>
      </w:r>
      <w:r>
        <w:t xml:space="preserve"> With the above correlation matrix, and using the Cholesky decomposition, one can generate the centralized correlated random numbers (or Gaussian variates or incremental Brownians) represented as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that is, Gaussian variates with zero mean and unit standard deviation.</w:t>
      </w:r>
    </w:p>
    <w:p w:rsidR="005C53A9" w:rsidRDefault="005C53A9" w:rsidP="00D83552">
      <w:pPr>
        <w:pStyle w:val="ListParagraph"/>
        <w:numPr>
          <w:ilvl w:val="0"/>
          <w:numId w:val="151"/>
        </w:numPr>
        <w:spacing w:after="200" w:line="360" w:lineRule="auto"/>
      </w:pPr>
      <w:r>
        <w:rPr>
          <w:u w:val="single"/>
        </w:rPr>
        <w:t>Correlated Brownians for Asset Increments</w:t>
      </w:r>
      <w:r w:rsidRPr="005C53A9">
        <w:t>:</w:t>
      </w:r>
      <w:r>
        <w:t xml:space="preserve"> The simulation model for each asset class then takes the correlated random numbers as inputs or driving factors for generating future market simulations that are naturally correlated within each asset class and across asset classes.</w:t>
      </w:r>
    </w:p>
    <w:p w:rsidR="005C53A9" w:rsidRDefault="005C53A9" w:rsidP="00D83552">
      <w:pPr>
        <w:pStyle w:val="ListParagraph"/>
        <w:numPr>
          <w:ilvl w:val="0"/>
          <w:numId w:val="151"/>
        </w:numPr>
        <w:spacing w:after="200" w:line="360" w:lineRule="auto"/>
      </w:pPr>
      <w:r>
        <w:rPr>
          <w:u w:val="single"/>
        </w:rPr>
        <w:t>Credit Spread/Market Factor Correlations</w:t>
      </w:r>
      <w:r w:rsidRPr="005C53A9">
        <w:t>:</w:t>
      </w:r>
      <w:r>
        <w:t xml:space="preserve"> The same methodology is used to correlate the spread for each counter party and the bank to the market risk factors.</w:t>
      </w:r>
    </w:p>
    <w:p w:rsidR="005C53A9" w:rsidRDefault="005C53A9" w:rsidP="00D83552">
      <w:pPr>
        <w:pStyle w:val="ListParagraph"/>
        <w:numPr>
          <w:ilvl w:val="0"/>
          <w:numId w:val="151"/>
        </w:numPr>
        <w:spacing w:after="200" w:line="360" w:lineRule="auto"/>
      </w:pPr>
      <w:r>
        <w:rPr>
          <w:u w:val="single"/>
        </w:rPr>
        <w:lastRenderedPageBreak/>
        <w:t>Cross Asset Correlation Validity Universe</w:t>
      </w:r>
      <w:r w:rsidRPr="005C53A9">
        <w:t>:</w:t>
      </w:r>
      <w:r>
        <w:t xml:space="preserve"> This cross-asset correlation is applied only to material risk factors, and in the case of multi-factor models, only to the most dominant factor of each model.</w:t>
      </w:r>
    </w:p>
    <w:p w:rsidR="005C53A9" w:rsidRDefault="005C53A9" w:rsidP="005C53A9">
      <w:pPr>
        <w:spacing w:after="200" w:line="360" w:lineRule="auto"/>
      </w:pPr>
    </w:p>
    <w:p w:rsidR="005C53A9" w:rsidRDefault="005C53A9" w:rsidP="005C53A9">
      <w:pPr>
        <w:spacing w:after="200" w:line="360" w:lineRule="auto"/>
      </w:pPr>
    </w:p>
    <w:p w:rsidR="005C53A9" w:rsidRPr="005C53A9" w:rsidRDefault="005C53A9" w:rsidP="005C53A9">
      <w:pPr>
        <w:spacing w:after="200" w:line="360" w:lineRule="auto"/>
        <w:rPr>
          <w:b/>
          <w:sz w:val="28"/>
          <w:szCs w:val="28"/>
        </w:rPr>
      </w:pPr>
      <w:r w:rsidRPr="005C53A9">
        <w:rPr>
          <w:b/>
          <w:sz w:val="28"/>
          <w:szCs w:val="28"/>
        </w:rPr>
        <w:t>Factor Model for Correlation Handling</w:t>
      </w:r>
    </w:p>
    <w:p w:rsidR="005C53A9" w:rsidRDefault="005C53A9" w:rsidP="005C53A9">
      <w:pPr>
        <w:spacing w:after="200" w:line="360" w:lineRule="auto"/>
      </w:pPr>
    </w:p>
    <w:p w:rsidR="005C53A9" w:rsidRDefault="005C53A9" w:rsidP="00D83552">
      <w:pPr>
        <w:pStyle w:val="ListParagraph"/>
        <w:numPr>
          <w:ilvl w:val="0"/>
          <w:numId w:val="152"/>
        </w:numPr>
        <w:spacing w:after="200" w:line="360" w:lineRule="auto"/>
      </w:pPr>
      <w:r w:rsidRPr="00325AC6">
        <w:rPr>
          <w:u w:val="single"/>
        </w:rPr>
        <w:t>Idiosyncratic vs. Systemic Risk Factors</w:t>
      </w:r>
      <w:r>
        <w:t>: The correlation structure for a large number of correlated risk factors can be conveniently parameterized by a factor model with reduced dimensionality. More specifically all risk factors are driven by a much smaller number of driving factors or “market” factors</w:t>
      </w:r>
      <w:r w:rsidR="00794BAA">
        <w:t xml:space="preserve"> and their idiosyncratic factors.</w:t>
      </w:r>
    </w:p>
    <w:p w:rsidR="00325AC6" w:rsidRDefault="00325AC6" w:rsidP="00D83552">
      <w:pPr>
        <w:pStyle w:val="ListParagraph"/>
        <w:numPr>
          <w:ilvl w:val="0"/>
          <w:numId w:val="152"/>
        </w:numPr>
        <w:spacing w:after="200" w:line="360" w:lineRule="auto"/>
      </w:pPr>
      <w:r>
        <w:rPr>
          <w:u w:val="single"/>
        </w:rPr>
        <w:t>Sector Grouping of Risk Factors</w:t>
      </w:r>
      <w:r w:rsidRPr="00325AC6">
        <w:t>:</w:t>
      </w:r>
      <w:r>
        <w:t xml:space="preserve"> An optional grouping of the risk factors can further reduce the number of factors needed.</w:t>
      </w:r>
      <w:r w:rsidR="000F6C8E">
        <w:t xml:space="preserve"> Such grouping can be based on, for example, credit ratings, industries, and geographical regions for credit risk factors, and industries and geographical regions for equity risk factors.</w:t>
      </w:r>
    </w:p>
    <w:p w:rsidR="000F6C8E" w:rsidRDefault="000F6C8E" w:rsidP="00D83552">
      <w:pPr>
        <w:pStyle w:val="ListParagraph"/>
        <w:numPr>
          <w:ilvl w:val="0"/>
          <w:numId w:val="152"/>
        </w:numPr>
        <w:spacing w:after="200" w:line="360" w:lineRule="auto"/>
      </w:pPr>
      <w:r>
        <w:rPr>
          <w:u w:val="single"/>
        </w:rPr>
        <w:t>Factor Loadings/Correlation Mathematical Formulation</w:t>
      </w:r>
      <w:r>
        <w:t>: The mathematical justification and details are as follows.</w:t>
      </w:r>
    </w:p>
    <w:p w:rsidR="0045697E" w:rsidRDefault="000F6C8E" w:rsidP="00D83552">
      <w:pPr>
        <w:pStyle w:val="ListParagraph"/>
        <w:numPr>
          <w:ilvl w:val="0"/>
          <w:numId w:val="152"/>
        </w:numPr>
        <w:spacing w:after="200" w:line="360" w:lineRule="auto"/>
      </w:pPr>
      <w:r>
        <w:rPr>
          <w:u w:val="single"/>
        </w:rPr>
        <w:t>Linear Decomposition of the Risk Grid</w:t>
      </w:r>
      <w:r w:rsidRPr="000F6C8E">
        <w:t>:</w:t>
      </w:r>
      <w:r>
        <w:t xml:space="preserve"> Let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risk factor in group </w:t>
      </w:r>
      <m:oMath>
        <m:r>
          <w:rPr>
            <w:rFonts w:ascii="Cambria Math" w:hAnsi="Cambria Math"/>
          </w:rPr>
          <m:t>i</m:t>
        </m:r>
      </m:oMath>
      <w:r>
        <w:t xml:space="preserve"> with market factor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idiosyncratic factor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then one has</w:t>
      </w:r>
    </w:p>
    <w:p w:rsidR="0045697E" w:rsidRDefault="0045697E" w:rsidP="0045697E">
      <w:pPr>
        <w:pStyle w:val="ListParagraph"/>
        <w:spacing w:after="200" w:line="360" w:lineRule="auto"/>
        <w:ind w:left="360"/>
        <w:rPr>
          <w:u w:val="single"/>
        </w:rPr>
      </w:pPr>
    </w:p>
    <w:p w:rsidR="0045697E" w:rsidRDefault="005D6A21" w:rsidP="0045697E">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ϵ</m:t>
              </m:r>
            </m:e>
            <m:sub>
              <m:r>
                <w:rPr>
                  <w:rFonts w:ascii="Cambria Math" w:hAnsi="Cambria Math"/>
                </w:rPr>
                <m:t>j</m:t>
              </m:r>
            </m:sub>
          </m:sSub>
        </m:oMath>
      </m:oMathPara>
    </w:p>
    <w:p w:rsidR="0045697E" w:rsidRDefault="0045697E" w:rsidP="0045697E">
      <w:pPr>
        <w:pStyle w:val="ListParagraph"/>
        <w:spacing w:after="200" w:line="360" w:lineRule="auto"/>
        <w:ind w:left="360"/>
      </w:pPr>
    </w:p>
    <w:p w:rsidR="0045697E" w:rsidRDefault="000F6C8E" w:rsidP="0045697E">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xml:space="preserve"> are standard normal or Gaussian random variables with mean zero and standard deviation one, or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xml:space="preserve">, with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xml:space="preserve"> being uncorrelated with all other random variables, and </w:t>
      </w:r>
      <m:oMath>
        <m:sSub>
          <m:sSubPr>
            <m:ctrlPr>
              <w:rPr>
                <w:rFonts w:ascii="Cambria Math" w:hAnsi="Cambria Math"/>
                <w:i/>
              </w:rPr>
            </m:ctrlPr>
          </m:sSubPr>
          <m:e>
            <m:r>
              <w:rPr>
                <w:rFonts w:ascii="Cambria Math" w:hAnsi="Cambria Math"/>
              </w:rPr>
              <m:t>β</m:t>
            </m:r>
          </m:e>
          <m:sub>
            <m:r>
              <w:rPr>
                <w:rFonts w:ascii="Cambria Math" w:hAnsi="Cambria Math"/>
              </w:rPr>
              <m:t>ij</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j</m:t>
            </m:r>
          </m:sub>
        </m:sSub>
      </m:oMath>
      <w:r>
        <w:t xml:space="preserve"> being constant coefficients.</w:t>
      </w:r>
      <w:r w:rsidR="008B67A1">
        <w:t xml:space="preserve"> For convenience, with</w:t>
      </w:r>
    </w:p>
    <w:p w:rsidR="0045697E" w:rsidRDefault="0045697E" w:rsidP="0045697E">
      <w:pPr>
        <w:pStyle w:val="ListParagraph"/>
        <w:spacing w:after="200" w:line="360" w:lineRule="auto"/>
        <w:ind w:left="360"/>
      </w:pPr>
    </w:p>
    <w:p w:rsidR="0045697E" w:rsidRDefault="005D6A21" w:rsidP="0045697E">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j</m:t>
                  </m:r>
                </m:sub>
              </m:sSub>
            </m:e>
            <m:sup>
              <m:r>
                <w:rPr>
                  <w:rFonts w:ascii="Cambria Math" w:hAnsi="Cambria Math"/>
                </w:rPr>
                <m:t>2</m:t>
              </m:r>
            </m:sup>
          </m:sSup>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ij</m:t>
                  </m:r>
                </m:sub>
              </m:sSub>
            </m:e>
            <m:sup>
              <m:r>
                <w:rPr>
                  <w:rFonts w:ascii="Cambria Math" w:hAnsi="Cambria Math"/>
                </w:rPr>
                <m:t>2</m:t>
              </m:r>
            </m:sup>
          </m:sSup>
        </m:oMath>
      </m:oMathPara>
    </w:p>
    <w:p w:rsidR="0045697E" w:rsidRDefault="0045697E" w:rsidP="0045697E">
      <w:pPr>
        <w:pStyle w:val="ListParagraph"/>
        <w:spacing w:after="200" w:line="360" w:lineRule="auto"/>
        <w:ind w:left="360"/>
      </w:pPr>
    </w:p>
    <w:p w:rsidR="000F6C8E" w:rsidRDefault="005D6A21" w:rsidP="0045697E">
      <w:pPr>
        <w:pStyle w:val="ListParagraph"/>
        <w:spacing w:after="200" w:line="360" w:lineRule="auto"/>
        <w:ind w:left="360"/>
      </w:pP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008B67A1">
        <w:t xml:space="preserve"> has a standard deviation of one.</w:t>
      </w:r>
    </w:p>
    <w:p w:rsidR="0045697E" w:rsidRDefault="008B67A1" w:rsidP="00D83552">
      <w:pPr>
        <w:pStyle w:val="ListParagraph"/>
        <w:numPr>
          <w:ilvl w:val="0"/>
          <w:numId w:val="152"/>
        </w:numPr>
        <w:spacing w:after="200" w:line="360" w:lineRule="auto"/>
      </w:pPr>
      <w:r>
        <w:rPr>
          <w:u w:val="single"/>
        </w:rPr>
        <w:t>Correlation between Risk Factor Pairs</w:t>
      </w:r>
      <w:r w:rsidRPr="008B67A1">
        <w:t>:</w:t>
      </w:r>
      <w:r>
        <w:t xml:space="preserve"> In general the correlations between a given pair of risk factors is given by</w:t>
      </w:r>
    </w:p>
    <w:p w:rsidR="0045697E" w:rsidRDefault="0045697E" w:rsidP="0045697E">
      <w:pPr>
        <w:pStyle w:val="ListParagraph"/>
        <w:spacing w:after="200" w:line="360" w:lineRule="auto"/>
        <w:ind w:left="360"/>
        <w:rPr>
          <w:u w:val="single"/>
        </w:rPr>
      </w:pPr>
    </w:p>
    <w:p w:rsidR="008B67A1" w:rsidRPr="0045697E" w:rsidRDefault="005D6A21"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kl</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kl</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m:oMathPara>
    </w:p>
    <w:p w:rsidR="0045697E" w:rsidRDefault="0045697E" w:rsidP="0045697E">
      <w:pPr>
        <w:pStyle w:val="ListParagraph"/>
        <w:spacing w:after="200" w:line="360" w:lineRule="auto"/>
        <w:ind w:left="360"/>
      </w:pPr>
    </w:p>
    <w:p w:rsidR="0045697E" w:rsidRDefault="00457510" w:rsidP="00D83552">
      <w:pPr>
        <w:pStyle w:val="ListParagraph"/>
        <w:numPr>
          <w:ilvl w:val="0"/>
          <w:numId w:val="152"/>
        </w:numPr>
        <w:spacing w:after="200" w:line="360" w:lineRule="auto"/>
      </w:pPr>
      <w:r>
        <w:rPr>
          <w:u w:val="single"/>
        </w:rPr>
        <w:t>Single Group Risk Factor Correlation</w:t>
      </w:r>
      <w:r>
        <w:t>: The grouping is a further simplification in that</w:t>
      </w:r>
    </w:p>
    <w:p w:rsidR="0045697E" w:rsidRDefault="0045697E" w:rsidP="0045697E">
      <w:pPr>
        <w:pStyle w:val="ListParagraph"/>
        <w:spacing w:after="200" w:line="360" w:lineRule="auto"/>
        <w:ind w:left="360"/>
        <w:rPr>
          <w:u w:val="single"/>
        </w:rPr>
      </w:pPr>
    </w:p>
    <w:p w:rsidR="0045697E" w:rsidRDefault="005D6A21" w:rsidP="0045697E">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ij</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e>
          </m:rad>
        </m:oMath>
      </m:oMathPara>
    </w:p>
    <w:p w:rsidR="0045697E" w:rsidRDefault="0045697E" w:rsidP="0045697E">
      <w:pPr>
        <w:pStyle w:val="ListParagraph"/>
        <w:spacing w:after="200" w:line="360" w:lineRule="auto"/>
        <w:ind w:left="360"/>
      </w:pPr>
    </w:p>
    <w:p w:rsidR="0045697E" w:rsidRDefault="00457510" w:rsidP="0045697E">
      <w:pPr>
        <w:pStyle w:val="ListParagraph"/>
        <w:spacing w:after="200" w:line="360" w:lineRule="auto"/>
        <w:ind w:left="360"/>
      </w:pPr>
      <m:oMathPara>
        <m:oMath>
          <m:r>
            <w:rPr>
              <w:rFonts w:ascii="Cambria Math" w:hAnsi="Cambria Math"/>
            </w:rPr>
            <m:t>0≤</m:t>
          </m:r>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≤1</m:t>
          </m:r>
        </m:oMath>
      </m:oMathPara>
    </w:p>
    <w:p w:rsidR="0045697E" w:rsidRDefault="0045697E" w:rsidP="0045697E">
      <w:pPr>
        <w:pStyle w:val="ListParagraph"/>
        <w:spacing w:after="200" w:line="360" w:lineRule="auto"/>
        <w:ind w:left="360"/>
      </w:pPr>
    </w:p>
    <w:p w:rsidR="0045697E" w:rsidRDefault="00457510" w:rsidP="0045697E">
      <w:pPr>
        <w:pStyle w:val="ListParagraph"/>
        <w:spacing w:after="200" w:line="360" w:lineRule="auto"/>
        <w:ind w:left="360"/>
      </w:pPr>
      <w:r>
        <w:t xml:space="preserve">and thus all the risk factors in group </w:t>
      </w:r>
      <m:oMath>
        <m:r>
          <w:rPr>
            <w:rFonts w:ascii="Cambria Math" w:hAnsi="Cambria Math"/>
          </w:rPr>
          <m:t>i</m:t>
        </m:r>
      </m:oMath>
      <w:r>
        <w:t xml:space="preserve"> have the same pairwise correlation, that is</w:t>
      </w:r>
    </w:p>
    <w:p w:rsidR="0045697E" w:rsidRDefault="0045697E" w:rsidP="0045697E">
      <w:pPr>
        <w:pStyle w:val="ListParagraph"/>
        <w:spacing w:after="200" w:line="360" w:lineRule="auto"/>
        <w:ind w:left="360"/>
      </w:pPr>
    </w:p>
    <w:p w:rsidR="00457510" w:rsidRPr="0045697E" w:rsidRDefault="005D6A21"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ik</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m:t>
              </m:r>
            </m:sub>
          </m:sSub>
        </m:oMath>
      </m:oMathPara>
    </w:p>
    <w:p w:rsidR="0045697E" w:rsidRDefault="0045697E" w:rsidP="0045697E">
      <w:pPr>
        <w:pStyle w:val="ListParagraph"/>
        <w:spacing w:after="200" w:line="360" w:lineRule="auto"/>
        <w:ind w:left="360"/>
      </w:pPr>
    </w:p>
    <w:p w:rsidR="0045697E" w:rsidRDefault="00457510" w:rsidP="00D83552">
      <w:pPr>
        <w:pStyle w:val="ListParagraph"/>
        <w:numPr>
          <w:ilvl w:val="0"/>
          <w:numId w:val="152"/>
        </w:numPr>
        <w:spacing w:after="200" w:line="360" w:lineRule="auto"/>
      </w:pPr>
      <w:r>
        <w:rPr>
          <w:u w:val="single"/>
        </w:rPr>
        <w:t>Cross Group Risk Factor Correlation</w:t>
      </w:r>
      <w:r>
        <w:t>: Therefore the correlation of a given pair of risk factors is simplified and given by</w:t>
      </w:r>
    </w:p>
    <w:p w:rsidR="0045697E" w:rsidRDefault="0045697E" w:rsidP="0045697E">
      <w:pPr>
        <w:pStyle w:val="ListParagraph"/>
        <w:spacing w:after="200" w:line="360" w:lineRule="auto"/>
        <w:ind w:left="360"/>
        <w:rPr>
          <w:u w:val="single"/>
        </w:rPr>
      </w:pPr>
    </w:p>
    <w:p w:rsidR="00457510" w:rsidRPr="0045697E" w:rsidRDefault="005D6A21"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kl</m:t>
                  </m:r>
                </m:sub>
              </m:sSub>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k</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m:oMathPara>
    </w:p>
    <w:p w:rsidR="0045697E" w:rsidRDefault="0045697E" w:rsidP="0045697E">
      <w:pPr>
        <w:pStyle w:val="ListParagraph"/>
        <w:spacing w:after="200" w:line="360" w:lineRule="auto"/>
        <w:ind w:left="360"/>
      </w:pPr>
    </w:p>
    <w:p w:rsidR="00457510" w:rsidRDefault="00457510" w:rsidP="00D83552">
      <w:pPr>
        <w:pStyle w:val="ListParagraph"/>
        <w:numPr>
          <w:ilvl w:val="0"/>
          <w:numId w:val="152"/>
        </w:numPr>
        <w:spacing w:after="200" w:line="360" w:lineRule="auto"/>
      </w:pPr>
      <w:r>
        <w:rPr>
          <w:u w:val="single"/>
        </w:rPr>
        <w:t>Entries of the Correlation Matrix</w:t>
      </w:r>
      <w:r>
        <w:t xml:space="preserve">: In this case the correlation of the risk factors can be reduced to a much smaller group correlation matrix </w:t>
      </w:r>
      <m:oMath>
        <m:sSub>
          <m:sSubPr>
            <m:ctrlPr>
              <w:rPr>
                <w:rFonts w:ascii="Cambria Math" w:hAnsi="Cambria Math"/>
                <w:i/>
              </w:rPr>
            </m:ctrlPr>
          </m:sSubPr>
          <m:e>
            <m:r>
              <w:rPr>
                <w:rFonts w:ascii="Cambria Math" w:hAnsi="Cambria Math"/>
              </w:rPr>
              <m:t>ρ</m:t>
            </m:r>
          </m:e>
          <m:sub>
            <m:r>
              <w:rPr>
                <w:rFonts w:ascii="Cambria Math" w:hAnsi="Cambria Math"/>
              </w:rPr>
              <m:t>i</m:t>
            </m:r>
          </m:sub>
        </m:sSub>
      </m:oMath>
      <w:r>
        <w:t xml:space="preserve"> as the diagonal entry and </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k</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w:r>
        <w:t xml:space="preserve"> as the off-diagonal entry.</w:t>
      </w:r>
    </w:p>
    <w:p w:rsidR="00457510" w:rsidRDefault="00457510" w:rsidP="00D83552">
      <w:pPr>
        <w:pStyle w:val="ListParagraph"/>
        <w:numPr>
          <w:ilvl w:val="0"/>
          <w:numId w:val="152"/>
        </w:numPr>
        <w:spacing w:after="200" w:line="360" w:lineRule="auto"/>
      </w:pPr>
      <w:r>
        <w:rPr>
          <w:u w:val="single"/>
        </w:rPr>
        <w:t>Simplified Construction of the Matrix</w:t>
      </w:r>
      <w:r w:rsidRPr="00457510">
        <w:t>:</w:t>
      </w:r>
      <w:r>
        <w:t xml:space="preserve"> This is not a block matrix, but a simple matrix, which simplifies the system input implementation. The correlation matrix of the risk factors derived from the group correlation matrix is indeed a block matrix.</w:t>
      </w:r>
    </w:p>
    <w:p w:rsidR="00E57BC0" w:rsidRDefault="00E57BC0" w:rsidP="00D83552">
      <w:pPr>
        <w:pStyle w:val="ListParagraph"/>
        <w:numPr>
          <w:ilvl w:val="0"/>
          <w:numId w:val="152"/>
        </w:numPr>
        <w:spacing w:after="200" w:line="360" w:lineRule="auto"/>
      </w:pPr>
      <w:r>
        <w:rPr>
          <w:u w:val="single"/>
        </w:rPr>
        <w:lastRenderedPageBreak/>
        <w:t>Credit Spread Group Correlation Matrix</w:t>
      </w:r>
      <w:r w:rsidRPr="00E57BC0">
        <w:t>:</w:t>
      </w:r>
      <w:r>
        <w:t xml:space="preserve"> More specifically the procedure for obtaining credit spread group correlation matrix is as follows.</w:t>
      </w:r>
    </w:p>
    <w:p w:rsidR="00E57BC0" w:rsidRDefault="00E57BC0" w:rsidP="00D83552">
      <w:pPr>
        <w:pStyle w:val="ListParagraph"/>
        <w:numPr>
          <w:ilvl w:val="0"/>
          <w:numId w:val="152"/>
        </w:numPr>
        <w:spacing w:after="200" w:line="360" w:lineRule="auto"/>
      </w:pPr>
      <w:r>
        <w:rPr>
          <w:u w:val="single"/>
        </w:rPr>
        <w:t>Correlation Group On-Diagonal Entries</w:t>
      </w:r>
      <w:r w:rsidRPr="00E57BC0">
        <w:t>:</w:t>
      </w:r>
      <w:r>
        <w:t xml:space="preserve"> The diagonal entry of the group correlation matrix is the constant pairwise correlation of the credit names in the group.</w:t>
      </w:r>
    </w:p>
    <w:p w:rsidR="00E57BC0" w:rsidRDefault="00E57BC0" w:rsidP="00D83552">
      <w:pPr>
        <w:pStyle w:val="ListParagraph"/>
        <w:numPr>
          <w:ilvl w:val="1"/>
          <w:numId w:val="152"/>
        </w:numPr>
        <w:spacing w:after="200" w:line="360" w:lineRule="auto"/>
      </w:pPr>
      <w:r>
        <w:t>It can be calculated by the average of pairwise correlation of selected names in the group.</w:t>
      </w:r>
    </w:p>
    <w:p w:rsidR="00E57BC0" w:rsidRDefault="00E57BC0" w:rsidP="00D83552">
      <w:pPr>
        <w:pStyle w:val="ListParagraph"/>
        <w:numPr>
          <w:ilvl w:val="1"/>
          <w:numId w:val="152"/>
        </w:numPr>
        <w:spacing w:after="200" w:line="360" w:lineRule="auto"/>
      </w:pPr>
      <w:r>
        <w:t>If the group contains only one credit name then the diagonal entry would be one.</w:t>
      </w:r>
    </w:p>
    <w:p w:rsidR="00E57BC0" w:rsidRDefault="00E57BC0" w:rsidP="00D83552">
      <w:pPr>
        <w:pStyle w:val="ListParagraph"/>
        <w:numPr>
          <w:ilvl w:val="1"/>
          <w:numId w:val="152"/>
        </w:numPr>
        <w:spacing w:after="200" w:line="360" w:lineRule="auto"/>
      </w:pPr>
      <w:r>
        <w:t>The valid range for this correlation is from zero to one inclusive.</w:t>
      </w:r>
    </w:p>
    <w:p w:rsidR="00E57BC0" w:rsidRDefault="00E57BC0" w:rsidP="00D83552">
      <w:pPr>
        <w:pStyle w:val="ListParagraph"/>
        <w:numPr>
          <w:ilvl w:val="0"/>
          <w:numId w:val="152"/>
        </w:numPr>
        <w:spacing w:after="200" w:line="360" w:lineRule="auto"/>
      </w:pPr>
      <w:r>
        <w:rPr>
          <w:u w:val="single"/>
        </w:rPr>
        <w:t>Correlation Group Off-Diagonal Entries</w:t>
      </w:r>
      <w:r>
        <w:t>: The off-diagonal entries of the group correlation matrix are the correlation among two different groups.</w:t>
      </w:r>
    </w:p>
    <w:p w:rsidR="00E57BC0" w:rsidRDefault="00E57BC0" w:rsidP="00D83552">
      <w:pPr>
        <w:pStyle w:val="ListParagraph"/>
        <w:numPr>
          <w:ilvl w:val="1"/>
          <w:numId w:val="152"/>
        </w:numPr>
        <w:spacing w:after="200" w:line="360" w:lineRule="auto"/>
      </w:pPr>
      <w:r>
        <w:t>They can be obtained by the average of selected credit names or indices in one group selected with selected credit names or indices in the other group.</w:t>
      </w:r>
    </w:p>
    <w:p w:rsidR="00E57BC0" w:rsidRDefault="00E57BC0" w:rsidP="00D83552">
      <w:pPr>
        <w:pStyle w:val="ListParagraph"/>
        <w:numPr>
          <w:ilvl w:val="1"/>
          <w:numId w:val="152"/>
        </w:numPr>
        <w:spacing w:after="200" w:line="360" w:lineRule="auto"/>
      </w:pPr>
      <w:r>
        <w:t>The valid range for these correlations is from negative one to positive one inclusive.</w:t>
      </w:r>
    </w:p>
    <w:p w:rsidR="00E57BC0" w:rsidRDefault="00E57BC0" w:rsidP="00D83552">
      <w:pPr>
        <w:pStyle w:val="ListParagraph"/>
        <w:numPr>
          <w:ilvl w:val="0"/>
          <w:numId w:val="152"/>
        </w:numPr>
        <w:spacing w:after="200" w:line="360" w:lineRule="auto"/>
      </w:pPr>
      <w:r>
        <w:rPr>
          <w:u w:val="single"/>
        </w:rPr>
        <w:t>Historical Estimation of the Entries</w:t>
      </w:r>
      <w:r>
        <w:t xml:space="preserve">: </w:t>
      </w:r>
      <w:r w:rsidR="000711A3">
        <w:t>For the above correlations estimations, if feasible, historical returns correlations with five years or more of historical data of all the CDS spreads (including bank senior unsecured CDS, CP credit spreads, and ABS CDS and CMBS CDS, is applicable, as well as credit indices) with five year tenor.</w:t>
      </w:r>
    </w:p>
    <w:p w:rsidR="0045697E" w:rsidRDefault="0045697E" w:rsidP="0045697E">
      <w:pPr>
        <w:spacing w:after="200" w:line="360" w:lineRule="auto"/>
      </w:pPr>
    </w:p>
    <w:p w:rsidR="0045697E" w:rsidRDefault="0045697E" w:rsidP="0045697E">
      <w:pPr>
        <w:spacing w:after="200" w:line="360" w:lineRule="auto"/>
      </w:pPr>
    </w:p>
    <w:p w:rsidR="0045697E" w:rsidRPr="0045697E" w:rsidRDefault="0045697E" w:rsidP="0045697E">
      <w:pPr>
        <w:spacing w:after="200" w:line="360" w:lineRule="auto"/>
        <w:rPr>
          <w:b/>
          <w:sz w:val="28"/>
          <w:szCs w:val="28"/>
        </w:rPr>
      </w:pPr>
      <w:r w:rsidRPr="0045697E">
        <w:rPr>
          <w:b/>
          <w:sz w:val="28"/>
          <w:szCs w:val="28"/>
        </w:rPr>
        <w:t>Market Generation and Monte Carlo Simulation</w:t>
      </w:r>
    </w:p>
    <w:p w:rsidR="0045697E" w:rsidRDefault="0045697E" w:rsidP="0045697E">
      <w:pPr>
        <w:spacing w:after="200" w:line="360" w:lineRule="auto"/>
      </w:pPr>
    </w:p>
    <w:p w:rsidR="0045697E" w:rsidRDefault="0045697E" w:rsidP="00D83552">
      <w:pPr>
        <w:pStyle w:val="ListParagraph"/>
        <w:numPr>
          <w:ilvl w:val="0"/>
          <w:numId w:val="153"/>
        </w:numPr>
        <w:spacing w:after="200" w:line="360" w:lineRule="auto"/>
      </w:pPr>
      <w:r w:rsidRPr="0045697E">
        <w:rPr>
          <w:u w:val="single"/>
        </w:rPr>
        <w:t>Material Market Risk Factors Simulation</w:t>
      </w:r>
      <w:r>
        <w:t>: The next few sections deal with arbitrage-free Monte Carlo simulations of all material market risk factors leveraging the underlying LOB models.</w:t>
      </w:r>
    </w:p>
    <w:p w:rsidR="0045697E" w:rsidRDefault="0045697E" w:rsidP="00D83552">
      <w:pPr>
        <w:pStyle w:val="ListParagraph"/>
        <w:numPr>
          <w:ilvl w:val="0"/>
          <w:numId w:val="153"/>
        </w:numPr>
        <w:spacing w:after="200" w:line="360" w:lineRule="auto"/>
      </w:pPr>
      <w:r>
        <w:rPr>
          <w:u w:val="single"/>
        </w:rPr>
        <w:t>Simulation across Time Steps/Paths</w:t>
      </w:r>
      <w:r w:rsidRPr="0045697E">
        <w:t>:</w:t>
      </w:r>
      <w:r>
        <w:t xml:space="preserve"> The Monte-Carlo simulations are performed with the given set of non-uniform time steps and a given number of simulation paths under the local currency risk neutral probability measures consistent with the underlying models with an </w:t>
      </w:r>
      <w:r>
        <w:lastRenderedPageBreak/>
        <w:t>option to take the centralized correlated random numbers as input or to generate the random numbers internally.</w:t>
      </w:r>
    </w:p>
    <w:p w:rsidR="0045697E" w:rsidRDefault="0045697E" w:rsidP="0045697E">
      <w:pPr>
        <w:spacing w:after="200" w:line="360" w:lineRule="auto"/>
      </w:pPr>
    </w:p>
    <w:p w:rsidR="0045697E" w:rsidRDefault="0045697E" w:rsidP="0045697E">
      <w:pPr>
        <w:spacing w:after="200" w:line="360" w:lineRule="auto"/>
      </w:pPr>
    </w:p>
    <w:p w:rsidR="0045697E" w:rsidRPr="00487F66" w:rsidRDefault="0045697E" w:rsidP="0045697E">
      <w:pPr>
        <w:spacing w:after="200" w:line="360" w:lineRule="auto"/>
        <w:rPr>
          <w:b/>
          <w:sz w:val="28"/>
          <w:szCs w:val="28"/>
        </w:rPr>
      </w:pPr>
      <w:r w:rsidRPr="00487F66">
        <w:rPr>
          <w:b/>
          <w:sz w:val="28"/>
          <w:szCs w:val="28"/>
        </w:rPr>
        <w:t>General Scope of the Simulation</w:t>
      </w:r>
    </w:p>
    <w:p w:rsidR="0045697E" w:rsidRDefault="0045697E" w:rsidP="0045697E">
      <w:pPr>
        <w:spacing w:after="200" w:line="360" w:lineRule="auto"/>
      </w:pPr>
    </w:p>
    <w:p w:rsidR="0045697E" w:rsidRDefault="00487F66" w:rsidP="00D83552">
      <w:pPr>
        <w:pStyle w:val="ListParagraph"/>
        <w:numPr>
          <w:ilvl w:val="0"/>
          <w:numId w:val="154"/>
        </w:numPr>
        <w:spacing w:after="200" w:line="360" w:lineRule="auto"/>
      </w:pPr>
      <w:r w:rsidRPr="00487F66">
        <w:rPr>
          <w:u w:val="single"/>
        </w:rPr>
        <w:t>Materiality Measures for Risk Factors</w:t>
      </w:r>
      <w:r>
        <w:t>: It is important to first define the materiality measures for the risk factors so that one can determine which risk factors to simulate or simulate more accurately.</w:t>
      </w:r>
    </w:p>
    <w:p w:rsidR="00487F66" w:rsidRDefault="00487F66" w:rsidP="00D83552">
      <w:pPr>
        <w:pStyle w:val="ListParagraph"/>
        <w:numPr>
          <w:ilvl w:val="0"/>
          <w:numId w:val="154"/>
        </w:numPr>
        <w:spacing w:after="200" w:line="360" w:lineRule="auto"/>
      </w:pPr>
      <w:r>
        <w:rPr>
          <w:u w:val="single"/>
        </w:rPr>
        <w:t>Primary Market Risk Factor Simulation</w:t>
      </w:r>
      <w:r w:rsidRPr="00487F66">
        <w:t>:</w:t>
      </w:r>
      <w:r>
        <w:t xml:space="preserve"> The primary risk factors are defined as those corresponding to the outright delta risks of the underlying OTC derivatives desks for each asset class, such as the outright rate curves for the IR derivatives, FX spots for FX derivatives, stock and stock index prices for equity derivatives, outright commodity futures for commodity derivatives, and credit curves and credit index curves for credit derivatives.</w:t>
      </w:r>
    </w:p>
    <w:p w:rsidR="007041E7" w:rsidRDefault="007041E7" w:rsidP="00D83552">
      <w:pPr>
        <w:pStyle w:val="ListParagraph"/>
        <w:numPr>
          <w:ilvl w:val="0"/>
          <w:numId w:val="154"/>
        </w:numPr>
        <w:spacing w:after="200" w:line="360" w:lineRule="auto"/>
      </w:pPr>
      <w:r>
        <w:rPr>
          <w:u w:val="single"/>
        </w:rPr>
        <w:t>Secondary Market Risk Factor Simulation</w:t>
      </w:r>
      <w:r w:rsidRPr="007041E7">
        <w:t>:</w:t>
      </w:r>
      <w:r>
        <w:t xml:space="preserve"> Further the secondary market risk factors are defined as the spread curves or basis curves to the primary market risk factors. In addition volatility and correlation and the like are defined as higher order risk factors.</w:t>
      </w:r>
    </w:p>
    <w:p w:rsidR="007041E7" w:rsidRDefault="007041E7" w:rsidP="00D83552">
      <w:pPr>
        <w:pStyle w:val="ListParagraph"/>
        <w:numPr>
          <w:ilvl w:val="0"/>
          <w:numId w:val="154"/>
        </w:numPr>
        <w:spacing w:after="200" w:line="360" w:lineRule="auto"/>
      </w:pPr>
      <w:r>
        <w:rPr>
          <w:u w:val="single"/>
        </w:rPr>
        <w:t>Primary Risk Factor Materiality Measure</w:t>
      </w:r>
      <w:r w:rsidRPr="007041E7">
        <w:t>:</w:t>
      </w:r>
      <w:r>
        <w:t xml:space="preserve"> The materiality measure of a primary risk factor is defined using its gross delta, and more specifically, as the percentage of the gross OTC derivatives delta in its asset class relative to the total gross OTC derivatives delta from all the primary risk factors in the asset class.</w:t>
      </w:r>
    </w:p>
    <w:p w:rsidR="007041E7" w:rsidRDefault="007041E7" w:rsidP="00D83552">
      <w:pPr>
        <w:pStyle w:val="ListParagraph"/>
        <w:numPr>
          <w:ilvl w:val="0"/>
          <w:numId w:val="154"/>
        </w:numPr>
        <w:spacing w:after="200" w:line="360" w:lineRule="auto"/>
      </w:pPr>
      <w:r>
        <w:rPr>
          <w:u w:val="single"/>
        </w:rPr>
        <w:t>In/Cross Asset Factors Simulation</w:t>
      </w:r>
      <w:r w:rsidRPr="007041E7">
        <w:t>:</w:t>
      </w:r>
      <w:r>
        <w:t xml:space="preserve"> DRIP simulates all the primary risk factors, and simulates the top 95% of the primary risk factors in each asset class with proper in-asset (historical) correlation and cross-asset (historical) correlation.</w:t>
      </w:r>
    </w:p>
    <w:p w:rsidR="007041E7" w:rsidRDefault="00236EBD" w:rsidP="00D83552">
      <w:pPr>
        <w:pStyle w:val="ListParagraph"/>
        <w:numPr>
          <w:ilvl w:val="0"/>
          <w:numId w:val="154"/>
        </w:numPr>
        <w:spacing w:after="200" w:line="360" w:lineRule="auto"/>
      </w:pPr>
      <w:r>
        <w:rPr>
          <w:u w:val="single"/>
        </w:rPr>
        <w:t>Simulating Secondary Market Risk Factors</w:t>
      </w:r>
      <w:r w:rsidRPr="00236EBD">
        <w:t>:</w:t>
      </w:r>
      <w:r>
        <w:t xml:space="preserve"> Also simulated are secondary market risk factors, typically with a mean-reverting one factor model with each simulated secondary risk factor without cross-asset correlation and only with correlation to the primary risk factor.</w:t>
      </w:r>
    </w:p>
    <w:p w:rsidR="00DD7351" w:rsidRDefault="00DD7351" w:rsidP="00D83552">
      <w:pPr>
        <w:pStyle w:val="ListParagraph"/>
        <w:numPr>
          <w:ilvl w:val="0"/>
          <w:numId w:val="154"/>
        </w:numPr>
        <w:spacing w:after="200" w:line="360" w:lineRule="auto"/>
      </w:pPr>
      <w:r>
        <w:rPr>
          <w:u w:val="single"/>
        </w:rPr>
        <w:lastRenderedPageBreak/>
        <w:t>Higher Order Risk Factor Simulation</w:t>
      </w:r>
      <w:r w:rsidRPr="00DD7351">
        <w:t>:</w:t>
      </w:r>
      <w:r>
        <w:t xml:space="preserve"> DRIP does not simulate higher order risk factors in general. Therefore stochastic volatility risk model is not recommended for production runs, except in limited cases where there are major concentrations of volatility risks (including variance and volatility swaps). Simplified stochastic volatility models are recommended only for the purposes of materiality analysis and modeling.</w:t>
      </w:r>
    </w:p>
    <w:p w:rsidR="00DD7351" w:rsidRDefault="00DD7351" w:rsidP="00D83552">
      <w:pPr>
        <w:pStyle w:val="ListParagraph"/>
        <w:numPr>
          <w:ilvl w:val="0"/>
          <w:numId w:val="154"/>
        </w:numPr>
        <w:spacing w:after="200" w:line="360" w:lineRule="auto"/>
      </w:pPr>
      <w:r>
        <w:rPr>
          <w:u w:val="single"/>
        </w:rPr>
        <w:t>Implying Future/Forward Volatility/Skew</w:t>
      </w:r>
      <w:r w:rsidRPr="00DD7351">
        <w:t>:</w:t>
      </w:r>
      <w:r>
        <w:t xml:space="preserve"> In addition the future of forward volatility and volatility skews will need to be derived or approximated for valuing trades using the Black or the Black-Scholes model (or the like).</w:t>
      </w:r>
    </w:p>
    <w:p w:rsidR="00DD7351" w:rsidRDefault="00DD7351" w:rsidP="00D83552">
      <w:pPr>
        <w:pStyle w:val="ListParagraph"/>
        <w:numPr>
          <w:ilvl w:val="0"/>
          <w:numId w:val="154"/>
        </w:numPr>
        <w:spacing w:after="200" w:line="360" w:lineRule="auto"/>
      </w:pPr>
      <w:r>
        <w:rPr>
          <w:u w:val="single"/>
        </w:rPr>
        <w:t>Results from the IR CVA Simulation</w:t>
      </w:r>
      <w:r w:rsidRPr="00DD7351">
        <w:t>:</w:t>
      </w:r>
      <w:r>
        <w:t xml:space="preserve"> For non-IR assets, interest rates are not simulated, but instead the IR simulation results will be leveraged from the IR CVA. For simulating a risk factor with a term structure, two or more factors (for level, slope, and so on) are implemented, except for the credit simulation due to the immaterial CVA (excluding trades facing monolines and CDPC’s).</w:t>
      </w:r>
    </w:p>
    <w:p w:rsidR="00DD7351" w:rsidRDefault="00DD7351" w:rsidP="00DD7351">
      <w:pPr>
        <w:spacing w:after="200" w:line="360" w:lineRule="auto"/>
      </w:pPr>
    </w:p>
    <w:p w:rsidR="00DD7351" w:rsidRDefault="00DD7351" w:rsidP="00DD7351">
      <w:pPr>
        <w:spacing w:after="200" w:line="360" w:lineRule="auto"/>
      </w:pPr>
    </w:p>
    <w:p w:rsidR="00DD7351" w:rsidRPr="004E1BB2" w:rsidRDefault="00DD7351" w:rsidP="00DD7351">
      <w:pPr>
        <w:spacing w:after="200" w:line="360" w:lineRule="auto"/>
        <w:rPr>
          <w:b/>
          <w:sz w:val="28"/>
          <w:szCs w:val="28"/>
        </w:rPr>
      </w:pPr>
      <w:r w:rsidRPr="004E1BB2">
        <w:rPr>
          <w:b/>
          <w:sz w:val="28"/>
          <w:szCs w:val="28"/>
        </w:rPr>
        <w:t>Correlations in Monte Carlo Simulations</w:t>
      </w:r>
    </w:p>
    <w:p w:rsidR="00DD7351" w:rsidRDefault="00DD7351" w:rsidP="00DD7351">
      <w:pPr>
        <w:spacing w:after="200" w:line="360" w:lineRule="auto"/>
      </w:pPr>
    </w:p>
    <w:p w:rsidR="00DD7351" w:rsidRDefault="00DD7351" w:rsidP="00D83552">
      <w:pPr>
        <w:pStyle w:val="ListParagraph"/>
        <w:numPr>
          <w:ilvl w:val="0"/>
          <w:numId w:val="155"/>
        </w:numPr>
        <w:spacing w:after="200" w:line="360" w:lineRule="auto"/>
      </w:pPr>
      <w:r w:rsidRPr="004E1BB2">
        <w:rPr>
          <w:u w:val="single"/>
        </w:rPr>
        <w:t>In-Asset Risk Factor Correlation</w:t>
      </w:r>
      <w:r>
        <w:t>: The LOB CVA model handles the historical (or implied or specified) correlation among all the simulated risk factors within an asset class</w:t>
      </w:r>
      <w:r w:rsidR="004E1BB2">
        <w:t xml:space="preserve"> by generating their own random numbers with an option to retrieve the centrally generated random number.</w:t>
      </w:r>
    </w:p>
    <w:p w:rsidR="00715EE1" w:rsidRDefault="00715EE1" w:rsidP="00D83552">
      <w:pPr>
        <w:pStyle w:val="ListParagraph"/>
        <w:numPr>
          <w:ilvl w:val="0"/>
          <w:numId w:val="155"/>
        </w:numPr>
        <w:spacing w:after="200" w:line="360" w:lineRule="auto"/>
      </w:pPr>
      <w:r>
        <w:rPr>
          <w:u w:val="single"/>
        </w:rPr>
        <w:t>The Cross-Asset Risk Factor Correlation</w:t>
      </w:r>
      <w:r w:rsidRPr="00715EE1">
        <w:t>:</w:t>
      </w:r>
      <w:r>
        <w:t xml:space="preserve"> The cross-asset CVA models further handle the cross-asset correlation by using the centrally generated random numbers (representing correlated incremental Brownian motions) as the simulation driving factors. The same methodology is used to correlate the spreads of each counter party and the bank to the market factors.</w:t>
      </w:r>
    </w:p>
    <w:p w:rsidR="00715EE1" w:rsidRDefault="00715EE1" w:rsidP="00715EE1">
      <w:pPr>
        <w:spacing w:after="200" w:line="360" w:lineRule="auto"/>
      </w:pPr>
    </w:p>
    <w:p w:rsidR="00715EE1" w:rsidRDefault="00715EE1" w:rsidP="00715EE1">
      <w:pPr>
        <w:spacing w:after="200" w:line="360" w:lineRule="auto"/>
      </w:pPr>
    </w:p>
    <w:p w:rsidR="00715EE1" w:rsidRPr="00715EE1" w:rsidRDefault="00715EE1" w:rsidP="00715EE1">
      <w:pPr>
        <w:spacing w:after="200" w:line="360" w:lineRule="auto"/>
        <w:rPr>
          <w:b/>
          <w:sz w:val="28"/>
          <w:szCs w:val="28"/>
        </w:rPr>
      </w:pPr>
      <w:r w:rsidRPr="00715EE1">
        <w:rPr>
          <w:b/>
          <w:sz w:val="28"/>
          <w:szCs w:val="28"/>
        </w:rPr>
        <w:lastRenderedPageBreak/>
        <w:t>Credit Risk Factors Simulation</w:t>
      </w:r>
    </w:p>
    <w:p w:rsidR="00715EE1" w:rsidRDefault="00715EE1" w:rsidP="00715EE1">
      <w:pPr>
        <w:spacing w:after="200" w:line="360" w:lineRule="auto"/>
      </w:pPr>
    </w:p>
    <w:p w:rsidR="00715EE1" w:rsidRDefault="00715EE1" w:rsidP="00D83552">
      <w:pPr>
        <w:pStyle w:val="ListParagraph"/>
        <w:numPr>
          <w:ilvl w:val="0"/>
          <w:numId w:val="156"/>
        </w:numPr>
        <w:spacing w:after="200" w:line="360" w:lineRule="auto"/>
      </w:pPr>
      <w:r w:rsidRPr="00715EE1">
        <w:rPr>
          <w:u w:val="single"/>
        </w:rPr>
        <w:t>XVA Models for Credit Derivatives</w:t>
      </w:r>
      <w:r>
        <w:t>: For credit simulations, the current models for credit derivatives CVA and DVA is leveraged, and used for credit derivatives trades that are not facing monolines and CDPC’s. One factor simulation is used based on immateriality.</w:t>
      </w:r>
    </w:p>
    <w:p w:rsidR="00715EE1" w:rsidRDefault="00715EE1" w:rsidP="00D83552">
      <w:pPr>
        <w:pStyle w:val="ListParagraph"/>
        <w:numPr>
          <w:ilvl w:val="0"/>
          <w:numId w:val="156"/>
        </w:numPr>
        <w:spacing w:after="200" w:line="360" w:lineRule="auto"/>
      </w:pPr>
      <w:r>
        <w:rPr>
          <w:u w:val="single"/>
        </w:rPr>
        <w:t>Spread Simulation for Bank/CP</w:t>
      </w:r>
      <w:r w:rsidRPr="00715EE1">
        <w:t>:</w:t>
      </w:r>
      <w:r>
        <w:t xml:space="preserve"> This (or a similar model) will be used for simulating the credit spread of each counter party and the bank. While the counter party or the bank default events may not need to be simulated, the simulation of the default events of the underlying credits is desirable.</w:t>
      </w:r>
    </w:p>
    <w:p w:rsidR="00E45005" w:rsidRDefault="00E45005" w:rsidP="00E45005">
      <w:pPr>
        <w:spacing w:after="200" w:line="360" w:lineRule="auto"/>
      </w:pPr>
    </w:p>
    <w:p w:rsidR="00E45005" w:rsidRDefault="00E45005" w:rsidP="00E45005">
      <w:pPr>
        <w:spacing w:after="200" w:line="360" w:lineRule="auto"/>
      </w:pPr>
    </w:p>
    <w:p w:rsidR="00E45005" w:rsidRPr="00E45005" w:rsidRDefault="00E45005" w:rsidP="00E45005">
      <w:pPr>
        <w:spacing w:after="200" w:line="360" w:lineRule="auto"/>
        <w:rPr>
          <w:b/>
          <w:sz w:val="28"/>
          <w:szCs w:val="28"/>
        </w:rPr>
      </w:pPr>
      <w:r w:rsidRPr="00E45005">
        <w:rPr>
          <w:b/>
          <w:sz w:val="28"/>
          <w:szCs w:val="28"/>
        </w:rPr>
        <w:t>FX Risk Factors Simulation</w:t>
      </w:r>
    </w:p>
    <w:p w:rsidR="00E45005" w:rsidRDefault="00E45005" w:rsidP="00E45005">
      <w:pPr>
        <w:spacing w:after="200" w:line="360" w:lineRule="auto"/>
      </w:pPr>
    </w:p>
    <w:p w:rsidR="00E45005" w:rsidRDefault="00E45005" w:rsidP="00D83552">
      <w:pPr>
        <w:pStyle w:val="ListParagraph"/>
        <w:numPr>
          <w:ilvl w:val="0"/>
          <w:numId w:val="157"/>
        </w:numPr>
        <w:spacing w:after="200" w:line="360" w:lineRule="auto"/>
      </w:pPr>
      <w:r w:rsidRPr="00E45005">
        <w:rPr>
          <w:u w:val="single"/>
        </w:rPr>
        <w:t>Underlying LOB FX Simulation Models</w:t>
      </w:r>
      <w:r>
        <w:t>: The underlying LOB FX models (such as the local volatility model or the like) are leveraged for simulating the FX rates, which are a one-factor model with volatility skews. The implied volatility will be simulated with a simplified stochastic volatility model shown below for the purposes of materiality analysis and monitoring only.</w:t>
      </w:r>
    </w:p>
    <w:p w:rsidR="00D53C9E" w:rsidRDefault="00D53C9E" w:rsidP="00D53C9E">
      <w:pPr>
        <w:spacing w:after="200" w:line="360" w:lineRule="auto"/>
      </w:pPr>
    </w:p>
    <w:p w:rsidR="00D53C9E" w:rsidRDefault="00D53C9E" w:rsidP="00D53C9E">
      <w:pPr>
        <w:spacing w:after="200" w:line="360" w:lineRule="auto"/>
      </w:pPr>
    </w:p>
    <w:p w:rsidR="00D53C9E" w:rsidRPr="00D53C9E" w:rsidRDefault="00D53C9E" w:rsidP="00D53C9E">
      <w:pPr>
        <w:spacing w:after="200" w:line="360" w:lineRule="auto"/>
        <w:rPr>
          <w:b/>
          <w:sz w:val="28"/>
          <w:szCs w:val="28"/>
        </w:rPr>
      </w:pPr>
      <w:r w:rsidRPr="00D53C9E">
        <w:rPr>
          <w:b/>
          <w:sz w:val="28"/>
          <w:szCs w:val="28"/>
        </w:rPr>
        <w:t>Equity Risk Factors Simulation</w:t>
      </w:r>
    </w:p>
    <w:p w:rsidR="00D53C9E" w:rsidRDefault="00D53C9E" w:rsidP="00D53C9E">
      <w:pPr>
        <w:spacing w:after="200" w:line="360" w:lineRule="auto"/>
      </w:pPr>
    </w:p>
    <w:p w:rsidR="00D53C9E" w:rsidRDefault="00D53C9E" w:rsidP="00D83552">
      <w:pPr>
        <w:pStyle w:val="ListParagraph"/>
        <w:numPr>
          <w:ilvl w:val="0"/>
          <w:numId w:val="158"/>
        </w:numPr>
        <w:spacing w:after="200" w:line="360" w:lineRule="auto"/>
      </w:pPr>
      <w:r w:rsidRPr="00D53C9E">
        <w:rPr>
          <w:u w:val="single"/>
        </w:rPr>
        <w:t>Underlying LOB Equity Simulation Models</w:t>
      </w:r>
      <w:r>
        <w:t xml:space="preserve">: The underlying LOB equity simulation models (such as the local volatility models or the like) are leveraged for simulating the equity prices </w:t>
      </w:r>
      <w:r>
        <w:lastRenderedPageBreak/>
        <w:t>– these are a one-factor model with volatility skews. The dividend rate, if material, will also be simulated, but this need not be arbitrage free. The implied volatility will be simulated with a simplified stochastic volatility model shown below for the purposes of materiality analysis and monitoring only.</w:t>
      </w:r>
    </w:p>
    <w:p w:rsidR="00D53C9E" w:rsidRDefault="00D53C9E" w:rsidP="00D53C9E">
      <w:pPr>
        <w:spacing w:after="200" w:line="360" w:lineRule="auto"/>
      </w:pPr>
    </w:p>
    <w:p w:rsidR="00D53C9E" w:rsidRDefault="00D53C9E" w:rsidP="00D53C9E">
      <w:pPr>
        <w:spacing w:after="200" w:line="360" w:lineRule="auto"/>
      </w:pPr>
    </w:p>
    <w:p w:rsidR="00D53C9E" w:rsidRPr="006A37DC" w:rsidRDefault="00D53C9E" w:rsidP="00D53C9E">
      <w:pPr>
        <w:spacing w:after="200" w:line="360" w:lineRule="auto"/>
        <w:rPr>
          <w:b/>
          <w:sz w:val="28"/>
          <w:szCs w:val="28"/>
        </w:rPr>
      </w:pPr>
      <w:r w:rsidRPr="006A37DC">
        <w:rPr>
          <w:b/>
          <w:sz w:val="28"/>
          <w:szCs w:val="28"/>
        </w:rPr>
        <w:t>Commodity Risk Factors Simulation</w:t>
      </w:r>
    </w:p>
    <w:p w:rsidR="00D53C9E" w:rsidRDefault="00D53C9E" w:rsidP="00D53C9E">
      <w:pPr>
        <w:spacing w:after="200" w:line="360" w:lineRule="auto"/>
      </w:pPr>
    </w:p>
    <w:p w:rsidR="00D53C9E" w:rsidRDefault="00D53C9E" w:rsidP="00D83552">
      <w:pPr>
        <w:pStyle w:val="ListParagraph"/>
        <w:numPr>
          <w:ilvl w:val="0"/>
          <w:numId w:val="159"/>
        </w:numPr>
        <w:spacing w:after="200" w:line="360" w:lineRule="auto"/>
      </w:pPr>
      <w:r w:rsidRPr="006A37DC">
        <w:rPr>
          <w:u w:val="single"/>
        </w:rPr>
        <w:t>Underlying LOB Commodity Simulation Models</w:t>
      </w:r>
      <w:r>
        <w:t>: The underlying LOB models with multiple factors and volatility skews are leveraged. The implied volatility will be simulated with a simplified stochastic volatility model shown below for the purp</w:t>
      </w:r>
      <w:r w:rsidR="006A37DC">
        <w:t>oses of materiality analysis and</w:t>
      </w:r>
      <w:r>
        <w:t xml:space="preserve"> monitoring only.</w:t>
      </w:r>
    </w:p>
    <w:p w:rsidR="006A37DC" w:rsidRDefault="006A37DC" w:rsidP="006A37DC">
      <w:pPr>
        <w:spacing w:after="200" w:line="360" w:lineRule="auto"/>
      </w:pPr>
    </w:p>
    <w:p w:rsidR="006A37DC" w:rsidRDefault="006A37DC" w:rsidP="006A37DC">
      <w:pPr>
        <w:spacing w:after="200" w:line="360" w:lineRule="auto"/>
      </w:pPr>
    </w:p>
    <w:p w:rsidR="006A37DC" w:rsidRPr="006A37DC" w:rsidRDefault="006A37DC" w:rsidP="006A37DC">
      <w:pPr>
        <w:spacing w:after="200" w:line="360" w:lineRule="auto"/>
        <w:rPr>
          <w:b/>
          <w:sz w:val="28"/>
          <w:szCs w:val="28"/>
        </w:rPr>
      </w:pPr>
      <w:r w:rsidRPr="006A37DC">
        <w:rPr>
          <w:b/>
          <w:sz w:val="28"/>
          <w:szCs w:val="28"/>
        </w:rPr>
        <w:t>IR Risk Factors Simulation</w:t>
      </w:r>
    </w:p>
    <w:p w:rsidR="006A37DC" w:rsidRDefault="006A37DC" w:rsidP="006A37DC">
      <w:pPr>
        <w:spacing w:after="200" w:line="360" w:lineRule="auto"/>
      </w:pPr>
    </w:p>
    <w:p w:rsidR="006A37DC" w:rsidRDefault="006A37DC" w:rsidP="00D83552">
      <w:pPr>
        <w:pStyle w:val="ListParagraph"/>
        <w:numPr>
          <w:ilvl w:val="0"/>
          <w:numId w:val="160"/>
        </w:numPr>
        <w:spacing w:after="200" w:line="360" w:lineRule="auto"/>
      </w:pPr>
      <w:r w:rsidRPr="006A37DC">
        <w:rPr>
          <w:u w:val="single"/>
        </w:rPr>
        <w:t>Underlying LOB IR Simulation Models</w:t>
      </w:r>
      <w:r>
        <w:t>: The underlying LOB models with multiple factors and volatility skews are leveraged. In addition to simulating the LIBOR or the OIS including FX simulations from FX CVA, DRIP also has developed additional one factor models for inflation, BMA/LIBOR ratio, and possibly 1M/3M spread – some of which may not be fully arbitrage-free – with proper correlation. The implied volatility will be simulated with a simplified stochastic volatility model shown below for the purposes of materiality analysis and monitoring only.</w:t>
      </w:r>
    </w:p>
    <w:p w:rsidR="006A37DC" w:rsidRDefault="006A37DC" w:rsidP="006A37DC">
      <w:pPr>
        <w:spacing w:after="200" w:line="360" w:lineRule="auto"/>
      </w:pPr>
    </w:p>
    <w:p w:rsidR="006A37DC" w:rsidRDefault="006A37DC" w:rsidP="006A37DC">
      <w:pPr>
        <w:spacing w:after="200" w:line="360" w:lineRule="auto"/>
      </w:pPr>
    </w:p>
    <w:p w:rsidR="006A37DC" w:rsidRPr="006A37DC" w:rsidRDefault="006A37DC" w:rsidP="006A37DC">
      <w:pPr>
        <w:spacing w:after="200" w:line="360" w:lineRule="auto"/>
        <w:rPr>
          <w:b/>
          <w:sz w:val="28"/>
          <w:szCs w:val="28"/>
        </w:rPr>
      </w:pPr>
      <w:r w:rsidRPr="006A37DC">
        <w:rPr>
          <w:b/>
          <w:sz w:val="28"/>
          <w:szCs w:val="28"/>
        </w:rPr>
        <w:t>Simplified Stochastic Volatility Model</w:t>
      </w:r>
    </w:p>
    <w:p w:rsidR="006A37DC" w:rsidRDefault="006A37DC" w:rsidP="006A37DC">
      <w:pPr>
        <w:spacing w:after="200" w:line="360" w:lineRule="auto"/>
      </w:pPr>
    </w:p>
    <w:p w:rsidR="006A37DC" w:rsidRDefault="006A37DC" w:rsidP="00D83552">
      <w:pPr>
        <w:pStyle w:val="ListParagraph"/>
        <w:numPr>
          <w:ilvl w:val="0"/>
          <w:numId w:val="161"/>
        </w:numPr>
        <w:spacing w:after="200" w:line="360" w:lineRule="auto"/>
      </w:pPr>
      <w:r w:rsidRPr="006A37DC">
        <w:rPr>
          <w:u w:val="single"/>
        </w:rPr>
        <w:t>Materiality Analysis using Stochastic Volatility</w:t>
      </w:r>
      <w:r>
        <w:t>: The simplified stochastic volatility model is for the purposes of materiality analysis only. It is a mean-reverting one-factor model that models a multiplier to be applied to the implied volatility for trade valuation, and, if feasible, for market simulation. There is one such model for each of the relevant volatilities with no correlation among the driving factors of this model and the other market risk factors.</w:t>
      </w:r>
    </w:p>
    <w:p w:rsidR="004E2EB8" w:rsidRDefault="004E2EB8" w:rsidP="004E2EB8">
      <w:pPr>
        <w:spacing w:after="200" w:line="360" w:lineRule="auto"/>
      </w:pPr>
    </w:p>
    <w:p w:rsidR="004E2EB8" w:rsidRDefault="004E2EB8" w:rsidP="004E2EB8">
      <w:pPr>
        <w:spacing w:after="200" w:line="360" w:lineRule="auto"/>
      </w:pPr>
    </w:p>
    <w:p w:rsidR="004E2EB8" w:rsidRPr="004E2EB8" w:rsidRDefault="004E2EB8" w:rsidP="004E2EB8">
      <w:pPr>
        <w:spacing w:after="200" w:line="360" w:lineRule="auto"/>
        <w:rPr>
          <w:b/>
          <w:sz w:val="28"/>
          <w:szCs w:val="28"/>
        </w:rPr>
      </w:pPr>
      <w:r w:rsidRPr="004E2EB8">
        <w:rPr>
          <w:b/>
          <w:sz w:val="28"/>
          <w:szCs w:val="28"/>
        </w:rPr>
        <w:t>Interpolation in Monte Carlo Simulation</w:t>
      </w:r>
    </w:p>
    <w:p w:rsidR="004E2EB8" w:rsidRDefault="004E2EB8" w:rsidP="004E2EB8">
      <w:pPr>
        <w:spacing w:after="200" w:line="360" w:lineRule="auto"/>
      </w:pPr>
    </w:p>
    <w:p w:rsidR="004E2EB8" w:rsidRDefault="004E2EB8" w:rsidP="00D83552">
      <w:pPr>
        <w:pStyle w:val="ListParagraph"/>
        <w:numPr>
          <w:ilvl w:val="0"/>
          <w:numId w:val="162"/>
        </w:numPr>
        <w:spacing w:after="200" w:line="360" w:lineRule="auto"/>
      </w:pPr>
      <w:r w:rsidRPr="004E2EB8">
        <w:rPr>
          <w:u w:val="single"/>
        </w:rPr>
        <w:t>Broken Date Risk Factor Interpolation</w:t>
      </w:r>
      <w:r>
        <w:t>: The simulated risk factors may be needed on dates not coinciding with the simulation time steps, in which case additional interpolations may need to be performed. While Brownian Bridge interpolation is preferred, interpolation using square-root-of-time is also acceptable.</w:t>
      </w:r>
    </w:p>
    <w:p w:rsidR="004E2EB8" w:rsidRDefault="004E2EB8" w:rsidP="004E2EB8">
      <w:pPr>
        <w:spacing w:after="200" w:line="360" w:lineRule="auto"/>
      </w:pPr>
    </w:p>
    <w:p w:rsidR="004E2EB8" w:rsidRDefault="004E2EB8" w:rsidP="004E2EB8">
      <w:pPr>
        <w:spacing w:after="200" w:line="360" w:lineRule="auto"/>
      </w:pPr>
    </w:p>
    <w:p w:rsidR="004E2EB8" w:rsidRPr="004E2EB8" w:rsidRDefault="004E2EB8" w:rsidP="004E2EB8">
      <w:pPr>
        <w:spacing w:after="200" w:line="360" w:lineRule="auto"/>
        <w:rPr>
          <w:b/>
          <w:sz w:val="28"/>
          <w:szCs w:val="28"/>
        </w:rPr>
      </w:pPr>
      <w:r w:rsidRPr="004E2EB8">
        <w:rPr>
          <w:b/>
          <w:sz w:val="28"/>
          <w:szCs w:val="28"/>
        </w:rPr>
        <w:t>Trade Valuation</w:t>
      </w:r>
    </w:p>
    <w:p w:rsidR="004E2EB8" w:rsidRDefault="004E2EB8" w:rsidP="004E2EB8">
      <w:pPr>
        <w:spacing w:after="200" w:line="360" w:lineRule="auto"/>
      </w:pPr>
    </w:p>
    <w:p w:rsidR="004E2EB8" w:rsidRDefault="004E2EB8" w:rsidP="00D83552">
      <w:pPr>
        <w:pStyle w:val="ListParagraph"/>
        <w:numPr>
          <w:ilvl w:val="0"/>
          <w:numId w:val="163"/>
        </w:numPr>
        <w:spacing w:after="200" w:line="360" w:lineRule="auto"/>
      </w:pPr>
      <w:r w:rsidRPr="004E2EB8">
        <w:rPr>
          <w:u w:val="single"/>
        </w:rPr>
        <w:t>Arbitrage-free Single Trade Valuation</w:t>
      </w:r>
      <w:r>
        <w:t xml:space="preserve">: This section deals with arbitrage-free valuations (in terms of cash price) of all trades in the payment currency (in each counter party netting group </w:t>
      </w:r>
      <w:r>
        <w:lastRenderedPageBreak/>
        <w:t>and collateral group) on each of the above simulated market paths and as of each simulation time step by using the (improved) trade pricing models.</w:t>
      </w:r>
    </w:p>
    <w:p w:rsidR="004E2EB8" w:rsidRDefault="004E2EB8" w:rsidP="00D83552">
      <w:pPr>
        <w:pStyle w:val="ListParagraph"/>
        <w:numPr>
          <w:ilvl w:val="0"/>
          <w:numId w:val="163"/>
        </w:numPr>
        <w:spacing w:after="200" w:line="360" w:lineRule="auto"/>
      </w:pPr>
      <w:r>
        <w:rPr>
          <w:u w:val="single"/>
        </w:rPr>
        <w:t>Projected Forward Cash Flow Payments</w:t>
      </w:r>
      <w:r w:rsidRPr="004E2EB8">
        <w:t>:</w:t>
      </w:r>
      <w:r>
        <w:t xml:space="preserve"> The pricing model also needs to compute the cash flow amounts in the payment currency (discounted to the simulation time step) with payment dates for each leg (possibly separately) of each trade on ach simulated market path and as of each simulation time step.</w:t>
      </w:r>
    </w:p>
    <w:p w:rsidR="004E2EB8" w:rsidRDefault="004E2EB8" w:rsidP="00D83552">
      <w:pPr>
        <w:pStyle w:val="ListParagraph"/>
        <w:numPr>
          <w:ilvl w:val="0"/>
          <w:numId w:val="163"/>
        </w:numPr>
        <w:spacing w:after="200" w:line="360" w:lineRule="auto"/>
      </w:pPr>
      <w:r>
        <w:rPr>
          <w:u w:val="single"/>
        </w:rPr>
        <w:t>Improvements to the Underlying Pricers</w:t>
      </w:r>
      <w:r w:rsidRPr="004E2EB8">
        <w:t>:</w:t>
      </w:r>
      <w:r>
        <w:t xml:space="preserve"> There is a need for improving the underlying models for the CVA purposes, including pricing speed optimization (for vanilla swaps, cross currency swaps, and cancellable swaps), handling of the trades with physical settlements, MTJ resets or other accrual based conventions, or possibly other future trade events, and for cash flow handling.</w:t>
      </w:r>
    </w:p>
    <w:p w:rsidR="00812160" w:rsidRDefault="00812160" w:rsidP="00D83552">
      <w:pPr>
        <w:pStyle w:val="ListParagraph"/>
        <w:numPr>
          <w:ilvl w:val="0"/>
          <w:numId w:val="163"/>
        </w:numPr>
        <w:spacing w:after="200" w:line="360" w:lineRule="auto"/>
      </w:pPr>
      <w:r>
        <w:rPr>
          <w:u w:val="single"/>
        </w:rPr>
        <w:t>Speed Optimization</w:t>
      </w:r>
      <w:r w:rsidRPr="00812160">
        <w:t>:</w:t>
      </w:r>
      <w:r>
        <w:t xml:space="preserve"> </w:t>
      </w:r>
      <w:r w:rsidR="00E144EB">
        <w:t>The underlying models need to save the intermediate results for reuse in subsequent CVA trade valuations to significantly improve the speed performance.</w:t>
      </w:r>
    </w:p>
    <w:p w:rsidR="00E144EB" w:rsidRDefault="00E144EB" w:rsidP="00D83552">
      <w:pPr>
        <w:pStyle w:val="ListParagraph"/>
        <w:numPr>
          <w:ilvl w:val="0"/>
          <w:numId w:val="163"/>
        </w:numPr>
        <w:spacing w:after="200" w:line="360" w:lineRule="auto"/>
      </w:pPr>
      <w:r>
        <w:rPr>
          <w:u w:val="single"/>
        </w:rPr>
        <w:t>Pricing Time Horizon</w:t>
      </w:r>
      <w:r w:rsidRPr="00E144EB">
        <w:t>:</w:t>
      </w:r>
      <w:r>
        <w:t xml:space="preserve"> For CVA it is critical to handle trades with proper settlement, MTM reset, or accrual based convention by pricing all the way to the end of each cash flow payment date (rather than only to the option expiry dates or the reset dates as in the underlying portfolio).</w:t>
      </w:r>
    </w:p>
    <w:p w:rsidR="00E144EB" w:rsidRDefault="00E144EB" w:rsidP="00D83552">
      <w:pPr>
        <w:pStyle w:val="ListParagraph"/>
        <w:numPr>
          <w:ilvl w:val="0"/>
          <w:numId w:val="163"/>
        </w:numPr>
        <w:spacing w:after="200" w:line="360" w:lineRule="auto"/>
      </w:pPr>
      <w:r>
        <w:rPr>
          <w:u w:val="single"/>
        </w:rPr>
        <w:t>Cash Flow Valuation</w:t>
      </w:r>
      <w:r w:rsidRPr="00E144EB">
        <w:t>:</w:t>
      </w:r>
      <w:r>
        <w:t xml:space="preserve"> In addition to prices, the underlying model needs to have an option to adjust current and future cash flows for each leg and for each trade in the payment currency and the corresponding payment dates (within a given date range).</w:t>
      </w:r>
    </w:p>
    <w:p w:rsidR="00E144EB" w:rsidRDefault="00E144EB" w:rsidP="00D83552">
      <w:pPr>
        <w:pStyle w:val="ListParagraph"/>
        <w:numPr>
          <w:ilvl w:val="0"/>
          <w:numId w:val="163"/>
        </w:numPr>
        <w:spacing w:after="200" w:line="360" w:lineRule="auto"/>
      </w:pPr>
      <w:r>
        <w:rPr>
          <w:u w:val="single"/>
        </w:rPr>
        <w:t>Martingale Targets</w:t>
      </w:r>
      <w:r w:rsidRPr="00E144EB">
        <w:t>:</w:t>
      </w:r>
      <w:r>
        <w:t xml:space="preserve"> Time-0 price for each trade under the base and the stressed scenarios </w:t>
      </w:r>
      <w:r w:rsidR="00AD1D9E">
        <w:t>is an important martingale target and needs to be made available to CVA models at run time. Other martingale targets will be discussed in the future.</w:t>
      </w:r>
    </w:p>
    <w:p w:rsidR="00995BA8" w:rsidRDefault="00995BA8" w:rsidP="00D83552">
      <w:pPr>
        <w:pStyle w:val="ListParagraph"/>
        <w:numPr>
          <w:ilvl w:val="0"/>
          <w:numId w:val="163"/>
        </w:numPr>
        <w:spacing w:after="200" w:line="360" w:lineRule="auto"/>
      </w:pPr>
      <w:r>
        <w:rPr>
          <w:u w:val="single"/>
        </w:rPr>
        <w:t>Analytical Valuation</w:t>
      </w:r>
      <w:r w:rsidRPr="00995BA8">
        <w:t>:</w:t>
      </w:r>
      <w:r>
        <w:t xml:space="preserve"> This uses an underlying LOB model to price trades on each of the simulated market paths and as of each simulation time step. In addition, the future of forward volatility or volatility skews will need to be derived or approximated for valuing trades using the Black or Black-Scholes model, or the like.</w:t>
      </w:r>
    </w:p>
    <w:p w:rsidR="00995BA8" w:rsidRDefault="00995BA8" w:rsidP="00D83552">
      <w:pPr>
        <w:pStyle w:val="ListParagraph"/>
        <w:numPr>
          <w:ilvl w:val="0"/>
          <w:numId w:val="163"/>
        </w:numPr>
        <w:spacing w:after="200" w:line="360" w:lineRule="auto"/>
      </w:pPr>
      <w:r>
        <w:rPr>
          <w:u w:val="single"/>
        </w:rPr>
        <w:t>Least Squares Monte Carlo</w:t>
      </w:r>
      <w:r w:rsidRPr="00995BA8">
        <w:t>:</w:t>
      </w:r>
      <w:r>
        <w:t xml:space="preserve"> This optionally uses the underlying LOB Monte Carlo (or American Monte Carlo) model, if available, to price trades on each of the above simulated market paths and as of each simulation time step.</w:t>
      </w:r>
    </w:p>
    <w:p w:rsidR="00995BA8" w:rsidRDefault="00995BA8" w:rsidP="00D83552">
      <w:pPr>
        <w:pStyle w:val="ListParagraph"/>
        <w:numPr>
          <w:ilvl w:val="0"/>
          <w:numId w:val="163"/>
        </w:numPr>
        <w:spacing w:after="200" w:line="360" w:lineRule="auto"/>
      </w:pPr>
      <w:r>
        <w:rPr>
          <w:u w:val="single"/>
        </w:rPr>
        <w:lastRenderedPageBreak/>
        <w:t>Interpolation through Grids</w:t>
      </w:r>
      <w:r w:rsidRPr="00995BA8">
        <w:t>:</w:t>
      </w:r>
      <w:r>
        <w:t xml:space="preserve"> This leverages the underlying LOB PDE (or other) grid model; the simulated market risk models are used to interpolated through the grid prices for the CVA trade valuation. A modified Arrow-Debreu price is needed to handle the expected path dependencies.</w:t>
      </w:r>
    </w:p>
    <w:p w:rsidR="00995BA8" w:rsidRDefault="00995BA8" w:rsidP="00995BA8">
      <w:pPr>
        <w:spacing w:after="200" w:line="360" w:lineRule="auto"/>
      </w:pPr>
    </w:p>
    <w:p w:rsidR="00995BA8" w:rsidRDefault="00995BA8" w:rsidP="00995BA8">
      <w:pPr>
        <w:spacing w:after="200" w:line="360" w:lineRule="auto"/>
      </w:pPr>
    </w:p>
    <w:p w:rsidR="00995BA8" w:rsidRPr="00995BA8" w:rsidRDefault="00995BA8" w:rsidP="00995BA8">
      <w:pPr>
        <w:spacing w:after="200" w:line="360" w:lineRule="auto"/>
        <w:rPr>
          <w:b/>
          <w:sz w:val="28"/>
          <w:szCs w:val="28"/>
        </w:rPr>
      </w:pPr>
      <w:r w:rsidRPr="00995BA8">
        <w:rPr>
          <w:b/>
          <w:sz w:val="28"/>
          <w:szCs w:val="28"/>
        </w:rPr>
        <w:t>Sparse Grid or Sub-Sampling</w:t>
      </w:r>
    </w:p>
    <w:p w:rsidR="00995BA8" w:rsidRDefault="00995BA8" w:rsidP="00995BA8">
      <w:pPr>
        <w:spacing w:after="200" w:line="360" w:lineRule="auto"/>
      </w:pPr>
    </w:p>
    <w:p w:rsidR="00995BA8" w:rsidRDefault="00995BA8" w:rsidP="00D83552">
      <w:pPr>
        <w:pStyle w:val="ListParagraph"/>
        <w:numPr>
          <w:ilvl w:val="0"/>
          <w:numId w:val="164"/>
        </w:numPr>
        <w:spacing w:after="200" w:line="360" w:lineRule="auto"/>
      </w:pPr>
      <w:r w:rsidRPr="00995BA8">
        <w:rPr>
          <w:u w:val="single"/>
        </w:rPr>
        <w:t>Forward Exposure using LOB Model</w:t>
      </w:r>
      <w:r>
        <w:t>: This section deals with speeding up the brute force pricing of a trade whereby the underlying desk model is called on each of the simulated market paths and as of each time step.</w:t>
      </w:r>
    </w:p>
    <w:p w:rsidR="00D5355E" w:rsidRDefault="00D5355E" w:rsidP="00D83552">
      <w:pPr>
        <w:pStyle w:val="ListParagraph"/>
        <w:numPr>
          <w:ilvl w:val="0"/>
          <w:numId w:val="164"/>
        </w:numPr>
        <w:spacing w:after="200" w:line="360" w:lineRule="auto"/>
      </w:pPr>
      <w:r>
        <w:rPr>
          <w:u w:val="single"/>
        </w:rPr>
        <w:t>Sparse Grid to Space/Time</w:t>
      </w:r>
      <w:r w:rsidRPr="00D5355E">
        <w:t>:</w:t>
      </w:r>
      <w:r>
        <w:t xml:space="preserve"> Brute force is used only to price a sparse grid of market states and time steps, which will be either pre-defined or come from a sub-sampling of the simulated market paths (that is, by selecting a subset of the simulated market paths and/or a subset of simulation time steps).</w:t>
      </w:r>
    </w:p>
    <w:p w:rsidR="00D5355E" w:rsidRDefault="00D5355E" w:rsidP="00D83552">
      <w:pPr>
        <w:pStyle w:val="ListParagraph"/>
        <w:numPr>
          <w:ilvl w:val="0"/>
          <w:numId w:val="164"/>
        </w:numPr>
        <w:spacing w:after="200" w:line="360" w:lineRule="auto"/>
      </w:pPr>
      <w:r>
        <w:rPr>
          <w:u w:val="single"/>
        </w:rPr>
        <w:t>Broken Sate Exposure Interpolation/Regression</w:t>
      </w:r>
      <w:r w:rsidRPr="00D5355E">
        <w:t>:</w:t>
      </w:r>
      <w:r>
        <w:t xml:space="preserve"> DRIP uses linear or square-root-of-time interpolation (where the trade depends predominantly on one simulated variable) or regression (where the trade depends on multiple dominant simulated variables) to derive or approximate the trade prices on the simulated path and the time step where the brute force price is not available. Trade cash flows and events need to be handled properly.</w:t>
      </w:r>
    </w:p>
    <w:p w:rsidR="00D5355E" w:rsidRDefault="00D5355E" w:rsidP="00D5355E">
      <w:pPr>
        <w:spacing w:after="200" w:line="360" w:lineRule="auto"/>
      </w:pPr>
    </w:p>
    <w:p w:rsidR="00D5355E" w:rsidRDefault="00D5355E" w:rsidP="00D5355E">
      <w:pPr>
        <w:spacing w:after="200" w:line="360" w:lineRule="auto"/>
      </w:pPr>
    </w:p>
    <w:p w:rsidR="00D5355E" w:rsidRPr="00D5355E" w:rsidRDefault="00D5355E" w:rsidP="00D5355E">
      <w:pPr>
        <w:spacing w:after="200" w:line="360" w:lineRule="auto"/>
        <w:rPr>
          <w:b/>
          <w:sz w:val="28"/>
          <w:szCs w:val="28"/>
        </w:rPr>
      </w:pPr>
      <w:r w:rsidRPr="00D5355E">
        <w:rPr>
          <w:b/>
          <w:sz w:val="28"/>
          <w:szCs w:val="28"/>
        </w:rPr>
        <w:t>Replication Model with Risks or Scenario Values</w:t>
      </w:r>
    </w:p>
    <w:p w:rsidR="00D5355E" w:rsidRDefault="00D5355E" w:rsidP="00D5355E">
      <w:pPr>
        <w:spacing w:after="200" w:line="360" w:lineRule="auto"/>
      </w:pPr>
    </w:p>
    <w:p w:rsidR="00D5355E" w:rsidRDefault="00D5355E" w:rsidP="00D83552">
      <w:pPr>
        <w:pStyle w:val="ListParagraph"/>
        <w:numPr>
          <w:ilvl w:val="0"/>
          <w:numId w:val="165"/>
        </w:numPr>
        <w:spacing w:after="200" w:line="360" w:lineRule="auto"/>
      </w:pPr>
      <w:r w:rsidRPr="00D5355E">
        <w:rPr>
          <w:u w:val="single"/>
        </w:rPr>
        <w:lastRenderedPageBreak/>
        <w:t>CVA/DVA on Replicated Portfolio</w:t>
      </w:r>
      <w:r>
        <w:t>: Replication (mostly dynamic) is the foundation of arbitrage derivatives pricing, which can also be applied to CVA/DVA for exposure replication as an option. Intuitively the replication model uses the underlying LOB hedging portfolio to replicate the original complicated trade which cannot be easily and efficiently directly priced for CVA/DVA.</w:t>
      </w:r>
    </w:p>
    <w:p w:rsidR="00D5355E" w:rsidRDefault="00D5355E" w:rsidP="00D83552">
      <w:pPr>
        <w:pStyle w:val="ListParagraph"/>
        <w:numPr>
          <w:ilvl w:val="0"/>
          <w:numId w:val="165"/>
        </w:numPr>
        <w:spacing w:after="200" w:line="360" w:lineRule="auto"/>
      </w:pPr>
      <w:r>
        <w:rPr>
          <w:u w:val="single"/>
        </w:rPr>
        <w:t>Resulting XVA Calculation Speed Up</w:t>
      </w:r>
      <w:r w:rsidRPr="00D5355E">
        <w:t>:</w:t>
      </w:r>
      <w:r>
        <w:t xml:space="preserve"> Conceptually the trade valuation for CVA/DVA is approximated by valuing the simpler replication portfolio. This is also helpful in significantly speeding up the CVA/DVA computation for the major dealers.</w:t>
      </w:r>
    </w:p>
    <w:p w:rsidR="0068502A" w:rsidRDefault="0068502A" w:rsidP="00D83552">
      <w:pPr>
        <w:pStyle w:val="ListParagraph"/>
        <w:numPr>
          <w:ilvl w:val="0"/>
          <w:numId w:val="165"/>
        </w:numPr>
        <w:spacing w:after="200" w:line="360" w:lineRule="auto"/>
      </w:pPr>
      <w:r>
        <w:rPr>
          <w:u w:val="single"/>
        </w:rPr>
        <w:t>Quasi Static Replication Snapshot</w:t>
      </w:r>
      <w:r w:rsidRPr="0068502A">
        <w:t>:</w:t>
      </w:r>
      <w:r>
        <w:t xml:space="preserve"> For CVA/DVA static replication is used, in that today’s risks or scenarios are used for replication, but the replication can be updated in daily runs (on business days).</w:t>
      </w:r>
    </w:p>
    <w:p w:rsidR="0068502A" w:rsidRDefault="0068502A" w:rsidP="00D83552">
      <w:pPr>
        <w:pStyle w:val="ListParagraph"/>
        <w:numPr>
          <w:ilvl w:val="0"/>
          <w:numId w:val="165"/>
        </w:numPr>
        <w:spacing w:after="200" w:line="360" w:lineRule="auto"/>
      </w:pPr>
      <w:r>
        <w:rPr>
          <w:u w:val="single"/>
        </w:rPr>
        <w:t>Tenor Bucket Based Exposure Sensitivities</w:t>
      </w:r>
      <w:r w:rsidRPr="0068502A">
        <w:t>:</w:t>
      </w:r>
      <w:r>
        <w:t xml:space="preserve"> It is important to point out that bucketed risks or scenarios with respect to interest rates (and other) tenors are used to capture the time profile of future exposures. For instance, today’s zero delta and gamma for the bucket of 10Y to 15Y indicates zero exposure to the future time horizon of 10Y to 15Y, to the second order.</w:t>
      </w:r>
    </w:p>
    <w:p w:rsidR="006D6285" w:rsidRDefault="0068502A" w:rsidP="00D83552">
      <w:pPr>
        <w:pStyle w:val="ListParagraph"/>
        <w:numPr>
          <w:ilvl w:val="0"/>
          <w:numId w:val="165"/>
        </w:numPr>
        <w:spacing w:after="200" w:line="360" w:lineRule="auto"/>
      </w:pPr>
      <w:r>
        <w:rPr>
          <w:u w:val="single"/>
        </w:rPr>
        <w:t>Weights of the Replicating Portfolio</w:t>
      </w:r>
      <w:r w:rsidRPr="0068502A">
        <w:t>:</w:t>
      </w:r>
      <w:r>
        <w:t xml:space="preserve"> A more general approach and formulation is scenario based by approximately matching the scenario NPV of the original trades with the replication portfolio. In other words, given the error objective function under the pre-defined scenarios as</w:t>
      </w:r>
    </w:p>
    <w:p w:rsidR="006D6285" w:rsidRDefault="006D6285" w:rsidP="006D6285">
      <w:pPr>
        <w:pStyle w:val="ListParagraph"/>
        <w:spacing w:after="200" w:line="360" w:lineRule="auto"/>
        <w:ind w:left="360"/>
        <w:rPr>
          <w:u w:val="single"/>
        </w:rPr>
      </w:pPr>
    </w:p>
    <w:p w:rsidR="006D6285" w:rsidRDefault="0068502A" w:rsidP="006D6285">
      <w:pPr>
        <w:pStyle w:val="ListParagraph"/>
        <w:spacing w:after="200" w:line="360" w:lineRule="auto"/>
        <w:ind w:left="360"/>
      </w:pPr>
      <m:oMathPara>
        <m:oMath>
          <m:r>
            <w:rPr>
              <w:rFonts w:ascii="Cambria Math" w:hAnsi="Cambria Math"/>
            </w:rPr>
            <m:t>E=</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e>
                      </m:nary>
                    </m:e>
                  </m:d>
                </m:e>
                <m:sup>
                  <m:r>
                    <w:rPr>
                      <w:rFonts w:ascii="Cambria Math" w:hAnsi="Cambria Math"/>
                    </w:rPr>
                    <m:t>2</m:t>
                  </m:r>
                </m:sup>
              </m:sSup>
            </m:e>
          </m:nary>
        </m:oMath>
      </m:oMathPara>
    </w:p>
    <w:p w:rsidR="006D6285" w:rsidRDefault="006D6285" w:rsidP="006D6285">
      <w:pPr>
        <w:pStyle w:val="ListParagraph"/>
        <w:spacing w:after="200" w:line="360" w:lineRule="auto"/>
        <w:ind w:left="360"/>
      </w:pPr>
    </w:p>
    <w:p w:rsidR="0068502A" w:rsidRDefault="0068502A" w:rsidP="006D6285">
      <w:pPr>
        <w:pStyle w:val="ListParagraph"/>
        <w:spacing w:after="200" w:line="360" w:lineRule="auto"/>
        <w:ind w:left="360"/>
      </w:pPr>
      <w:r>
        <w:t xml:space="preserve">one minimizes it with respect to the time independent weights or notional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oMath>
      <w:r>
        <w:t xml:space="preserve"> of the replication instruments where </w:t>
      </w:r>
      <m:oMath>
        <m:r>
          <w:rPr>
            <w:rFonts w:ascii="Cambria Math" w:hAnsi="Cambria Math"/>
          </w:rPr>
          <m:t>NPV</m:t>
        </m:r>
        <m:d>
          <m:dPr>
            <m:ctrlPr>
              <w:rPr>
                <w:rFonts w:ascii="Cambria Math" w:hAnsi="Cambria Math"/>
                <w:i/>
              </w:rPr>
            </m:ctrlPr>
          </m:dPr>
          <m:e>
            <m:r>
              <w:rPr>
                <w:rFonts w:ascii="Cambria Math" w:hAnsi="Cambria Math"/>
              </w:rPr>
              <m:t>i</m:t>
            </m:r>
          </m:e>
        </m:d>
      </m:oMath>
      <w:r>
        <w:t xml:space="preserve"> and </w:t>
      </w:r>
      <m:oMath>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oMath>
      <w:r>
        <w:t xml:space="preserve"> are the NPV of the original trade and the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replication instrument respectively, under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scenario.</w:t>
      </w:r>
    </w:p>
    <w:p w:rsidR="006D6285" w:rsidRDefault="008C37CB" w:rsidP="00D83552">
      <w:pPr>
        <w:pStyle w:val="ListParagraph"/>
        <w:numPr>
          <w:ilvl w:val="0"/>
          <w:numId w:val="165"/>
        </w:numPr>
        <w:spacing w:after="200" w:line="360" w:lineRule="auto"/>
      </w:pPr>
      <w:r>
        <w:rPr>
          <w:u w:val="single"/>
        </w:rPr>
        <w:t>Portfolio Corresponding to Error Minimization</w:t>
      </w:r>
      <w:r w:rsidRPr="008C37CB">
        <w:t>:</w:t>
      </w:r>
      <w:r>
        <w:t xml:space="preserve"> The minimization leads to</w:t>
      </w:r>
    </w:p>
    <w:p w:rsidR="006D6285" w:rsidRDefault="006D6285" w:rsidP="006D6285">
      <w:pPr>
        <w:pStyle w:val="ListParagraph"/>
        <w:spacing w:after="200" w:line="360" w:lineRule="auto"/>
        <w:ind w:left="360"/>
        <w:rPr>
          <w:u w:val="single"/>
        </w:rPr>
      </w:pPr>
    </w:p>
    <w:p w:rsidR="006D6285" w:rsidRDefault="005D6A21" w:rsidP="006D6285">
      <w:pPr>
        <w:pStyle w:val="ListParagraph"/>
        <w:spacing w:after="200" w:line="360" w:lineRule="auto"/>
        <w:ind w:left="360"/>
      </w:pPr>
      <m:oMathPara>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=0</m:t>
          </m:r>
        </m:oMath>
      </m:oMathPara>
    </w:p>
    <w:p w:rsidR="006D6285" w:rsidRDefault="006D6285" w:rsidP="006D6285">
      <w:pPr>
        <w:pStyle w:val="ListParagraph"/>
        <w:spacing w:after="200" w:line="360" w:lineRule="auto"/>
        <w:ind w:left="360"/>
      </w:pPr>
    </w:p>
    <w:p w:rsidR="006D6285" w:rsidRDefault="008C37CB" w:rsidP="006D6285">
      <w:pPr>
        <w:pStyle w:val="ListParagraph"/>
        <w:spacing w:after="200" w:line="360" w:lineRule="auto"/>
        <w:ind w:left="360"/>
      </w:pPr>
      <w:r>
        <w:t>or</w:t>
      </w:r>
    </w:p>
    <w:p w:rsidR="006D6285" w:rsidRDefault="006D6285" w:rsidP="006D6285">
      <w:pPr>
        <w:pStyle w:val="ListParagraph"/>
        <w:spacing w:after="200" w:line="360" w:lineRule="auto"/>
        <w:ind w:left="360"/>
      </w:pPr>
    </w:p>
    <w:p w:rsidR="008C37CB" w:rsidRPr="006D6285" w:rsidRDefault="005D6A21" w:rsidP="006D6285">
      <w:pPr>
        <w:pStyle w:val="ListParagraph"/>
        <w:spacing w:after="200"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e>
                  </m:nary>
                </m:e>
              </m:d>
              <m:sSub>
                <m:sSubPr>
                  <m:ctrlPr>
                    <w:rPr>
                      <w:rFonts w:ascii="Cambria Math" w:hAnsi="Cambria Math"/>
                      <w:i/>
                    </w:rPr>
                  </m:ctrlPr>
                </m:sSubPr>
                <m:e>
                  <m:r>
                    <w:rPr>
                      <w:rFonts w:ascii="Cambria Math" w:hAnsi="Cambria Math"/>
                    </w:rPr>
                    <m:t>NPV</m:t>
                  </m:r>
                </m:e>
                <m:sub>
                  <m:r>
                    <w:rPr>
                      <w:rFonts w:ascii="Cambria Math" w:hAnsi="Cambria Math"/>
                    </w:rPr>
                    <m:t>k</m:t>
                  </m:r>
                </m:sub>
              </m:sSub>
              <m:d>
                <m:dPr>
                  <m:ctrlPr>
                    <w:rPr>
                      <w:rFonts w:ascii="Cambria Math" w:hAnsi="Cambria Math"/>
                      <w:i/>
                    </w:rPr>
                  </m:ctrlPr>
                </m:dPr>
                <m:e>
                  <m:r>
                    <w:rPr>
                      <w:rFonts w:ascii="Cambria Math" w:hAnsi="Cambria Math"/>
                    </w:rPr>
                    <m:t>i</m:t>
                  </m:r>
                </m:e>
              </m:d>
            </m:e>
          </m:nary>
          <m:r>
            <w:rPr>
              <w:rFonts w:ascii="Cambria Math" w:hAnsi="Cambria Math"/>
            </w:rPr>
            <m:t>=0</m:t>
          </m:r>
        </m:oMath>
      </m:oMathPara>
    </w:p>
    <w:p w:rsidR="006D6285" w:rsidRDefault="006D6285" w:rsidP="006D6285">
      <w:pPr>
        <w:pStyle w:val="ListParagraph"/>
        <w:spacing w:after="200" w:line="360" w:lineRule="auto"/>
        <w:ind w:left="360"/>
      </w:pPr>
    </w:p>
    <w:p w:rsidR="00DA48B2" w:rsidRDefault="00DA48B2" w:rsidP="00D83552">
      <w:pPr>
        <w:pStyle w:val="ListParagraph"/>
        <w:numPr>
          <w:ilvl w:val="0"/>
          <w:numId w:val="165"/>
        </w:numPr>
        <w:spacing w:after="200" w:line="360" w:lineRule="auto"/>
      </w:pPr>
      <w:r>
        <w:rPr>
          <w:u w:val="single"/>
        </w:rPr>
        <w:t>Replication Model for the Collateralized Cases</w:t>
      </w:r>
      <w:r>
        <w:t>: The replication model is particularly useful for collateralized cases where the change in the NPV is more than the NPV in itself.</w:t>
      </w:r>
    </w:p>
    <w:p w:rsidR="00DA48B2" w:rsidRDefault="00DA48B2" w:rsidP="00D83552">
      <w:pPr>
        <w:pStyle w:val="ListParagraph"/>
        <w:numPr>
          <w:ilvl w:val="0"/>
          <w:numId w:val="165"/>
        </w:numPr>
        <w:spacing w:after="200" w:line="360" w:lineRule="auto"/>
      </w:pPr>
      <w:r>
        <w:rPr>
          <w:u w:val="single"/>
        </w:rPr>
        <w:t>Replication Portfolio on the Trade</w:t>
      </w:r>
      <w:r w:rsidRPr="00DA48B2">
        <w:t>:</w:t>
      </w:r>
      <w:r>
        <w:t xml:space="preserve"> One way to incorporate the replication model into the CVA/DVA model is to replace the original trade with the replication portfolio.</w:t>
      </w:r>
    </w:p>
    <w:p w:rsidR="00DA48B2" w:rsidRDefault="00DA48B2" w:rsidP="00D83552">
      <w:pPr>
        <w:pStyle w:val="ListParagraph"/>
        <w:numPr>
          <w:ilvl w:val="0"/>
          <w:numId w:val="165"/>
        </w:numPr>
        <w:spacing w:after="200" w:line="360" w:lineRule="auto"/>
      </w:pPr>
      <w:r>
        <w:rPr>
          <w:u w:val="single"/>
        </w:rPr>
        <w:t>Basket Options on the Replicated Portfolios</w:t>
      </w:r>
      <w:r w:rsidRPr="00DA48B2">
        <w:t>:</w:t>
      </w:r>
      <w:r>
        <w:t xml:space="preserve"> Another way to value CVA/DVA exposures is as the prices of the basket options (or forward staring basket options for the collateralized cases) on the replication portfolio, which can be approximated by the standard quadratic approximation, in which cases the market simulations are not needed; this, in turn, significantly simplifies the system implementation. This can be further simplified by using only linear instruments.</w:t>
      </w:r>
    </w:p>
    <w:p w:rsidR="00DA48B2" w:rsidRDefault="00DA48B2" w:rsidP="00D83552">
      <w:pPr>
        <w:pStyle w:val="ListParagraph"/>
        <w:numPr>
          <w:ilvl w:val="0"/>
          <w:numId w:val="165"/>
        </w:numPr>
        <w:spacing w:after="200" w:line="360" w:lineRule="auto"/>
      </w:pPr>
      <w:r>
        <w:rPr>
          <w:u w:val="single"/>
        </w:rPr>
        <w:t>Scenario Specific Replication Weights Calibration</w:t>
      </w:r>
      <w:r>
        <w:t xml:space="preserve">: Ideally, fir CCAR and stresses in general, the weights or the notionals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oMath>
      <w:r>
        <w:t xml:space="preserve"> of the replication instruments should be recalibrated for each stress scenario.</w:t>
      </w:r>
    </w:p>
    <w:p w:rsidR="006F5742" w:rsidRDefault="006F5742" w:rsidP="00D83552">
      <w:pPr>
        <w:pStyle w:val="ListParagraph"/>
        <w:numPr>
          <w:ilvl w:val="0"/>
          <w:numId w:val="165"/>
        </w:numPr>
        <w:spacing w:after="200" w:line="360" w:lineRule="auto"/>
      </w:pPr>
      <w:r>
        <w:rPr>
          <w:u w:val="single"/>
        </w:rPr>
        <w:t>Replication Model with Similar Trades</w:t>
      </w:r>
      <w:r w:rsidRPr="006F5742">
        <w:t>:</w:t>
      </w:r>
      <w:r>
        <w:t xml:space="preserve"> This is a special case where the original trade is approximated using a similar trade (or trades) with the same NPV and very close risks. One interesting example is an European or a Bermudan option to enter into a physically settled swap that can be easily replicated by the corresponding swap plus a European or a Bermudan option to cancel the swap.</w:t>
      </w:r>
    </w:p>
    <w:p w:rsidR="006F5742" w:rsidRDefault="006F5742" w:rsidP="00D83552">
      <w:pPr>
        <w:pStyle w:val="ListParagraph"/>
        <w:numPr>
          <w:ilvl w:val="0"/>
          <w:numId w:val="165"/>
        </w:numPr>
        <w:spacing w:after="200" w:line="360" w:lineRule="auto"/>
      </w:pPr>
      <w:r>
        <w:rPr>
          <w:u w:val="single"/>
        </w:rPr>
        <w:t>Testing, Monitoring, and Conservative Measures</w:t>
      </w:r>
      <w:r w:rsidRPr="006F5742">
        <w:t>:</w:t>
      </w:r>
      <w:r>
        <w:t xml:space="preserve"> The validity of the replication model can be confirmed with Martingale testing, bench-marking against accurate models, and back-testing after production release when enough data is accumulated. Some testing must be included in the periodic ongoing monitoring. Optionally the DVA can be zeroed out for further conservativeness.</w:t>
      </w:r>
    </w:p>
    <w:p w:rsidR="006F5742" w:rsidRDefault="006F5742" w:rsidP="006F5742">
      <w:pPr>
        <w:spacing w:after="200" w:line="360" w:lineRule="auto"/>
      </w:pPr>
    </w:p>
    <w:p w:rsidR="006F5742" w:rsidRDefault="006F5742" w:rsidP="006F5742">
      <w:pPr>
        <w:spacing w:after="200" w:line="360" w:lineRule="auto"/>
      </w:pPr>
    </w:p>
    <w:p w:rsidR="006F5742" w:rsidRPr="006F5742" w:rsidRDefault="006F5742" w:rsidP="006F5742">
      <w:pPr>
        <w:spacing w:after="200" w:line="360" w:lineRule="auto"/>
        <w:rPr>
          <w:b/>
          <w:sz w:val="28"/>
          <w:szCs w:val="28"/>
        </w:rPr>
      </w:pPr>
      <w:r w:rsidRPr="006F5742">
        <w:rPr>
          <w:b/>
          <w:sz w:val="28"/>
          <w:szCs w:val="28"/>
        </w:rPr>
        <w:t>Proxy Pricer</w:t>
      </w:r>
    </w:p>
    <w:p w:rsidR="006F5742" w:rsidRDefault="006F5742" w:rsidP="006F5742">
      <w:pPr>
        <w:spacing w:after="200" w:line="360" w:lineRule="auto"/>
      </w:pPr>
    </w:p>
    <w:p w:rsidR="006F5742" w:rsidRDefault="006F5742" w:rsidP="00D83552">
      <w:pPr>
        <w:pStyle w:val="ListParagraph"/>
        <w:numPr>
          <w:ilvl w:val="0"/>
          <w:numId w:val="166"/>
        </w:numPr>
        <w:spacing w:after="200" w:line="360" w:lineRule="auto"/>
      </w:pPr>
      <w:r w:rsidRPr="006F5742">
        <w:rPr>
          <w:u w:val="single"/>
        </w:rPr>
        <w:t>Motivation behind the Proxy Pricer</w:t>
      </w:r>
      <w:r>
        <w:t>: While the models described above will capture the overwhelming majority of the risks/CVA of the trades, there will be trades with relatively significant risks/CVA that cannot be priced by the models and other approximations (for example, due to significant modeling and technology challenges), in which case DRIP will fall back to the following proxy pricers/approximations.</w:t>
      </w:r>
    </w:p>
    <w:p w:rsidR="006D6285" w:rsidRDefault="006D6285" w:rsidP="00D83552">
      <w:pPr>
        <w:pStyle w:val="ListParagraph"/>
        <w:numPr>
          <w:ilvl w:val="0"/>
          <w:numId w:val="166"/>
        </w:numPr>
        <w:spacing w:after="200" w:line="360" w:lineRule="auto"/>
      </w:pPr>
      <w:r>
        <w:rPr>
          <w:u w:val="single"/>
        </w:rPr>
        <w:t>Choice of the Proxy Pricer</w:t>
      </w:r>
      <w:r w:rsidRPr="006D6285">
        <w:t>:</w:t>
      </w:r>
      <w:r>
        <w:t xml:space="preserve"> Additional conservative measures (described later) are applied to these trades. Depending on the availability of the data and the system limitations, a par</w:t>
      </w:r>
      <w:r w:rsidR="00D16802">
        <w:t>ti</w:t>
      </w:r>
      <w:r>
        <w:t>cular proxy pricer will be chosen for a given trade.</w:t>
      </w:r>
    </w:p>
    <w:p w:rsidR="00511FD3" w:rsidRDefault="00511FD3" w:rsidP="00D83552">
      <w:pPr>
        <w:pStyle w:val="ListParagraph"/>
        <w:numPr>
          <w:ilvl w:val="0"/>
          <w:numId w:val="166"/>
        </w:numPr>
        <w:spacing w:after="200" w:line="360" w:lineRule="auto"/>
      </w:pPr>
      <w:r>
        <w:rPr>
          <w:u w:val="single"/>
        </w:rPr>
        <w:t>Testing for Measure Conservativeness</w:t>
      </w:r>
      <w:r w:rsidRPr="00511FD3">
        <w:t>:</w:t>
      </w:r>
      <w:r>
        <w:t xml:space="preserve"> Benchmark testing must be performed against more accurate implementation in selected trades, as well as back-to-back testing to demonstrate the conservativeness.</w:t>
      </w:r>
    </w:p>
    <w:p w:rsidR="00511FD3" w:rsidRDefault="00511FD3" w:rsidP="00D83552">
      <w:pPr>
        <w:pStyle w:val="ListParagraph"/>
        <w:numPr>
          <w:ilvl w:val="0"/>
          <w:numId w:val="166"/>
        </w:numPr>
        <w:spacing w:after="200" w:line="360" w:lineRule="auto"/>
      </w:pPr>
      <w:r>
        <w:rPr>
          <w:u w:val="single"/>
        </w:rPr>
        <w:t>Suitable Proxy Pricer Methodology Candidates</w:t>
      </w:r>
      <w:r w:rsidRPr="00511FD3">
        <w:t>:</w:t>
      </w:r>
      <w:r>
        <w:t xml:space="preserve"> Good proxy pricer candidates include:</w:t>
      </w:r>
    </w:p>
    <w:p w:rsidR="00511FD3" w:rsidRDefault="00511FD3" w:rsidP="00D83552">
      <w:pPr>
        <w:pStyle w:val="ListParagraph"/>
        <w:numPr>
          <w:ilvl w:val="1"/>
          <w:numId w:val="166"/>
        </w:numPr>
        <w:spacing w:after="200" w:line="360" w:lineRule="auto"/>
      </w:pPr>
      <w:r>
        <w:t>Properly calibrated RFM (Risk Factor Methodology)</w:t>
      </w:r>
    </w:p>
    <w:p w:rsidR="00511FD3" w:rsidRDefault="00511FD3" w:rsidP="00D83552">
      <w:pPr>
        <w:pStyle w:val="ListParagraph"/>
        <w:numPr>
          <w:ilvl w:val="1"/>
          <w:numId w:val="166"/>
        </w:numPr>
        <w:spacing w:after="200" w:line="360" w:lineRule="auto"/>
      </w:pPr>
      <w:r>
        <w:t>Basel SA-CCR (the standardized approach for measuring counter party credit risk exposures), see Bank for International Settlements (2014)</w:t>
      </w:r>
    </w:p>
    <w:p w:rsidR="00511FD3" w:rsidRDefault="00511FD3" w:rsidP="00D83552">
      <w:pPr>
        <w:pStyle w:val="ListParagraph"/>
        <w:numPr>
          <w:ilvl w:val="1"/>
          <w:numId w:val="166"/>
        </w:numPr>
        <w:spacing w:after="200" w:line="360" w:lineRule="auto"/>
      </w:pPr>
      <w:r>
        <w:t>ISDA SIMM (Standard Initi</w:t>
      </w:r>
      <w:r w:rsidR="00D16802">
        <w:t>al Margin Model), see ISDA (2017</w:t>
      </w:r>
      <w:r>
        <w:t>) for collateralized cases.</w:t>
      </w:r>
    </w:p>
    <w:p w:rsidR="00511FD3" w:rsidRDefault="00511FD3" w:rsidP="00D83552">
      <w:pPr>
        <w:pStyle w:val="ListParagraph"/>
        <w:numPr>
          <w:ilvl w:val="0"/>
          <w:numId w:val="166"/>
        </w:numPr>
        <w:spacing w:after="200" w:line="360" w:lineRule="auto"/>
      </w:pPr>
      <w:r>
        <w:rPr>
          <w:u w:val="single"/>
        </w:rPr>
        <w:t>The Fall Back Proxy Pricer</w:t>
      </w:r>
      <w:r>
        <w:t>: Before the above (and other) proxy pricers are formulated, one further falls back to the following proxy pricer methodologies. The conservativeness needs to be demonstrated and monitored via simplified back-testing, as outlined a few sections below.</w:t>
      </w:r>
    </w:p>
    <w:p w:rsidR="009F11EF" w:rsidRDefault="009F11EF" w:rsidP="009F11EF">
      <w:pPr>
        <w:spacing w:after="200" w:line="360" w:lineRule="auto"/>
      </w:pPr>
    </w:p>
    <w:p w:rsidR="009F11EF" w:rsidRDefault="009F11EF" w:rsidP="009F11EF">
      <w:pPr>
        <w:spacing w:after="200" w:line="360" w:lineRule="auto"/>
      </w:pPr>
    </w:p>
    <w:p w:rsidR="009F11EF" w:rsidRPr="009F11EF" w:rsidRDefault="009F11EF" w:rsidP="009F11EF">
      <w:pPr>
        <w:spacing w:after="200" w:line="360" w:lineRule="auto"/>
        <w:rPr>
          <w:b/>
          <w:sz w:val="28"/>
          <w:szCs w:val="28"/>
        </w:rPr>
      </w:pPr>
      <w:r w:rsidRPr="009F11EF">
        <w:rPr>
          <w:b/>
          <w:sz w:val="28"/>
          <w:szCs w:val="28"/>
        </w:rPr>
        <w:t>Basel Notional Conversion Factor Based Proxy Pricer</w:t>
      </w:r>
    </w:p>
    <w:p w:rsidR="009F11EF" w:rsidRDefault="009F11EF" w:rsidP="009F11EF">
      <w:pPr>
        <w:spacing w:after="200" w:line="360" w:lineRule="auto"/>
      </w:pPr>
    </w:p>
    <w:p w:rsidR="009F11EF" w:rsidRDefault="009F11EF" w:rsidP="00D83552">
      <w:pPr>
        <w:pStyle w:val="ListParagraph"/>
        <w:numPr>
          <w:ilvl w:val="0"/>
          <w:numId w:val="168"/>
        </w:numPr>
        <w:spacing w:after="200" w:line="360" w:lineRule="auto"/>
      </w:pPr>
      <w:r w:rsidRPr="009F11EF">
        <w:rPr>
          <w:u w:val="single"/>
        </w:rPr>
        <w:t>Basel Notional Conversion Factor Scheme</w:t>
      </w:r>
      <w:r>
        <w:t>: The essence of the Basel notional conversion factor based proxy pricer is to approximate the add-on uncollateralized future positive trade exposure at a given time with its notional at that time, multiplied by the conversion factor as shown in the table below specified by Basel, see tables 4 and 5 in Bank for International Settlements (2005).</w:t>
      </w:r>
    </w:p>
    <w:p w:rsidR="009F11EF" w:rsidRDefault="009F11EF" w:rsidP="00D83552">
      <w:pPr>
        <w:pStyle w:val="ListParagraph"/>
        <w:numPr>
          <w:ilvl w:val="0"/>
          <w:numId w:val="168"/>
        </w:numPr>
        <w:spacing w:after="200" w:line="360" w:lineRule="auto"/>
      </w:pPr>
      <w:r>
        <w:rPr>
          <w:u w:val="single"/>
        </w:rPr>
        <w:t>Basel Notional Conversion Factor Table</w:t>
      </w:r>
      <w:r w:rsidRPr="009F11EF">
        <w:t>:</w:t>
      </w:r>
      <w:r>
        <w:t xml:space="preserve"> </w:t>
      </w:r>
      <w:r w:rsidR="00B7598E">
        <w:t xml:space="preserve">Conversion Factor Matrix </w:t>
      </w:r>
      <w:r w:rsidR="00B8619A">
        <w:t>for OTC Derivatives Contracts</w:t>
      </w:r>
    </w:p>
    <w:tbl>
      <w:tblPr>
        <w:tblStyle w:val="TableGrid"/>
        <w:tblW w:w="0" w:type="auto"/>
        <w:tblLook w:val="04A0" w:firstRow="1" w:lastRow="0" w:firstColumn="1" w:lastColumn="0" w:noHBand="0" w:noVBand="1"/>
      </w:tblPr>
      <w:tblGrid>
        <w:gridCol w:w="2394"/>
        <w:gridCol w:w="2394"/>
        <w:gridCol w:w="2394"/>
        <w:gridCol w:w="2394"/>
      </w:tblGrid>
      <w:tr w:rsidR="009F11EF" w:rsidTr="009F11EF">
        <w:tc>
          <w:tcPr>
            <w:tcW w:w="2394" w:type="dxa"/>
            <w:vAlign w:val="center"/>
          </w:tcPr>
          <w:p w:rsidR="009F11EF" w:rsidRPr="009F11EF" w:rsidRDefault="009F11EF" w:rsidP="009F11EF">
            <w:pPr>
              <w:spacing w:after="200" w:line="360" w:lineRule="auto"/>
              <w:jc w:val="center"/>
              <w:rPr>
                <w:b/>
              </w:rPr>
            </w:pPr>
            <w:r>
              <w:rPr>
                <w:b/>
              </w:rPr>
              <w:t>Remaining Maturity</w:t>
            </w:r>
          </w:p>
        </w:tc>
        <w:tc>
          <w:tcPr>
            <w:tcW w:w="2394" w:type="dxa"/>
            <w:vAlign w:val="center"/>
          </w:tcPr>
          <w:p w:rsidR="009F11EF" w:rsidRDefault="009F11EF" w:rsidP="009F11EF">
            <w:pPr>
              <w:spacing w:after="200" w:line="360" w:lineRule="auto"/>
              <w:jc w:val="center"/>
            </w:pPr>
            <w:r>
              <w:t>One Year or Less</w:t>
            </w:r>
          </w:p>
        </w:tc>
        <w:tc>
          <w:tcPr>
            <w:tcW w:w="2394" w:type="dxa"/>
            <w:vAlign w:val="center"/>
          </w:tcPr>
          <w:p w:rsidR="009F11EF" w:rsidRDefault="009F11EF" w:rsidP="009F11EF">
            <w:pPr>
              <w:spacing w:after="200" w:line="360" w:lineRule="auto"/>
              <w:jc w:val="center"/>
            </w:pPr>
            <w:r>
              <w:t>Over One Year to Five Years</w:t>
            </w:r>
          </w:p>
        </w:tc>
        <w:tc>
          <w:tcPr>
            <w:tcW w:w="2394" w:type="dxa"/>
            <w:vAlign w:val="center"/>
          </w:tcPr>
          <w:p w:rsidR="009F11EF" w:rsidRDefault="009F11EF" w:rsidP="009F11EF">
            <w:pPr>
              <w:spacing w:after="200" w:line="360" w:lineRule="auto"/>
              <w:jc w:val="center"/>
            </w:pPr>
            <w:r>
              <w:t>Over Five Years</w:t>
            </w:r>
          </w:p>
        </w:tc>
      </w:tr>
      <w:tr w:rsidR="009F11EF" w:rsidTr="009F11EF">
        <w:tc>
          <w:tcPr>
            <w:tcW w:w="2394" w:type="dxa"/>
            <w:vAlign w:val="center"/>
          </w:tcPr>
          <w:p w:rsidR="009F11EF" w:rsidRPr="009F11EF" w:rsidRDefault="009F11EF" w:rsidP="009F11EF">
            <w:pPr>
              <w:spacing w:after="200" w:line="360" w:lineRule="auto"/>
              <w:jc w:val="center"/>
              <w:rPr>
                <w:b/>
              </w:rPr>
            </w:pPr>
            <w:r>
              <w:rPr>
                <w:b/>
              </w:rPr>
              <w:t>Interest Rate</w:t>
            </w:r>
          </w:p>
        </w:tc>
        <w:tc>
          <w:tcPr>
            <w:tcW w:w="2394" w:type="dxa"/>
            <w:vAlign w:val="center"/>
          </w:tcPr>
          <w:p w:rsidR="009F11EF" w:rsidRDefault="009F11EF" w:rsidP="009F11EF">
            <w:pPr>
              <w:spacing w:after="200" w:line="360" w:lineRule="auto"/>
              <w:jc w:val="center"/>
            </w:pPr>
            <w:r>
              <w:t>0.0%</w:t>
            </w:r>
          </w:p>
        </w:tc>
        <w:tc>
          <w:tcPr>
            <w:tcW w:w="2394" w:type="dxa"/>
            <w:vAlign w:val="center"/>
          </w:tcPr>
          <w:p w:rsidR="009F11EF" w:rsidRDefault="009F11EF" w:rsidP="009F11EF">
            <w:pPr>
              <w:spacing w:after="200" w:line="360" w:lineRule="auto"/>
              <w:jc w:val="center"/>
            </w:pPr>
            <w:r>
              <w:t>0.5%</w:t>
            </w:r>
          </w:p>
        </w:tc>
        <w:tc>
          <w:tcPr>
            <w:tcW w:w="2394" w:type="dxa"/>
            <w:vAlign w:val="center"/>
          </w:tcPr>
          <w:p w:rsidR="009F11EF" w:rsidRDefault="009F11EF" w:rsidP="009F11EF">
            <w:pPr>
              <w:spacing w:after="200" w:line="360" w:lineRule="auto"/>
              <w:jc w:val="center"/>
            </w:pPr>
            <w:r>
              <w:t>1.5%</w:t>
            </w:r>
          </w:p>
        </w:tc>
      </w:tr>
      <w:tr w:rsidR="009F11EF" w:rsidTr="009F11EF">
        <w:tc>
          <w:tcPr>
            <w:tcW w:w="2394" w:type="dxa"/>
            <w:vAlign w:val="center"/>
          </w:tcPr>
          <w:p w:rsidR="009F11EF" w:rsidRPr="009F11EF" w:rsidRDefault="009F11EF" w:rsidP="009F11EF">
            <w:pPr>
              <w:spacing w:after="200" w:line="360" w:lineRule="auto"/>
              <w:jc w:val="center"/>
              <w:rPr>
                <w:b/>
              </w:rPr>
            </w:pPr>
            <w:r>
              <w:rPr>
                <w:b/>
              </w:rPr>
              <w:t>Foreign Exchange and Gold</w:t>
            </w:r>
          </w:p>
        </w:tc>
        <w:tc>
          <w:tcPr>
            <w:tcW w:w="2394" w:type="dxa"/>
            <w:vAlign w:val="center"/>
          </w:tcPr>
          <w:p w:rsidR="009F11EF" w:rsidRDefault="009F11EF" w:rsidP="009F11EF">
            <w:pPr>
              <w:spacing w:after="200" w:line="360" w:lineRule="auto"/>
              <w:jc w:val="center"/>
            </w:pPr>
            <w:r>
              <w:t>1.0%</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7.5%</w:t>
            </w:r>
          </w:p>
        </w:tc>
      </w:tr>
      <w:tr w:rsidR="009F11EF" w:rsidTr="009F11EF">
        <w:tc>
          <w:tcPr>
            <w:tcW w:w="2394" w:type="dxa"/>
            <w:vAlign w:val="center"/>
          </w:tcPr>
          <w:p w:rsidR="009F11EF" w:rsidRPr="009F11EF" w:rsidRDefault="009F11EF" w:rsidP="009F11EF">
            <w:pPr>
              <w:spacing w:after="200" w:line="360" w:lineRule="auto"/>
              <w:jc w:val="center"/>
              <w:rPr>
                <w:b/>
              </w:rPr>
            </w:pPr>
            <w:r>
              <w:rPr>
                <w:b/>
              </w:rPr>
              <w:t>Credit (Investment Grade Reference Obligor)</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5.0%</w:t>
            </w:r>
          </w:p>
        </w:tc>
      </w:tr>
      <w:tr w:rsidR="009F11EF" w:rsidTr="009F11EF">
        <w:tc>
          <w:tcPr>
            <w:tcW w:w="2394" w:type="dxa"/>
            <w:vAlign w:val="center"/>
          </w:tcPr>
          <w:p w:rsidR="009F11EF" w:rsidRPr="009F11EF" w:rsidRDefault="009F11EF" w:rsidP="009F11EF">
            <w:pPr>
              <w:spacing w:after="200" w:line="360" w:lineRule="auto"/>
              <w:jc w:val="center"/>
              <w:rPr>
                <w:b/>
              </w:rPr>
            </w:pPr>
            <w:r>
              <w:rPr>
                <w:b/>
              </w:rPr>
              <w:t>Credit (non-investment Grade Reference Obligor)</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10.0%</w:t>
            </w:r>
          </w:p>
        </w:tc>
      </w:tr>
      <w:tr w:rsidR="009F11EF" w:rsidTr="009F11EF">
        <w:tc>
          <w:tcPr>
            <w:tcW w:w="2394" w:type="dxa"/>
            <w:vAlign w:val="center"/>
          </w:tcPr>
          <w:p w:rsidR="009F11EF" w:rsidRPr="009F11EF" w:rsidRDefault="009F11EF" w:rsidP="009F11EF">
            <w:pPr>
              <w:spacing w:after="200" w:line="360" w:lineRule="auto"/>
              <w:jc w:val="center"/>
              <w:rPr>
                <w:b/>
              </w:rPr>
            </w:pPr>
            <w:r>
              <w:rPr>
                <w:b/>
              </w:rPr>
              <w:t>Equity</w:t>
            </w:r>
          </w:p>
        </w:tc>
        <w:tc>
          <w:tcPr>
            <w:tcW w:w="2394" w:type="dxa"/>
            <w:vAlign w:val="center"/>
          </w:tcPr>
          <w:p w:rsidR="009F11EF" w:rsidRDefault="009F11EF" w:rsidP="009F11EF">
            <w:pPr>
              <w:spacing w:after="200" w:line="360" w:lineRule="auto"/>
              <w:jc w:val="center"/>
            </w:pPr>
            <w:r>
              <w:t>6.0%</w:t>
            </w:r>
          </w:p>
        </w:tc>
        <w:tc>
          <w:tcPr>
            <w:tcW w:w="2394" w:type="dxa"/>
            <w:vAlign w:val="center"/>
          </w:tcPr>
          <w:p w:rsidR="009F11EF" w:rsidRDefault="009F11EF" w:rsidP="009F11EF">
            <w:pPr>
              <w:spacing w:after="200" w:line="360" w:lineRule="auto"/>
              <w:jc w:val="center"/>
            </w:pPr>
            <w:r>
              <w:t>8.0%</w:t>
            </w:r>
          </w:p>
        </w:tc>
        <w:tc>
          <w:tcPr>
            <w:tcW w:w="2394" w:type="dxa"/>
            <w:vAlign w:val="center"/>
          </w:tcPr>
          <w:p w:rsidR="009F11EF" w:rsidRDefault="009F11EF" w:rsidP="009F11EF">
            <w:pPr>
              <w:spacing w:after="200" w:line="360" w:lineRule="auto"/>
              <w:jc w:val="center"/>
            </w:pPr>
            <w:r>
              <w:t>10.0%</w:t>
            </w:r>
          </w:p>
        </w:tc>
      </w:tr>
      <w:tr w:rsidR="009F11EF" w:rsidTr="009F11EF">
        <w:tc>
          <w:tcPr>
            <w:tcW w:w="2394" w:type="dxa"/>
            <w:vAlign w:val="center"/>
          </w:tcPr>
          <w:p w:rsidR="009F11EF" w:rsidRPr="009F11EF" w:rsidRDefault="009F11EF" w:rsidP="009F11EF">
            <w:pPr>
              <w:spacing w:after="200" w:line="360" w:lineRule="auto"/>
              <w:jc w:val="center"/>
              <w:rPr>
                <w:b/>
              </w:rPr>
            </w:pPr>
            <w:r>
              <w:rPr>
                <w:b/>
              </w:rPr>
              <w:t>Precious Metals (Except Gold)</w:t>
            </w:r>
          </w:p>
        </w:tc>
        <w:tc>
          <w:tcPr>
            <w:tcW w:w="2394" w:type="dxa"/>
            <w:vAlign w:val="center"/>
          </w:tcPr>
          <w:p w:rsidR="009F11EF" w:rsidRDefault="009F11EF" w:rsidP="009F11EF">
            <w:pPr>
              <w:spacing w:after="200" w:line="360" w:lineRule="auto"/>
              <w:jc w:val="center"/>
            </w:pPr>
            <w:r>
              <w:t>7.0%</w:t>
            </w:r>
          </w:p>
        </w:tc>
        <w:tc>
          <w:tcPr>
            <w:tcW w:w="2394" w:type="dxa"/>
            <w:vAlign w:val="center"/>
          </w:tcPr>
          <w:p w:rsidR="009F11EF" w:rsidRDefault="009F11EF" w:rsidP="009F11EF">
            <w:pPr>
              <w:spacing w:after="200" w:line="360" w:lineRule="auto"/>
              <w:jc w:val="center"/>
            </w:pPr>
            <w:r>
              <w:t>7.0%</w:t>
            </w:r>
          </w:p>
        </w:tc>
        <w:tc>
          <w:tcPr>
            <w:tcW w:w="2394" w:type="dxa"/>
            <w:vAlign w:val="center"/>
          </w:tcPr>
          <w:p w:rsidR="009F11EF" w:rsidRDefault="009F11EF" w:rsidP="009F11EF">
            <w:pPr>
              <w:spacing w:after="200" w:line="360" w:lineRule="auto"/>
              <w:jc w:val="center"/>
            </w:pPr>
            <w:r>
              <w:t>7.0%</w:t>
            </w:r>
          </w:p>
        </w:tc>
      </w:tr>
      <w:tr w:rsidR="009F11EF" w:rsidTr="009F11EF">
        <w:tc>
          <w:tcPr>
            <w:tcW w:w="2394" w:type="dxa"/>
            <w:vAlign w:val="center"/>
          </w:tcPr>
          <w:p w:rsidR="009F11EF" w:rsidRPr="009F11EF" w:rsidRDefault="009F11EF" w:rsidP="009F11EF">
            <w:pPr>
              <w:spacing w:after="200" w:line="360" w:lineRule="auto"/>
              <w:jc w:val="center"/>
              <w:rPr>
                <w:b/>
              </w:rPr>
            </w:pPr>
            <w:r>
              <w:rPr>
                <w:b/>
              </w:rPr>
              <w:t>Other</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12.0%</w:t>
            </w:r>
          </w:p>
        </w:tc>
        <w:tc>
          <w:tcPr>
            <w:tcW w:w="2394" w:type="dxa"/>
            <w:vAlign w:val="center"/>
          </w:tcPr>
          <w:p w:rsidR="009F11EF" w:rsidRDefault="009F11EF" w:rsidP="009F11EF">
            <w:pPr>
              <w:spacing w:after="200" w:line="360" w:lineRule="auto"/>
              <w:jc w:val="center"/>
            </w:pPr>
            <w:r>
              <w:t>15.0%</w:t>
            </w:r>
          </w:p>
        </w:tc>
      </w:tr>
    </w:tbl>
    <w:p w:rsidR="009F11EF" w:rsidRDefault="009F11EF" w:rsidP="009F11EF">
      <w:pPr>
        <w:spacing w:after="200" w:line="360" w:lineRule="auto"/>
      </w:pPr>
    </w:p>
    <w:p w:rsidR="009B350D" w:rsidRDefault="00B8619A" w:rsidP="00D83552">
      <w:pPr>
        <w:pStyle w:val="ListParagraph"/>
        <w:numPr>
          <w:ilvl w:val="0"/>
          <w:numId w:val="168"/>
        </w:numPr>
        <w:spacing w:after="200" w:line="360" w:lineRule="auto"/>
      </w:pPr>
      <w:r w:rsidRPr="00B8619A">
        <w:rPr>
          <w:u w:val="single"/>
        </w:rPr>
        <w:lastRenderedPageBreak/>
        <w:t>Basel Proxy Positive Exposure Expression</w:t>
      </w:r>
      <w:r>
        <w:t>: With this proxy pricer methodology the time-</w:t>
      </w:r>
      <m:oMath>
        <m:r>
          <w:rPr>
            <w:rFonts w:ascii="Cambria Math" w:hAnsi="Cambria Math"/>
          </w:rPr>
          <m:t>t</m:t>
        </m:r>
      </m:oMath>
      <w:r>
        <w:t xml:space="preserv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netting group is approximated by</w:t>
      </w:r>
    </w:p>
    <w:p w:rsidR="009B350D" w:rsidRDefault="009B350D" w:rsidP="009B350D">
      <w:pPr>
        <w:pStyle w:val="ListParagraph"/>
        <w:spacing w:after="200" w:line="360" w:lineRule="auto"/>
        <w:ind w:left="360"/>
        <w:rPr>
          <w:u w:val="single"/>
        </w:rPr>
      </w:pPr>
    </w:p>
    <w:p w:rsidR="009B350D" w:rsidRDefault="005D6A21"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oMath>
      </m:oMathPara>
    </w:p>
    <w:p w:rsidR="009B350D" w:rsidRDefault="009B350D" w:rsidP="009B350D">
      <w:pPr>
        <w:pStyle w:val="ListParagraph"/>
        <w:spacing w:after="200" w:line="360" w:lineRule="auto"/>
        <w:ind w:left="360"/>
      </w:pPr>
    </w:p>
    <w:p w:rsidR="00B8619A" w:rsidRDefault="00B8619A" w:rsidP="009B350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are the time-</w:t>
      </w:r>
      <m:oMath>
        <m:r>
          <w:rPr>
            <w:rFonts w:ascii="Cambria Math" w:hAnsi="Cambria Math"/>
          </w:rPr>
          <m:t>0</m:t>
        </m:r>
      </m:oMath>
      <w:r>
        <w:t xml:space="preserve"> dollar NPV and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dollar notional of the trade, </w:t>
      </w:r>
      <m:oMath>
        <m:r>
          <w:rPr>
            <w:rFonts w:ascii="Cambria Math" w:hAnsi="Cambria Math"/>
          </w:rPr>
          <m:t>k</m:t>
        </m:r>
      </m:oMath>
      <w:r>
        <w:t xml:space="preserve"> is the conversion factor from table 2, and </w:t>
      </w:r>
      <m:oMath>
        <m:r>
          <w:rPr>
            <w:rFonts w:ascii="Cambria Math" w:hAnsi="Cambria Math"/>
          </w:rPr>
          <m:t>α</m:t>
        </m:r>
      </m:oMath>
      <w:r>
        <w:t xml:space="preserve"> is set by default to one – and can be set to </w:t>
      </w:r>
      <m:oMath>
        <m:r>
          <w:rPr>
            <w:rFonts w:ascii="Cambria Math" w:hAnsi="Cambria Math"/>
          </w:rPr>
          <m:t>1.4</m:t>
        </m:r>
      </m:oMath>
      <w:r>
        <w:t xml:space="preserve"> for further conservativeness.</w:t>
      </w:r>
    </w:p>
    <w:p w:rsidR="009B350D" w:rsidRDefault="0034393C" w:rsidP="00D83552">
      <w:pPr>
        <w:pStyle w:val="ListParagraph"/>
        <w:numPr>
          <w:ilvl w:val="0"/>
          <w:numId w:val="168"/>
        </w:numPr>
        <w:spacing w:after="200" w:line="360" w:lineRule="auto"/>
      </w:pPr>
      <w:r>
        <w:rPr>
          <w:u w:val="single"/>
        </w:rPr>
        <w:t>Forward Time Funding Numeraire Discounting</w:t>
      </w:r>
      <w:r w:rsidRPr="0034393C">
        <w:t>:</w:t>
      </w:r>
    </w:p>
    <w:p w:rsidR="009B350D" w:rsidRDefault="009B350D" w:rsidP="009B350D">
      <w:pPr>
        <w:pStyle w:val="ListParagraph"/>
        <w:spacing w:after="200" w:line="360" w:lineRule="auto"/>
        <w:ind w:left="360"/>
        <w:rPr>
          <w:u w:val="single"/>
        </w:rPr>
      </w:pPr>
    </w:p>
    <w:p w:rsidR="009B350D" w:rsidRDefault="005D6A21"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 0</m:t>
                  </m:r>
                </m:e>
              </m:d>
            </m:e>
          </m:func>
        </m:oMath>
      </m:oMathPara>
    </w:p>
    <w:p w:rsidR="009B350D" w:rsidRDefault="009B350D" w:rsidP="009B350D">
      <w:pPr>
        <w:pStyle w:val="ListParagraph"/>
        <w:spacing w:after="200" w:line="360" w:lineRule="auto"/>
        <w:ind w:left="360"/>
      </w:pPr>
    </w:p>
    <w:p w:rsidR="009B350D" w:rsidRDefault="00113BC5" w:rsidP="009B350D">
      <w:pPr>
        <w:pStyle w:val="ListParagraph"/>
        <w:spacing w:after="200" w:line="360" w:lineRule="auto"/>
        <w:ind w:left="360"/>
      </w:pPr>
      <w:r>
        <w:t xml:space="preserve">is the time at the beginning of the total default window. The same as before, </w:t>
      </w:r>
      <m:oMath>
        <m:r>
          <w:rPr>
            <w:rFonts w:ascii="Cambria Math" w:hAnsi="Cambria Math"/>
          </w:rPr>
          <m:t>β</m:t>
        </m:r>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money-market account with</w:t>
      </w:r>
    </w:p>
    <w:p w:rsidR="009B350D" w:rsidRDefault="009B350D" w:rsidP="009B350D">
      <w:pPr>
        <w:pStyle w:val="ListParagraph"/>
        <w:spacing w:after="200" w:line="360" w:lineRule="auto"/>
        <w:ind w:left="360"/>
      </w:pPr>
    </w:p>
    <w:p w:rsidR="009B350D" w:rsidRDefault="0034393C" w:rsidP="009B350D">
      <w:pPr>
        <w:pStyle w:val="ListParagraph"/>
        <w:spacing w:after="200"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0</m:t>
              </m:r>
            </m:e>
          </m:d>
          <m:r>
            <w:rPr>
              <w:rFonts w:ascii="Cambria Math" w:hAnsi="Cambria Math"/>
            </w:rPr>
            <m:t>=1</m:t>
          </m:r>
        </m:oMath>
      </m:oMathPara>
    </w:p>
    <w:p w:rsidR="009B350D" w:rsidRDefault="009B350D" w:rsidP="009B350D">
      <w:pPr>
        <w:pStyle w:val="ListParagraph"/>
        <w:spacing w:after="200" w:line="360" w:lineRule="auto"/>
        <w:ind w:left="360"/>
      </w:pPr>
    </w:p>
    <w:p w:rsidR="0034393C" w:rsidRDefault="00113BC5" w:rsidP="009B350D">
      <w:pPr>
        <w:pStyle w:val="ListParagraph"/>
        <w:spacing w:after="200" w:line="360" w:lineRule="auto"/>
        <w:ind w:left="360"/>
      </w:pPr>
      <w:r>
        <w:t>that is consistent with the discounting of the underlying uncollateralized trades.</w:t>
      </w:r>
    </w:p>
    <w:p w:rsidR="001F2F4D" w:rsidRDefault="001F2F4D" w:rsidP="00D83552">
      <w:pPr>
        <w:pStyle w:val="ListParagraph"/>
        <w:numPr>
          <w:ilvl w:val="0"/>
          <w:numId w:val="168"/>
        </w:numPr>
        <w:spacing w:after="200" w:line="360" w:lineRule="auto"/>
      </w:pPr>
      <w:r>
        <w:rPr>
          <w:u w:val="single"/>
        </w:rPr>
        <w:t>Volatility of the Forward Exposure</w:t>
      </w:r>
      <w:r w:rsidRPr="001F2F4D">
        <w:t>:</w:t>
      </w:r>
      <w:r>
        <w:t xml:space="preserve"> By default </w:t>
      </w:r>
      <m:oMath>
        <m:r>
          <w:rPr>
            <w:rFonts w:ascii="Cambria Math" w:hAnsi="Cambria Math"/>
          </w:rPr>
          <m:t>k</m:t>
        </m:r>
      </m:oMath>
      <w:r>
        <w:t xml:space="preserve"> is set to </w:t>
      </w:r>
      <m:oMath>
        <m:r>
          <w:rPr>
            <w:rFonts w:ascii="Cambria Math" w:hAnsi="Cambria Math"/>
          </w:rPr>
          <m:t>15%</m:t>
        </m:r>
      </m:oMath>
      <w:r>
        <w:t xml:space="preserve"> - the most conservative conversion factor – unless the conservativeness of the other conversion factors can be validated using the simplified back-testing outlined earlier.</w:t>
      </w:r>
    </w:p>
    <w:p w:rsidR="003F3244" w:rsidRDefault="003F3244" w:rsidP="00D83552">
      <w:pPr>
        <w:pStyle w:val="ListParagraph"/>
        <w:numPr>
          <w:ilvl w:val="0"/>
          <w:numId w:val="168"/>
        </w:numPr>
        <w:spacing w:after="200" w:line="360" w:lineRule="auto"/>
      </w:pPr>
      <w:r>
        <w:rPr>
          <w:u w:val="single"/>
        </w:rPr>
        <w:t>Diffusion Component of the Positive Exposure</w:t>
      </w:r>
      <w:r w:rsidRPr="003F3244">
        <w:t>:</w:t>
      </w:r>
      <w:r>
        <w:t xml:space="preserve"> The </w:t>
      </w:r>
      <m:oMath>
        <m:rad>
          <m:radPr>
            <m:degHide m:val="1"/>
            <m:ctrlPr>
              <w:rPr>
                <w:rFonts w:ascii="Cambria Math" w:hAnsi="Cambria Math"/>
                <w:i/>
              </w:rPr>
            </m:ctrlPr>
          </m:radPr>
          <m:deg/>
          <m:e>
            <m:r>
              <w:rPr>
                <w:rFonts w:ascii="Cambria Math" w:hAnsi="Cambria Math"/>
              </w:rPr>
              <m:t>t</m:t>
            </m:r>
          </m:e>
        </m:rad>
      </m:oMath>
      <w:r>
        <w:t xml:space="preserve"> in the above formula comes from the fact that the conversion factor is used to estimate the exposure or variation of future NPV of an OTC distribution in a one-year time horizon (Federal Register (2013)), and the assumption of the normal distribution that the exposure would grow approximately proportional to </w:t>
      </w:r>
      <m:oMath>
        <m:rad>
          <m:radPr>
            <m:degHide m:val="1"/>
            <m:ctrlPr>
              <w:rPr>
                <w:rFonts w:ascii="Cambria Math" w:hAnsi="Cambria Math"/>
                <w:i/>
              </w:rPr>
            </m:ctrlPr>
          </m:radPr>
          <m:deg/>
          <m:e>
            <m:r>
              <w:rPr>
                <w:rFonts w:ascii="Cambria Math" w:hAnsi="Cambria Math"/>
              </w:rPr>
              <m:t>t</m:t>
            </m:r>
          </m:e>
        </m:rad>
      </m:oMath>
      <w:r>
        <w:t>.</w:t>
      </w:r>
    </w:p>
    <w:p w:rsidR="009B350D" w:rsidRDefault="003F3244" w:rsidP="00D83552">
      <w:pPr>
        <w:pStyle w:val="ListParagraph"/>
        <w:numPr>
          <w:ilvl w:val="0"/>
          <w:numId w:val="168"/>
        </w:numPr>
        <w:spacing w:after="200" w:line="360" w:lineRule="auto"/>
      </w:pPr>
      <w:r>
        <w:rPr>
          <w:u w:val="single"/>
        </w:rPr>
        <w:t>Normalization over the Exposure Horizon</w:t>
      </w:r>
      <w:r w:rsidRPr="003F3244">
        <w:t>:</w:t>
      </w:r>
      <w:r>
        <w:t xml:space="preserve"> The </w:t>
      </w:r>
      <m:oMath>
        <m:f>
          <m:fPr>
            <m:ctrlPr>
              <w:rPr>
                <w:rFonts w:ascii="Cambria Math" w:hAnsi="Cambria Math"/>
                <w:i/>
              </w:rPr>
            </m:ctrlPr>
          </m:fPr>
          <m:num>
            <m:r>
              <w:rPr>
                <w:rFonts w:ascii="Cambria Math" w:hAnsi="Cambria Math"/>
              </w:rPr>
              <m:t>3</m:t>
            </m:r>
          </m:num>
          <m:den>
            <m:r>
              <w:rPr>
                <w:rFonts w:ascii="Cambria Math" w:hAnsi="Cambria Math"/>
              </w:rPr>
              <m:t>2</m:t>
            </m:r>
          </m:den>
        </m:f>
      </m:oMath>
      <w:r>
        <w:t xml:space="preserve"> in front of the </w:t>
      </w:r>
      <m:oMath>
        <m:rad>
          <m:radPr>
            <m:degHide m:val="1"/>
            <m:ctrlPr>
              <w:rPr>
                <w:rFonts w:ascii="Cambria Math" w:hAnsi="Cambria Math"/>
                <w:i/>
              </w:rPr>
            </m:ctrlPr>
          </m:radPr>
          <m:deg/>
          <m:e>
            <m:r>
              <w:rPr>
                <w:rFonts w:ascii="Cambria Math" w:hAnsi="Cambria Math"/>
              </w:rPr>
              <m:t>t</m:t>
            </m:r>
          </m:e>
        </m:rad>
      </m:oMath>
      <w:r>
        <w:t xml:space="preserve"> comes from the integrated exposure below:</w:t>
      </w:r>
    </w:p>
    <w:p w:rsidR="009B350D" w:rsidRDefault="009B350D" w:rsidP="009B350D">
      <w:pPr>
        <w:pStyle w:val="ListParagraph"/>
        <w:spacing w:after="200" w:line="360" w:lineRule="auto"/>
        <w:ind w:left="360"/>
        <w:rPr>
          <w:u w:val="single"/>
        </w:rPr>
      </w:pPr>
    </w:p>
    <w:p w:rsidR="003F3244" w:rsidRPr="009B350D" w:rsidRDefault="005D6A21" w:rsidP="009B350D">
      <w:pPr>
        <w:pStyle w:val="ListParagraph"/>
        <w:spacing w:after="200" w:line="360" w:lineRule="auto"/>
        <w:ind w:left="360"/>
      </w:pPr>
      <m:oMathPara>
        <m:oMath>
          <m:f>
            <m:fPr>
              <m:ctrlPr>
                <w:rPr>
                  <w:rFonts w:ascii="Cambria Math" w:hAnsi="Cambria Math"/>
                  <w:i/>
                </w:rPr>
              </m:ctrlPr>
            </m:fPr>
            <m:num>
              <m:r>
                <w:rPr>
                  <w:rFonts w:ascii="Cambria Math" w:hAnsi="Cambria Math"/>
                </w:rPr>
                <m:t>3</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1</m:t>
              </m:r>
            </m:sup>
            <m:e>
              <m:rad>
                <m:radPr>
                  <m:degHide m:val="1"/>
                  <m:ctrlPr>
                    <w:rPr>
                      <w:rFonts w:ascii="Cambria Math" w:hAnsi="Cambria Math"/>
                      <w:i/>
                    </w:rPr>
                  </m:ctrlPr>
                </m:radPr>
                <m:deg/>
                <m:e>
                  <m:r>
                    <w:rPr>
                      <w:rFonts w:ascii="Cambria Math" w:hAnsi="Cambria Math"/>
                    </w:rPr>
                    <m:t>t</m:t>
                  </m:r>
                </m:e>
              </m:ra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dt</m:t>
              </m:r>
            </m:e>
          </m:nary>
          <m:r>
            <w:rPr>
              <w:rFonts w:ascii="Cambria Math" w:hAnsi="Cambria Math"/>
            </w:rPr>
            <m:t>=1</m:t>
          </m:r>
        </m:oMath>
      </m:oMathPara>
    </w:p>
    <w:p w:rsidR="009B350D" w:rsidRDefault="009B350D" w:rsidP="009B350D">
      <w:pPr>
        <w:pStyle w:val="ListParagraph"/>
        <w:spacing w:after="200" w:line="360" w:lineRule="auto"/>
        <w:ind w:left="360"/>
      </w:pPr>
    </w:p>
    <w:p w:rsidR="009B350D" w:rsidRDefault="00373D86" w:rsidP="00D83552">
      <w:pPr>
        <w:pStyle w:val="ListParagraph"/>
        <w:numPr>
          <w:ilvl w:val="0"/>
          <w:numId w:val="168"/>
        </w:numPr>
        <w:spacing w:after="200" w:line="360" w:lineRule="auto"/>
      </w:pPr>
      <w:r>
        <w:rPr>
          <w:u w:val="single"/>
        </w:rPr>
        <w:t>Forward Exposure under Uncollateralized Case</w:t>
      </w:r>
      <w:r>
        <w:t>: For the uncollateralized case the time-</w:t>
      </w:r>
      <m:oMath>
        <m:r>
          <w:rPr>
            <w:rFonts w:ascii="Cambria Math" w:hAnsi="Cambria Math"/>
          </w:rPr>
          <m:t>t</m:t>
        </m:r>
      </m:oMath>
      <w:r>
        <w:t xml:space="preserve"> </w:t>
      </w:r>
      <w:r w:rsidR="00FF7C1E">
        <w:t xml:space="preserve">trade level discounted positive exposure EPE for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rsidR="00FF7C1E">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FF7C1E">
        <w:t xml:space="preserve"> counter party netting group is approximated by</w:t>
      </w:r>
    </w:p>
    <w:p w:rsidR="009B350D" w:rsidRDefault="009B350D" w:rsidP="009B350D">
      <w:pPr>
        <w:pStyle w:val="ListParagraph"/>
        <w:spacing w:after="200" w:line="360" w:lineRule="auto"/>
        <w:ind w:left="360"/>
        <w:rPr>
          <w:u w:val="single"/>
        </w:rPr>
      </w:pPr>
    </w:p>
    <w:p w:rsidR="009B350D" w:rsidRDefault="005D6A21"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 0</m:t>
                  </m:r>
                </m:e>
              </m:d>
            </m:e>
          </m:func>
        </m:oMath>
      </m:oMathPara>
    </w:p>
    <w:p w:rsidR="009B350D" w:rsidRDefault="009B350D" w:rsidP="009B350D">
      <w:pPr>
        <w:pStyle w:val="ListParagraph"/>
        <w:spacing w:after="200" w:line="360" w:lineRule="auto"/>
        <w:ind w:left="360"/>
      </w:pPr>
    </w:p>
    <w:p w:rsidR="009B350D" w:rsidRDefault="00FF7C1E" w:rsidP="009B350D">
      <w:pPr>
        <w:pStyle w:val="ListParagraph"/>
        <w:spacing w:after="200" w:line="360" w:lineRule="auto"/>
        <w:ind w:left="360"/>
      </w:pPr>
      <w:r>
        <w:t>and the time-</w:t>
      </w:r>
      <m:oMath>
        <m:r>
          <w:rPr>
            <w:rFonts w:ascii="Cambria Math" w:hAnsi="Cambria Math"/>
          </w:rPr>
          <m:t>t</m:t>
        </m:r>
      </m:oMath>
      <w:r>
        <w:t xml:space="preserve"> trade level discounted negative exposure ENE is set to zero for further conservativeness, i.e.,</w:t>
      </w:r>
    </w:p>
    <w:p w:rsidR="009B350D" w:rsidRDefault="009B350D" w:rsidP="009B350D">
      <w:pPr>
        <w:pStyle w:val="ListParagraph"/>
        <w:spacing w:after="200" w:line="360" w:lineRule="auto"/>
        <w:ind w:left="360"/>
      </w:pPr>
    </w:p>
    <w:p w:rsidR="009B350D" w:rsidRDefault="005D6A21"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9B350D" w:rsidRDefault="009B350D" w:rsidP="009B350D">
      <w:pPr>
        <w:pStyle w:val="ListParagraph"/>
        <w:spacing w:after="200" w:line="360" w:lineRule="auto"/>
        <w:ind w:left="360"/>
      </w:pPr>
    </w:p>
    <w:p w:rsidR="00373D86" w:rsidRDefault="00FF7C1E" w:rsidP="009B350D">
      <w:pPr>
        <w:pStyle w:val="ListParagraph"/>
        <w:spacing w:after="200" w:line="360" w:lineRule="auto"/>
        <w:ind w:left="360"/>
      </w:pPr>
      <w:r>
        <w:t>based on the conservativeness measures described below.</w:t>
      </w:r>
    </w:p>
    <w:p w:rsidR="009B350D" w:rsidRDefault="00FF7C1E" w:rsidP="00D83552">
      <w:pPr>
        <w:pStyle w:val="ListParagraph"/>
        <w:numPr>
          <w:ilvl w:val="0"/>
          <w:numId w:val="168"/>
        </w:numPr>
        <w:spacing w:after="200" w:line="360" w:lineRule="auto"/>
      </w:pPr>
      <w:r>
        <w:rPr>
          <w:u w:val="single"/>
        </w:rPr>
        <w:t>Forward Exposure under Collateralized Case</w:t>
      </w:r>
      <w:r w:rsidRPr="00FF7C1E">
        <w:t>:</w:t>
      </w:r>
      <w:r>
        <w:t xml:space="preserve"> For the collateralized case, also needed is the future NPV at the collateralized date for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netting group</w:t>
      </w:r>
      <w:r w:rsidR="00703E6F">
        <w:t xml:space="preserve">, that is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rsidR="00703E6F">
        <w:t xml:space="preserve"> at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rsidR="00703E6F">
        <w:t>, which can be approximated as</w:t>
      </w:r>
    </w:p>
    <w:p w:rsidR="009B350D" w:rsidRDefault="009B350D" w:rsidP="009B350D">
      <w:pPr>
        <w:pStyle w:val="ListParagraph"/>
        <w:spacing w:after="200" w:line="360" w:lineRule="auto"/>
        <w:ind w:left="360"/>
        <w:rPr>
          <w:u w:val="single"/>
        </w:rPr>
      </w:pPr>
    </w:p>
    <w:p w:rsidR="00FF7C1E" w:rsidRPr="009B350D" w:rsidRDefault="005D6A21"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ad>
                <m:radPr>
                  <m:degHide m:val="1"/>
                  <m:ctrlPr>
                    <w:rPr>
                      <w:rFonts w:ascii="Cambria Math" w:hAnsi="Cambria Math"/>
                      <w:i/>
                    </w:rPr>
                  </m:ctrlPr>
                </m:radPr>
                <m:deg/>
                <m:e>
                  <m:r>
                    <w:rPr>
                      <w:rFonts w:ascii="Cambria Math" w:hAnsi="Cambria Math"/>
                    </w:rPr>
                    <m:t>t</m:t>
                  </m:r>
                </m:e>
              </m:rad>
              <m:r>
                <w:rPr>
                  <w:rFonts w:ascii="Cambria Math" w:hAnsi="Cambria Math"/>
                </w:rPr>
                <m:t>-</m:t>
              </m:r>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oMath>
      </m:oMathPara>
    </w:p>
    <w:p w:rsidR="009B350D" w:rsidRDefault="009B350D" w:rsidP="009B350D">
      <w:pPr>
        <w:pStyle w:val="ListParagraph"/>
        <w:spacing w:after="200" w:line="360" w:lineRule="auto"/>
        <w:ind w:left="360"/>
      </w:pPr>
    </w:p>
    <w:p w:rsidR="00E437F3" w:rsidRDefault="00E437F3" w:rsidP="00D83552">
      <w:pPr>
        <w:pStyle w:val="ListParagraph"/>
        <w:numPr>
          <w:ilvl w:val="0"/>
          <w:numId w:val="168"/>
        </w:numPr>
        <w:spacing w:after="200" w:line="360" w:lineRule="auto"/>
      </w:pPr>
      <w:r>
        <w:rPr>
          <w:u w:val="single"/>
        </w:rPr>
        <w:t>No Complexity from Netting/Aggregation</w:t>
      </w:r>
      <w:r>
        <w:t>: The motivation behind the above formula is to achieve the desired collateral exposure without any special handling in the aggregation and the CVA/DVA calculation models.</w:t>
      </w:r>
    </w:p>
    <w:p w:rsidR="009B350D" w:rsidRDefault="00E437F3" w:rsidP="00D83552">
      <w:pPr>
        <w:pStyle w:val="ListParagraph"/>
        <w:numPr>
          <w:ilvl w:val="0"/>
          <w:numId w:val="168"/>
        </w:numPr>
        <w:spacing w:after="200" w:line="360" w:lineRule="auto"/>
      </w:pPr>
      <w:r>
        <w:rPr>
          <w:u w:val="single"/>
        </w:rPr>
        <w:t>Zero Threshold</w:t>
      </w:r>
      <w:r w:rsidRPr="00E437F3">
        <w:rPr>
          <w:u w:val="single"/>
        </w:rPr>
        <w:t>,</w:t>
      </w:r>
      <w:r>
        <w:rPr>
          <w:u w:val="single"/>
        </w:rPr>
        <w:t xml:space="preserve"> </w:t>
      </w:r>
      <w:r w:rsidRPr="00E437F3">
        <w:rPr>
          <w:u w:val="single"/>
        </w:rPr>
        <w:t>MTA, IA/IM</w:t>
      </w:r>
      <w:r>
        <w:t>: For instance in the case of zero collateral thresholds, zero MTA, and zero IA/IM, the desired trade-level collateral exposure can be obtained as</w:t>
      </w:r>
    </w:p>
    <w:p w:rsidR="009B350D" w:rsidRDefault="009B350D" w:rsidP="009B350D">
      <w:pPr>
        <w:pStyle w:val="ListParagraph"/>
        <w:spacing w:after="200" w:line="360" w:lineRule="auto"/>
        <w:ind w:left="360"/>
        <w:rPr>
          <w:u w:val="single"/>
        </w:rPr>
      </w:pPr>
    </w:p>
    <w:p w:rsidR="00E437F3" w:rsidRPr="009B350D" w:rsidRDefault="005D6A21" w:rsidP="009B350D">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oMath>
      </m:oMathPara>
    </w:p>
    <w:p w:rsidR="009B350D" w:rsidRDefault="009B350D" w:rsidP="009B350D">
      <w:pPr>
        <w:pStyle w:val="ListParagraph"/>
        <w:spacing w:after="200" w:line="360" w:lineRule="auto"/>
        <w:ind w:left="360"/>
      </w:pPr>
    </w:p>
    <w:p w:rsidR="00165270" w:rsidRDefault="00165270" w:rsidP="00D83552">
      <w:pPr>
        <w:pStyle w:val="ListParagraph"/>
        <w:numPr>
          <w:ilvl w:val="0"/>
          <w:numId w:val="168"/>
        </w:numPr>
        <w:spacing w:after="200" w:line="360" w:lineRule="auto"/>
      </w:pPr>
      <w:r>
        <w:rPr>
          <w:u w:val="single"/>
        </w:rPr>
        <w:t>CSA Specific Thresholds and MTAs</w:t>
      </w:r>
      <w:r>
        <w:t>: In general the trade level collateralized exposure is computed using the existing CSA terms (such as collateral thresholds and MTAs) except that the CP IA/IM is set to zero (if they are not zero already) for further conservativeness.</w:t>
      </w:r>
    </w:p>
    <w:p w:rsidR="00165270" w:rsidRDefault="00165270" w:rsidP="00D83552">
      <w:pPr>
        <w:pStyle w:val="ListParagraph"/>
        <w:numPr>
          <w:ilvl w:val="0"/>
          <w:numId w:val="168"/>
        </w:numPr>
        <w:spacing w:after="200" w:line="360" w:lineRule="auto"/>
      </w:pPr>
      <w:r>
        <w:rPr>
          <w:u w:val="single"/>
        </w:rPr>
        <w:t>Segregated Bank IA/IM Collateral</w:t>
      </w:r>
      <w:r w:rsidRPr="00165270">
        <w:t>:</w:t>
      </w:r>
      <w:r>
        <w:t xml:space="preserve"> The initial focus is on the cases where the IA/IM that the bank posts, if any, are segregated (and thus with negligible CP risk). Future phases will deal </w:t>
      </w:r>
      <w:r w:rsidR="00492276">
        <w:t xml:space="preserve">with the proper allocation of </w:t>
      </w:r>
      <w:r>
        <w:t>the IA/IM.</w:t>
      </w:r>
    </w:p>
    <w:p w:rsidR="006250C5" w:rsidRDefault="006250C5" w:rsidP="00D83552">
      <w:pPr>
        <w:pStyle w:val="ListParagraph"/>
        <w:numPr>
          <w:ilvl w:val="0"/>
          <w:numId w:val="168"/>
        </w:numPr>
        <w:spacing w:after="200" w:line="360" w:lineRule="auto"/>
      </w:pPr>
      <w:r>
        <w:rPr>
          <w:u w:val="single"/>
        </w:rPr>
        <w:t>Zero Negative Collateralized Exposures</w:t>
      </w:r>
      <w:r w:rsidRPr="006250C5">
        <w:t>:</w:t>
      </w:r>
      <w:r>
        <w:t xml:space="preserve"> In addition the negative collateralized exposures from these trades are set to zero, as described in the few sections below.</w:t>
      </w:r>
    </w:p>
    <w:p w:rsidR="006250C5" w:rsidRDefault="006250C5" w:rsidP="00D83552">
      <w:pPr>
        <w:pStyle w:val="ListParagraph"/>
        <w:numPr>
          <w:ilvl w:val="0"/>
          <w:numId w:val="168"/>
        </w:numPr>
        <w:spacing w:after="200" w:line="360" w:lineRule="auto"/>
      </w:pPr>
      <w:r>
        <w:rPr>
          <w:u w:val="single"/>
        </w:rPr>
        <w:t>Forward Time NPV Calculation Parameters</w:t>
      </w:r>
      <w:r w:rsidRPr="006250C5">
        <w:t>:</w:t>
      </w:r>
      <w:r>
        <w:t xml:space="preserve"> When DRIP calculates the time-</w:t>
      </w:r>
      <m:oMath>
        <m:r>
          <w:rPr>
            <w:rFonts w:ascii="Cambria Math" w:hAnsi="Cambria Math"/>
          </w:rPr>
          <m:t>t</m:t>
        </m:r>
      </m:oMath>
      <w:r>
        <w:t xml:space="preserve"> NPV, there are two pricing parameters, which can be changed according to different product types. The table below contains a summary of them.</w:t>
      </w:r>
    </w:p>
    <w:p w:rsidR="006250C5" w:rsidRDefault="006250C5" w:rsidP="00D83552">
      <w:pPr>
        <w:pStyle w:val="ListParagraph"/>
        <w:numPr>
          <w:ilvl w:val="0"/>
          <w:numId w:val="168"/>
        </w:numPr>
        <w:spacing w:after="200" w:line="360" w:lineRule="auto"/>
      </w:pPr>
      <w:r>
        <w:rPr>
          <w:u w:val="single"/>
        </w:rPr>
        <w:t>Forward Time NPV Calculation Parameters Table</w:t>
      </w:r>
      <w:r w:rsidRPr="006250C5">
        <w:t>:</w:t>
      </w:r>
      <w:r>
        <w:t xml:space="preserve"> Trade Level Pricing Parameters</w:t>
      </w:r>
    </w:p>
    <w:tbl>
      <w:tblPr>
        <w:tblStyle w:val="TableGrid"/>
        <w:tblW w:w="0" w:type="auto"/>
        <w:tblLook w:val="04A0" w:firstRow="1" w:lastRow="0" w:firstColumn="1" w:lastColumn="0" w:noHBand="0" w:noVBand="1"/>
      </w:tblPr>
      <w:tblGrid>
        <w:gridCol w:w="2394"/>
        <w:gridCol w:w="2394"/>
        <w:gridCol w:w="2394"/>
        <w:gridCol w:w="2394"/>
      </w:tblGrid>
      <w:tr w:rsidR="006250C5" w:rsidTr="006250C5">
        <w:tc>
          <w:tcPr>
            <w:tcW w:w="2394" w:type="dxa"/>
            <w:vAlign w:val="center"/>
          </w:tcPr>
          <w:p w:rsidR="006250C5" w:rsidRPr="006250C5" w:rsidRDefault="006250C5" w:rsidP="006250C5">
            <w:pPr>
              <w:spacing w:after="200" w:line="360" w:lineRule="auto"/>
              <w:jc w:val="center"/>
              <w:rPr>
                <w:b/>
              </w:rPr>
            </w:pPr>
            <w:r w:rsidRPr="006250C5">
              <w:rPr>
                <w:b/>
              </w:rPr>
              <w:t>Parameter Name</w:t>
            </w:r>
          </w:p>
        </w:tc>
        <w:tc>
          <w:tcPr>
            <w:tcW w:w="2394" w:type="dxa"/>
            <w:vAlign w:val="center"/>
          </w:tcPr>
          <w:p w:rsidR="006250C5" w:rsidRPr="006250C5" w:rsidRDefault="006250C5" w:rsidP="006250C5">
            <w:pPr>
              <w:spacing w:after="200" w:line="360" w:lineRule="auto"/>
              <w:jc w:val="center"/>
              <w:rPr>
                <w:b/>
              </w:rPr>
            </w:pPr>
            <w:r>
              <w:rPr>
                <w:b/>
              </w:rPr>
              <w:t>Description</w:t>
            </w:r>
          </w:p>
        </w:tc>
        <w:tc>
          <w:tcPr>
            <w:tcW w:w="2394" w:type="dxa"/>
            <w:vAlign w:val="center"/>
          </w:tcPr>
          <w:p w:rsidR="006250C5" w:rsidRPr="006250C5" w:rsidRDefault="006250C5" w:rsidP="006250C5">
            <w:pPr>
              <w:spacing w:after="200" w:line="360" w:lineRule="auto"/>
              <w:jc w:val="center"/>
              <w:rPr>
                <w:b/>
              </w:rPr>
            </w:pPr>
            <w:r>
              <w:rPr>
                <w:b/>
              </w:rPr>
              <w:t>Default Value</w:t>
            </w:r>
          </w:p>
        </w:tc>
        <w:tc>
          <w:tcPr>
            <w:tcW w:w="2394" w:type="dxa"/>
            <w:vAlign w:val="center"/>
          </w:tcPr>
          <w:p w:rsidR="006250C5" w:rsidRPr="006250C5" w:rsidRDefault="006250C5" w:rsidP="006250C5">
            <w:pPr>
              <w:spacing w:after="200" w:line="360" w:lineRule="auto"/>
              <w:jc w:val="center"/>
              <w:rPr>
                <w:b/>
              </w:rPr>
            </w:pPr>
            <w:r>
              <w:rPr>
                <w:b/>
              </w:rPr>
              <w:t>Comments</w:t>
            </w:r>
          </w:p>
        </w:tc>
      </w:tr>
      <w:tr w:rsidR="006250C5" w:rsidTr="006250C5">
        <w:tc>
          <w:tcPr>
            <w:tcW w:w="2394" w:type="dxa"/>
            <w:vAlign w:val="center"/>
          </w:tcPr>
          <w:p w:rsidR="006250C5" w:rsidRDefault="006250C5" w:rsidP="006250C5">
            <w:pPr>
              <w:spacing w:after="200" w:line="360" w:lineRule="auto"/>
              <w:jc w:val="center"/>
            </w:pPr>
            <w:r>
              <w:t>Zero Out Negative NPV</w:t>
            </w:r>
          </w:p>
        </w:tc>
        <w:tc>
          <w:tcPr>
            <w:tcW w:w="2394" w:type="dxa"/>
            <w:vAlign w:val="center"/>
          </w:tcPr>
          <w:p w:rsidR="006250C5" w:rsidRDefault="006250C5" w:rsidP="00042400">
            <w:pPr>
              <w:spacing w:after="200" w:line="360" w:lineRule="auto"/>
              <w:jc w:val="center"/>
            </w:pPr>
            <w:r>
              <w:t xml:space="preserve">If TRUE set MTM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oMath>
            <w:r>
              <w:t xml:space="preserve"> to zero </w:t>
            </w:r>
            <w:r w:rsidR="00042400">
              <w:t>when the original MTM is negative</w:t>
            </w:r>
          </w:p>
        </w:tc>
        <w:tc>
          <w:tcPr>
            <w:tcW w:w="2394" w:type="dxa"/>
            <w:vAlign w:val="center"/>
          </w:tcPr>
          <w:p w:rsidR="006250C5" w:rsidRDefault="00042400" w:rsidP="006250C5">
            <w:pPr>
              <w:spacing w:after="200" w:line="360" w:lineRule="auto"/>
              <w:jc w:val="center"/>
            </w:pPr>
            <w:r>
              <w:t>FALSE</w:t>
            </w:r>
          </w:p>
        </w:tc>
        <w:tc>
          <w:tcPr>
            <w:tcW w:w="2394" w:type="dxa"/>
            <w:vAlign w:val="center"/>
          </w:tcPr>
          <w:p w:rsidR="006250C5" w:rsidRDefault="006250C5" w:rsidP="006250C5">
            <w:pPr>
              <w:spacing w:after="200" w:line="360" w:lineRule="auto"/>
              <w:jc w:val="center"/>
            </w:pPr>
          </w:p>
        </w:tc>
      </w:tr>
      <w:tr w:rsidR="006250C5" w:rsidTr="006250C5">
        <w:tc>
          <w:tcPr>
            <w:tcW w:w="2394" w:type="dxa"/>
            <w:vAlign w:val="center"/>
          </w:tcPr>
          <w:p w:rsidR="006250C5" w:rsidRDefault="00042400" w:rsidP="006250C5">
            <w:pPr>
              <w:spacing w:after="200" w:line="360" w:lineRule="auto"/>
              <w:jc w:val="center"/>
            </w:pPr>
            <w:r>
              <w:t>Duration Shortening</w:t>
            </w:r>
          </w:p>
        </w:tc>
        <w:tc>
          <w:tcPr>
            <w:tcW w:w="2394" w:type="dxa"/>
            <w:vAlign w:val="center"/>
          </w:tcPr>
          <w:p w:rsidR="006250C5" w:rsidRDefault="00042400" w:rsidP="00042400">
            <w:pPr>
              <w:spacing w:after="200" w:line="360" w:lineRule="auto"/>
              <w:jc w:val="center"/>
            </w:pPr>
            <w:r>
              <w:t>If TRUE multiply a duration shortening factor to time-</w:t>
            </w:r>
            <m:oMath>
              <m:r>
                <w:rPr>
                  <w:rFonts w:ascii="Cambria Math" w:hAnsi="Cambria Math"/>
                </w:rPr>
                <m:t>t</m:t>
              </m:r>
            </m:oMath>
            <w:r>
              <w:t xml:space="preserve"> trade values</w:t>
            </w:r>
          </w:p>
        </w:tc>
        <w:tc>
          <w:tcPr>
            <w:tcW w:w="2394" w:type="dxa"/>
            <w:vAlign w:val="center"/>
          </w:tcPr>
          <w:p w:rsidR="006250C5" w:rsidRDefault="00042400" w:rsidP="006250C5">
            <w:pPr>
              <w:spacing w:after="200" w:line="360" w:lineRule="auto"/>
              <w:jc w:val="center"/>
            </w:pPr>
            <w:r>
              <w:t>TRUE</w:t>
            </w:r>
          </w:p>
        </w:tc>
        <w:tc>
          <w:tcPr>
            <w:tcW w:w="2394" w:type="dxa"/>
            <w:vAlign w:val="center"/>
          </w:tcPr>
          <w:p w:rsidR="006250C5" w:rsidRDefault="00042400" w:rsidP="006250C5">
            <w:pPr>
              <w:spacing w:after="200" w:line="360" w:lineRule="auto"/>
              <w:jc w:val="center"/>
            </w:pPr>
            <w:r>
              <w:t xml:space="preserve">This is set to true for swap-like trades (with periodic payments and zero clean price right before its final maturity) and for collateralized Asian-like trades (2 weeks exposure decreases </w:t>
            </w:r>
            <w:r>
              <w:lastRenderedPageBreak/>
              <w:t>with time and is minimal close to its final maturity since trade NPV is largely dependent on fixings)</w:t>
            </w:r>
          </w:p>
        </w:tc>
      </w:tr>
      <w:tr w:rsidR="006250C5" w:rsidTr="006250C5">
        <w:tc>
          <w:tcPr>
            <w:tcW w:w="2394" w:type="dxa"/>
            <w:vAlign w:val="center"/>
          </w:tcPr>
          <w:p w:rsidR="006250C5" w:rsidRDefault="00042400" w:rsidP="006250C5">
            <w:pPr>
              <w:spacing w:after="200" w:line="360" w:lineRule="auto"/>
              <w:jc w:val="center"/>
            </w:pPr>
            <w:r>
              <w:lastRenderedPageBreak/>
              <w:t>Use Absolute Value Notional</w:t>
            </w:r>
          </w:p>
        </w:tc>
        <w:tc>
          <w:tcPr>
            <w:tcW w:w="2394" w:type="dxa"/>
            <w:vAlign w:val="center"/>
          </w:tcPr>
          <w:p w:rsidR="006250C5" w:rsidRDefault="00C60973" w:rsidP="006250C5">
            <w:pPr>
              <w:spacing w:after="200" w:line="360" w:lineRule="auto"/>
              <w:jc w:val="center"/>
            </w:pPr>
            <w:r>
              <w:t>If TRUE set the notionals to absolute values</w:t>
            </w:r>
          </w:p>
        </w:tc>
        <w:tc>
          <w:tcPr>
            <w:tcW w:w="2394" w:type="dxa"/>
            <w:vAlign w:val="center"/>
          </w:tcPr>
          <w:p w:rsidR="006250C5" w:rsidRDefault="00C60973" w:rsidP="006250C5">
            <w:pPr>
              <w:spacing w:after="200" w:line="360" w:lineRule="auto"/>
              <w:jc w:val="center"/>
            </w:pPr>
            <w:r>
              <w:t xml:space="preserve"> 0TRUE</w:t>
            </w:r>
          </w:p>
        </w:tc>
        <w:tc>
          <w:tcPr>
            <w:tcW w:w="2394" w:type="dxa"/>
            <w:vAlign w:val="center"/>
          </w:tcPr>
          <w:p w:rsidR="006250C5" w:rsidRDefault="00C60973" w:rsidP="006250C5">
            <w:pPr>
              <w:spacing w:after="200" w:line="360" w:lineRule="auto"/>
              <w:jc w:val="center"/>
            </w:pPr>
            <w:r>
              <w:t>This flag provides the ability to test long/short trade portfolios</w:t>
            </w:r>
          </w:p>
        </w:tc>
      </w:tr>
    </w:tbl>
    <w:p w:rsidR="006250C5" w:rsidRDefault="006250C5" w:rsidP="006250C5">
      <w:pPr>
        <w:spacing w:after="200" w:line="360" w:lineRule="auto"/>
      </w:pPr>
    </w:p>
    <w:p w:rsidR="009B350D" w:rsidRDefault="00C60973" w:rsidP="00D83552">
      <w:pPr>
        <w:pStyle w:val="ListParagraph"/>
        <w:numPr>
          <w:ilvl w:val="0"/>
          <w:numId w:val="168"/>
        </w:numPr>
        <w:spacing w:after="200" w:line="360" w:lineRule="auto"/>
      </w:pPr>
      <w:r w:rsidRPr="00C60973">
        <w:rPr>
          <w:u w:val="single"/>
        </w:rPr>
        <w:t>Expression for Duration Shortening Factor</w:t>
      </w:r>
      <w:r>
        <w:t xml:space="preserve">: The duration shortening factor </w:t>
      </w:r>
      <m:oMath>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is defined as</w:t>
      </w:r>
    </w:p>
    <w:p w:rsidR="009B350D" w:rsidRDefault="009B350D" w:rsidP="009B350D">
      <w:pPr>
        <w:pStyle w:val="ListParagraph"/>
        <w:spacing w:after="200" w:line="360" w:lineRule="auto"/>
        <w:ind w:left="360"/>
        <w:rPr>
          <w:u w:val="single"/>
        </w:rPr>
      </w:pPr>
    </w:p>
    <w:p w:rsidR="009B350D" w:rsidRDefault="005D6A21"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num>
                    <m:den>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 0</m:t>
                  </m:r>
                </m:e>
              </m:d>
            </m:e>
          </m:func>
        </m:oMath>
      </m:oMathPara>
    </w:p>
    <w:p w:rsidR="009B350D" w:rsidRDefault="009B350D" w:rsidP="009B350D">
      <w:pPr>
        <w:pStyle w:val="ListParagraph"/>
        <w:spacing w:after="200" w:line="360" w:lineRule="auto"/>
        <w:ind w:left="360"/>
      </w:pPr>
    </w:p>
    <w:p w:rsidR="00C60973" w:rsidRDefault="00C60973" w:rsidP="009B350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the risk end time for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w:t>
      </w:r>
    </w:p>
    <w:p w:rsidR="009B350D" w:rsidRDefault="00896876" w:rsidP="00D83552">
      <w:pPr>
        <w:pStyle w:val="ListParagraph"/>
        <w:numPr>
          <w:ilvl w:val="0"/>
          <w:numId w:val="168"/>
        </w:numPr>
        <w:spacing w:after="200" w:line="360" w:lineRule="auto"/>
      </w:pPr>
      <w:r>
        <w:rPr>
          <w:u w:val="single"/>
        </w:rPr>
        <w:t>DSF Impact on the Exposure</w:t>
      </w:r>
      <w:r w:rsidRPr="00896876">
        <w:t>:</w:t>
      </w:r>
      <w:r>
        <w:t xml:space="preserve"> With duration shortening the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on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netting group on exposure date </w:t>
      </w:r>
      <m:oMath>
        <m:r>
          <w:rPr>
            <w:rFonts w:ascii="Cambria Math" w:hAnsi="Cambria Math"/>
          </w:rPr>
          <m:t>t</m:t>
        </m:r>
      </m:oMath>
      <w:r>
        <w:t xml:space="preserve"> and collateral date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is given by</w:t>
      </w:r>
    </w:p>
    <w:p w:rsidR="009B350D" w:rsidRDefault="009B350D" w:rsidP="009B350D">
      <w:pPr>
        <w:pStyle w:val="ListParagraph"/>
        <w:spacing w:after="200" w:line="360" w:lineRule="auto"/>
        <w:ind w:left="360"/>
        <w:rPr>
          <w:u w:val="single"/>
        </w:rPr>
      </w:pPr>
    </w:p>
    <w:p w:rsidR="009B350D" w:rsidRDefault="005D6A21"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d>
            <m:dPr>
              <m:begChr m:val="["/>
              <m:endChr m:val="]"/>
              <m:ctrlPr>
                <w:rPr>
                  <w:rFonts w:ascii="Cambria Math" w:hAnsi="Cambria Math"/>
                  <w:i/>
                </w:rPr>
              </m:ctrlPr>
            </m:dPr>
            <m:e>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e>
          </m:d>
        </m:oMath>
      </m:oMathPara>
    </w:p>
    <w:p w:rsidR="009B350D" w:rsidRDefault="009B350D" w:rsidP="009B350D">
      <w:pPr>
        <w:pStyle w:val="ListParagraph"/>
        <w:spacing w:after="200" w:line="360" w:lineRule="auto"/>
        <w:ind w:left="360"/>
      </w:pPr>
    </w:p>
    <w:p w:rsidR="00896876" w:rsidRPr="009B350D" w:rsidRDefault="005D6A21"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d>
            <m:dPr>
              <m:begChr m:val="["/>
              <m:endChr m:val="]"/>
              <m:ctrlPr>
                <w:rPr>
                  <w:rFonts w:ascii="Cambria Math" w:hAnsi="Cambria Math"/>
                  <w:i/>
                </w:rPr>
              </m:ctrlPr>
            </m:dPr>
            <m:e>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ad>
                    <m:radPr>
                      <m:degHide m:val="1"/>
                      <m:ctrlPr>
                        <w:rPr>
                          <w:rFonts w:ascii="Cambria Math" w:hAnsi="Cambria Math"/>
                          <w:i/>
                        </w:rPr>
                      </m:ctrlPr>
                    </m:radPr>
                    <m:deg/>
                    <m:e>
                      <m:r>
                        <w:rPr>
                          <w:rFonts w:ascii="Cambria Math" w:hAnsi="Cambria Math"/>
                        </w:rPr>
                        <m:t>t</m:t>
                      </m:r>
                    </m:e>
                  </m:rad>
                  <m:r>
                    <w:rPr>
                      <w:rFonts w:ascii="Cambria Math" w:hAnsi="Cambria Math"/>
                    </w:rPr>
                    <m:t>-</m:t>
                  </m:r>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e>
          </m:d>
        </m:oMath>
      </m:oMathPara>
    </w:p>
    <w:p w:rsidR="009B350D" w:rsidRDefault="009B350D" w:rsidP="009B350D">
      <w:pPr>
        <w:pStyle w:val="ListParagraph"/>
        <w:spacing w:after="200" w:line="360" w:lineRule="auto"/>
        <w:ind w:left="360"/>
      </w:pPr>
    </w:p>
    <w:p w:rsidR="009B350D" w:rsidRDefault="009B350D" w:rsidP="009B350D">
      <w:pPr>
        <w:spacing w:after="200" w:line="360" w:lineRule="auto"/>
      </w:pPr>
    </w:p>
    <w:p w:rsidR="009B350D" w:rsidRDefault="009B350D" w:rsidP="009B350D">
      <w:pPr>
        <w:spacing w:after="200" w:line="360" w:lineRule="auto"/>
      </w:pPr>
    </w:p>
    <w:p w:rsidR="009B350D" w:rsidRPr="009B350D" w:rsidRDefault="009B350D" w:rsidP="009B350D">
      <w:pPr>
        <w:spacing w:after="200" w:line="360" w:lineRule="auto"/>
        <w:rPr>
          <w:b/>
          <w:sz w:val="28"/>
          <w:szCs w:val="28"/>
        </w:rPr>
      </w:pPr>
      <w:r w:rsidRPr="009B350D">
        <w:rPr>
          <w:b/>
          <w:sz w:val="28"/>
          <w:szCs w:val="28"/>
        </w:rPr>
        <w:lastRenderedPageBreak/>
        <w:t>NPV Based Proxy Pricer</w:t>
      </w:r>
    </w:p>
    <w:p w:rsidR="009B350D" w:rsidRDefault="009B350D" w:rsidP="009B350D">
      <w:pPr>
        <w:spacing w:after="200" w:line="360" w:lineRule="auto"/>
      </w:pPr>
    </w:p>
    <w:p w:rsidR="009B350D" w:rsidRDefault="009B350D" w:rsidP="00D83552">
      <w:pPr>
        <w:pStyle w:val="ListParagraph"/>
        <w:numPr>
          <w:ilvl w:val="0"/>
          <w:numId w:val="169"/>
        </w:numPr>
        <w:spacing w:after="200" w:line="360" w:lineRule="auto"/>
      </w:pPr>
      <w:r w:rsidRPr="009B350D">
        <w:rPr>
          <w:u w:val="single"/>
        </w:rPr>
        <w:t>NPV Based Proxy Pricer – Rationale</w:t>
      </w:r>
      <w:r>
        <w:t>: The essence of the NPV based proxy pricer is to approximate the discounted positive trade exposure with its NPV – if positive – with linear amortization to zero to final maturity for swap-like trades (with positive payments and zero clean price before its final maturity) or with constant extrapolation to its final maturity for other trades. This is mainly applicable to uncollateralized cases.</w:t>
      </w:r>
    </w:p>
    <w:p w:rsidR="0066414A" w:rsidRDefault="005504BB" w:rsidP="00D83552">
      <w:pPr>
        <w:pStyle w:val="ListParagraph"/>
        <w:numPr>
          <w:ilvl w:val="0"/>
          <w:numId w:val="169"/>
        </w:numPr>
        <w:spacing w:after="200" w:line="360" w:lineRule="auto"/>
      </w:pPr>
      <w:r>
        <w:rPr>
          <w:u w:val="single"/>
        </w:rPr>
        <w:t>EPE for NPV Based Proxy</w:t>
      </w:r>
      <w:r w:rsidRPr="005504BB">
        <w:t>:</w:t>
      </w:r>
      <w:r>
        <w:t xml:space="preserve"> More specifically, for swap-like trades, the time-</w:t>
      </w:r>
      <m:oMath>
        <m:r>
          <w:rPr>
            <w:rFonts w:ascii="Cambria Math" w:hAnsi="Cambria Math"/>
          </w:rPr>
          <m:t>t</m:t>
        </m:r>
      </m:oMath>
      <w:r>
        <w:t xml:space="preserve"> discounted positive exposure for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on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netting group is approximated as</w:t>
      </w:r>
    </w:p>
    <w:p w:rsidR="0066414A" w:rsidRDefault="0066414A" w:rsidP="0066414A">
      <w:pPr>
        <w:pStyle w:val="ListParagraph"/>
        <w:spacing w:after="200" w:line="360" w:lineRule="auto"/>
        <w:ind w:left="360"/>
        <w:rPr>
          <w:u w:val="single"/>
        </w:rPr>
      </w:pPr>
    </w:p>
    <w:p w:rsidR="0066414A" w:rsidRDefault="005D6A21"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0</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num>
                    <m:den>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 0</m:t>
                  </m:r>
                </m:e>
              </m:d>
            </m:e>
          </m:func>
        </m:oMath>
      </m:oMathPara>
    </w:p>
    <w:p w:rsidR="0066414A" w:rsidRDefault="0066414A" w:rsidP="0066414A">
      <w:pPr>
        <w:pStyle w:val="ListParagraph"/>
        <w:spacing w:after="200" w:line="360" w:lineRule="auto"/>
        <w:ind w:left="360"/>
      </w:pPr>
    </w:p>
    <w:p w:rsidR="0066414A" w:rsidRDefault="005504BB" w:rsidP="0066414A">
      <w:pPr>
        <w:pStyle w:val="ListParagraph"/>
        <w:spacing w:after="200" w:line="360" w:lineRule="auto"/>
        <w:ind w:left="360"/>
      </w:pPr>
      <w:r>
        <w:t>and for other trades</w:t>
      </w:r>
    </w:p>
    <w:p w:rsidR="0066414A" w:rsidRDefault="0066414A" w:rsidP="0066414A">
      <w:pPr>
        <w:pStyle w:val="ListParagraph"/>
        <w:spacing w:after="200" w:line="360" w:lineRule="auto"/>
        <w:ind w:left="360"/>
      </w:pPr>
    </w:p>
    <w:p w:rsidR="005504BB" w:rsidRPr="0066414A" w:rsidRDefault="005D6A21"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66414A" w:rsidRDefault="0066414A" w:rsidP="0066414A">
      <w:pPr>
        <w:pStyle w:val="ListParagraph"/>
        <w:spacing w:after="200" w:line="360" w:lineRule="auto"/>
        <w:ind w:left="360"/>
      </w:pPr>
    </w:p>
    <w:p w:rsidR="0066414A" w:rsidRDefault="00AB6C95" w:rsidP="00D83552">
      <w:pPr>
        <w:pStyle w:val="ListParagraph"/>
        <w:numPr>
          <w:ilvl w:val="0"/>
          <w:numId w:val="169"/>
        </w:numPr>
        <w:spacing w:after="200" w:line="360" w:lineRule="auto"/>
      </w:pPr>
      <w:r>
        <w:rPr>
          <w:u w:val="single"/>
        </w:rPr>
        <w:t>ENE for NPV Based Proxy</w:t>
      </w:r>
      <w:r>
        <w:t>: For all trades</w:t>
      </w:r>
    </w:p>
    <w:p w:rsidR="0066414A" w:rsidRDefault="0066414A" w:rsidP="0066414A">
      <w:pPr>
        <w:pStyle w:val="ListParagraph"/>
        <w:spacing w:after="200" w:line="360" w:lineRule="auto"/>
        <w:ind w:left="360"/>
        <w:rPr>
          <w:u w:val="single"/>
        </w:rPr>
      </w:pPr>
    </w:p>
    <w:p w:rsidR="00C270B3" w:rsidRDefault="005D6A21"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C270B3" w:rsidRDefault="00C270B3" w:rsidP="0066414A">
      <w:pPr>
        <w:pStyle w:val="ListParagraph"/>
        <w:spacing w:after="200" w:line="360" w:lineRule="auto"/>
        <w:ind w:left="360"/>
      </w:pPr>
    </w:p>
    <w:p w:rsidR="00AB6C95" w:rsidRDefault="00AB6C95" w:rsidP="0066414A">
      <w:pPr>
        <w:pStyle w:val="ListParagraph"/>
        <w:spacing w:after="200" w:line="360" w:lineRule="auto"/>
        <w:ind w:left="360"/>
      </w:pPr>
      <w:r>
        <w:t>which is to zero out the negative exposures for conservativeness.</w:t>
      </w:r>
    </w:p>
    <w:p w:rsidR="0066414A" w:rsidRDefault="0066414A" w:rsidP="00D83552">
      <w:pPr>
        <w:pStyle w:val="ListParagraph"/>
        <w:numPr>
          <w:ilvl w:val="0"/>
          <w:numId w:val="169"/>
        </w:numPr>
        <w:spacing w:after="200" w:line="360" w:lineRule="auto"/>
      </w:pPr>
      <w:r>
        <w:rPr>
          <w:u w:val="single"/>
        </w:rPr>
        <w:t>Conservative Measures for NPV Proxy</w:t>
      </w:r>
      <w:r w:rsidRPr="0066414A">
        <w:t>:</w:t>
      </w:r>
      <w:r>
        <w:t xml:space="preserve"> Further conservative measures of the proxy pricer – as described in a later section – include no netting benefit to the proxy trades with other non-proxy trades regardless of the netting agreement (by placing the proxy trades in their own netting group) and reduced collateral benefit by placing the proxy trades in their own collateral group (with no IM//IA).</w:t>
      </w:r>
    </w:p>
    <w:p w:rsidR="0066414A" w:rsidRDefault="0066414A" w:rsidP="0066414A">
      <w:pPr>
        <w:spacing w:after="200" w:line="360" w:lineRule="auto"/>
      </w:pPr>
    </w:p>
    <w:p w:rsidR="0066414A" w:rsidRDefault="0066414A" w:rsidP="0066414A">
      <w:pPr>
        <w:spacing w:after="200" w:line="360" w:lineRule="auto"/>
      </w:pPr>
    </w:p>
    <w:p w:rsidR="0066414A" w:rsidRPr="0066414A" w:rsidRDefault="0066414A" w:rsidP="0066414A">
      <w:pPr>
        <w:spacing w:after="200" w:line="360" w:lineRule="auto"/>
        <w:rPr>
          <w:b/>
          <w:sz w:val="28"/>
          <w:szCs w:val="28"/>
        </w:rPr>
      </w:pPr>
      <w:r w:rsidRPr="0066414A">
        <w:rPr>
          <w:b/>
          <w:sz w:val="28"/>
          <w:szCs w:val="28"/>
        </w:rPr>
        <w:t>Testing, Monitoring, Conservative Measures, and Materiality Analysis</w:t>
      </w:r>
    </w:p>
    <w:p w:rsidR="0066414A" w:rsidRDefault="0066414A" w:rsidP="0066414A">
      <w:pPr>
        <w:spacing w:after="200" w:line="360" w:lineRule="auto"/>
      </w:pPr>
    </w:p>
    <w:p w:rsidR="0066414A" w:rsidRDefault="0066414A" w:rsidP="00D83552">
      <w:pPr>
        <w:pStyle w:val="ListParagraph"/>
        <w:numPr>
          <w:ilvl w:val="0"/>
          <w:numId w:val="170"/>
        </w:numPr>
        <w:spacing w:after="200" w:line="360" w:lineRule="auto"/>
      </w:pPr>
      <w:r w:rsidRPr="0066414A">
        <w:rPr>
          <w:u w:val="single"/>
        </w:rPr>
        <w:t>Accuracy Testing against Selected Trades</w:t>
      </w:r>
      <w:r>
        <w:t>: Benchmark testing and back testing will be performed against more accurate implementation on selected trades.</w:t>
      </w:r>
    </w:p>
    <w:p w:rsidR="00C270B3" w:rsidRDefault="00C270B3" w:rsidP="00D83552">
      <w:pPr>
        <w:pStyle w:val="ListParagraph"/>
        <w:numPr>
          <w:ilvl w:val="0"/>
          <w:numId w:val="170"/>
        </w:numPr>
        <w:spacing w:after="200" w:line="360" w:lineRule="auto"/>
      </w:pPr>
      <w:r>
        <w:rPr>
          <w:u w:val="single"/>
        </w:rPr>
        <w:t>Trade Level Conservative Measure Setting</w:t>
      </w:r>
      <w:r w:rsidRPr="00C270B3">
        <w:t>:</w:t>
      </w:r>
      <w:r>
        <w:t xml:space="preserve"> Trade level conservative measures with zero negative exposure and grossing will be used on the trades with proxy pricers. For further conservatives the entire DVA of a CP netting group containing any proxy trade can be zeroed out.</w:t>
      </w:r>
    </w:p>
    <w:p w:rsidR="00C270B3" w:rsidRDefault="00C270B3" w:rsidP="00D83552">
      <w:pPr>
        <w:pStyle w:val="ListParagraph"/>
        <w:numPr>
          <w:ilvl w:val="0"/>
          <w:numId w:val="170"/>
        </w:numPr>
        <w:spacing w:after="200" w:line="360" w:lineRule="auto"/>
      </w:pPr>
      <w:r>
        <w:rPr>
          <w:u w:val="single"/>
        </w:rPr>
        <w:t>Segregation of the Bank IA/IM</w:t>
      </w:r>
      <w:r w:rsidRPr="00C270B3">
        <w:t>:</w:t>
      </w:r>
      <w:r>
        <w:t xml:space="preserve"> DRIP recommends that the user monitor and ensure</w:t>
      </w:r>
      <w:r w:rsidR="008F74B9">
        <w:t xml:space="preserve"> that the IA/IM be set to zero for further conservativeness, and that the IA/IM bank posts, if any, be segregated – and thus have negligible counter party risks.</w:t>
      </w:r>
    </w:p>
    <w:p w:rsidR="005802A3" w:rsidRDefault="005802A3" w:rsidP="00D83552">
      <w:pPr>
        <w:pStyle w:val="ListParagraph"/>
        <w:numPr>
          <w:ilvl w:val="0"/>
          <w:numId w:val="170"/>
        </w:numPr>
        <w:spacing w:after="200" w:line="360" w:lineRule="auto"/>
      </w:pPr>
      <w:r>
        <w:rPr>
          <w:u w:val="single"/>
        </w:rPr>
        <w:t>Operational Monitoring of the Proxy Pricer</w:t>
      </w:r>
      <w:r w:rsidRPr="005802A3">
        <w:t>:</w:t>
      </w:r>
      <w:r>
        <w:t xml:space="preserve"> One of the following will need to be monitored and ensured:</w:t>
      </w:r>
    </w:p>
    <w:p w:rsidR="005802A3" w:rsidRDefault="005802A3" w:rsidP="00D83552">
      <w:pPr>
        <w:pStyle w:val="ListParagraph"/>
        <w:numPr>
          <w:ilvl w:val="1"/>
          <w:numId w:val="170"/>
        </w:numPr>
        <w:spacing w:after="200" w:line="360" w:lineRule="auto"/>
      </w:pPr>
      <w:r>
        <w:t>The total CVA of the proxy trades is less than 5% of the total CVA of the firm.</w:t>
      </w:r>
    </w:p>
    <w:p w:rsidR="005802A3" w:rsidRDefault="005802A3" w:rsidP="00D83552">
      <w:pPr>
        <w:pStyle w:val="ListParagraph"/>
        <w:numPr>
          <w:ilvl w:val="1"/>
          <w:numId w:val="170"/>
        </w:numPr>
        <w:spacing w:after="200" w:line="360" w:lineRule="auto"/>
      </w:pPr>
      <w:r>
        <w:t>The gross delta of the trades is less than 5% of the total gross delta per each asset class.</w:t>
      </w:r>
    </w:p>
    <w:p w:rsidR="005802A3" w:rsidRDefault="005802A3" w:rsidP="00D83552">
      <w:pPr>
        <w:pStyle w:val="ListParagraph"/>
        <w:numPr>
          <w:ilvl w:val="1"/>
          <w:numId w:val="170"/>
        </w:numPr>
        <w:spacing w:after="200" w:line="360" w:lineRule="auto"/>
      </w:pPr>
      <w:r>
        <w:t>The gross disastrous stress impact of these trades is less than 5% of the total gross disastrous stress impact per asset class.</w:t>
      </w:r>
    </w:p>
    <w:p w:rsidR="005802A3" w:rsidRDefault="005802A3" w:rsidP="00D83552">
      <w:pPr>
        <w:pStyle w:val="ListParagraph"/>
        <w:numPr>
          <w:ilvl w:val="1"/>
          <w:numId w:val="170"/>
        </w:numPr>
        <w:spacing w:after="200" w:line="360" w:lineRule="auto"/>
      </w:pPr>
      <w:r>
        <w:t>Optionally – in certain cases – the gross delta of these is less than 5% of the total gross per asset class for each counter party (for simplicity).</w:t>
      </w:r>
    </w:p>
    <w:p w:rsidR="005802A3" w:rsidRDefault="005802A3" w:rsidP="00D83552">
      <w:pPr>
        <w:pStyle w:val="ListParagraph"/>
        <w:numPr>
          <w:ilvl w:val="0"/>
          <w:numId w:val="170"/>
        </w:numPr>
        <w:spacing w:after="200" w:line="360" w:lineRule="auto"/>
      </w:pPr>
      <w:r w:rsidRPr="005802A3">
        <w:rPr>
          <w:u w:val="single"/>
        </w:rPr>
        <w:t>Monitoring Proxy Contribution to the CVA</w:t>
      </w:r>
      <w:r>
        <w:t xml:space="preserve">: Optionally the percentage contribution of the proxy CVA (CVA from the proxy trades) to the total CVA can be monitored against the percentage contribution of the proxy trade gross notional </w:t>
      </w:r>
      <w:r w:rsidR="007A746D">
        <w:t>for each asset class (for example, IR, FX, equity, commodity, and credit).</w:t>
      </w:r>
    </w:p>
    <w:p w:rsidR="007A746D" w:rsidRDefault="007A746D" w:rsidP="00D83552">
      <w:pPr>
        <w:pStyle w:val="ListParagraph"/>
        <w:numPr>
          <w:ilvl w:val="0"/>
          <w:numId w:val="170"/>
        </w:numPr>
        <w:spacing w:after="200" w:line="360" w:lineRule="auto"/>
      </w:pPr>
      <w:r>
        <w:rPr>
          <w:u w:val="single"/>
        </w:rPr>
        <w:t>Proxy Trades and CCAR Scenarios</w:t>
      </w:r>
      <w:r w:rsidRPr="007A746D">
        <w:t>:</w:t>
      </w:r>
      <w:r>
        <w:t xml:space="preserve"> Proxy trades need to participate in the time-0 exposure calculation and time-0 collateral requirement – following the netting and the collateral agreements – for CCAR analysis and reporting.</w:t>
      </w:r>
    </w:p>
    <w:p w:rsidR="007A746D" w:rsidRDefault="007A746D" w:rsidP="00D83552">
      <w:pPr>
        <w:pStyle w:val="ListParagraph"/>
        <w:numPr>
          <w:ilvl w:val="0"/>
          <w:numId w:val="170"/>
        </w:numPr>
        <w:spacing w:after="200" w:line="360" w:lineRule="auto"/>
      </w:pPr>
      <w:r>
        <w:rPr>
          <w:u w:val="single"/>
        </w:rPr>
        <w:lastRenderedPageBreak/>
        <w:t>Proxy Pricer PFE Estimation Enhancement</w:t>
      </w:r>
      <w:r w:rsidRPr="007A746D">
        <w:t>:</w:t>
      </w:r>
      <w:r>
        <w:t xml:space="preserve"> Proxy pricer for PFE purposes will be developed as needed.</w:t>
      </w:r>
    </w:p>
    <w:p w:rsidR="007A746D" w:rsidRDefault="007A746D" w:rsidP="007A746D">
      <w:pPr>
        <w:spacing w:after="200" w:line="360" w:lineRule="auto"/>
      </w:pPr>
    </w:p>
    <w:p w:rsidR="007A746D" w:rsidRDefault="007A746D" w:rsidP="007A746D">
      <w:pPr>
        <w:spacing w:after="200" w:line="360" w:lineRule="auto"/>
      </w:pPr>
    </w:p>
    <w:p w:rsidR="007A746D" w:rsidRPr="007A746D" w:rsidRDefault="007A746D" w:rsidP="007A746D">
      <w:pPr>
        <w:spacing w:after="200" w:line="360" w:lineRule="auto"/>
        <w:rPr>
          <w:b/>
          <w:sz w:val="28"/>
          <w:szCs w:val="28"/>
        </w:rPr>
      </w:pPr>
      <w:r w:rsidRPr="007A746D">
        <w:rPr>
          <w:b/>
          <w:sz w:val="28"/>
          <w:szCs w:val="28"/>
        </w:rPr>
        <w:t>Exposure Valuation and Aggregation</w:t>
      </w:r>
    </w:p>
    <w:p w:rsidR="007A746D" w:rsidRDefault="007A746D" w:rsidP="007A746D">
      <w:pPr>
        <w:spacing w:after="200" w:line="360" w:lineRule="auto"/>
      </w:pPr>
    </w:p>
    <w:p w:rsidR="007A746D" w:rsidRDefault="007A746D" w:rsidP="00D83552">
      <w:pPr>
        <w:pStyle w:val="ListParagraph"/>
        <w:numPr>
          <w:ilvl w:val="0"/>
          <w:numId w:val="171"/>
        </w:numPr>
        <w:spacing w:after="200" w:line="360" w:lineRule="auto"/>
      </w:pPr>
      <w:r w:rsidRPr="007A746D">
        <w:rPr>
          <w:u w:val="single"/>
        </w:rPr>
        <w:t>Collateral, Margining, and Netting Groups</w:t>
      </w:r>
      <w:r>
        <w:t>: This section deals with the valuation of the counter party exposures (positive and negative exposures separately) by aggregating the trade values taking into account netting, collateral, default window, margin period of risk, as well as some other credit terms such as mandatory mutual break.</w:t>
      </w:r>
    </w:p>
    <w:p w:rsidR="00F11809" w:rsidRDefault="00F11809" w:rsidP="00D83552">
      <w:pPr>
        <w:pStyle w:val="ListParagraph"/>
        <w:numPr>
          <w:ilvl w:val="0"/>
          <w:numId w:val="171"/>
        </w:numPr>
        <w:spacing w:after="200" w:line="360" w:lineRule="auto"/>
      </w:pPr>
      <w:r>
        <w:rPr>
          <w:u w:val="single"/>
        </w:rPr>
        <w:t>Modeling Credit Ratings Contingent Transitions</w:t>
      </w:r>
      <w:r w:rsidRPr="00F11809">
        <w:t>:</w:t>
      </w:r>
      <w:r>
        <w:t xml:space="preserve"> Credit ratings related contingencies, such as ratings based collateral thresholds, will be optionally modeled with contingent credit ratings transitions.</w:t>
      </w:r>
    </w:p>
    <w:p w:rsidR="00F11809" w:rsidRDefault="00F11809" w:rsidP="00D83552">
      <w:pPr>
        <w:pStyle w:val="ListParagraph"/>
        <w:numPr>
          <w:ilvl w:val="0"/>
          <w:numId w:val="171"/>
        </w:numPr>
        <w:spacing w:after="200" w:line="360" w:lineRule="auto"/>
      </w:pPr>
      <w:r>
        <w:rPr>
          <w:u w:val="single"/>
        </w:rPr>
        <w:t>Segregation, Re-couponing and Early Termination</w:t>
      </w:r>
      <w:r w:rsidRPr="00F11809">
        <w:t>:</w:t>
      </w:r>
      <w:r>
        <w:t xml:space="preserve"> Collateral segregation, re-couponing, and early termination are not considered in this section, which would be conservative for the CVA.</w:t>
      </w:r>
    </w:p>
    <w:p w:rsidR="00F11809" w:rsidRDefault="00D15822" w:rsidP="00D83552">
      <w:pPr>
        <w:pStyle w:val="ListParagraph"/>
        <w:numPr>
          <w:ilvl w:val="0"/>
          <w:numId w:val="171"/>
        </w:numPr>
        <w:spacing w:after="200" w:line="360" w:lineRule="auto"/>
      </w:pPr>
      <w:r>
        <w:rPr>
          <w:u w:val="single"/>
        </w:rPr>
        <w:t>Constant/Proportional IA/IM Handling</w:t>
      </w:r>
      <w:r w:rsidRPr="00D15822">
        <w:t>:</w:t>
      </w:r>
      <w:r>
        <w:t xml:space="preserve"> For IA/IM, this section handles constant IA/IM. The VaR (value-at-risk) or risk-based IA/IM, if any, are approximated by the notional proportional IA/IM.</w:t>
      </w:r>
    </w:p>
    <w:p w:rsidR="00D15822" w:rsidRDefault="00D15822" w:rsidP="00D83552">
      <w:pPr>
        <w:pStyle w:val="ListParagraph"/>
        <w:numPr>
          <w:ilvl w:val="0"/>
          <w:numId w:val="171"/>
        </w:numPr>
        <w:spacing w:after="200" w:line="360" w:lineRule="auto"/>
      </w:pPr>
      <w:r>
        <w:rPr>
          <w:u w:val="single"/>
        </w:rPr>
        <w:t>Treatment using Industry Standard Approaches</w:t>
      </w:r>
      <w:r w:rsidRPr="00D15822">
        <w:t>:</w:t>
      </w:r>
      <w:r>
        <w:t xml:space="preserve"> Other credit terms will be handled based on industry standard approaches.</w:t>
      </w:r>
    </w:p>
    <w:p w:rsidR="003064FF" w:rsidRDefault="003064FF" w:rsidP="003064FF">
      <w:pPr>
        <w:spacing w:after="200" w:line="360" w:lineRule="auto"/>
      </w:pPr>
    </w:p>
    <w:p w:rsidR="003064FF" w:rsidRDefault="003064FF" w:rsidP="003064FF">
      <w:pPr>
        <w:spacing w:after="200" w:line="360" w:lineRule="auto"/>
      </w:pPr>
    </w:p>
    <w:p w:rsidR="003064FF" w:rsidRPr="003064FF" w:rsidRDefault="003064FF" w:rsidP="003064FF">
      <w:pPr>
        <w:spacing w:after="200" w:line="360" w:lineRule="auto"/>
        <w:rPr>
          <w:b/>
          <w:sz w:val="28"/>
          <w:szCs w:val="28"/>
        </w:rPr>
      </w:pPr>
      <w:r w:rsidRPr="003064FF">
        <w:rPr>
          <w:b/>
          <w:sz w:val="28"/>
          <w:szCs w:val="28"/>
        </w:rPr>
        <w:t>Exposure Interpolation</w:t>
      </w:r>
    </w:p>
    <w:p w:rsidR="003064FF" w:rsidRDefault="003064FF" w:rsidP="003064FF">
      <w:pPr>
        <w:spacing w:after="200" w:line="360" w:lineRule="auto"/>
      </w:pPr>
    </w:p>
    <w:p w:rsidR="003064FF" w:rsidRDefault="003064FF" w:rsidP="00D83552">
      <w:pPr>
        <w:pStyle w:val="ListParagraph"/>
        <w:numPr>
          <w:ilvl w:val="0"/>
          <w:numId w:val="172"/>
        </w:numPr>
        <w:spacing w:after="200" w:line="360" w:lineRule="auto"/>
      </w:pPr>
      <w:r w:rsidRPr="003064FF">
        <w:rPr>
          <w:u w:val="single"/>
        </w:rPr>
        <w:lastRenderedPageBreak/>
        <w:t>Exposure Interpolation on Broken Dates</w:t>
      </w:r>
      <w:r>
        <w:t>: The dates for the margin period of risk may not coincide with the simulation time steps; in this case some interpolations need to be performed. While Brownian Bridge interpolation is preferred, interpolation using square-root-of-time is also acceptable.</w:t>
      </w:r>
    </w:p>
    <w:p w:rsidR="003064FF" w:rsidRDefault="003064FF" w:rsidP="00D83552">
      <w:pPr>
        <w:pStyle w:val="ListParagraph"/>
        <w:numPr>
          <w:ilvl w:val="0"/>
          <w:numId w:val="172"/>
        </w:numPr>
        <w:spacing w:after="200" w:line="360" w:lineRule="auto"/>
      </w:pPr>
      <w:r>
        <w:rPr>
          <w:u w:val="single"/>
        </w:rPr>
        <w:t>Exposure Value at Margin Date</w:t>
      </w:r>
      <w:r w:rsidRPr="003064FF">
        <w:t>:</w:t>
      </w:r>
      <w:r>
        <w:t xml:space="preserve"> For calculating the collateral amount to be used for MPoR (or the collateralized exposure at time </w:t>
      </w:r>
      <m:oMath>
        <m:r>
          <w:rPr>
            <w:rFonts w:ascii="Cambria Math" w:hAnsi="Cambria Math"/>
          </w:rPr>
          <m:t>t</m:t>
        </m:r>
      </m:oMath>
      <w:r>
        <w:t xml:space="preserve">), the portfolio value of the collateral group </w:t>
      </w:r>
      <m:oMath>
        <m:r>
          <w:rPr>
            <w:rFonts w:ascii="Cambria Math" w:hAnsi="Cambria Math"/>
          </w:rPr>
          <m:t>V</m:t>
        </m:r>
        <m:d>
          <m:dPr>
            <m:ctrlPr>
              <w:rPr>
                <w:rFonts w:ascii="Cambria Math" w:hAnsi="Cambria Math"/>
                <w:i/>
              </w:rPr>
            </m:ctrlPr>
          </m:dPr>
          <m:e>
            <m:r>
              <w:rPr>
                <w:rFonts w:ascii="Cambria Math" w:hAnsi="Cambria Math"/>
              </w:rPr>
              <m:t>t-∆t</m:t>
            </m:r>
          </m:e>
        </m:d>
      </m:oMath>
      <w:r>
        <w:t xml:space="preserve"> needs to be calculated at a prior time </w:t>
      </w:r>
      <m:oMath>
        <m:r>
          <w:rPr>
            <w:rFonts w:ascii="Cambria Math" w:hAnsi="Cambria Math"/>
          </w:rPr>
          <m:t>t-∆t</m:t>
        </m:r>
      </m:oMath>
      <w:r>
        <w:t xml:space="preserve">. The prior value </w:t>
      </w:r>
      <m:oMath>
        <m:r>
          <w:rPr>
            <w:rFonts w:ascii="Cambria Math" w:hAnsi="Cambria Math"/>
          </w:rPr>
          <m:t>V</m:t>
        </m:r>
        <m:d>
          <m:dPr>
            <m:ctrlPr>
              <w:rPr>
                <w:rFonts w:ascii="Cambria Math" w:hAnsi="Cambria Math"/>
                <w:i/>
              </w:rPr>
            </m:ctrlPr>
          </m:dPr>
          <m:e>
            <m:r>
              <w:rPr>
                <w:rFonts w:ascii="Cambria Math" w:hAnsi="Cambria Math"/>
              </w:rPr>
              <m:t>t-∆t</m:t>
            </m:r>
          </m:e>
        </m:d>
      </m:oMath>
      <w:r>
        <w:t xml:space="preserve"> may or may not be readily available in the model implementation.</w:t>
      </w:r>
    </w:p>
    <w:p w:rsidR="00322BBB" w:rsidRDefault="003064FF" w:rsidP="00D83552">
      <w:pPr>
        <w:pStyle w:val="ListParagraph"/>
        <w:numPr>
          <w:ilvl w:val="0"/>
          <w:numId w:val="172"/>
        </w:numPr>
        <w:spacing w:after="200" w:line="360" w:lineRule="auto"/>
      </w:pPr>
      <w:r>
        <w:rPr>
          <w:u w:val="single"/>
        </w:rPr>
        <w:t>Square Root of Time Interpolation</w:t>
      </w:r>
      <w:r w:rsidRPr="003064FF">
        <w:t>:</w:t>
      </w:r>
      <w:r>
        <w:t xml:space="preserve"> If it is not available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will be used, that is</w:t>
      </w:r>
    </w:p>
    <w:p w:rsidR="00322BBB" w:rsidRDefault="00322BBB" w:rsidP="00322BBB">
      <w:pPr>
        <w:pStyle w:val="ListParagraph"/>
        <w:spacing w:after="200" w:line="360" w:lineRule="auto"/>
        <w:ind w:left="360"/>
        <w:rPr>
          <w:u w:val="single"/>
        </w:rPr>
      </w:pPr>
    </w:p>
    <w:p w:rsidR="003064FF" w:rsidRPr="00322BBB" w:rsidRDefault="003064FF" w:rsidP="00322BBB">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322BBB" w:rsidRDefault="00322BBB" w:rsidP="00322BBB">
      <w:pPr>
        <w:pStyle w:val="ListParagraph"/>
        <w:spacing w:after="200" w:line="360" w:lineRule="auto"/>
        <w:ind w:left="360"/>
      </w:pPr>
    </w:p>
    <w:p w:rsidR="00322BBB" w:rsidRDefault="00105A96" w:rsidP="00D83552">
      <w:pPr>
        <w:pStyle w:val="ListParagraph"/>
        <w:numPr>
          <w:ilvl w:val="0"/>
          <w:numId w:val="172"/>
        </w:numPr>
        <w:spacing w:after="200" w:line="360" w:lineRule="auto"/>
      </w:pPr>
      <w:r>
        <w:rPr>
          <w:u w:val="single"/>
        </w:rPr>
        <w:t>Generalized Margin Date Exposure Variance</w:t>
      </w:r>
      <w:r>
        <w:t>: It follows that</w:t>
      </w:r>
    </w:p>
    <w:p w:rsidR="00322BBB" w:rsidRDefault="00322BBB" w:rsidP="00322BBB">
      <w:pPr>
        <w:pStyle w:val="ListParagraph"/>
        <w:spacing w:after="200" w:line="360" w:lineRule="auto"/>
        <w:ind w:left="360"/>
        <w:rPr>
          <w:u w:val="single"/>
        </w:rPr>
      </w:pPr>
    </w:p>
    <w:p w:rsidR="00322BBB" w:rsidRDefault="00105A96" w:rsidP="00322BBB">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322BBB" w:rsidRDefault="00322BBB" w:rsidP="00322BBB">
      <w:pPr>
        <w:pStyle w:val="ListParagraph"/>
        <w:spacing w:after="200" w:line="360" w:lineRule="auto"/>
        <w:ind w:left="360"/>
      </w:pPr>
    </w:p>
    <w:p w:rsidR="00105A96" w:rsidRDefault="00105A96" w:rsidP="00322BBB">
      <w:pPr>
        <w:pStyle w:val="ListParagraph"/>
        <w:spacing w:after="200" w:line="360" w:lineRule="auto"/>
        <w:ind w:left="360"/>
      </w:pPr>
      <w:r>
        <w:t xml:space="preserve">which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322BBB" w:rsidRDefault="00105A96" w:rsidP="00D83552">
      <w:pPr>
        <w:pStyle w:val="ListParagraph"/>
        <w:numPr>
          <w:ilvl w:val="0"/>
          <w:numId w:val="172"/>
        </w:numPr>
        <w:spacing w:after="200" w:line="360" w:lineRule="auto"/>
      </w:pPr>
      <w:r>
        <w:rPr>
          <w:u w:val="single"/>
        </w:rPr>
        <w:t>Brownian Margin Date Exposure Variance</w:t>
      </w:r>
      <w:r w:rsidRPr="00105A96">
        <w:t>:</w:t>
      </w:r>
      <w:r>
        <w:t xml:space="preserve"> Furthermore, if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a standard Brownian motion as a special case, that is, if</w:t>
      </w:r>
    </w:p>
    <w:p w:rsidR="00322BBB" w:rsidRDefault="00322BBB" w:rsidP="00322BBB">
      <w:pPr>
        <w:pStyle w:val="ListParagraph"/>
        <w:spacing w:after="200" w:line="360" w:lineRule="auto"/>
        <w:ind w:left="360"/>
        <w:rPr>
          <w:u w:val="single"/>
        </w:rPr>
      </w:pPr>
    </w:p>
    <w:p w:rsidR="00322BBB" w:rsidRDefault="00105A96" w:rsidP="00322BBB">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22BBB" w:rsidRDefault="00322BBB" w:rsidP="00322BBB">
      <w:pPr>
        <w:pStyle w:val="ListParagraph"/>
        <w:spacing w:after="200" w:line="360" w:lineRule="auto"/>
        <w:ind w:left="360"/>
      </w:pPr>
    </w:p>
    <w:p w:rsidR="00322BBB" w:rsidRDefault="00105A96" w:rsidP="00322BBB">
      <w:pPr>
        <w:pStyle w:val="ListParagraph"/>
        <w:spacing w:after="200" w:line="360" w:lineRule="auto"/>
        <w:ind w:left="360"/>
      </w:pPr>
      <w:r>
        <w:t>then the following desired result is obtained.</w:t>
      </w:r>
    </w:p>
    <w:p w:rsidR="00322BBB" w:rsidRDefault="00322BBB" w:rsidP="00322BBB">
      <w:pPr>
        <w:pStyle w:val="ListParagraph"/>
        <w:spacing w:after="200" w:line="360" w:lineRule="auto"/>
        <w:ind w:left="360"/>
      </w:pPr>
    </w:p>
    <w:p w:rsidR="00105A96" w:rsidRPr="00322BBB" w:rsidRDefault="00105A96" w:rsidP="00322BBB">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322BBB" w:rsidRDefault="00322BBB" w:rsidP="00322BBB">
      <w:pPr>
        <w:pStyle w:val="ListParagraph"/>
        <w:spacing w:after="200" w:line="360" w:lineRule="auto"/>
        <w:ind w:left="360"/>
      </w:pPr>
    </w:p>
    <w:p w:rsidR="00105A96" w:rsidRDefault="00105A96" w:rsidP="00D83552">
      <w:pPr>
        <w:pStyle w:val="ListParagraph"/>
        <w:numPr>
          <w:ilvl w:val="0"/>
          <w:numId w:val="172"/>
        </w:numPr>
        <w:spacing w:after="200" w:line="360" w:lineRule="auto"/>
      </w:pPr>
      <w:r>
        <w:rPr>
          <w:u w:val="single"/>
        </w:rPr>
        <w:t>Contractual Cash Flow Handling #1</w:t>
      </w:r>
      <w:r>
        <w:t xml:space="preserve">: This interpolation does not handle the contractual cash flow impact – due to the cash flows occurring in the time interval </w:t>
      </w:r>
      <m:oMath>
        <m:d>
          <m:dPr>
            <m:begChr m:val="["/>
            <m:endChr m:val="]"/>
            <m:ctrlPr>
              <w:rPr>
                <w:rFonts w:ascii="Cambria Math" w:hAnsi="Cambria Math"/>
                <w:i/>
              </w:rPr>
            </m:ctrlPr>
          </m:dPr>
          <m:e>
            <m:r>
              <w:rPr>
                <w:rFonts w:ascii="Cambria Math" w:hAnsi="Cambria Math"/>
              </w:rPr>
              <m:t>t-∆t, t</m:t>
            </m:r>
          </m:e>
        </m:d>
      </m:oMath>
      <w:r>
        <w:t xml:space="preserve"> - which typically should not be significant unless the counter party is a major dealer, or under special cases.</w:t>
      </w:r>
    </w:p>
    <w:p w:rsidR="00105A96" w:rsidRDefault="00105A96" w:rsidP="00D83552">
      <w:pPr>
        <w:pStyle w:val="ListParagraph"/>
        <w:numPr>
          <w:ilvl w:val="0"/>
          <w:numId w:val="172"/>
        </w:numPr>
        <w:spacing w:after="200" w:line="360" w:lineRule="auto"/>
      </w:pPr>
      <w:r>
        <w:rPr>
          <w:u w:val="single"/>
        </w:rPr>
        <w:t>Contractual Cash Flow Handling #2</w:t>
      </w:r>
      <w:r w:rsidRPr="00105A96">
        <w:t>:</w:t>
      </w:r>
      <w:r>
        <w:t xml:space="preserve"> If the cash flow impact is significant, it needs to be deducted from the discounted expected cash flows in the time interval </w:t>
      </w:r>
      <m:oMath>
        <m:d>
          <m:dPr>
            <m:begChr m:val="["/>
            <m:endChr m:val="]"/>
            <m:ctrlPr>
              <w:rPr>
                <w:rFonts w:ascii="Cambria Math" w:hAnsi="Cambria Math"/>
                <w:i/>
              </w:rPr>
            </m:ctrlPr>
          </m:dPr>
          <m:e>
            <m:r>
              <w:rPr>
                <w:rFonts w:ascii="Cambria Math" w:hAnsi="Cambria Math"/>
              </w:rPr>
              <m:t>t-∆t, t</m:t>
            </m:r>
          </m:e>
        </m:d>
      </m:oMath>
      <w:r>
        <w:t xml:space="preserve"> from </w:t>
      </w:r>
      <m:oMath>
        <m:r>
          <w:rPr>
            <w:rFonts w:ascii="Cambria Math" w:hAnsi="Cambria Math"/>
          </w:rPr>
          <m:t>V</m:t>
        </m:r>
        <m:d>
          <m:dPr>
            <m:ctrlPr>
              <w:rPr>
                <w:rFonts w:ascii="Cambria Math" w:hAnsi="Cambria Math"/>
                <w:i/>
              </w:rPr>
            </m:ctrlPr>
          </m:dPr>
          <m:e>
            <m:r>
              <w:rPr>
                <w:rFonts w:ascii="Cambria Math" w:hAnsi="Cambria Math"/>
              </w:rPr>
              <m:t>s</m:t>
            </m:r>
          </m:e>
        </m:d>
      </m:oMath>
      <w:r>
        <w:t xml:space="preserve"> before performing the above interpolation. Furthermore the cash flows need to be handled explicitly as part of the cash flows at risk as shown in the earlier sections.</w:t>
      </w:r>
    </w:p>
    <w:p w:rsidR="00322BBB" w:rsidRDefault="00322BBB" w:rsidP="00322BBB">
      <w:pPr>
        <w:spacing w:after="200" w:line="360" w:lineRule="auto"/>
      </w:pPr>
    </w:p>
    <w:p w:rsidR="00322BBB" w:rsidRDefault="00322BBB" w:rsidP="00322BBB">
      <w:pPr>
        <w:spacing w:after="200" w:line="360" w:lineRule="auto"/>
      </w:pPr>
    </w:p>
    <w:p w:rsidR="00322BBB" w:rsidRPr="00322BBB" w:rsidRDefault="00322BBB" w:rsidP="00322BBB">
      <w:pPr>
        <w:spacing w:after="200" w:line="360" w:lineRule="auto"/>
        <w:rPr>
          <w:b/>
          <w:sz w:val="28"/>
          <w:szCs w:val="28"/>
        </w:rPr>
      </w:pPr>
      <w:r w:rsidRPr="00322BBB">
        <w:rPr>
          <w:b/>
          <w:sz w:val="28"/>
          <w:szCs w:val="28"/>
        </w:rPr>
        <w:t>Conservative Measures</w:t>
      </w:r>
    </w:p>
    <w:p w:rsidR="00322BBB" w:rsidRDefault="00322BBB" w:rsidP="00322BBB">
      <w:pPr>
        <w:spacing w:after="200" w:line="360" w:lineRule="auto"/>
      </w:pPr>
    </w:p>
    <w:p w:rsidR="00322BBB" w:rsidRDefault="00322BBB" w:rsidP="00D83552">
      <w:pPr>
        <w:pStyle w:val="ListParagraph"/>
        <w:numPr>
          <w:ilvl w:val="0"/>
          <w:numId w:val="173"/>
        </w:numPr>
        <w:spacing w:after="200" w:line="360" w:lineRule="auto"/>
      </w:pPr>
      <w:r w:rsidRPr="00322BBB">
        <w:rPr>
          <w:u w:val="single"/>
        </w:rPr>
        <w:t>Trade Level Conservative Measures with Zero Negative Exposure and Grossing</w:t>
      </w:r>
      <w:r>
        <w:t>: This section develops a conservative measure with zero negative exposure and grossing and an optional remediation of the CVA and DVA model inaccuracies. The essence of the conservative measure is as follows.</w:t>
      </w:r>
    </w:p>
    <w:p w:rsidR="00322BBB" w:rsidRDefault="00322BBB" w:rsidP="00D83552">
      <w:pPr>
        <w:pStyle w:val="ListParagraph"/>
        <w:numPr>
          <w:ilvl w:val="0"/>
          <w:numId w:val="173"/>
        </w:numPr>
        <w:spacing w:after="200" w:line="360" w:lineRule="auto"/>
      </w:pPr>
      <w:r>
        <w:rPr>
          <w:u w:val="single"/>
        </w:rPr>
        <w:t>Zero DVA and No Netting</w:t>
      </w:r>
      <w:r w:rsidRPr="00322BBB">
        <w:t>:</w:t>
      </w:r>
      <w:r>
        <w:t xml:space="preserve"> For trade types that cannot be modeled accurately enough, the associated DVA benefit can be optionally zeroed out, and the netting benefit disallowed.</w:t>
      </w:r>
    </w:p>
    <w:p w:rsidR="00322BBB" w:rsidRDefault="00322BBB" w:rsidP="00D83552">
      <w:pPr>
        <w:pStyle w:val="ListParagraph"/>
        <w:numPr>
          <w:ilvl w:val="0"/>
          <w:numId w:val="173"/>
        </w:numPr>
        <w:spacing w:after="200" w:line="360" w:lineRule="auto"/>
      </w:pPr>
      <w:r>
        <w:rPr>
          <w:u w:val="single"/>
        </w:rPr>
        <w:t>Enforced Conservative IA/IM Terms</w:t>
      </w:r>
      <w:r w:rsidRPr="00322BBB">
        <w:t>:</w:t>
      </w:r>
      <w:r>
        <w:t xml:space="preserve"> More specifically, for each trade with a conservative measure, the exposure at the trade level is priced with grossing (i.e., </w:t>
      </w:r>
      <w:r w:rsidR="00E81F7E">
        <w:t>without netting any trades) using the existing CSA terms (such as collateral thresholds and MTA’s) except that the CP IA/IM is set to zero if they are not zero already, for these trades for further conservativeness.</w:t>
      </w:r>
    </w:p>
    <w:p w:rsidR="00E81F7E" w:rsidRDefault="00E81F7E" w:rsidP="00D83552">
      <w:pPr>
        <w:pStyle w:val="ListParagraph"/>
        <w:numPr>
          <w:ilvl w:val="0"/>
          <w:numId w:val="173"/>
        </w:numPr>
        <w:spacing w:after="200" w:line="360" w:lineRule="auto"/>
      </w:pPr>
      <w:r>
        <w:rPr>
          <w:u w:val="single"/>
        </w:rPr>
        <w:t>Segregated Bank IA/IM Posting</w:t>
      </w:r>
      <w:r w:rsidRPr="00E81F7E">
        <w:t>:</w:t>
      </w:r>
      <w:r>
        <w:t xml:space="preserve"> Initially the focus is on the cases where the bank IA/IM posts, if any, are segregated, and thus with negligible CP risk. In the future phases the IA/IM will be properly allocated. In addition the negative exposures from these trades will be set to zero.</w:t>
      </w:r>
    </w:p>
    <w:p w:rsidR="009E0EB0" w:rsidRDefault="00A867A3" w:rsidP="00D83552">
      <w:pPr>
        <w:pStyle w:val="ListParagraph"/>
        <w:numPr>
          <w:ilvl w:val="0"/>
          <w:numId w:val="173"/>
        </w:numPr>
        <w:spacing w:after="200" w:line="360" w:lineRule="auto"/>
      </w:pPr>
      <w:r>
        <w:rPr>
          <w:u w:val="single"/>
        </w:rPr>
        <w:lastRenderedPageBreak/>
        <w:t>Break down of the Netting Sets</w:t>
      </w:r>
      <w:r w:rsidRPr="00A867A3">
        <w:t>:</w:t>
      </w:r>
      <w:r>
        <w:t xml:space="preserve"> As shown in the previous sections that time </w:t>
      </w:r>
      <m:oMath>
        <m:r>
          <w:rPr>
            <w:rFonts w:ascii="Cambria Math" w:hAnsi="Cambria Math"/>
          </w:rPr>
          <m:t>t</m:t>
        </m:r>
      </m:oMath>
      <w:r>
        <w:t xml:space="preserve"> exposure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9E0EB0">
        <w:t xml:space="preserve"> CP netting group is given by</w:t>
      </w:r>
    </w:p>
    <w:p w:rsidR="009E0EB0" w:rsidRDefault="009E0EB0" w:rsidP="009E0EB0">
      <w:pPr>
        <w:pStyle w:val="ListParagraph"/>
        <w:spacing w:after="200" w:line="360" w:lineRule="auto"/>
        <w:ind w:left="360"/>
        <w:rPr>
          <w:u w:val="single"/>
        </w:rPr>
      </w:pPr>
    </w:p>
    <w:p w:rsidR="009E0EB0" w:rsidRDefault="005D6A21"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9E0EB0" w:rsidRDefault="009E0EB0" w:rsidP="009E0EB0">
      <w:pPr>
        <w:pStyle w:val="ListParagraph"/>
        <w:spacing w:after="200" w:line="360" w:lineRule="auto"/>
        <w:ind w:left="360"/>
      </w:pPr>
    </w:p>
    <w:p w:rsidR="009E0EB0" w:rsidRDefault="00A867A3" w:rsidP="009E0EB0">
      <w:pPr>
        <w:pStyle w:val="ListParagraph"/>
        <w:spacing w:after="200" w:line="360" w:lineRule="auto"/>
        <w:ind w:left="360"/>
      </w:pPr>
      <w:r>
        <w:t xml:space="preserve">which can be broken at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level as</w:t>
      </w:r>
    </w:p>
    <w:p w:rsidR="009E0EB0" w:rsidRDefault="009E0EB0" w:rsidP="009E0EB0">
      <w:pPr>
        <w:pStyle w:val="ListParagraph"/>
        <w:spacing w:after="200" w:line="360" w:lineRule="auto"/>
        <w:ind w:left="360"/>
      </w:pPr>
    </w:p>
    <w:p w:rsidR="009E0EB0" w:rsidRDefault="005D6A21"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9E0EB0" w:rsidRDefault="009E0EB0" w:rsidP="009E0EB0">
      <w:pPr>
        <w:pStyle w:val="ListParagraph"/>
        <w:spacing w:after="200" w:line="360" w:lineRule="auto"/>
        <w:ind w:left="360"/>
      </w:pPr>
    </w:p>
    <w:p w:rsidR="009E0EB0" w:rsidRDefault="00473CA5" w:rsidP="009E0EB0">
      <w:pPr>
        <w:pStyle w:val="ListParagraph"/>
        <w:spacing w:after="200" w:line="360" w:lineRule="auto"/>
        <w:ind w:left="360"/>
      </w:pPr>
      <w:r>
        <w:t xml:space="preserve">which can be further separated into values from regularly modeled trades (with variables with </w:t>
      </w:r>
      <m:oMath>
        <m:r>
          <w:rPr>
            <w:rFonts w:ascii="Cambria Math" w:hAnsi="Cambria Math"/>
          </w:rPr>
          <m:t>^</m:t>
        </m:r>
      </m:oMath>
      <w:r>
        <w:t>) and the trades with the conservatives measures (CM) as</w:t>
      </w:r>
    </w:p>
    <w:p w:rsidR="009E0EB0" w:rsidRDefault="009E0EB0" w:rsidP="009E0EB0">
      <w:pPr>
        <w:pStyle w:val="ListParagraph"/>
        <w:spacing w:after="200" w:line="360" w:lineRule="auto"/>
        <w:ind w:left="360"/>
      </w:pPr>
    </w:p>
    <w:p w:rsidR="00A867A3" w:rsidRPr="009E0EB0" w:rsidRDefault="005D6A21"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m:t>
                      </m:r>
                      <m:r>
                        <w:rPr>
                          <w:rFonts w:ascii="Cambria Math" w:hAnsi="Cambria Math"/>
                        </w:rPr>
                        <m:t>teral</m:t>
                      </m:r>
                    </m:e>
                    <m:sub>
                      <m:r>
                        <w:rPr>
                          <w:rFonts w:ascii="Cambria Math" w:hAnsi="Cambria Math"/>
                        </w:rPr>
                        <m:t>ij</m:t>
                      </m:r>
                    </m:sub>
                  </m:sSub>
                  <m:d>
                    <m:dPr>
                      <m:ctrlPr>
                        <w:rPr>
                          <w:rFonts w:ascii="Cambria Math" w:hAnsi="Cambria Math"/>
                          <w:i/>
                        </w:rPr>
                      </m:ctrlPr>
                    </m:dPr>
                    <m:e>
                      <m:r>
                        <w:rPr>
                          <w:rFonts w:ascii="Cambria Math" w:hAnsi="Cambria Math"/>
                        </w:rPr>
                        <m:t>t</m:t>
                      </m:r>
                    </m:e>
                  </m:d>
                </m:e>
              </m:d>
            </m:e>
          </m:nary>
        </m:oMath>
      </m:oMathPara>
    </w:p>
    <w:p w:rsidR="009E0EB0" w:rsidRDefault="009E0EB0" w:rsidP="009E0EB0">
      <w:pPr>
        <w:pStyle w:val="ListParagraph"/>
        <w:spacing w:after="200" w:line="360" w:lineRule="auto"/>
        <w:ind w:left="360"/>
      </w:pPr>
    </w:p>
    <w:p w:rsidR="009E0EB0" w:rsidRDefault="00473CA5" w:rsidP="00D83552">
      <w:pPr>
        <w:pStyle w:val="ListParagraph"/>
        <w:numPr>
          <w:ilvl w:val="0"/>
          <w:numId w:val="173"/>
        </w:numPr>
        <w:spacing w:after="200" w:line="360" w:lineRule="auto"/>
      </w:pPr>
      <w:r>
        <w:rPr>
          <w:u w:val="single"/>
        </w:rPr>
        <w:t>The Conservative Measure Position Exposure</w:t>
      </w:r>
      <w:r>
        <w:t>: The positive exposure with the conservative measure (CM) is given by</w:t>
      </w:r>
    </w:p>
    <w:p w:rsidR="009E0EB0" w:rsidRDefault="009E0EB0" w:rsidP="009E0EB0">
      <w:pPr>
        <w:pStyle w:val="ListParagraph"/>
        <w:spacing w:after="200" w:line="360" w:lineRule="auto"/>
        <w:ind w:left="360"/>
        <w:rPr>
          <w:u w:val="single"/>
        </w:rPr>
      </w:pPr>
    </w:p>
    <w:p w:rsidR="00473CA5" w:rsidRPr="009E0EB0" w:rsidRDefault="005D6A21"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9E0EB0" w:rsidRDefault="009E0EB0" w:rsidP="009E0EB0">
      <w:pPr>
        <w:pStyle w:val="ListParagraph"/>
        <w:spacing w:after="200" w:line="360" w:lineRule="auto"/>
        <w:ind w:left="360"/>
      </w:pPr>
    </w:p>
    <w:p w:rsidR="009E0EB0" w:rsidRDefault="008A4130" w:rsidP="00D83552">
      <w:pPr>
        <w:pStyle w:val="ListParagraph"/>
        <w:numPr>
          <w:ilvl w:val="0"/>
          <w:numId w:val="173"/>
        </w:numPr>
        <w:spacing w:after="200" w:line="360" w:lineRule="auto"/>
      </w:pPr>
      <w:r>
        <w:rPr>
          <w:u w:val="single"/>
        </w:rPr>
        <w:t>Conservativeness of the Positive Exposure</w:t>
      </w:r>
      <w:r>
        <w:t>: Recognizing that, by construction</w:t>
      </w:r>
    </w:p>
    <w:p w:rsidR="009E0EB0" w:rsidRDefault="009E0EB0" w:rsidP="009E0EB0">
      <w:pPr>
        <w:pStyle w:val="ListParagraph"/>
        <w:spacing w:after="200" w:line="360" w:lineRule="auto"/>
        <w:ind w:left="360"/>
        <w:rPr>
          <w:u w:val="single"/>
        </w:rPr>
      </w:pPr>
    </w:p>
    <w:p w:rsidR="009E0EB0" w:rsidRDefault="005D6A21" w:rsidP="009E0EB0">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e>
              </m:d>
            </m:e>
          </m:nary>
        </m:oMath>
      </m:oMathPara>
    </w:p>
    <w:p w:rsidR="009E0EB0" w:rsidRDefault="009E0EB0" w:rsidP="009E0EB0">
      <w:pPr>
        <w:pStyle w:val="ListParagraph"/>
        <w:spacing w:after="200" w:line="360" w:lineRule="auto"/>
        <w:ind w:left="360"/>
      </w:pPr>
    </w:p>
    <w:p w:rsidR="009E0EB0" w:rsidRDefault="008A4130" w:rsidP="009E0EB0">
      <w:pPr>
        <w:pStyle w:val="ListParagraph"/>
        <w:spacing w:after="200" w:line="360" w:lineRule="auto"/>
        <w:ind w:left="360"/>
      </w:pPr>
      <w:r>
        <w:lastRenderedPageBreak/>
        <w:t>and for the uncollateralized or the fully collateralized cases (with CP and bank thresholds and zero CP and bank MTA’s)</w:t>
      </w:r>
    </w:p>
    <w:p w:rsidR="009E0EB0" w:rsidRDefault="009E0EB0" w:rsidP="009E0EB0">
      <w:pPr>
        <w:pStyle w:val="ListParagraph"/>
        <w:spacing w:after="200" w:line="360" w:lineRule="auto"/>
        <w:ind w:left="360"/>
      </w:pPr>
    </w:p>
    <w:p w:rsidR="009E0EB0" w:rsidRDefault="005D6A21" w:rsidP="009E0EB0">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9E0EB0" w:rsidRDefault="009E0EB0" w:rsidP="009E0EB0">
      <w:pPr>
        <w:pStyle w:val="ListParagraph"/>
        <w:spacing w:after="200" w:line="360" w:lineRule="auto"/>
        <w:ind w:left="360"/>
      </w:pPr>
    </w:p>
    <w:p w:rsidR="009E0EB0" w:rsidRDefault="008A4130" w:rsidP="009E0EB0">
      <w:pPr>
        <w:pStyle w:val="ListParagraph"/>
        <w:spacing w:after="200" w:line="360" w:lineRule="auto"/>
        <w:ind w:left="360"/>
      </w:pPr>
      <w:r>
        <w:t>one has</w:t>
      </w:r>
    </w:p>
    <w:p w:rsidR="009E0EB0" w:rsidRDefault="009E0EB0" w:rsidP="009E0EB0">
      <w:pPr>
        <w:pStyle w:val="ListParagraph"/>
        <w:spacing w:after="200" w:line="360" w:lineRule="auto"/>
        <w:ind w:left="360"/>
      </w:pPr>
    </w:p>
    <w:p w:rsidR="009E0EB0" w:rsidRDefault="005D6A21"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9E0EB0" w:rsidRDefault="009E0EB0" w:rsidP="009E0EB0">
      <w:pPr>
        <w:pStyle w:val="ListParagraph"/>
        <w:spacing w:after="200" w:line="360" w:lineRule="auto"/>
        <w:ind w:left="360"/>
      </w:pPr>
    </w:p>
    <w:p w:rsidR="008A4130" w:rsidRDefault="0070033E" w:rsidP="009E0EB0">
      <w:pPr>
        <w:pStyle w:val="ListParagraph"/>
        <w:spacing w:after="200" w:line="360" w:lineRule="auto"/>
        <w:ind w:left="360"/>
      </w:pPr>
      <w:r>
        <w:t>which demonstrates the conservatives of the CVA – the focus of CCAR.</w:t>
      </w:r>
    </w:p>
    <w:p w:rsidR="009E0EB0" w:rsidRDefault="0070033E" w:rsidP="00D83552">
      <w:pPr>
        <w:pStyle w:val="ListParagraph"/>
        <w:numPr>
          <w:ilvl w:val="0"/>
          <w:numId w:val="173"/>
        </w:numPr>
        <w:spacing w:after="200" w:line="360" w:lineRule="auto"/>
      </w:pPr>
      <w:r>
        <w:rPr>
          <w:u w:val="single"/>
        </w:rPr>
        <w:t>Conservativeness of the Negative Exposures</w:t>
      </w:r>
      <w:r w:rsidRPr="0070033E">
        <w:t>:</w:t>
      </w:r>
      <w:r>
        <w:t xml:space="preserve"> The negative exposure with the conservative measure (CM) is given by</w:t>
      </w:r>
    </w:p>
    <w:p w:rsidR="009E0EB0" w:rsidRDefault="009E0EB0" w:rsidP="009E0EB0">
      <w:pPr>
        <w:pStyle w:val="ListParagraph"/>
        <w:spacing w:after="200" w:line="360" w:lineRule="auto"/>
        <w:ind w:left="360"/>
        <w:rPr>
          <w:u w:val="single"/>
        </w:rPr>
      </w:pPr>
    </w:p>
    <w:p w:rsidR="0070033E" w:rsidRPr="009E0EB0" w:rsidRDefault="005D6A21"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9E0EB0" w:rsidRDefault="009E0EB0" w:rsidP="009E0EB0">
      <w:pPr>
        <w:pStyle w:val="ListParagraph"/>
        <w:spacing w:after="200" w:line="360" w:lineRule="auto"/>
        <w:ind w:left="360"/>
      </w:pPr>
    </w:p>
    <w:p w:rsidR="00E0176D" w:rsidRDefault="00E0176D" w:rsidP="00D83552">
      <w:pPr>
        <w:pStyle w:val="ListParagraph"/>
        <w:numPr>
          <w:ilvl w:val="0"/>
          <w:numId w:val="173"/>
        </w:numPr>
        <w:spacing w:after="200" w:line="360" w:lineRule="auto"/>
      </w:pPr>
      <w:r>
        <w:rPr>
          <w:u w:val="single"/>
        </w:rPr>
        <w:t>Conservativeness of the CVA and the DVA</w:t>
      </w:r>
      <w:r>
        <w:t>: In general, while mathematically the conservativeness of the DVA cannot always be guaranteed (as is also true for CVA in case of partial collateralization), in practice the CVA and the CVA+DVA are conservative as this conservative measure is overly conservative; further monitoring will be provided for this.</w:t>
      </w:r>
    </w:p>
    <w:p w:rsidR="00E0176D" w:rsidRDefault="00E0176D" w:rsidP="00D83552">
      <w:pPr>
        <w:pStyle w:val="ListParagraph"/>
        <w:numPr>
          <w:ilvl w:val="0"/>
          <w:numId w:val="173"/>
        </w:numPr>
        <w:spacing w:after="200" w:line="360" w:lineRule="auto"/>
      </w:pPr>
      <w:r>
        <w:rPr>
          <w:u w:val="single"/>
        </w:rPr>
        <w:t>Zeroing out of the DVA</w:t>
      </w:r>
      <w:r>
        <w:t xml:space="preserve">: For further conservativeness, the entire DVA of a CP netting group </w:t>
      </w:r>
      <w:r w:rsidR="009E0EB0">
        <w:t>containing any trade with a trade-level conservative measure can also be optionally zeroed out.</w:t>
      </w:r>
    </w:p>
    <w:p w:rsidR="009E0EB0" w:rsidRDefault="009E0EB0" w:rsidP="009E0EB0">
      <w:pPr>
        <w:spacing w:after="200" w:line="360" w:lineRule="auto"/>
      </w:pPr>
    </w:p>
    <w:p w:rsidR="009E0EB0" w:rsidRDefault="009E0EB0" w:rsidP="009E0EB0">
      <w:pPr>
        <w:spacing w:after="200" w:line="360" w:lineRule="auto"/>
      </w:pPr>
    </w:p>
    <w:p w:rsidR="009E0EB0" w:rsidRPr="009E0EB0" w:rsidRDefault="009E0EB0" w:rsidP="009E0EB0">
      <w:pPr>
        <w:spacing w:after="200" w:line="360" w:lineRule="auto"/>
        <w:rPr>
          <w:b/>
          <w:sz w:val="28"/>
          <w:szCs w:val="28"/>
        </w:rPr>
      </w:pPr>
      <w:r w:rsidRPr="009E0EB0">
        <w:rPr>
          <w:b/>
          <w:sz w:val="28"/>
          <w:szCs w:val="28"/>
        </w:rPr>
        <w:t>Portfolio Level Conservative Measure for Cross-Asset or Cross-System Portfolios</w:t>
      </w:r>
    </w:p>
    <w:p w:rsidR="009E0EB0" w:rsidRDefault="009E0EB0" w:rsidP="009E0EB0">
      <w:pPr>
        <w:spacing w:after="200" w:line="360" w:lineRule="auto"/>
      </w:pPr>
    </w:p>
    <w:p w:rsidR="009E0EB0" w:rsidRDefault="009E0EB0" w:rsidP="00D83552">
      <w:pPr>
        <w:pStyle w:val="ListParagraph"/>
        <w:numPr>
          <w:ilvl w:val="0"/>
          <w:numId w:val="174"/>
        </w:numPr>
        <w:spacing w:after="200" w:line="360" w:lineRule="auto"/>
      </w:pPr>
      <w:r w:rsidRPr="009E0EB0">
        <w:rPr>
          <w:u w:val="single"/>
        </w:rPr>
        <w:t>Cross-Asset Portfolio Breakdown</w:t>
      </w:r>
      <w:r>
        <w:t>: For a CP netting and/or collateral group with trades across assets, before the true cross-asset CVA models become available, the CP netting group and/or collateral groups can be artificially broken down into multiple sub-groups with each group containing trades from only a single asset class, and these are then independently run for CVA and DVA.</w:t>
      </w:r>
    </w:p>
    <w:p w:rsidR="009E0EB0" w:rsidRDefault="009E0EB0" w:rsidP="00D83552">
      <w:pPr>
        <w:pStyle w:val="ListParagraph"/>
        <w:numPr>
          <w:ilvl w:val="0"/>
          <w:numId w:val="174"/>
        </w:numPr>
        <w:spacing w:after="200" w:line="360" w:lineRule="auto"/>
      </w:pPr>
      <w:r>
        <w:rPr>
          <w:u w:val="single"/>
        </w:rPr>
        <w:t>Applying the Conservative Collateral Measures</w:t>
      </w:r>
      <w:r w:rsidRPr="009E0EB0">
        <w:t>:</w:t>
      </w:r>
      <w:r>
        <w:t xml:space="preserve"> The same collateral rules for each sub-group are applied independently and the CP IA/IM are set to zero if they are not zero already, for these portfolios for further conservativeness.</w:t>
      </w:r>
    </w:p>
    <w:p w:rsidR="00BF6D65" w:rsidRDefault="00BF6D65" w:rsidP="00D83552">
      <w:pPr>
        <w:pStyle w:val="ListParagraph"/>
        <w:numPr>
          <w:ilvl w:val="0"/>
          <w:numId w:val="174"/>
        </w:numPr>
        <w:spacing w:after="200" w:line="360" w:lineRule="auto"/>
      </w:pPr>
      <w:r>
        <w:rPr>
          <w:u w:val="single"/>
        </w:rPr>
        <w:t>Segregation of Bank IA/IM</w:t>
      </w:r>
      <w:r w:rsidRPr="00BF6D65">
        <w:t>:</w:t>
      </w:r>
      <w:r>
        <w:t xml:space="preserve"> The focus is on cases where the bank IA/IM posts, if any, are segregated, and thus with negligible CP risk. Future releases will</w:t>
      </w:r>
      <w:r w:rsidR="008B0823">
        <w:t xml:space="preserve"> properly allocate the IA/IM.</w:t>
      </w:r>
    </w:p>
    <w:p w:rsidR="00BF6D65" w:rsidRDefault="00BF6D65" w:rsidP="00D83552">
      <w:pPr>
        <w:pStyle w:val="ListParagraph"/>
        <w:numPr>
          <w:ilvl w:val="0"/>
          <w:numId w:val="174"/>
        </w:numPr>
        <w:spacing w:after="200" w:line="360" w:lineRule="auto"/>
      </w:pPr>
      <w:r>
        <w:rPr>
          <w:u w:val="single"/>
        </w:rPr>
        <w:t>Conservativeness of the Collateralized/Uncollateralized Cases</w:t>
      </w:r>
      <w:r w:rsidR="008B0823">
        <w:t>: The above is conservative for the CVA – the focus of CCAR – for the uncollateralized or the fully collateralized cases (with zero CP and bank thresholds and zero CP and bank MTA’s) similar to the analysis of the previous section.</w:t>
      </w:r>
    </w:p>
    <w:p w:rsidR="008B0823" w:rsidRDefault="008B0823" w:rsidP="00D83552">
      <w:pPr>
        <w:pStyle w:val="ListParagraph"/>
        <w:numPr>
          <w:ilvl w:val="0"/>
          <w:numId w:val="174"/>
        </w:numPr>
        <w:spacing w:after="200" w:line="360" w:lineRule="auto"/>
      </w:pPr>
      <w:r>
        <w:rPr>
          <w:u w:val="single"/>
        </w:rPr>
        <w:t>Conservativeness of the Portfolio CVA/DVA</w:t>
      </w:r>
      <w:r w:rsidRPr="008B0823">
        <w:t>:</w:t>
      </w:r>
      <w:r>
        <w:t xml:space="preserve"> While mathematically, in general, one cannot always guarantee the conservatives of the DVA ( and of the CVA in case of partial collateralization), in practice the CVA and the CVA+DVA are conservative as this conservative </w:t>
      </w:r>
      <w:proofErr w:type="spellStart"/>
      <w:r>
        <w:t>emasure</w:t>
      </w:r>
      <w:proofErr w:type="spellEnd"/>
      <w:r>
        <w:t xml:space="preserve"> is overly conservative; further monitoring will be needed for this.</w:t>
      </w:r>
    </w:p>
    <w:p w:rsidR="008B0823" w:rsidRDefault="008B0823" w:rsidP="00D83552">
      <w:pPr>
        <w:pStyle w:val="ListParagraph"/>
        <w:numPr>
          <w:ilvl w:val="0"/>
          <w:numId w:val="174"/>
        </w:numPr>
        <w:spacing w:after="200" w:line="360" w:lineRule="auto"/>
      </w:pPr>
      <w:r>
        <w:rPr>
          <w:u w:val="single"/>
        </w:rPr>
        <w:t>Zeroing Out of Portfolio DVA</w:t>
      </w:r>
      <w:r w:rsidRPr="008B0823">
        <w:t>:</w:t>
      </w:r>
      <w:r>
        <w:t xml:space="preserve"> Optionally, as a further conservativeness measure, the bank marginal default probability is bounded to be no greater than that of the CP and the bank threshold</w:t>
      </w:r>
      <w:r w:rsidR="00D10F47">
        <w:t>/</w:t>
      </w:r>
      <w:r>
        <w:t>MTA</w:t>
      </w:r>
      <w:r w:rsidR="00D10F47">
        <w:t xml:space="preserve"> is bounded to be no greater than that of the CP – in terms of absolute values – respectively.</w:t>
      </w:r>
    </w:p>
    <w:p w:rsidR="00D10F47" w:rsidRDefault="00D10F47" w:rsidP="00D10F47">
      <w:pPr>
        <w:spacing w:after="200" w:line="360" w:lineRule="auto"/>
      </w:pPr>
    </w:p>
    <w:p w:rsidR="00D10F47" w:rsidRDefault="00D10F47" w:rsidP="00D10F47">
      <w:pPr>
        <w:spacing w:after="200" w:line="360" w:lineRule="auto"/>
      </w:pPr>
    </w:p>
    <w:p w:rsidR="00D10F47" w:rsidRPr="00D10F47" w:rsidRDefault="00D10F47" w:rsidP="00D10F47">
      <w:pPr>
        <w:spacing w:after="200" w:line="360" w:lineRule="auto"/>
        <w:rPr>
          <w:b/>
          <w:sz w:val="28"/>
          <w:szCs w:val="28"/>
        </w:rPr>
      </w:pPr>
      <w:r w:rsidRPr="00D10F47">
        <w:rPr>
          <w:b/>
          <w:sz w:val="28"/>
          <w:szCs w:val="28"/>
        </w:rPr>
        <w:lastRenderedPageBreak/>
        <w:t>Monitoring and Materiality Analysis</w:t>
      </w:r>
    </w:p>
    <w:p w:rsidR="00D10F47" w:rsidRDefault="00D10F47" w:rsidP="00D10F47">
      <w:pPr>
        <w:spacing w:after="200" w:line="360" w:lineRule="auto"/>
      </w:pPr>
    </w:p>
    <w:p w:rsidR="00D10F47" w:rsidRDefault="00D10F47" w:rsidP="00D83552">
      <w:pPr>
        <w:pStyle w:val="ListParagraph"/>
        <w:numPr>
          <w:ilvl w:val="0"/>
          <w:numId w:val="175"/>
        </w:numPr>
        <w:spacing w:after="200" w:line="360" w:lineRule="auto"/>
      </w:pPr>
      <w:r w:rsidRPr="00D10F47">
        <w:rPr>
          <w:u w:val="single"/>
        </w:rPr>
        <w:t>Zero IA/IM and Segregation</w:t>
      </w:r>
      <w:r>
        <w:t>: Monitoring should be done to ensure that the IA/IM are set to zero for conservativeness, and the IA/IM bank posts, if any, are segregated (and thus with negligible CP risk).</w:t>
      </w:r>
    </w:p>
    <w:p w:rsidR="00D10F47" w:rsidRDefault="00D10F47" w:rsidP="00D83552">
      <w:pPr>
        <w:pStyle w:val="ListParagraph"/>
        <w:numPr>
          <w:ilvl w:val="0"/>
          <w:numId w:val="175"/>
        </w:numPr>
        <w:spacing w:after="200" w:line="360" w:lineRule="auto"/>
      </w:pPr>
      <w:r>
        <w:rPr>
          <w:u w:val="single"/>
        </w:rPr>
        <w:t>Monitoring and Demonstration of Conservativeness</w:t>
      </w:r>
      <w:r w:rsidRPr="00D10F47">
        <w:t>:</w:t>
      </w:r>
      <w:r>
        <w:t xml:space="preserve"> For trade-level conservatives the monitoring needs to ensure that the total CVA with the conservative measure is less than 5% of the total CVA of the bank. The conservativeness of the CVA and the CVA+DVA under the conservative measure needs to be demonstrated in comparison with those without the conservative measures.</w:t>
      </w:r>
    </w:p>
    <w:p w:rsidR="00D10F47" w:rsidRDefault="00D10F47" w:rsidP="00D83552">
      <w:pPr>
        <w:pStyle w:val="ListParagraph"/>
        <w:numPr>
          <w:ilvl w:val="0"/>
          <w:numId w:val="175"/>
        </w:numPr>
        <w:spacing w:after="200" w:line="360" w:lineRule="auto"/>
      </w:pPr>
      <w:r>
        <w:rPr>
          <w:u w:val="single"/>
        </w:rPr>
        <w:t>Portfolio Level Conservativeness Monitoring/Verification</w:t>
      </w:r>
      <w:r w:rsidRPr="00D10F47">
        <w:t>:</w:t>
      </w:r>
      <w:r>
        <w:t xml:space="preserve"> For the portfolio level conservative measure, the conservativeness of the CVA and the CVA+DVA also needs to be monitored and ensured.</w:t>
      </w:r>
    </w:p>
    <w:p w:rsidR="00D10F47" w:rsidRDefault="00D10F47" w:rsidP="00D10F47">
      <w:pPr>
        <w:spacing w:after="200" w:line="360" w:lineRule="auto"/>
      </w:pPr>
    </w:p>
    <w:p w:rsidR="00D10F47" w:rsidRDefault="00D10F47" w:rsidP="00D10F47">
      <w:pPr>
        <w:spacing w:after="200" w:line="360" w:lineRule="auto"/>
      </w:pPr>
    </w:p>
    <w:p w:rsidR="00D10F47" w:rsidRPr="00D10F47" w:rsidRDefault="00D10F47" w:rsidP="00D10F47">
      <w:pPr>
        <w:spacing w:after="200" w:line="360" w:lineRule="auto"/>
        <w:rPr>
          <w:b/>
          <w:sz w:val="28"/>
          <w:szCs w:val="28"/>
        </w:rPr>
      </w:pPr>
      <w:r w:rsidRPr="00D10F47">
        <w:rPr>
          <w:b/>
          <w:sz w:val="28"/>
          <w:szCs w:val="28"/>
        </w:rPr>
        <w:t>CVA/DVA Valuation</w:t>
      </w:r>
    </w:p>
    <w:p w:rsidR="00D10F47" w:rsidRDefault="00D10F47" w:rsidP="00D10F47">
      <w:pPr>
        <w:spacing w:after="200" w:line="360" w:lineRule="auto"/>
      </w:pPr>
    </w:p>
    <w:p w:rsidR="00D10F47" w:rsidRDefault="00D10F47" w:rsidP="00D83552">
      <w:pPr>
        <w:pStyle w:val="ListParagraph"/>
        <w:numPr>
          <w:ilvl w:val="0"/>
          <w:numId w:val="176"/>
        </w:numPr>
        <w:spacing w:after="200" w:line="360" w:lineRule="auto"/>
      </w:pPr>
      <w:r w:rsidRPr="00D10F47">
        <w:rPr>
          <w:u w:val="single"/>
        </w:rPr>
        <w:t>Market Parameters for CVA Calculation</w:t>
      </w:r>
      <w:r>
        <w:t>: This section details the valuation of the CVA and the DVA – calculated from the expected default losses from the counter party exposures, the default probabilities, and the recoveries of the counter party and the bank.</w:t>
      </w:r>
    </w:p>
    <w:p w:rsidR="000058DF" w:rsidRDefault="000058DF" w:rsidP="00D83552">
      <w:pPr>
        <w:pStyle w:val="ListParagraph"/>
        <w:numPr>
          <w:ilvl w:val="0"/>
          <w:numId w:val="176"/>
        </w:numPr>
        <w:spacing w:after="200" w:line="360" w:lineRule="auto"/>
      </w:pPr>
      <w:r>
        <w:rPr>
          <w:u w:val="single"/>
        </w:rPr>
        <w:t>Market Implied Default Probabilities and Recoveries</w:t>
      </w:r>
      <w:r w:rsidRPr="000058DF">
        <w:t>:</w:t>
      </w:r>
      <w:r>
        <w:t xml:space="preserve"> The following waterfall is used based on the data availability for deriving the default probabilities for each of the counter parties and the bank.</w:t>
      </w:r>
    </w:p>
    <w:p w:rsidR="000058DF" w:rsidRDefault="000058DF" w:rsidP="00D83552">
      <w:pPr>
        <w:pStyle w:val="ListParagraph"/>
        <w:numPr>
          <w:ilvl w:val="1"/>
          <w:numId w:val="176"/>
        </w:numPr>
        <w:spacing w:after="200" w:line="360" w:lineRule="auto"/>
      </w:pPr>
      <w:r>
        <w:t>CDS spread, recovery swaps</w:t>
      </w:r>
    </w:p>
    <w:p w:rsidR="000058DF" w:rsidRDefault="000058DF" w:rsidP="00D83552">
      <w:pPr>
        <w:pStyle w:val="ListParagraph"/>
        <w:numPr>
          <w:ilvl w:val="1"/>
          <w:numId w:val="176"/>
        </w:numPr>
        <w:spacing w:after="200" w:line="360" w:lineRule="auto"/>
      </w:pPr>
      <w:r>
        <w:t>CDS spread, CDS recovery</w:t>
      </w:r>
    </w:p>
    <w:p w:rsidR="000058DF" w:rsidRDefault="000058DF" w:rsidP="00D83552">
      <w:pPr>
        <w:pStyle w:val="ListParagraph"/>
        <w:numPr>
          <w:ilvl w:val="1"/>
          <w:numId w:val="176"/>
        </w:numPr>
        <w:spacing w:after="200" w:line="360" w:lineRule="auto"/>
      </w:pPr>
      <w:r>
        <w:t>Equivalent CDS spread derived from bonds or loans.</w:t>
      </w:r>
    </w:p>
    <w:p w:rsidR="000058DF" w:rsidRDefault="000058DF" w:rsidP="000058DF">
      <w:pPr>
        <w:pStyle w:val="ListParagraph"/>
        <w:spacing w:after="200" w:line="360" w:lineRule="auto"/>
        <w:ind w:left="360"/>
      </w:pPr>
      <w:r>
        <w:t>More details are covered on the section on CVA/DVA curve construction.</w:t>
      </w:r>
    </w:p>
    <w:p w:rsidR="000058DF" w:rsidRDefault="000058DF" w:rsidP="000058DF">
      <w:pPr>
        <w:spacing w:after="200" w:line="360" w:lineRule="auto"/>
      </w:pPr>
    </w:p>
    <w:p w:rsidR="000058DF" w:rsidRDefault="000058DF" w:rsidP="000058DF">
      <w:pPr>
        <w:spacing w:after="200" w:line="360" w:lineRule="auto"/>
      </w:pPr>
    </w:p>
    <w:p w:rsidR="000058DF" w:rsidRPr="000058DF" w:rsidRDefault="000058DF" w:rsidP="000058DF">
      <w:pPr>
        <w:spacing w:after="200" w:line="360" w:lineRule="auto"/>
        <w:rPr>
          <w:b/>
          <w:sz w:val="28"/>
          <w:szCs w:val="28"/>
        </w:rPr>
      </w:pPr>
      <w:r w:rsidRPr="000058DF">
        <w:rPr>
          <w:b/>
          <w:sz w:val="28"/>
          <w:szCs w:val="28"/>
        </w:rPr>
        <w:t>Overview of Wrong-Way and Right-Way Risks</w:t>
      </w:r>
    </w:p>
    <w:p w:rsidR="000058DF" w:rsidRDefault="000058DF" w:rsidP="000058DF">
      <w:pPr>
        <w:spacing w:after="200" w:line="360" w:lineRule="auto"/>
      </w:pPr>
    </w:p>
    <w:p w:rsidR="000058DF" w:rsidRDefault="000058DF" w:rsidP="00D83552">
      <w:pPr>
        <w:pStyle w:val="ListParagraph"/>
        <w:numPr>
          <w:ilvl w:val="0"/>
          <w:numId w:val="177"/>
        </w:numPr>
        <w:spacing w:after="200" w:line="360" w:lineRule="auto"/>
      </w:pPr>
      <w:r w:rsidRPr="000058DF">
        <w:rPr>
          <w:u w:val="single"/>
        </w:rPr>
        <w:t>Right and Wrong Way Risks</w:t>
      </w:r>
      <w:r>
        <w:t>: Wrong way and right way risks refer to the co-movements or the co-dependency of the CP credit quality or the default event with the CP exposure, and possibly with the CP default recovery or the CP recovery rate.</w:t>
      </w:r>
    </w:p>
    <w:p w:rsidR="000058DF" w:rsidRDefault="000058DF" w:rsidP="00D83552">
      <w:pPr>
        <w:pStyle w:val="ListParagraph"/>
        <w:numPr>
          <w:ilvl w:val="0"/>
          <w:numId w:val="177"/>
        </w:numPr>
        <w:spacing w:after="200" w:line="360" w:lineRule="auto"/>
      </w:pPr>
      <w:r>
        <w:rPr>
          <w:u w:val="single"/>
        </w:rPr>
        <w:t>Situations Causing Wrong-Way Risk</w:t>
      </w:r>
      <w:r w:rsidRPr="000058DF">
        <w:t>:</w:t>
      </w:r>
      <w:r>
        <w:t xml:space="preserve"> More specifically wrong way risk (WWR) refers to one or more of the scenarios below.</w:t>
      </w:r>
    </w:p>
    <w:p w:rsidR="000058DF" w:rsidRDefault="000058DF" w:rsidP="00D83552">
      <w:pPr>
        <w:pStyle w:val="ListParagraph"/>
        <w:numPr>
          <w:ilvl w:val="0"/>
          <w:numId w:val="177"/>
        </w:numPr>
        <w:spacing w:after="200" w:line="360" w:lineRule="auto"/>
      </w:pPr>
      <w:r>
        <w:rPr>
          <w:u w:val="single"/>
        </w:rPr>
        <w:t>Higher CP Default with Higher CP Exposure</w:t>
      </w:r>
      <w:r w:rsidRPr="000058DF">
        <w:t>:</w:t>
      </w:r>
      <w:r>
        <w:t xml:space="preserve"> Higher likelihood of C default corresponding to higher CP exposure – suggesting joint diffusion modeling of the CP default rate and the market.</w:t>
      </w:r>
    </w:p>
    <w:p w:rsidR="00576DB5" w:rsidRDefault="00576DB5" w:rsidP="00D83552">
      <w:pPr>
        <w:pStyle w:val="ListParagraph"/>
        <w:numPr>
          <w:ilvl w:val="0"/>
          <w:numId w:val="177"/>
        </w:numPr>
        <w:spacing w:after="200" w:line="360" w:lineRule="auto"/>
      </w:pPr>
      <w:r>
        <w:rPr>
          <w:u w:val="single"/>
        </w:rPr>
        <w:t>Exposure with/without CP Default</w:t>
      </w:r>
      <w:r w:rsidRPr="00576DB5">
        <w:t>:</w:t>
      </w:r>
      <w:r>
        <w:t xml:space="preserve"> The exposure given CP actual default being higher than that without CP actual default (suggesting jump modeling of the CP default event and the market).</w:t>
      </w:r>
    </w:p>
    <w:p w:rsidR="00576DB5" w:rsidRDefault="00576DB5" w:rsidP="00D83552">
      <w:pPr>
        <w:pStyle w:val="ListParagraph"/>
        <w:numPr>
          <w:ilvl w:val="0"/>
          <w:numId w:val="177"/>
        </w:numPr>
        <w:spacing w:after="200" w:line="360" w:lineRule="auto"/>
      </w:pPr>
      <w:r>
        <w:rPr>
          <w:u w:val="single"/>
        </w:rPr>
        <w:t>Lower CP Recovery/Higher CP Default</w:t>
      </w:r>
      <w:r w:rsidRPr="00576DB5">
        <w:t>:</w:t>
      </w:r>
      <w:r>
        <w:t xml:space="preserve"> Lower CP default recovery (or recovery rate) corresponding to higher likelihood of CP default or actual CP default (suggesting additional joint modeling of the state-dependent CP default recovery or recovery rate).</w:t>
      </w:r>
    </w:p>
    <w:p w:rsidR="00576DB5" w:rsidRDefault="00576DB5" w:rsidP="00D83552">
      <w:pPr>
        <w:pStyle w:val="ListParagraph"/>
        <w:numPr>
          <w:ilvl w:val="0"/>
          <w:numId w:val="177"/>
        </w:numPr>
        <w:spacing w:after="200" w:line="360" w:lineRule="auto"/>
      </w:pPr>
      <w:r>
        <w:rPr>
          <w:u w:val="single"/>
        </w:rPr>
        <w:t>Situations Causing Right Way Risk</w:t>
      </w:r>
      <w:r w:rsidRPr="00576DB5">
        <w:t>:</w:t>
      </w:r>
      <w:r>
        <w:t xml:space="preserve"> The right way risk (RWR), on the other hand, refers to one or more of the situations below.</w:t>
      </w:r>
    </w:p>
    <w:p w:rsidR="00576DB5" w:rsidRDefault="00576DB5" w:rsidP="00D83552">
      <w:pPr>
        <w:pStyle w:val="ListParagraph"/>
        <w:numPr>
          <w:ilvl w:val="0"/>
          <w:numId w:val="177"/>
        </w:numPr>
        <w:spacing w:after="200" w:line="360" w:lineRule="auto"/>
      </w:pPr>
      <w:r>
        <w:rPr>
          <w:u w:val="single"/>
        </w:rPr>
        <w:t>Higher CP Default - Lower CP Exposure</w:t>
      </w:r>
      <w:r w:rsidRPr="00576DB5">
        <w:t>:</w:t>
      </w:r>
      <w:r>
        <w:t xml:space="preserve"> Higher likelihood of CP default corresponding to lower CP exposure (suggesting the joint diffusion modeling of the CP default rate and the market).</w:t>
      </w:r>
    </w:p>
    <w:p w:rsidR="00576DB5" w:rsidRDefault="00576DB5" w:rsidP="00D83552">
      <w:pPr>
        <w:pStyle w:val="ListParagraph"/>
        <w:numPr>
          <w:ilvl w:val="0"/>
          <w:numId w:val="177"/>
        </w:numPr>
        <w:spacing w:after="200" w:line="360" w:lineRule="auto"/>
      </w:pPr>
      <w:r>
        <w:rPr>
          <w:u w:val="single"/>
        </w:rPr>
        <w:t>Exposure With/Without CP Default</w:t>
      </w:r>
      <w:r w:rsidRPr="00576DB5">
        <w:t>:</w:t>
      </w:r>
      <w:r>
        <w:t xml:space="preserve"> The exposure given CP actual default being lower than that without actual CP default (suggesting joint jump modeling of the CP default rate and the market).</w:t>
      </w:r>
    </w:p>
    <w:p w:rsidR="00576DB5" w:rsidRDefault="00576DB5" w:rsidP="00D83552">
      <w:pPr>
        <w:pStyle w:val="ListParagraph"/>
        <w:numPr>
          <w:ilvl w:val="0"/>
          <w:numId w:val="177"/>
        </w:numPr>
        <w:spacing w:after="200" w:line="360" w:lineRule="auto"/>
      </w:pPr>
      <w:r>
        <w:rPr>
          <w:u w:val="single"/>
        </w:rPr>
        <w:lastRenderedPageBreak/>
        <w:t>Higher CP Recovery on Higher CP Default</w:t>
      </w:r>
      <w:r>
        <w:t>: Higher CP default recovery (or recovery rate) corresponding to higher joint likelihood of CP default (suggesting additional joint modeling of the state-dependent CP default recovery or recovery rate).</w:t>
      </w:r>
    </w:p>
    <w:p w:rsidR="00C83F45" w:rsidRDefault="00C83F45" w:rsidP="00C83F45">
      <w:pPr>
        <w:spacing w:after="200" w:line="360" w:lineRule="auto"/>
      </w:pPr>
    </w:p>
    <w:p w:rsidR="00B47E3E" w:rsidRDefault="00B47E3E" w:rsidP="00C83F45">
      <w:pPr>
        <w:spacing w:after="200" w:line="360" w:lineRule="auto"/>
      </w:pPr>
    </w:p>
    <w:p w:rsidR="00B47E3E" w:rsidRPr="00B47E3E" w:rsidRDefault="00B47E3E" w:rsidP="00C83F45">
      <w:pPr>
        <w:spacing w:after="200" w:line="360" w:lineRule="auto"/>
        <w:rPr>
          <w:b/>
          <w:sz w:val="28"/>
          <w:szCs w:val="28"/>
        </w:rPr>
      </w:pPr>
      <w:r w:rsidRPr="00B47E3E">
        <w:rPr>
          <w:b/>
          <w:sz w:val="28"/>
          <w:szCs w:val="28"/>
        </w:rPr>
        <w:t>Specific Wrong Way and Right Way Risks</w:t>
      </w:r>
    </w:p>
    <w:p w:rsidR="00B47E3E" w:rsidRDefault="00B47E3E" w:rsidP="00C83F45">
      <w:pPr>
        <w:spacing w:after="200" w:line="360" w:lineRule="auto"/>
      </w:pPr>
    </w:p>
    <w:p w:rsidR="00B47E3E" w:rsidRDefault="00B47E3E" w:rsidP="00D83552">
      <w:pPr>
        <w:pStyle w:val="ListParagraph"/>
        <w:numPr>
          <w:ilvl w:val="0"/>
          <w:numId w:val="178"/>
        </w:numPr>
        <w:spacing w:after="200" w:line="360" w:lineRule="auto"/>
      </w:pPr>
      <w:r w:rsidRPr="00B47E3E">
        <w:rPr>
          <w:u w:val="single"/>
        </w:rPr>
        <w:t>Self-Referencing OTC Derivatives Trades</w:t>
      </w:r>
      <w:r>
        <w:t>: Specific wrong-way and right-way risks arise from (direct or indirect) self-referencing OTC derivatives trades.</w:t>
      </w:r>
    </w:p>
    <w:p w:rsidR="00B47E3E" w:rsidRDefault="00B47E3E" w:rsidP="00D83552">
      <w:pPr>
        <w:pStyle w:val="ListParagraph"/>
        <w:numPr>
          <w:ilvl w:val="0"/>
          <w:numId w:val="178"/>
        </w:numPr>
        <w:spacing w:after="200" w:line="360" w:lineRule="auto"/>
      </w:pPr>
      <w:r>
        <w:rPr>
          <w:u w:val="single"/>
        </w:rPr>
        <w:t>Example - CP Selling Self-Options</w:t>
      </w:r>
      <w:r w:rsidRPr="00B47E3E">
        <w:t>:</w:t>
      </w:r>
      <w:r>
        <w:t xml:space="preserve"> For example, a CP selling puts on its own stock</w:t>
      </w:r>
      <w:r w:rsidR="004E32B6">
        <w:t xml:space="preserve"> (for example, as a stock buy-back strategy) is a specific wrong-way risk. A CP selling calls on its own stock (as part of a tax optimization strategy on convertible bonds, for example) is a specific right-way risk.</w:t>
      </w:r>
    </w:p>
    <w:p w:rsidR="004E32B6" w:rsidRDefault="004E32B6" w:rsidP="00D83552">
      <w:pPr>
        <w:pStyle w:val="ListParagraph"/>
        <w:numPr>
          <w:ilvl w:val="0"/>
          <w:numId w:val="178"/>
        </w:numPr>
        <w:spacing w:after="200" w:line="360" w:lineRule="auto"/>
      </w:pPr>
      <w:r>
        <w:rPr>
          <w:u w:val="single"/>
        </w:rPr>
        <w:t>Example - CP Self Index Trades</w:t>
      </w:r>
      <w:r w:rsidRPr="004E32B6">
        <w:t>:</w:t>
      </w:r>
      <w:r>
        <w:t xml:space="preserve"> Similarly the counter party can buy or sell credit protection on a credit index of which it is a constituent. Thus selling credit protection constitutes a specific wrong-way risk and buying credit protection constitutes a specific right-way risk.</w:t>
      </w:r>
    </w:p>
    <w:p w:rsidR="004E32B6" w:rsidRDefault="004E32B6" w:rsidP="00D83552">
      <w:pPr>
        <w:pStyle w:val="ListParagraph"/>
        <w:numPr>
          <w:ilvl w:val="0"/>
          <w:numId w:val="178"/>
        </w:numPr>
        <w:spacing w:after="200" w:line="360" w:lineRule="auto"/>
      </w:pPr>
      <w:r>
        <w:rPr>
          <w:u w:val="single"/>
        </w:rPr>
        <w:t>Example - EM CP Self-FX</w:t>
      </w:r>
      <w:r w:rsidRPr="004E32B6">
        <w:t>:</w:t>
      </w:r>
      <w:r>
        <w:t xml:space="preserve"> Furthermore an emerging market sovereign counter party can enter (FX or cross-currency trades) referencing their local currency. It is a specific wrong-way risk if the emerging market sovereign counter party has a long position on its local currency (versus a stronger currency) and it has a specific right-way risk if the emerging market sovereign counterparty has a short position in its local currency versus a stronger currency (for example as a hedge to its bond issuance in foreign/stronger currencies).</w:t>
      </w:r>
    </w:p>
    <w:p w:rsidR="004E32B6" w:rsidRDefault="004E32B6" w:rsidP="00D83552">
      <w:pPr>
        <w:pStyle w:val="ListParagraph"/>
        <w:numPr>
          <w:ilvl w:val="0"/>
          <w:numId w:val="178"/>
        </w:numPr>
        <w:spacing w:after="200" w:line="360" w:lineRule="auto"/>
      </w:pPr>
      <w:r>
        <w:rPr>
          <w:u w:val="single"/>
        </w:rPr>
        <w:t>Identifying the Self-Referencing Dependency</w:t>
      </w:r>
      <w:r w:rsidRPr="004E32B6">
        <w:t>:</w:t>
      </w:r>
      <w:r>
        <w:t xml:space="preserve"> The first step towards handling the specific wrong-way and the right-way risks is to identify the dependency of the payoff of the OTC derivatives on the counter party (or the related entities).</w:t>
      </w:r>
    </w:p>
    <w:p w:rsidR="00575305" w:rsidRDefault="00575305" w:rsidP="00D83552">
      <w:pPr>
        <w:pStyle w:val="ListParagraph"/>
        <w:numPr>
          <w:ilvl w:val="0"/>
          <w:numId w:val="178"/>
        </w:numPr>
        <w:spacing w:after="200" w:line="360" w:lineRule="auto"/>
      </w:pPr>
      <w:r>
        <w:rPr>
          <w:u w:val="single"/>
        </w:rPr>
        <w:t>WWR/RWR for Collateralized Transactions</w:t>
      </w:r>
      <w:r w:rsidRPr="00575305">
        <w:t>:</w:t>
      </w:r>
      <w:r>
        <w:t xml:space="preserve"> While the impact of the </w:t>
      </w:r>
      <w:r w:rsidR="00CA761C">
        <w:t xml:space="preserve">specific </w:t>
      </w:r>
      <w:r>
        <w:t>wrong-way and the right-way risks is normally significant for uncollateralized transactions, it is not negligible for collateralized transactions.</w:t>
      </w:r>
    </w:p>
    <w:p w:rsidR="00575305" w:rsidRDefault="00575305" w:rsidP="00D83552">
      <w:pPr>
        <w:pStyle w:val="ListParagraph"/>
        <w:numPr>
          <w:ilvl w:val="0"/>
          <w:numId w:val="178"/>
        </w:numPr>
        <w:spacing w:after="200" w:line="360" w:lineRule="auto"/>
      </w:pPr>
      <w:r>
        <w:rPr>
          <w:u w:val="single"/>
        </w:rPr>
        <w:lastRenderedPageBreak/>
        <w:t>Specific WWR: Self-Referencing CSA</w:t>
      </w:r>
      <w:r w:rsidRPr="00575305">
        <w:t>:</w:t>
      </w:r>
      <w:r>
        <w:t xml:space="preserve"> The specific wrong-way risk can also arise from self-referencing CSA (Credit Support Annex) whereby, for example, the collateral threshold governing the collateral posting can reduce, or the counter-party posted IA/IM can increase, if the counter party’s credit rating is downgraded below a certain level, both resulting in the counter party posting more collateral – and thus less effective counterparty exposure. This is quite challenging to model.</w:t>
      </w:r>
    </w:p>
    <w:p w:rsidR="00575305" w:rsidRDefault="00575305" w:rsidP="00575305">
      <w:pPr>
        <w:spacing w:after="200" w:line="360" w:lineRule="auto"/>
      </w:pPr>
    </w:p>
    <w:p w:rsidR="00575305" w:rsidRDefault="00575305" w:rsidP="00575305">
      <w:pPr>
        <w:spacing w:after="200" w:line="360" w:lineRule="auto"/>
      </w:pPr>
    </w:p>
    <w:p w:rsidR="00575305" w:rsidRPr="00575305" w:rsidRDefault="00575305" w:rsidP="00575305">
      <w:pPr>
        <w:spacing w:after="200" w:line="360" w:lineRule="auto"/>
        <w:rPr>
          <w:b/>
          <w:sz w:val="28"/>
          <w:szCs w:val="28"/>
        </w:rPr>
      </w:pPr>
      <w:r w:rsidRPr="00575305">
        <w:rPr>
          <w:b/>
          <w:sz w:val="28"/>
          <w:szCs w:val="28"/>
        </w:rPr>
        <w:t>General Wrong-Way and Right-Way Risks</w:t>
      </w:r>
    </w:p>
    <w:p w:rsidR="00575305" w:rsidRDefault="00575305" w:rsidP="00575305">
      <w:pPr>
        <w:spacing w:after="200" w:line="360" w:lineRule="auto"/>
      </w:pPr>
    </w:p>
    <w:p w:rsidR="00575305" w:rsidRDefault="00575305" w:rsidP="00D83552">
      <w:pPr>
        <w:pStyle w:val="ListParagraph"/>
        <w:numPr>
          <w:ilvl w:val="0"/>
          <w:numId w:val="179"/>
        </w:numPr>
        <w:spacing w:after="200" w:line="360" w:lineRule="auto"/>
      </w:pPr>
      <w:r w:rsidRPr="00575305">
        <w:rPr>
          <w:u w:val="single"/>
        </w:rPr>
        <w:t>CP State Co-dependence on Market State</w:t>
      </w:r>
      <w:r>
        <w:t>: General wrong-way and right-way risks arise from the market drive co-movements or the co-dependency of the counterparty credit quality or default with the counter party exposure.</w:t>
      </w:r>
    </w:p>
    <w:p w:rsidR="00575305" w:rsidRDefault="00575305" w:rsidP="00D83552">
      <w:pPr>
        <w:pStyle w:val="ListParagraph"/>
        <w:numPr>
          <w:ilvl w:val="0"/>
          <w:numId w:val="179"/>
        </w:numPr>
        <w:spacing w:after="200" w:line="360" w:lineRule="auto"/>
      </w:pPr>
      <w:r>
        <w:rPr>
          <w:u w:val="single"/>
        </w:rPr>
        <w:t>WWR Long/Short Positive Co-movement</w:t>
      </w:r>
      <w:r w:rsidRPr="00575305">
        <w:t>:</w:t>
      </w:r>
      <w:r>
        <w:t xml:space="preserve"> For instance it tends to be a general </w:t>
      </w:r>
      <w:r w:rsidR="00F07B95">
        <w:t>w</w:t>
      </w:r>
      <w:r>
        <w:t>rong-way risk if the counter party</w:t>
      </w:r>
      <w:r w:rsidR="00F07B95">
        <w:t xml:space="preserve"> has a long position in the commodity market, or the equity market, or the credit market, or a short position in the interest rate market, and </w:t>
      </w:r>
      <w:r w:rsidR="00F07B95">
        <w:rPr>
          <w:i/>
        </w:rPr>
        <w:t>vice versa</w:t>
      </w:r>
      <w:r w:rsidR="00F07B95">
        <w:t>.</w:t>
      </w:r>
    </w:p>
    <w:p w:rsidR="00F07B95" w:rsidRDefault="00F07B95" w:rsidP="00D83552">
      <w:pPr>
        <w:pStyle w:val="ListParagraph"/>
        <w:numPr>
          <w:ilvl w:val="0"/>
          <w:numId w:val="179"/>
        </w:numPr>
        <w:spacing w:after="200" w:line="360" w:lineRule="auto"/>
      </w:pPr>
      <w:r>
        <w:rPr>
          <w:u w:val="single"/>
        </w:rPr>
        <w:t>Market Driven Collateral Quality Change</w:t>
      </w:r>
      <w:r w:rsidRPr="00F07B95">
        <w:t>:</w:t>
      </w:r>
      <w:r>
        <w:t xml:space="preserve"> General wrong-way risk can also arise from the deterioration of the quality of the collateral that the counter party posts resulting from market conditions. More specifically it is a general wrong-way risk if the value of the collateral declines when the counter party has a higher likelihood of default.</w:t>
      </w:r>
    </w:p>
    <w:p w:rsidR="00E32CFE" w:rsidRDefault="00E32CFE" w:rsidP="00D83552">
      <w:pPr>
        <w:pStyle w:val="ListParagraph"/>
        <w:numPr>
          <w:ilvl w:val="0"/>
          <w:numId w:val="179"/>
        </w:numPr>
        <w:spacing w:after="200" w:line="360" w:lineRule="auto"/>
      </w:pPr>
      <w:r>
        <w:rPr>
          <w:u w:val="single"/>
        </w:rPr>
        <w:t>Example OTC Derivatives Collateral Trade</w:t>
      </w:r>
      <w:r w:rsidRPr="00E32CFE">
        <w:t>:</w:t>
      </w:r>
      <w:r>
        <w:t xml:space="preserve"> This is particularly important for OTC derivatives trades facing the SPV’s (special purpose vehicles) for CDO’s or repackaging, where the only collateral available for mitigating the counter party credit risk is the collateral held in the SPV. This is also applicable to OTC derivatives that trade as a part of the package of a loan (both backed by the property as a collateral).</w:t>
      </w:r>
    </w:p>
    <w:p w:rsidR="00E32CFE" w:rsidRDefault="00E32CFE" w:rsidP="00D83552">
      <w:pPr>
        <w:pStyle w:val="ListParagraph"/>
        <w:numPr>
          <w:ilvl w:val="0"/>
          <w:numId w:val="179"/>
        </w:numPr>
        <w:spacing w:after="200" w:line="360" w:lineRule="auto"/>
      </w:pPr>
      <w:r>
        <w:rPr>
          <w:u w:val="single"/>
        </w:rPr>
        <w:t>Collateral Call Impact on the CP</w:t>
      </w:r>
      <w:r w:rsidRPr="00E32CFE">
        <w:t>:</w:t>
      </w:r>
      <w:r>
        <w:t xml:space="preserve"> Another situation that needs to be considered it that, while collateralized transactions can significantly reduce the counter party risk, calling collateral </w:t>
      </w:r>
      <w:r>
        <w:lastRenderedPageBreak/>
        <w:t>beyond a certain amount (due to adverse market moves) may actually drive the counter party into default.</w:t>
      </w:r>
    </w:p>
    <w:p w:rsidR="00CA761C" w:rsidRDefault="00CA761C" w:rsidP="00D83552">
      <w:pPr>
        <w:pStyle w:val="ListParagraph"/>
        <w:numPr>
          <w:ilvl w:val="0"/>
          <w:numId w:val="179"/>
        </w:numPr>
        <w:spacing w:after="200" w:line="360" w:lineRule="auto"/>
      </w:pPr>
      <w:r>
        <w:rPr>
          <w:u w:val="single"/>
        </w:rPr>
        <w:t>WWR/RWR for Collateralized Transactions</w:t>
      </w:r>
      <w:r w:rsidRPr="00575305">
        <w:t>:</w:t>
      </w:r>
      <w:r>
        <w:t xml:space="preserve"> While the impact of the general wrong-way and the right-way risks is normally significant for uncollateralized transactions, it is not negligible for collateralized transactions.</w:t>
      </w:r>
    </w:p>
    <w:p w:rsidR="00CA761C" w:rsidRDefault="00CA761C" w:rsidP="00D83552">
      <w:pPr>
        <w:pStyle w:val="ListParagraph"/>
        <w:numPr>
          <w:ilvl w:val="0"/>
          <w:numId w:val="179"/>
        </w:numPr>
        <w:spacing w:after="200" w:line="360" w:lineRule="auto"/>
      </w:pPr>
      <w:r>
        <w:rPr>
          <w:u w:val="single"/>
        </w:rPr>
        <w:t>State Dependent CP Default/Recovery</w:t>
      </w:r>
      <w:r w:rsidRPr="00CA761C">
        <w:t>:</w:t>
      </w:r>
      <w:r>
        <w:t xml:space="preserve"> The state-dependent CP default or recovery rate refers to the CP’s net asset available to cover the claims upon the actual CP default.</w:t>
      </w:r>
    </w:p>
    <w:p w:rsidR="00CA761C" w:rsidRDefault="00CA761C" w:rsidP="00CA761C">
      <w:pPr>
        <w:spacing w:after="200" w:line="360" w:lineRule="auto"/>
      </w:pPr>
    </w:p>
    <w:p w:rsidR="00CA761C" w:rsidRDefault="00CA761C" w:rsidP="00CA761C">
      <w:pPr>
        <w:spacing w:after="200" w:line="360" w:lineRule="auto"/>
      </w:pPr>
    </w:p>
    <w:p w:rsidR="00CA761C" w:rsidRPr="00CA761C" w:rsidRDefault="00CA761C" w:rsidP="00CA761C">
      <w:pPr>
        <w:spacing w:after="200" w:line="360" w:lineRule="auto"/>
        <w:rPr>
          <w:b/>
          <w:sz w:val="28"/>
          <w:szCs w:val="28"/>
        </w:rPr>
      </w:pPr>
      <w:r w:rsidRPr="00CA761C">
        <w:rPr>
          <w:b/>
          <w:sz w:val="28"/>
          <w:szCs w:val="28"/>
        </w:rPr>
        <w:t>Extreme Wrong-Way Risks</w:t>
      </w:r>
    </w:p>
    <w:p w:rsidR="00CA761C" w:rsidRDefault="00CA761C" w:rsidP="00CA761C">
      <w:pPr>
        <w:spacing w:after="200" w:line="360" w:lineRule="auto"/>
      </w:pPr>
    </w:p>
    <w:p w:rsidR="00CA761C" w:rsidRDefault="00CA761C" w:rsidP="00D83552">
      <w:pPr>
        <w:pStyle w:val="ListParagraph"/>
        <w:numPr>
          <w:ilvl w:val="0"/>
          <w:numId w:val="180"/>
        </w:numPr>
        <w:spacing w:after="200" w:line="360" w:lineRule="auto"/>
      </w:pPr>
      <w:r w:rsidRPr="00CA761C">
        <w:rPr>
          <w:u w:val="single"/>
        </w:rPr>
        <w:t>Extreme WWR Credit Derivatives Trades</w:t>
      </w:r>
      <w:r>
        <w:t>: Extreme wrong-way risks arise from uncollateralized OTC derivatives trades – particularly on the CDO senior and the super-senior tranches – facing monolines or CDPC’s (credit derivatives product companies), whereby the monolines or the CDPC’s sold protection.</w:t>
      </w:r>
    </w:p>
    <w:p w:rsidR="00B4593F" w:rsidRDefault="00B4593F" w:rsidP="00D83552">
      <w:pPr>
        <w:pStyle w:val="ListParagraph"/>
        <w:numPr>
          <w:ilvl w:val="0"/>
          <w:numId w:val="180"/>
        </w:numPr>
        <w:spacing w:after="200" w:line="360" w:lineRule="auto"/>
      </w:pPr>
      <w:r>
        <w:rPr>
          <w:u w:val="single"/>
        </w:rPr>
        <w:t>Thinly Capitalized Monolines and CDPC’s</w:t>
      </w:r>
      <w:r w:rsidRPr="00B4593F">
        <w:t>:</w:t>
      </w:r>
      <w:r>
        <w:t xml:space="preserve"> Since monolines and CDPC’s are very thinly capitalized entities, the moment credit protection buyers claim default against them (due to underlying obligor defaults and/or CDO tranche attaching (which will most likely happen under extreme or severe market-stress conditions where credit/default correlation can be typically very high), they will most likely be driven to default, as their capital will be wiped out.</w:t>
      </w:r>
    </w:p>
    <w:p w:rsidR="00B4593F" w:rsidRDefault="00B4593F" w:rsidP="00D83552">
      <w:pPr>
        <w:pStyle w:val="ListParagraph"/>
        <w:numPr>
          <w:ilvl w:val="0"/>
          <w:numId w:val="180"/>
        </w:numPr>
        <w:spacing w:after="200" w:line="360" w:lineRule="auto"/>
      </w:pPr>
      <w:r>
        <w:rPr>
          <w:u w:val="single"/>
        </w:rPr>
        <w:t>Monolines/CDPC’s Wrong-Way Risks</w:t>
      </w:r>
      <w:r w:rsidRPr="00B4593F">
        <w:t>:</w:t>
      </w:r>
      <w:r>
        <w:t xml:space="preserve"> </w:t>
      </w:r>
      <w:r w:rsidR="009757C1">
        <w:t>In the above case, as such the default loss severity would be extremely high, wiping out almost the entire NPV of the credit protection trades. In some cases monolines or CDPC’s may also buy credit protection, in which case it would be general right-way risk.</w:t>
      </w:r>
    </w:p>
    <w:p w:rsidR="009757C1" w:rsidRDefault="009757C1" w:rsidP="009757C1">
      <w:pPr>
        <w:spacing w:after="200" w:line="360" w:lineRule="auto"/>
      </w:pPr>
    </w:p>
    <w:p w:rsidR="009757C1" w:rsidRDefault="009757C1" w:rsidP="009757C1">
      <w:pPr>
        <w:spacing w:after="200" w:line="360" w:lineRule="auto"/>
      </w:pPr>
    </w:p>
    <w:p w:rsidR="009757C1" w:rsidRPr="009757C1" w:rsidRDefault="009757C1" w:rsidP="009757C1">
      <w:pPr>
        <w:spacing w:after="200" w:line="360" w:lineRule="auto"/>
        <w:rPr>
          <w:b/>
          <w:sz w:val="28"/>
          <w:szCs w:val="28"/>
        </w:rPr>
      </w:pPr>
      <w:r w:rsidRPr="009757C1">
        <w:rPr>
          <w:b/>
          <w:sz w:val="28"/>
          <w:szCs w:val="28"/>
        </w:rPr>
        <w:lastRenderedPageBreak/>
        <w:t>Methodology Survey of WWR and RWR Models</w:t>
      </w:r>
    </w:p>
    <w:p w:rsidR="009757C1" w:rsidRDefault="009757C1" w:rsidP="009757C1">
      <w:pPr>
        <w:spacing w:after="200" w:line="360" w:lineRule="auto"/>
      </w:pPr>
    </w:p>
    <w:p w:rsidR="009757C1" w:rsidRDefault="009757C1" w:rsidP="00D83552">
      <w:pPr>
        <w:pStyle w:val="ListParagraph"/>
        <w:numPr>
          <w:ilvl w:val="0"/>
          <w:numId w:val="181"/>
        </w:numPr>
        <w:spacing w:after="200" w:line="360" w:lineRule="auto"/>
      </w:pPr>
      <w:r w:rsidRPr="009757C1">
        <w:rPr>
          <w:u w:val="single"/>
        </w:rPr>
        <w:t>Approaches behind RWR/WWR Methodologies</w:t>
      </w:r>
      <w:r>
        <w:t>: Mercurio and Li (2015) and Li and Mercurio (2015) provide good surveys of the RWR and the WWR methodologies, which essentially model the CP default rate correlated with the market together with the market jump upon CP default, via jump-diffusion models.</w:t>
      </w:r>
    </w:p>
    <w:p w:rsidR="009757C1" w:rsidRDefault="009757C1" w:rsidP="00D83552">
      <w:pPr>
        <w:pStyle w:val="ListParagraph"/>
        <w:numPr>
          <w:ilvl w:val="0"/>
          <w:numId w:val="181"/>
        </w:numPr>
        <w:spacing w:after="200" w:line="360" w:lineRule="auto"/>
      </w:pPr>
      <w:r>
        <w:rPr>
          <w:u w:val="single"/>
        </w:rPr>
        <w:t>Implementing Models of Increasing Complexity</w:t>
      </w:r>
      <w:r w:rsidRPr="009757C1">
        <w:t>:</w:t>
      </w:r>
      <w:r>
        <w:t xml:space="preserve"> This chapter breaks down these models into a series of models with increasing complexity and incorporates them in a phased approach, starting two sections below. Also implemented is a model for state-dependent or random CP default recovery or recovery rate.</w:t>
      </w:r>
    </w:p>
    <w:p w:rsidR="009757C1" w:rsidRDefault="009757C1" w:rsidP="00D83552">
      <w:pPr>
        <w:pStyle w:val="ListParagraph"/>
        <w:numPr>
          <w:ilvl w:val="0"/>
          <w:numId w:val="181"/>
        </w:numPr>
        <w:spacing w:after="200" w:line="360" w:lineRule="auto"/>
      </w:pPr>
      <w:r>
        <w:rPr>
          <w:u w:val="single"/>
        </w:rPr>
        <w:t>Decomposition into the CVA Components</w:t>
      </w:r>
      <w:r w:rsidRPr="009757C1">
        <w:t>:</w:t>
      </w:r>
      <w:r>
        <w:t xml:space="preserve"> A Merton structured default model can be fit into this framework, for example, for estimating the jump size. A mixture model where the CVA is broken into an </w:t>
      </w:r>
      <w:r>
        <w:rPr>
          <w:i/>
        </w:rPr>
        <w:t>independent</w:t>
      </w:r>
      <w:r>
        <w:t xml:space="preserve"> part and a </w:t>
      </w:r>
      <w:r>
        <w:rPr>
          <w:i/>
        </w:rPr>
        <w:t>completely dependent</w:t>
      </w:r>
      <w:r>
        <w:t xml:space="preserve"> part is useful for intuition building.</w:t>
      </w:r>
    </w:p>
    <w:p w:rsidR="009A4019" w:rsidRDefault="009A4019" w:rsidP="00D83552">
      <w:pPr>
        <w:pStyle w:val="ListParagraph"/>
        <w:numPr>
          <w:ilvl w:val="0"/>
          <w:numId w:val="181"/>
        </w:numPr>
        <w:spacing w:after="200" w:line="360" w:lineRule="auto"/>
      </w:pPr>
      <w:r>
        <w:rPr>
          <w:u w:val="single"/>
        </w:rPr>
        <w:t>Systems Impact Arising out of Model Development</w:t>
      </w:r>
      <w:r w:rsidRPr="009A4019">
        <w:t>:</w:t>
      </w:r>
      <w:r>
        <w:t xml:space="preserve"> The model implementation has various implications to the system, such as computing and serving multiple sets of exposures, and data-handling including identification of self-referencing trades and credit risk collateral.</w:t>
      </w:r>
    </w:p>
    <w:p w:rsidR="009A4019" w:rsidRDefault="009A4019" w:rsidP="00D83552">
      <w:pPr>
        <w:pStyle w:val="ListParagraph"/>
        <w:numPr>
          <w:ilvl w:val="0"/>
          <w:numId w:val="181"/>
        </w:numPr>
        <w:spacing w:after="200" w:line="360" w:lineRule="auto"/>
      </w:pPr>
      <w:r>
        <w:rPr>
          <w:u w:val="single"/>
        </w:rPr>
        <w:t>Counter Party Default/Market Copula Correlations</w:t>
      </w:r>
      <w:r>
        <w:t>: For the modeling flavors that model the CP default times correlated with the market (similar to the CDO copula methodology) or the CP default time correlated with the market plus CP default rate correlated with the market, more elaborate implementation (as well as the corresponding business intuition) is required.</w:t>
      </w:r>
    </w:p>
    <w:p w:rsidR="009A4019" w:rsidRDefault="009A4019" w:rsidP="009A4019">
      <w:pPr>
        <w:spacing w:after="200" w:line="360" w:lineRule="auto"/>
      </w:pPr>
    </w:p>
    <w:p w:rsidR="009A4019" w:rsidRDefault="009A4019" w:rsidP="009A4019">
      <w:pPr>
        <w:spacing w:after="200" w:line="360" w:lineRule="auto"/>
      </w:pPr>
    </w:p>
    <w:p w:rsidR="009A4019" w:rsidRPr="009A4019" w:rsidRDefault="009A4019" w:rsidP="009A4019">
      <w:pPr>
        <w:spacing w:after="200" w:line="360" w:lineRule="auto"/>
        <w:rPr>
          <w:b/>
          <w:sz w:val="28"/>
          <w:szCs w:val="28"/>
        </w:rPr>
      </w:pPr>
      <w:r w:rsidRPr="009A4019">
        <w:rPr>
          <w:b/>
          <w:sz w:val="28"/>
          <w:szCs w:val="28"/>
        </w:rPr>
        <w:t>Identification and Monitoring of WWR and RWR CPs</w:t>
      </w:r>
    </w:p>
    <w:p w:rsidR="009A4019" w:rsidRDefault="009A4019" w:rsidP="009A4019">
      <w:pPr>
        <w:spacing w:after="200" w:line="360" w:lineRule="auto"/>
      </w:pPr>
    </w:p>
    <w:p w:rsidR="009A4019" w:rsidRDefault="009A4019" w:rsidP="00D83552">
      <w:pPr>
        <w:pStyle w:val="ListParagraph"/>
        <w:numPr>
          <w:ilvl w:val="0"/>
          <w:numId w:val="182"/>
        </w:numPr>
        <w:spacing w:after="200" w:line="360" w:lineRule="auto"/>
      </w:pPr>
      <w:r w:rsidRPr="009A4019">
        <w:rPr>
          <w:u w:val="single"/>
        </w:rPr>
        <w:t>Identification of Generic RWR/WWR</w:t>
      </w:r>
      <w:r>
        <w:t>: The generic WWR/RWR CPs be identified based on historical correlation of CP spreads with CP exposures, through:</w:t>
      </w:r>
    </w:p>
    <w:p w:rsidR="009A4019" w:rsidRDefault="009A4019" w:rsidP="00D83552">
      <w:pPr>
        <w:pStyle w:val="ListParagraph"/>
        <w:numPr>
          <w:ilvl w:val="1"/>
          <w:numId w:val="182"/>
        </w:numPr>
        <w:spacing w:after="200" w:line="360" w:lineRule="auto"/>
      </w:pPr>
      <w:r>
        <w:lastRenderedPageBreak/>
        <w:t>The historical data of the CP underlying portfolio NPV and the CP 5Y spread, or better yet</w:t>
      </w:r>
    </w:p>
    <w:p w:rsidR="009A4019" w:rsidRDefault="009A4019" w:rsidP="00D83552">
      <w:pPr>
        <w:pStyle w:val="ListParagraph"/>
        <w:numPr>
          <w:ilvl w:val="1"/>
          <w:numId w:val="182"/>
        </w:numPr>
        <w:spacing w:after="200" w:line="360" w:lineRule="auto"/>
      </w:pPr>
      <w:r>
        <w:t>The historical data of the independent CVA CP Spread01 and the CP (5Y) spread.</w:t>
      </w:r>
    </w:p>
    <w:p w:rsidR="009A4019" w:rsidRDefault="009A4019" w:rsidP="00D83552">
      <w:pPr>
        <w:pStyle w:val="ListParagraph"/>
        <w:numPr>
          <w:ilvl w:val="0"/>
          <w:numId w:val="182"/>
        </w:numPr>
        <w:spacing w:after="200" w:line="360" w:lineRule="auto"/>
      </w:pPr>
      <w:r w:rsidRPr="009A4019">
        <w:rPr>
          <w:u w:val="single"/>
        </w:rPr>
        <w:t>Monitoring Generic/Specific WWR/RWR</w:t>
      </w:r>
      <w:r>
        <w:t>: The materiality of the WWR or the RWR CVA can be monitored using the methods specified two sections below.</w:t>
      </w:r>
    </w:p>
    <w:p w:rsidR="009A4019" w:rsidRDefault="00601ADA" w:rsidP="00D83552">
      <w:pPr>
        <w:pStyle w:val="ListParagraph"/>
        <w:numPr>
          <w:ilvl w:val="0"/>
          <w:numId w:val="182"/>
        </w:numPr>
        <w:spacing w:after="200" w:line="360" w:lineRule="auto"/>
      </w:pPr>
      <w:r>
        <w:rPr>
          <w:u w:val="single"/>
        </w:rPr>
        <w:t>Specific WWR/RWR Identification #1</w:t>
      </w:r>
      <w:r w:rsidRPr="00601ADA">
        <w:t>:</w:t>
      </w:r>
      <w:r>
        <w:t xml:space="preserve"> For specific WWR and RWR CP’s, they can be identified via self-referencing trades/CPs directly from the trade data.</w:t>
      </w:r>
    </w:p>
    <w:p w:rsidR="00FE40DC" w:rsidRDefault="00FE40DC" w:rsidP="00D83552">
      <w:pPr>
        <w:pStyle w:val="ListParagraph"/>
        <w:numPr>
          <w:ilvl w:val="0"/>
          <w:numId w:val="182"/>
        </w:numPr>
        <w:spacing w:after="200" w:line="360" w:lineRule="auto"/>
      </w:pPr>
      <w:r>
        <w:rPr>
          <w:u w:val="single"/>
        </w:rPr>
        <w:t>Specific RWR/WWR Identification #2</w:t>
      </w:r>
      <w:r w:rsidRPr="00FE40DC">
        <w:t>:</w:t>
      </w:r>
      <w:r>
        <w:t xml:space="preserve"> </w:t>
      </w:r>
      <w:r w:rsidR="004258F9">
        <w:t>Indirectly specific RWR/WWR can be identified via stress testing by setting the market data related to the CP, such as the stock price of the CP (or a related entity), credit spread of the CP (or a related entity), or the currency of the CP domiciled country, to a distressed level. The CP’s having response to such stress tests are the specific WWR and the RWR CPs.</w:t>
      </w:r>
    </w:p>
    <w:p w:rsidR="004258F9" w:rsidRDefault="004258F9" w:rsidP="00D83552">
      <w:pPr>
        <w:pStyle w:val="ListParagraph"/>
        <w:numPr>
          <w:ilvl w:val="0"/>
          <w:numId w:val="182"/>
        </w:numPr>
        <w:spacing w:after="200" w:line="360" w:lineRule="auto"/>
      </w:pPr>
      <w:r>
        <w:rPr>
          <w:u w:val="single"/>
        </w:rPr>
        <w:t>Identification of the CSA WWR/RWR</w:t>
      </w:r>
      <w:r w:rsidRPr="004258F9">
        <w:t>:</w:t>
      </w:r>
      <w:r>
        <w:t xml:space="preserve"> WWR and RWR related to collateral values and/or the CP’s net asset available for default recovery can be identified via a fundamental analysis of the CP’s balance sheet.</w:t>
      </w:r>
    </w:p>
    <w:p w:rsidR="004258F9" w:rsidRDefault="004258F9" w:rsidP="004258F9">
      <w:pPr>
        <w:spacing w:after="200" w:line="360" w:lineRule="auto"/>
      </w:pPr>
    </w:p>
    <w:p w:rsidR="004258F9" w:rsidRDefault="004258F9" w:rsidP="004258F9">
      <w:pPr>
        <w:spacing w:after="200" w:line="360" w:lineRule="auto"/>
      </w:pPr>
    </w:p>
    <w:p w:rsidR="004258F9" w:rsidRPr="004258F9" w:rsidRDefault="004258F9" w:rsidP="004258F9">
      <w:pPr>
        <w:spacing w:after="200" w:line="360" w:lineRule="auto"/>
        <w:rPr>
          <w:b/>
          <w:sz w:val="28"/>
          <w:szCs w:val="28"/>
        </w:rPr>
      </w:pPr>
      <w:r w:rsidRPr="004258F9">
        <w:rPr>
          <w:b/>
          <w:sz w:val="28"/>
          <w:szCs w:val="28"/>
        </w:rPr>
        <w:t>Mathematical Modeling of Wrong-Way and Right-Way Risks</w:t>
      </w:r>
    </w:p>
    <w:p w:rsidR="004258F9" w:rsidRDefault="004258F9" w:rsidP="004258F9">
      <w:pPr>
        <w:spacing w:after="200" w:line="360" w:lineRule="auto"/>
      </w:pPr>
    </w:p>
    <w:p w:rsidR="004258F9" w:rsidRDefault="004258F9" w:rsidP="00D83552">
      <w:pPr>
        <w:pStyle w:val="ListParagraph"/>
        <w:numPr>
          <w:ilvl w:val="0"/>
          <w:numId w:val="183"/>
        </w:numPr>
        <w:spacing w:after="200" w:line="360" w:lineRule="auto"/>
      </w:pPr>
      <w:r w:rsidRPr="004258F9">
        <w:rPr>
          <w:u w:val="single"/>
        </w:rPr>
        <w:t>CP Exposure/Default Convexity Adjustment</w:t>
      </w:r>
      <w:r>
        <w:t>: This section starts with WWR and RWR modeling using simple approaches, such as convexity adjustment and default scenario exposure. The default scenario exposure is to estimate the exposure given CP default by analyzing the ranges of values of the relevant risk factors under the CP default and computing the CP exposures by setting the relevant risk factors to the default scenario values.</w:t>
      </w:r>
    </w:p>
    <w:p w:rsidR="004258F9" w:rsidRDefault="004258F9" w:rsidP="00D83552">
      <w:pPr>
        <w:pStyle w:val="ListParagraph"/>
        <w:numPr>
          <w:ilvl w:val="0"/>
          <w:numId w:val="183"/>
        </w:numPr>
        <w:spacing w:after="200" w:line="360" w:lineRule="auto"/>
      </w:pPr>
      <w:r>
        <w:rPr>
          <w:u w:val="single"/>
        </w:rPr>
        <w:t>Simplified Approach for Materiality Analysis</w:t>
      </w:r>
      <w:r w:rsidRPr="004258F9">
        <w:t>:</w:t>
      </w:r>
      <w:r>
        <w:t xml:space="preserve"> For instance under the scenario of CP default, the default scenario value of its stock price can be set to zero. The purpose of these simple approaches is mainly materiality analysis.</w:t>
      </w:r>
    </w:p>
    <w:p w:rsidR="00973F94" w:rsidRDefault="00973F94" w:rsidP="00D83552">
      <w:pPr>
        <w:pStyle w:val="ListParagraph"/>
        <w:numPr>
          <w:ilvl w:val="0"/>
          <w:numId w:val="183"/>
        </w:numPr>
        <w:spacing w:after="200" w:line="360" w:lineRule="auto"/>
      </w:pPr>
      <w:r>
        <w:rPr>
          <w:u w:val="single"/>
        </w:rPr>
        <w:lastRenderedPageBreak/>
        <w:t>Accurate RWR/WWR Modeling Approaches</w:t>
      </w:r>
      <w:r>
        <w:t>: More accurate and general approaches to the RWR and the WWR modeling require the modeling of the CP jump-to-default (and/or jump-to-default of the bank) in addition to the existing diffusion processes. More details will be added in line with Mercurio and Li (2015) and Li and Mercurio (2015) with possible simplifications and additions.</w:t>
      </w:r>
    </w:p>
    <w:p w:rsidR="00337B9B" w:rsidRDefault="00337B9B" w:rsidP="00337B9B">
      <w:pPr>
        <w:spacing w:after="200" w:line="360" w:lineRule="auto"/>
      </w:pPr>
    </w:p>
    <w:p w:rsidR="00337B9B" w:rsidRDefault="00337B9B" w:rsidP="00337B9B">
      <w:pPr>
        <w:spacing w:after="200" w:line="360" w:lineRule="auto"/>
      </w:pPr>
    </w:p>
    <w:p w:rsidR="00337B9B" w:rsidRPr="00DB17BF" w:rsidRDefault="00337B9B" w:rsidP="00337B9B">
      <w:pPr>
        <w:spacing w:after="200" w:line="360" w:lineRule="auto"/>
        <w:rPr>
          <w:b/>
          <w:sz w:val="28"/>
          <w:szCs w:val="28"/>
        </w:rPr>
      </w:pPr>
      <w:r w:rsidRPr="00DB17BF">
        <w:rPr>
          <w:b/>
          <w:sz w:val="28"/>
          <w:szCs w:val="28"/>
        </w:rPr>
        <w:t>A Simple WWR/RWR Model Based on the Convexity Adjustment to the CP Portfolio Value</w:t>
      </w:r>
    </w:p>
    <w:p w:rsidR="00337B9B" w:rsidRDefault="00337B9B" w:rsidP="00337B9B">
      <w:pPr>
        <w:spacing w:after="200" w:line="360" w:lineRule="auto"/>
      </w:pPr>
    </w:p>
    <w:p w:rsidR="00337B9B" w:rsidRDefault="00337B9B" w:rsidP="00D83552">
      <w:pPr>
        <w:pStyle w:val="ListParagraph"/>
        <w:numPr>
          <w:ilvl w:val="0"/>
          <w:numId w:val="184"/>
        </w:numPr>
        <w:spacing w:after="200" w:line="360" w:lineRule="auto"/>
      </w:pPr>
      <w:r w:rsidRPr="00DB17BF">
        <w:rPr>
          <w:u w:val="single"/>
        </w:rPr>
        <w:t>Convexity Adjustment Based WWR/RWR</w:t>
      </w:r>
      <w:r>
        <w:t xml:space="preserve">: This section formulates a simple model to capture the general WWR and the RWR based on convexity adjustment – through the change of probability measure – on the CP portfolio value </w:t>
      </w:r>
      <w:r w:rsidR="00DB17BF">
        <w:t>(leaving the CP default probabilities unchanged) addressing the diffusion based general RWR/WWR.</w:t>
      </w:r>
    </w:p>
    <w:p w:rsidR="00467673" w:rsidRDefault="00DB17BF" w:rsidP="00D83552">
      <w:pPr>
        <w:pStyle w:val="ListParagraph"/>
        <w:numPr>
          <w:ilvl w:val="0"/>
          <w:numId w:val="184"/>
        </w:numPr>
        <w:spacing w:after="200" w:line="360" w:lineRule="auto"/>
      </w:pPr>
      <w:r>
        <w:rPr>
          <w:u w:val="single"/>
        </w:rPr>
        <w:t>Uncorrelated Incremental Contribution to CVA</w:t>
      </w:r>
      <w:r w:rsidRPr="00DB17BF">
        <w:t>:</w:t>
      </w:r>
      <w:r>
        <w:t xml:space="preserve"> Starting with a CVA model without considering WWR or RWR, the probability of default and the portfolio value are uncorrelated and the following expectation can be evaluated separately.</w:t>
      </w:r>
    </w:p>
    <w:p w:rsidR="00467673" w:rsidRDefault="00467673" w:rsidP="00467673">
      <w:pPr>
        <w:pStyle w:val="ListParagraph"/>
        <w:spacing w:after="200" w:line="360" w:lineRule="auto"/>
        <w:ind w:left="360"/>
        <w:rPr>
          <w:u w:val="single"/>
        </w:rPr>
      </w:pPr>
    </w:p>
    <w:p w:rsidR="00467673" w:rsidRDefault="005D6A21"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=PD×EPE</m:t>
          </m:r>
        </m:oMath>
      </m:oMathPara>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w:r>
        <w:t>where</w:t>
      </w:r>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m:oMathPara>
        <m:oMath>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e>
          </m:d>
        </m:oMath>
      </m:oMathPara>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w:r>
        <w:t>is the probability of default, and</w:t>
      </w:r>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m:oMathPara>
        <m:oMath>
          <m:r>
            <w:rPr>
              <w:rFonts w:ascii="Cambria Math" w:hAnsi="Cambria Math"/>
            </w:rPr>
            <m:t>EPE=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DB17BF" w:rsidRDefault="00DB17BF" w:rsidP="00467673">
      <w:pPr>
        <w:pStyle w:val="ListParagraph"/>
        <w:spacing w:after="200" w:line="360" w:lineRule="auto"/>
        <w:ind w:left="360"/>
      </w:pPr>
      <w:r>
        <w:t>is the expected positive exposure.</w:t>
      </w:r>
    </w:p>
    <w:p w:rsidR="00467673" w:rsidRDefault="00DB17BF" w:rsidP="00D83552">
      <w:pPr>
        <w:pStyle w:val="ListParagraph"/>
        <w:numPr>
          <w:ilvl w:val="0"/>
          <w:numId w:val="184"/>
        </w:numPr>
        <w:spacing w:after="200" w:line="360" w:lineRule="auto"/>
      </w:pPr>
      <w:r>
        <w:rPr>
          <w:u w:val="single"/>
        </w:rPr>
        <w:t>Correlated Incremental Contribution to CVA</w:t>
      </w:r>
      <w:r w:rsidRPr="00DB17BF">
        <w:t>:</w:t>
      </w:r>
      <w:r>
        <w:t xml:space="preserve"> </w:t>
      </w:r>
      <w:r w:rsidR="000C1B8F">
        <w:t>When the probability of default and the portfolio value are correlated, one has</w:t>
      </w:r>
    </w:p>
    <w:p w:rsidR="00467673" w:rsidRDefault="00467673" w:rsidP="00467673">
      <w:pPr>
        <w:pStyle w:val="ListParagraph"/>
        <w:spacing w:after="200" w:line="360" w:lineRule="auto"/>
        <w:ind w:left="360"/>
        <w:rPr>
          <w:u w:val="single"/>
        </w:rPr>
      </w:pPr>
    </w:p>
    <w:p w:rsidR="00467673" w:rsidRDefault="005D6A21"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num>
                <m:den>
                  <m:r>
                    <w:rPr>
                      <w:rFonts w:ascii="Cambria Math" w:hAnsi="Cambria Math"/>
                    </w:rPr>
                    <m:t>PD</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DB17BF" w:rsidRDefault="000C1B8F" w:rsidP="00467673">
      <w:pPr>
        <w:pStyle w:val="ListParagraph"/>
        <w:spacing w:after="200" w:line="360" w:lineRule="auto"/>
        <w:ind w:left="360"/>
      </w:pPr>
      <w:r>
        <w:t xml:space="preserve">This formula is similar to the NPV in the forward default measure if </w:t>
      </w:r>
      <m:oMath>
        <m:r>
          <w:rPr>
            <w:rFonts w:ascii="Cambria Math" w:hAnsi="Cambria Math"/>
          </w:rPr>
          <m:t>PD</m:t>
        </m:r>
      </m:oMath>
      <w:r>
        <w:t xml:space="preserve"> is interpreted as a “discount factor”.</w:t>
      </w:r>
    </w:p>
    <w:p w:rsidR="000865AD" w:rsidRDefault="000865AD" w:rsidP="00D83552">
      <w:pPr>
        <w:pStyle w:val="ListParagraph"/>
        <w:numPr>
          <w:ilvl w:val="0"/>
          <w:numId w:val="184"/>
        </w:numPr>
        <w:spacing w:after="200" w:line="360" w:lineRule="auto"/>
      </w:pPr>
      <w:r>
        <w:rPr>
          <w:u w:val="single"/>
        </w:rPr>
        <w:t>Normal Exposure Lognormal Default Probability</w:t>
      </w:r>
      <w:r w:rsidRPr="000865AD">
        <w:t>:</w:t>
      </w:r>
      <w:r>
        <w:t xml:space="preserve"> The following assumptions are made in this simple model.</w:t>
      </w:r>
    </w:p>
    <w:p w:rsidR="000865AD" w:rsidRDefault="000865AD" w:rsidP="00D83552">
      <w:pPr>
        <w:pStyle w:val="ListParagraph"/>
        <w:numPr>
          <w:ilvl w:val="1"/>
          <w:numId w:val="184"/>
        </w:numPr>
        <w:spacing w:after="200" w:line="360" w:lineRule="auto"/>
      </w:pPr>
      <w:r>
        <w:t>The default probability is related to the credit spread, which is lognormally distributed.</w:t>
      </w:r>
    </w:p>
    <w:p w:rsidR="000865AD" w:rsidRDefault="000865AD" w:rsidP="00D83552">
      <w:pPr>
        <w:pStyle w:val="ListParagraph"/>
        <w:numPr>
          <w:ilvl w:val="1"/>
          <w:numId w:val="184"/>
        </w:numPr>
        <w:spacing w:after="200" w:line="360" w:lineRule="auto"/>
      </w:pPr>
      <w:r>
        <w:t>On each credit date the portfolio value is normally distributed.</w:t>
      </w:r>
    </w:p>
    <w:p w:rsidR="000865AD" w:rsidRDefault="000865AD" w:rsidP="00D83552">
      <w:pPr>
        <w:pStyle w:val="ListParagraph"/>
        <w:numPr>
          <w:ilvl w:val="1"/>
          <w:numId w:val="184"/>
        </w:numPr>
        <w:spacing w:after="200" w:line="360" w:lineRule="auto"/>
      </w:pPr>
      <w:r>
        <w:t>The portfolio value and the credit spread are correlated.</w:t>
      </w:r>
    </w:p>
    <w:p w:rsidR="000865AD" w:rsidRDefault="000865AD" w:rsidP="00D83552">
      <w:pPr>
        <w:pStyle w:val="ListParagraph"/>
        <w:numPr>
          <w:ilvl w:val="0"/>
          <w:numId w:val="184"/>
        </w:numPr>
        <w:spacing w:after="200" w:line="360" w:lineRule="auto"/>
      </w:pPr>
      <w:r w:rsidRPr="000865AD">
        <w:rPr>
          <w:u w:val="single"/>
        </w:rPr>
        <w:t>Incremental CVA Calculation Parameter Estimates</w:t>
      </w:r>
      <w:r>
        <w:t xml:space="preserve">: The volatility of the probability of default (or the credit spread) needs to be estimated, along with the volatility of the portfolio values and their correlations. </w:t>
      </w:r>
      <w:r w:rsidR="00915D94">
        <w:t>The following parameters are estimated:</w:t>
      </w:r>
    </w:p>
    <w:p w:rsidR="00915D94" w:rsidRDefault="00915D94" w:rsidP="00D83552">
      <w:pPr>
        <w:pStyle w:val="ListParagraph"/>
        <w:numPr>
          <w:ilvl w:val="1"/>
          <w:numId w:val="184"/>
        </w:numPr>
        <w:spacing w:after="200" w:line="360" w:lineRule="auto"/>
      </w:pPr>
      <m:oMath>
        <m:r>
          <w:rPr>
            <w:rFonts w:ascii="Cambria Math" w:hAnsi="Cambria Math"/>
          </w:rPr>
          <m:t>D</m:t>
        </m:r>
      </m:oMath>
      <w:r>
        <w:t xml:space="preserve"> =&gt; The NPV delta for 1% of the risk factor shift</w:t>
      </w:r>
    </w:p>
    <w:p w:rsidR="00915D94" w:rsidRDefault="005D6A21" w:rsidP="00D83552">
      <w:pPr>
        <w:pStyle w:val="ListParagraph"/>
        <w:numPr>
          <w:ilvl w:val="1"/>
          <w:numId w:val="184"/>
        </w:numPr>
        <w:spacing w:after="200" w:line="360" w:lineRule="auto"/>
      </w:pPr>
      <m:oMath>
        <m:sSub>
          <m:sSubPr>
            <m:ctrlPr>
              <w:rPr>
                <w:rFonts w:ascii="Cambria Math" w:hAnsi="Cambria Math"/>
                <w:i/>
              </w:rPr>
            </m:ctrlPr>
          </m:sSubPr>
          <m:e>
            <m:r>
              <w:rPr>
                <w:rFonts w:ascii="Cambria Math" w:hAnsi="Cambria Math"/>
              </w:rPr>
              <m:t>σ</m:t>
            </m:r>
          </m:e>
          <m:sub>
            <m:r>
              <w:rPr>
                <w:rFonts w:ascii="Cambria Math" w:hAnsi="Cambria Math"/>
              </w:rPr>
              <m:t>CS</m:t>
            </m:r>
          </m:sub>
        </m:sSub>
      </m:oMath>
      <w:r w:rsidR="00915D94">
        <w:t xml:space="preserve"> =&gt; The counter party credit spread lognormal volatility</w:t>
      </w:r>
    </w:p>
    <w:p w:rsidR="00915D94" w:rsidRDefault="005D6A21" w:rsidP="00D83552">
      <w:pPr>
        <w:pStyle w:val="ListParagraph"/>
        <w:numPr>
          <w:ilvl w:val="1"/>
          <w:numId w:val="184"/>
        </w:numPr>
        <w:spacing w:after="200" w:line="360" w:lineRule="auto"/>
      </w:pPr>
      <m:oMath>
        <m:sSub>
          <m:sSubPr>
            <m:ctrlPr>
              <w:rPr>
                <w:rFonts w:ascii="Cambria Math" w:hAnsi="Cambria Math"/>
                <w:i/>
              </w:rPr>
            </m:ctrlPr>
          </m:sSubPr>
          <m:e>
            <m:r>
              <w:rPr>
                <w:rFonts w:ascii="Cambria Math" w:hAnsi="Cambria Math"/>
              </w:rPr>
              <m:t>σ</m:t>
            </m:r>
          </m:e>
          <m:sub>
            <m:r>
              <w:rPr>
                <w:rFonts w:ascii="Cambria Math" w:hAnsi="Cambria Math"/>
              </w:rPr>
              <m:t>RF</m:t>
            </m:r>
          </m:sub>
        </m:sSub>
      </m:oMath>
      <w:r w:rsidR="00915D94">
        <w:t xml:space="preserve"> =&gt; The underlying risk factor lognormal volatility</w:t>
      </w:r>
    </w:p>
    <w:p w:rsidR="00915D94" w:rsidRDefault="00915D94" w:rsidP="00D83552">
      <w:pPr>
        <w:pStyle w:val="ListParagraph"/>
        <w:numPr>
          <w:ilvl w:val="1"/>
          <w:numId w:val="184"/>
        </w:numPr>
        <w:spacing w:after="200" w:line="360" w:lineRule="auto"/>
      </w:pPr>
      <m:oMath>
        <m:r>
          <w:rPr>
            <w:rFonts w:ascii="Cambria Math" w:hAnsi="Cambria Math"/>
          </w:rPr>
          <m:t>ρ</m:t>
        </m:r>
      </m:oMath>
      <w:r>
        <w:t xml:space="preserve"> =&gt; The correlation of the counter party credit spread and the underlying risk factor</w:t>
      </w:r>
    </w:p>
    <w:p w:rsidR="00467673" w:rsidRDefault="00332335" w:rsidP="00D83552">
      <w:pPr>
        <w:pStyle w:val="ListParagraph"/>
        <w:numPr>
          <w:ilvl w:val="0"/>
          <w:numId w:val="184"/>
        </w:numPr>
        <w:spacing w:after="200" w:line="360" w:lineRule="auto"/>
      </w:pPr>
      <w:r w:rsidRPr="00332335">
        <w:rPr>
          <w:u w:val="single"/>
        </w:rPr>
        <w:t>Risk Factor vs. Exposure Linearity</w:t>
      </w:r>
      <w:r>
        <w:t>: Under a linear approximation of the portfolio value in terms of the risk factor, the normal volatility of the portfolio is</w:t>
      </w:r>
    </w:p>
    <w:p w:rsidR="00467673" w:rsidRDefault="00467673" w:rsidP="00467673">
      <w:pPr>
        <w:pStyle w:val="ListParagraph"/>
        <w:spacing w:after="200" w:line="360" w:lineRule="auto"/>
        <w:ind w:left="360"/>
        <w:rPr>
          <w:u w:val="single"/>
        </w:rPr>
      </w:pPr>
    </w:p>
    <w:p w:rsidR="00467673" w:rsidRDefault="005D6A21" w:rsidP="00467673">
      <w:pPr>
        <w:pStyle w:val="ListParagraph"/>
        <w:spacing w:after="200"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V</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m:oMathPara>
    </w:p>
    <w:p w:rsidR="00467673" w:rsidRDefault="00467673" w:rsidP="00467673">
      <w:pPr>
        <w:pStyle w:val="ListParagraph"/>
        <w:spacing w:after="200" w:line="360" w:lineRule="auto"/>
        <w:ind w:left="360"/>
      </w:pPr>
    </w:p>
    <w:p w:rsidR="00467673" w:rsidRDefault="00332335" w:rsidP="00467673">
      <w:pPr>
        <w:pStyle w:val="ListParagraph"/>
        <w:spacing w:after="200" w:line="360" w:lineRule="auto"/>
        <w:ind w:left="360"/>
      </w:pPr>
      <w:r>
        <w:t>The hazard rate is assumed to related to the credit spread as</w:t>
      </w:r>
    </w:p>
    <w:p w:rsidR="00467673" w:rsidRDefault="00467673" w:rsidP="00467673">
      <w:pPr>
        <w:pStyle w:val="ListParagraph"/>
        <w:spacing w:after="200" w:line="360" w:lineRule="auto"/>
        <w:ind w:left="360"/>
      </w:pPr>
    </w:p>
    <w:p w:rsidR="00467673" w:rsidRDefault="00332335" w:rsidP="00467673">
      <w:pPr>
        <w:pStyle w:val="ListParagraph"/>
        <w:spacing w:after="200" w:line="360" w:lineRule="auto"/>
        <w:ind w:left="360"/>
      </w:pPr>
      <m:oMathPara>
        <m:oMath>
          <m:r>
            <w:rPr>
              <w:rFonts w:ascii="Cambria Math" w:hAnsi="Cambria Math"/>
            </w:rPr>
            <w:lastRenderedPageBreak/>
            <m:t>h=</m:t>
          </m:r>
          <m:f>
            <m:fPr>
              <m:ctrlPr>
                <w:rPr>
                  <w:rFonts w:ascii="Cambria Math" w:hAnsi="Cambria Math"/>
                  <w:i/>
                </w:rPr>
              </m:ctrlPr>
            </m:fPr>
            <m:num>
              <m:r>
                <w:rPr>
                  <w:rFonts w:ascii="Cambria Math" w:hAnsi="Cambria Math"/>
                </w:rPr>
                <m:t>CS</m:t>
              </m:r>
            </m:num>
            <m:den>
              <m:r>
                <w:rPr>
                  <w:rFonts w:ascii="Cambria Math" w:hAnsi="Cambria Math"/>
                </w:rPr>
                <m:t>1-R</m:t>
              </m:r>
            </m:den>
          </m:f>
        </m:oMath>
      </m:oMathPara>
    </w:p>
    <w:p w:rsidR="00467673" w:rsidRDefault="00467673" w:rsidP="00467673">
      <w:pPr>
        <w:pStyle w:val="ListParagraph"/>
        <w:spacing w:after="200" w:line="360" w:lineRule="auto"/>
        <w:ind w:left="360"/>
      </w:pPr>
    </w:p>
    <w:p w:rsidR="00332335" w:rsidRDefault="00332335" w:rsidP="00467673">
      <w:pPr>
        <w:pStyle w:val="ListParagraph"/>
        <w:spacing w:after="200" w:line="360" w:lineRule="auto"/>
        <w:ind w:left="360"/>
      </w:pPr>
      <w:r>
        <w:t xml:space="preserve">where </w:t>
      </w:r>
      <m:oMath>
        <m:r>
          <w:rPr>
            <w:rFonts w:ascii="Cambria Math" w:hAnsi="Cambria Math"/>
          </w:rPr>
          <m:t>R</m:t>
        </m:r>
      </m:oMath>
      <w:r>
        <w:t xml:space="preserve"> is the recovery rate.</w:t>
      </w:r>
    </w:p>
    <w:p w:rsidR="00467673" w:rsidRDefault="00332335" w:rsidP="00D83552">
      <w:pPr>
        <w:pStyle w:val="ListParagraph"/>
        <w:numPr>
          <w:ilvl w:val="0"/>
          <w:numId w:val="184"/>
        </w:numPr>
        <w:spacing w:after="200" w:line="360" w:lineRule="auto"/>
      </w:pPr>
      <w:r>
        <w:rPr>
          <w:u w:val="single"/>
        </w:rPr>
        <w:t>Conditional Expectation of the CVA Increment</w:t>
      </w:r>
      <w:r w:rsidRPr="00332335">
        <w:t>:</w:t>
      </w:r>
      <w:r>
        <w:t xml:space="preserve"> The expectation formula involving correlated random variables is now applied. Let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be two normally distributed random variables with a correlation </w:t>
      </w:r>
      <m:oMath>
        <m:r>
          <w:rPr>
            <w:rFonts w:ascii="Cambria Math" w:hAnsi="Cambria Math"/>
          </w:rPr>
          <m:t>ρ</m:t>
        </m:r>
      </m:oMath>
      <w:r>
        <w:t xml:space="preserve">; for any function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oMath>
      <w:r>
        <w:t xml:space="preserve"> the following expectation results:</w:t>
      </w:r>
    </w:p>
    <w:p w:rsidR="00467673" w:rsidRDefault="00467673" w:rsidP="00467673">
      <w:pPr>
        <w:pStyle w:val="ListParagraph"/>
        <w:spacing w:after="200" w:line="360" w:lineRule="auto"/>
        <w:ind w:left="360"/>
        <w:rPr>
          <w:u w:val="single"/>
        </w:rPr>
      </w:pPr>
    </w:p>
    <w:p w:rsidR="00332335" w:rsidRPr="00467673" w:rsidRDefault="00332335" w:rsidP="00467673">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 ρ</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AF4C25" w:rsidRDefault="00AF4C25" w:rsidP="00D83552">
      <w:pPr>
        <w:pStyle w:val="ListParagraph"/>
        <w:numPr>
          <w:ilvl w:val="0"/>
          <w:numId w:val="184"/>
        </w:numPr>
        <w:spacing w:after="200" w:line="360" w:lineRule="auto"/>
      </w:pPr>
      <w:r>
        <w:rPr>
          <w:u w:val="single"/>
        </w:rPr>
        <w:t xml:space="preserve">Incorporating Correlations between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1</m:t>
            </m:r>
          </m:sub>
        </m:sSub>
      </m:oMath>
      <w:r>
        <w:rPr>
          <w:u w:val="single"/>
        </w:rPr>
        <w:t xml:space="preserve"> and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2</m:t>
            </m:r>
          </m:sub>
        </m:sSub>
      </m:oMath>
      <w:r>
        <w:t xml:space="preserve">: Note that the expectations on the right hand side are evaluated in a one-dimensional normal distribution in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separately, but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has an extra term in the mean. This will be proved at the end of this section.</w:t>
      </w:r>
    </w:p>
    <w:p w:rsidR="00467673" w:rsidRDefault="00AF4C25" w:rsidP="00D83552">
      <w:pPr>
        <w:pStyle w:val="ListParagraph"/>
        <w:numPr>
          <w:ilvl w:val="0"/>
          <w:numId w:val="184"/>
        </w:numPr>
        <w:spacing w:after="200" w:line="360" w:lineRule="auto"/>
      </w:pPr>
      <w:r>
        <w:rPr>
          <w:u w:val="single"/>
        </w:rPr>
        <w:t>De facto Change of Measure</w:t>
      </w:r>
      <w:r w:rsidRPr="00AF4C25">
        <w:t>:</w:t>
      </w:r>
      <w:r>
        <w:t xml:space="preserve"> Application of this formula to above results in</w:t>
      </w:r>
    </w:p>
    <w:p w:rsidR="00467673" w:rsidRDefault="00467673" w:rsidP="00467673">
      <w:pPr>
        <w:pStyle w:val="ListParagraph"/>
        <w:spacing w:after="200" w:line="360" w:lineRule="auto"/>
        <w:ind w:left="360"/>
        <w:rPr>
          <w:u w:val="single"/>
        </w:rPr>
      </w:pPr>
    </w:p>
    <w:p w:rsidR="00467673" w:rsidRDefault="005D6A21"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AF4C25" w:rsidRDefault="00AF4C25" w:rsidP="00467673">
      <w:pPr>
        <w:pStyle w:val="ListParagraph"/>
        <w:spacing w:after="200" w:line="360" w:lineRule="auto"/>
        <w:ind w:left="360"/>
      </w:pPr>
      <w:r>
        <w:t xml:space="preserve">Under a new measure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m:t>
            </m:r>
          </m:e>
        </m:d>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τ</m:t>
            </m:r>
          </m:sub>
        </m:sSub>
      </m:oMath>
      <w:r>
        <w:t xml:space="preserve"> has an extra drift term </w:t>
      </w:r>
      <m:oMath>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w:r w:rsidR="00741F1A">
        <w:t xml:space="preserve"> but the same volatility.</w:t>
      </w:r>
    </w:p>
    <w:p w:rsidR="002D4DD0" w:rsidRDefault="002D4DD0" w:rsidP="00D83552">
      <w:pPr>
        <w:pStyle w:val="ListParagraph"/>
        <w:numPr>
          <w:ilvl w:val="0"/>
          <w:numId w:val="184"/>
        </w:numPr>
        <w:spacing w:after="200" w:line="360" w:lineRule="auto"/>
      </w:pPr>
      <w:r>
        <w:rPr>
          <w:u w:val="single"/>
        </w:rPr>
        <w:t>Estimating the WWR/RWR Impact</w:t>
      </w:r>
      <w:r w:rsidRPr="002D4DD0">
        <w:t>:</w:t>
      </w:r>
      <w:r>
        <w:t xml:space="preserve"> One application of this model is to estimate the impact of WWR and RWR based on the results from a model without the feature if WWR and RWR. The following steps can be performed to estimate the impact.</w:t>
      </w:r>
    </w:p>
    <w:p w:rsidR="002D4DD0" w:rsidRDefault="002D4DD0" w:rsidP="00D83552">
      <w:pPr>
        <w:pStyle w:val="ListParagraph"/>
        <w:numPr>
          <w:ilvl w:val="0"/>
          <w:numId w:val="184"/>
        </w:numPr>
        <w:spacing w:after="200" w:line="360" w:lineRule="auto"/>
      </w:pPr>
      <w:r>
        <w:rPr>
          <w:u w:val="single"/>
        </w:rPr>
        <w:t xml:space="preserve">Estimating Exposure </w:t>
      </w:r>
      <m:oMath>
        <m:r>
          <w:rPr>
            <w:rFonts w:ascii="Cambria Math" w:hAnsi="Cambria Math"/>
            <w:u w:val="single"/>
          </w:rPr>
          <m:t>μ</m:t>
        </m:r>
      </m:oMath>
      <w:r>
        <w:rPr>
          <w:u w:val="single"/>
        </w:rPr>
        <w:t xml:space="preserve"> and </w:t>
      </w:r>
      <m:oMath>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2D4DD0">
        <w:t>:</w:t>
      </w:r>
      <w:r>
        <w:t xml:space="preserve"> On each credit date it is assumed that the value of the portfolio is normally distributed. The two parameters of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w:r>
        <w:t xml:space="preserve"> - the mean </w:t>
      </w:r>
      <m:oMath>
        <m:r>
          <w:rPr>
            <w:rFonts w:ascii="Cambria Math" w:hAnsi="Cambria Math"/>
          </w:rPr>
          <m:t>μ</m:t>
        </m:r>
      </m:oMath>
      <w:r>
        <w:t xml:space="preserve"> and the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 can be backed out from ENE and EPE.</w:t>
      </w:r>
    </w:p>
    <w:p w:rsidR="002D4DD0" w:rsidRDefault="002D4DD0" w:rsidP="00D83552">
      <w:pPr>
        <w:pStyle w:val="ListParagraph"/>
        <w:numPr>
          <w:ilvl w:val="0"/>
          <w:numId w:val="184"/>
        </w:numPr>
        <w:spacing w:after="200" w:line="360" w:lineRule="auto"/>
      </w:pPr>
      <w:r>
        <w:rPr>
          <w:u w:val="single"/>
        </w:rPr>
        <w:t>Incorporating the Convexity Correction Drift</w:t>
      </w:r>
      <w:r w:rsidRPr="002D4DD0">
        <w:t>:</w:t>
      </w:r>
      <w:r>
        <w:t xml:space="preserve"> The extra drift term can be backed out of the above formula and added to the mean </w:t>
      </w:r>
      <m:oMath>
        <m:r>
          <w:rPr>
            <w:rFonts w:ascii="Cambria Math" w:hAnsi="Cambria Math"/>
          </w:rPr>
          <m:t>μ</m:t>
        </m:r>
      </m:oMath>
      <w:r>
        <w:t>.</w:t>
      </w:r>
    </w:p>
    <w:p w:rsidR="005059CE" w:rsidRDefault="005059CE" w:rsidP="00D83552">
      <w:pPr>
        <w:pStyle w:val="ListParagraph"/>
        <w:numPr>
          <w:ilvl w:val="0"/>
          <w:numId w:val="184"/>
        </w:numPr>
        <w:spacing w:after="200" w:line="360" w:lineRule="auto"/>
      </w:pPr>
      <w:r>
        <w:rPr>
          <w:u w:val="single"/>
        </w:rPr>
        <w:t>Recalculating the EPE and the ENE</w:t>
      </w:r>
      <w:r w:rsidRPr="005059CE">
        <w:t>:</w:t>
      </w:r>
      <w:r>
        <w:t xml:space="preserve"> The EPE and the ENE can be evaluated from the normal options pricer with an extra drift term and the same normal volatility.</w:t>
      </w:r>
    </w:p>
    <w:p w:rsidR="00467673" w:rsidRDefault="006842C6" w:rsidP="00D83552">
      <w:pPr>
        <w:pStyle w:val="ListParagraph"/>
        <w:numPr>
          <w:ilvl w:val="0"/>
          <w:numId w:val="184"/>
        </w:numPr>
        <w:spacing w:after="200" w:line="360" w:lineRule="auto"/>
      </w:pPr>
      <w:r>
        <w:rPr>
          <w:u w:val="single"/>
        </w:rPr>
        <w:lastRenderedPageBreak/>
        <w:t xml:space="preserve">Steps for Estimating </w:t>
      </w:r>
      <m:oMath>
        <m:r>
          <w:rPr>
            <w:rFonts w:ascii="Cambria Math" w:hAnsi="Cambria Math"/>
            <w:u w:val="single"/>
          </w:rPr>
          <m:t>μ/</m:t>
        </m:r>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6842C6">
        <w:t>:</w:t>
      </w:r>
      <w:r>
        <w:t xml:space="preserve"> In the first step, note that</w:t>
      </w:r>
    </w:p>
    <w:p w:rsidR="00467673" w:rsidRDefault="00467673" w:rsidP="00467673">
      <w:pPr>
        <w:pStyle w:val="ListParagraph"/>
        <w:spacing w:after="200" w:line="360" w:lineRule="auto"/>
        <w:ind w:left="360"/>
        <w:rPr>
          <w:u w:val="single"/>
        </w:rPr>
      </w:pPr>
    </w:p>
    <w:p w:rsidR="00467673" w:rsidRDefault="006842C6" w:rsidP="00467673">
      <w:pPr>
        <w:pStyle w:val="ListParagraph"/>
        <w:spacing w:after="200" w:line="360" w:lineRule="auto"/>
        <w:ind w:left="360"/>
      </w:pPr>
      <m:oMathPara>
        <m:oMath>
          <m:r>
            <w:rPr>
              <w:rFonts w:ascii="Cambria Math" w:hAnsi="Cambria Math"/>
            </w:rPr>
            <m:t>EPE=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ENE=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w:r>
        <w:t>resulting in</w:t>
      </w:r>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EPE+ENE=μ</m:t>
          </m:r>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EPE=μ∙</m:t>
          </m:r>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467673" w:rsidRDefault="00467673" w:rsidP="00467673">
      <w:pPr>
        <w:pStyle w:val="ListParagraph"/>
        <w:spacing w:after="200" w:line="360" w:lineRule="auto"/>
        <w:ind w:left="360"/>
      </w:pPr>
    </w:p>
    <w:p w:rsidR="006842C6" w:rsidRDefault="001D7576" w:rsidP="00467673">
      <w:pPr>
        <w:pStyle w:val="ListParagraph"/>
        <w:spacing w:after="200" w:line="360" w:lineRule="auto"/>
        <w:ind w:left="36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t xml:space="preserve"> is the cumulative probability distribution function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probability density function for the standard normal distribution.</w:t>
      </w:r>
    </w:p>
    <w:p w:rsidR="00467673" w:rsidRDefault="001D7576" w:rsidP="00D83552">
      <w:pPr>
        <w:pStyle w:val="ListParagraph"/>
        <w:numPr>
          <w:ilvl w:val="0"/>
          <w:numId w:val="184"/>
        </w:numPr>
        <w:spacing w:after="200" w:line="360" w:lineRule="auto"/>
      </w:pPr>
      <w:r>
        <w:rPr>
          <w:u w:val="single"/>
        </w:rPr>
        <w:t xml:space="preserve">Explicit Estimation of </w:t>
      </w:r>
      <m:oMath>
        <m:r>
          <w:rPr>
            <w:rFonts w:ascii="Cambria Math" w:hAnsi="Cambria Math"/>
            <w:u w:val="single"/>
          </w:rPr>
          <m:t>μ</m:t>
        </m:r>
      </m:oMath>
      <w:r>
        <w:rPr>
          <w:u w:val="single"/>
        </w:rPr>
        <w:t xml:space="preserve"> and </w:t>
      </w:r>
      <m:oMath>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1D7576">
        <w:t>:</w:t>
      </w:r>
      <w:r>
        <w:t xml:space="preserve"> There are then two equations to solve for </w:t>
      </w:r>
      <m:oMath>
        <m:r>
          <w:rPr>
            <w:rFonts w:ascii="Cambria Math" w:hAnsi="Cambria Math"/>
          </w:rPr>
          <m:t>μ</m:t>
        </m:r>
      </m:oMath>
      <w:r>
        <w:t xml:space="preserve"> and </w:t>
      </w:r>
      <m:oMath>
        <m:r>
          <w:rPr>
            <w:rFonts w:ascii="Cambria Math" w:hAnsi="Cambria Math"/>
          </w:rPr>
          <m:t>σ</m:t>
        </m:r>
      </m:oMath>
      <w:r>
        <w:t>. It follows immediately that</w:t>
      </w:r>
    </w:p>
    <w:p w:rsidR="00467673" w:rsidRDefault="00467673" w:rsidP="00467673">
      <w:pPr>
        <w:pStyle w:val="ListParagraph"/>
        <w:spacing w:after="200" w:line="360" w:lineRule="auto"/>
        <w:ind w:left="360"/>
        <w:rPr>
          <w:u w:val="single"/>
        </w:rPr>
      </w:pPr>
    </w:p>
    <w:p w:rsidR="00467673" w:rsidRDefault="001D7576" w:rsidP="00467673">
      <w:pPr>
        <w:pStyle w:val="ListParagraph"/>
        <w:spacing w:after="200" w:line="360" w:lineRule="auto"/>
        <w:ind w:left="360"/>
      </w:pPr>
      <m:oMathPara>
        <m:oMath>
          <m:r>
            <w:rPr>
              <w:rFonts w:ascii="Cambria Math" w:hAnsi="Cambria Math"/>
            </w:rPr>
            <m:t>μ=EPE+ENE</m:t>
          </m:r>
        </m:oMath>
      </m:oMathPara>
    </w:p>
    <w:p w:rsidR="00467673" w:rsidRDefault="00467673" w:rsidP="00467673">
      <w:pPr>
        <w:pStyle w:val="ListParagraph"/>
        <w:spacing w:after="200" w:line="360" w:lineRule="auto"/>
        <w:ind w:left="360"/>
      </w:pPr>
    </w:p>
    <w:p w:rsidR="001D7576" w:rsidRDefault="001D7576" w:rsidP="00467673">
      <w:pPr>
        <w:pStyle w:val="ListParagraph"/>
        <w:spacing w:after="200" w:line="360" w:lineRule="auto"/>
        <w:ind w:left="360"/>
      </w:pPr>
      <w:r>
        <w:t xml:space="preserve">Specific functions are available in the DRIP normal option pricer to estimate </w:t>
      </w:r>
      <m:oMath>
        <m:r>
          <w:rPr>
            <w:rFonts w:ascii="Cambria Math" w:hAnsi="Cambria Math"/>
          </w:rPr>
          <m:t>σ</m:t>
        </m:r>
      </m:oMath>
      <w:r>
        <w:t>.</w:t>
      </w:r>
    </w:p>
    <w:p w:rsidR="00467673" w:rsidRDefault="001D7576" w:rsidP="00D83552">
      <w:pPr>
        <w:pStyle w:val="ListParagraph"/>
        <w:numPr>
          <w:ilvl w:val="0"/>
          <w:numId w:val="184"/>
        </w:numPr>
        <w:spacing w:after="200" w:line="360" w:lineRule="auto"/>
      </w:pPr>
      <w:r>
        <w:rPr>
          <w:u w:val="single"/>
        </w:rPr>
        <w:t>Convexity Correction Drift Pick-Up</w:t>
      </w:r>
      <w:r w:rsidRPr="001D7576">
        <w:t>:</w:t>
      </w:r>
      <w:r>
        <w:t xml:space="preserve"> I the second step the extra term under the new measure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m:t>
            </m:r>
          </m:e>
        </m:d>
      </m:oMath>
      <w:r>
        <w:t xml:space="preserve"> is calculated. </w:t>
      </w:r>
      <m:oMath>
        <m:sSub>
          <m:sSubPr>
            <m:ctrlPr>
              <w:rPr>
                <w:rFonts w:ascii="Cambria Math" w:hAnsi="Cambria Math"/>
                <w:i/>
              </w:rPr>
            </m:ctrlPr>
          </m:sSubPr>
          <m:e>
            <m:r>
              <w:rPr>
                <w:rFonts w:ascii="Cambria Math" w:hAnsi="Cambria Math"/>
              </w:rPr>
              <m:t>V</m:t>
            </m:r>
          </m:e>
          <m:sub>
            <m:r>
              <w:rPr>
                <w:rFonts w:ascii="Cambria Math" w:hAnsi="Cambria Math"/>
              </w:rPr>
              <m:t>τ</m:t>
            </m:r>
          </m:sub>
        </m:sSub>
      </m:oMath>
      <w:r>
        <w:t xml:space="preserve"> </w:t>
      </w:r>
      <w:r w:rsidR="00B85A8C">
        <w:t>i</w:t>
      </w:r>
      <w:r>
        <w:t xml:space="preserve">s normally distributed with the </w:t>
      </w:r>
      <w:r w:rsidR="00B85A8C">
        <w:t>extra drift term</w:t>
      </w:r>
    </w:p>
    <w:p w:rsidR="00467673" w:rsidRDefault="00467673" w:rsidP="00467673">
      <w:pPr>
        <w:pStyle w:val="ListParagraph"/>
        <w:spacing w:after="200" w:line="360" w:lineRule="auto"/>
        <w:ind w:left="360"/>
        <w:rPr>
          <w:u w:val="single"/>
        </w:rPr>
      </w:pPr>
    </w:p>
    <w:p w:rsidR="001D7576" w:rsidRPr="00467673" w:rsidRDefault="005D6A21" w:rsidP="0046767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μ+ρ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467673" w:rsidRDefault="00467673" w:rsidP="00467673">
      <w:pPr>
        <w:pStyle w:val="ListParagraph"/>
        <w:spacing w:after="200" w:line="360" w:lineRule="auto"/>
        <w:ind w:left="360"/>
      </w:pPr>
    </w:p>
    <w:p w:rsidR="00467673" w:rsidRDefault="00B85A8C" w:rsidP="00D83552">
      <w:pPr>
        <w:pStyle w:val="ListParagraph"/>
        <w:numPr>
          <w:ilvl w:val="0"/>
          <w:numId w:val="184"/>
        </w:numPr>
        <w:spacing w:after="200" w:line="360" w:lineRule="auto"/>
      </w:pPr>
      <w:r>
        <w:rPr>
          <w:u w:val="single"/>
        </w:rPr>
        <w:t>Readjusted Values for EPE/ENE</w:t>
      </w:r>
      <w:r>
        <w:t>: Let the updated drift term be</w:t>
      </w:r>
    </w:p>
    <w:p w:rsidR="00467673" w:rsidRDefault="00467673" w:rsidP="00467673">
      <w:pPr>
        <w:pStyle w:val="ListParagraph"/>
        <w:spacing w:after="200" w:line="360" w:lineRule="auto"/>
        <w:ind w:left="360"/>
        <w:rPr>
          <w:u w:val="single"/>
        </w:rPr>
      </w:pPr>
    </w:p>
    <w:p w:rsidR="00467673" w:rsidRDefault="005D6A21"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μ</m:t>
              </m:r>
            </m:e>
          </m:acc>
          <m:r>
            <w:rPr>
              <w:rFonts w:ascii="Cambria Math" w:hAnsi="Cambria Math"/>
            </w:rPr>
            <m:t>=μ+ρ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m:oMathPara>
    </w:p>
    <w:p w:rsidR="00467673" w:rsidRDefault="00467673" w:rsidP="00467673">
      <w:pPr>
        <w:pStyle w:val="ListParagraph"/>
        <w:spacing w:after="200" w:line="360" w:lineRule="auto"/>
        <w:ind w:left="360"/>
      </w:pPr>
    </w:p>
    <w:p w:rsidR="00274D37" w:rsidRDefault="00B85A8C" w:rsidP="00467673">
      <w:pPr>
        <w:pStyle w:val="ListParagraph"/>
        <w:spacing w:after="200" w:line="360" w:lineRule="auto"/>
        <w:ind w:left="360"/>
      </w:pPr>
      <w:r>
        <w:lastRenderedPageBreak/>
        <w:t>Therefore the EPE and the ENE with the consideration of WWR and RWR are</w:t>
      </w:r>
    </w:p>
    <w:p w:rsidR="00274D37" w:rsidRDefault="00274D37" w:rsidP="00467673">
      <w:pPr>
        <w:pStyle w:val="ListParagraph"/>
        <w:spacing w:after="200" w:line="360" w:lineRule="auto"/>
        <w:ind w:left="360"/>
      </w:pPr>
    </w:p>
    <w:p w:rsidR="00274D37" w:rsidRDefault="005D6A21"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EPE</m:t>
              </m:r>
            </m:e>
          </m:acc>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acc>
                    <m:accPr>
                      <m:chr m:val="̃"/>
                      <m:ctrlPr>
                        <w:rPr>
                          <w:rFonts w:ascii="Cambria Math" w:hAnsi="Cambria Math"/>
                          <w:i/>
                        </w:rPr>
                      </m:ctrlPr>
                    </m:accPr>
                    <m:e>
                      <m:r>
                        <w:rPr>
                          <w:rFonts w:ascii="Cambria Math" w:hAnsi="Cambria Math"/>
                        </w:rPr>
                        <m:t>μ</m:t>
                      </m:r>
                    </m:e>
                  </m:acc>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e>
              </m:d>
            </m:e>
          </m:d>
          <m:r>
            <w:rPr>
              <w:rFonts w:ascii="Cambria Math" w:hAnsi="Cambria Math"/>
            </w:rPr>
            <m:t>=</m:t>
          </m:r>
          <m:acc>
            <m:accPr>
              <m:chr m:val="̃"/>
              <m:ctrlPr>
                <w:rPr>
                  <w:rFonts w:ascii="Cambria Math" w:hAnsi="Cambria Math"/>
                  <w:i/>
                </w:rPr>
              </m:ctrlPr>
            </m:accPr>
            <m:e>
              <m:r>
                <w:rPr>
                  <w:rFonts w:ascii="Cambria Math" w:hAnsi="Cambria Math"/>
                </w:rPr>
                <m:t>μ</m:t>
              </m:r>
            </m:e>
          </m:acc>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μ</m:t>
                      </m:r>
                    </m:e>
                  </m:acc>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μ</m:t>
                      </m:r>
                    </m:e>
                  </m:acc>
                </m:num>
                <m:den>
                  <m:r>
                    <w:rPr>
                      <w:rFonts w:ascii="Cambria Math" w:hAnsi="Cambria Math"/>
                    </w:rPr>
                    <m:t>σ</m:t>
                  </m:r>
                </m:den>
              </m:f>
            </m:e>
          </m:d>
        </m:oMath>
      </m:oMathPara>
    </w:p>
    <w:p w:rsidR="00274D37" w:rsidRDefault="00274D37" w:rsidP="00467673">
      <w:pPr>
        <w:pStyle w:val="ListParagraph"/>
        <w:spacing w:after="200" w:line="360" w:lineRule="auto"/>
        <w:ind w:left="360"/>
      </w:pPr>
    </w:p>
    <w:p w:rsidR="00B85A8C" w:rsidRPr="00274D37" w:rsidRDefault="005D6A21"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ENE</m:t>
              </m:r>
            </m:e>
          </m:acc>
          <m:r>
            <w:rPr>
              <w:rFonts w:ascii="Cambria Math" w:hAnsi="Cambria Math"/>
            </w:rPr>
            <m:t>=</m:t>
          </m:r>
          <m:acc>
            <m:accPr>
              <m:chr m:val="̃"/>
              <m:ctrlPr>
                <w:rPr>
                  <w:rFonts w:ascii="Cambria Math" w:hAnsi="Cambria Math"/>
                  <w:i/>
                </w:rPr>
              </m:ctrlPr>
            </m:accPr>
            <m:e>
              <m:r>
                <w:rPr>
                  <w:rFonts w:ascii="Cambria Math" w:hAnsi="Cambria Math"/>
                </w:rPr>
                <m:t>μ</m:t>
              </m:r>
            </m:e>
          </m:acc>
          <m:r>
            <w:rPr>
              <w:rFonts w:ascii="Cambria Math" w:hAnsi="Cambria Math"/>
            </w:rPr>
            <m:t>-</m:t>
          </m:r>
          <m:acc>
            <m:accPr>
              <m:chr m:val="̃"/>
              <m:ctrlPr>
                <w:rPr>
                  <w:rFonts w:ascii="Cambria Math" w:hAnsi="Cambria Math"/>
                  <w:i/>
                </w:rPr>
              </m:ctrlPr>
            </m:accPr>
            <m:e>
              <m:r>
                <w:rPr>
                  <w:rFonts w:ascii="Cambria Math" w:hAnsi="Cambria Math"/>
                </w:rPr>
                <m:t>EPE</m:t>
              </m:r>
            </m:e>
          </m:acc>
        </m:oMath>
      </m:oMathPara>
    </w:p>
    <w:p w:rsidR="00274D37" w:rsidRDefault="00274D37" w:rsidP="00467673">
      <w:pPr>
        <w:pStyle w:val="ListParagraph"/>
        <w:spacing w:after="200" w:line="360" w:lineRule="auto"/>
        <w:ind w:left="360"/>
      </w:pPr>
    </w:p>
    <w:p w:rsidR="00274D37" w:rsidRDefault="00A8354E" w:rsidP="00D83552">
      <w:pPr>
        <w:pStyle w:val="ListParagraph"/>
        <w:numPr>
          <w:ilvl w:val="0"/>
          <w:numId w:val="184"/>
        </w:numPr>
        <w:spacing w:after="200" w:line="360" w:lineRule="auto"/>
      </w:pPr>
      <w:r>
        <w:rPr>
          <w:u w:val="single"/>
        </w:rPr>
        <w:t>Re-estimation of CVA and DVA</w:t>
      </w:r>
      <w:r>
        <w:t>: Given the updated EPE and ENE, the CVA and the DVA can be calculated as follows, respectively.</w:t>
      </w:r>
    </w:p>
    <w:p w:rsidR="00274D37" w:rsidRDefault="00274D37" w:rsidP="00274D37">
      <w:pPr>
        <w:pStyle w:val="ListParagraph"/>
        <w:spacing w:after="200" w:line="360" w:lineRule="auto"/>
        <w:ind w:left="360"/>
        <w:rPr>
          <w:u w:val="single"/>
        </w:rPr>
      </w:pPr>
    </w:p>
    <w:p w:rsidR="00274D37" w:rsidRDefault="005D6A21" w:rsidP="00274D37">
      <w:pPr>
        <w:pStyle w:val="ListParagraph"/>
        <w:spacing w:after="200" w:line="360" w:lineRule="auto"/>
        <w:ind w:left="360"/>
      </w:pPr>
      <m:oMathPara>
        <m:oMath>
          <m:acc>
            <m:accPr>
              <m:chr m:val="̃"/>
              <m:ctrlPr>
                <w:rPr>
                  <w:rFonts w:ascii="Cambria Math" w:hAnsi="Cambria Math"/>
                  <w:i/>
                </w:rPr>
              </m:ctrlPr>
            </m:accPr>
            <m:e>
              <m:r>
                <w:rPr>
                  <w:rFonts w:ascii="Cambria Math" w:hAnsi="Cambria Math"/>
                </w:rPr>
                <m:t>CVA</m:t>
              </m:r>
            </m:e>
          </m:acc>
          <m:r>
            <w:rPr>
              <w:rFonts w:ascii="Cambria Math" w:hAnsi="Cambria Math"/>
            </w:rPr>
            <m:t>=</m:t>
          </m:r>
          <m:acc>
            <m:accPr>
              <m:chr m:val="̃"/>
              <m:ctrlPr>
                <w:rPr>
                  <w:rFonts w:ascii="Cambria Math" w:hAnsi="Cambria Math"/>
                  <w:i/>
                </w:rPr>
              </m:ctrlPr>
            </m:accPr>
            <m:e>
              <m:r>
                <w:rPr>
                  <w:rFonts w:ascii="Cambria Math" w:hAnsi="Cambria Math"/>
                </w:rPr>
                <m:t>EPE</m:t>
              </m:r>
            </m:e>
          </m:acc>
          <m:r>
            <w:rPr>
              <w:rFonts w:ascii="Cambria Math" w:hAnsi="Cambria Math"/>
            </w:rPr>
            <m:t>×</m:t>
          </m:r>
          <m:sSub>
            <m:sSubPr>
              <m:ctrlPr>
                <w:rPr>
                  <w:rFonts w:ascii="Cambria Math" w:hAnsi="Cambria Math"/>
                  <w:i/>
                </w:rPr>
              </m:ctrlPr>
            </m:sSubPr>
            <m:e>
              <m:r>
                <w:rPr>
                  <w:rFonts w:ascii="Cambria Math" w:hAnsi="Cambria Math"/>
                </w:rPr>
                <m:t>PD</m:t>
              </m:r>
            </m:e>
            <m:sub>
              <m:r>
                <w:rPr>
                  <w:rFonts w:ascii="Cambria Math" w:hAnsi="Cambria Math"/>
                </w:rPr>
                <m:t>CP</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m:t>
              </m:r>
            </m:e>
          </m:d>
        </m:oMath>
      </m:oMathPara>
    </w:p>
    <w:p w:rsidR="00274D37" w:rsidRDefault="00274D37" w:rsidP="00274D37">
      <w:pPr>
        <w:pStyle w:val="ListParagraph"/>
        <w:spacing w:after="200" w:line="360" w:lineRule="auto"/>
        <w:ind w:left="360"/>
      </w:pPr>
    </w:p>
    <w:p w:rsidR="00A8354E" w:rsidRPr="00274D37" w:rsidRDefault="005D6A21" w:rsidP="00274D37">
      <w:pPr>
        <w:pStyle w:val="ListParagraph"/>
        <w:spacing w:after="200" w:line="360" w:lineRule="auto"/>
        <w:ind w:left="360"/>
      </w:pPr>
      <m:oMathPara>
        <m:oMath>
          <m:acc>
            <m:accPr>
              <m:chr m:val="̃"/>
              <m:ctrlPr>
                <w:rPr>
                  <w:rFonts w:ascii="Cambria Math" w:hAnsi="Cambria Math"/>
                  <w:i/>
                </w:rPr>
              </m:ctrlPr>
            </m:accPr>
            <m:e>
              <m:r>
                <w:rPr>
                  <w:rFonts w:ascii="Cambria Math" w:hAnsi="Cambria Math"/>
                </w:rPr>
                <m:t>DVA</m:t>
              </m:r>
            </m:e>
          </m:acc>
          <m:r>
            <w:rPr>
              <w:rFonts w:ascii="Cambria Math" w:hAnsi="Cambria Math"/>
            </w:rPr>
            <m:t>=</m:t>
          </m:r>
          <m:acc>
            <m:accPr>
              <m:chr m:val="̃"/>
              <m:ctrlPr>
                <w:rPr>
                  <w:rFonts w:ascii="Cambria Math" w:hAnsi="Cambria Math"/>
                  <w:i/>
                </w:rPr>
              </m:ctrlPr>
            </m:accPr>
            <m:e>
              <m:r>
                <w:rPr>
                  <w:rFonts w:ascii="Cambria Math" w:hAnsi="Cambria Math"/>
                </w:rPr>
                <m:t>ENE</m:t>
              </m:r>
            </m:e>
          </m:acc>
          <m:r>
            <w:rPr>
              <w:rFonts w:ascii="Cambria Math" w:hAnsi="Cambria Math"/>
            </w:rPr>
            <m:t>×</m:t>
          </m:r>
          <m:sSub>
            <m:sSubPr>
              <m:ctrlPr>
                <w:rPr>
                  <w:rFonts w:ascii="Cambria Math" w:hAnsi="Cambria Math"/>
                  <w:i/>
                </w:rPr>
              </m:ctrlPr>
            </m:sSubPr>
            <m:e>
              <m:r>
                <w:rPr>
                  <w:rFonts w:ascii="Cambria Math" w:hAnsi="Cambria Math"/>
                </w:rPr>
                <m:t>PD</m:t>
              </m:r>
            </m:e>
            <m:sub>
              <m:r>
                <w:rPr>
                  <w:rFonts w:ascii="Cambria Math" w:hAnsi="Cambria Math"/>
                </w:rPr>
                <m:t>BANK</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m:t>
              </m:r>
            </m:e>
          </m:d>
        </m:oMath>
      </m:oMathPara>
    </w:p>
    <w:p w:rsidR="00274D37" w:rsidRDefault="00274D37" w:rsidP="00274D37">
      <w:pPr>
        <w:pStyle w:val="ListParagraph"/>
        <w:spacing w:after="200" w:line="360" w:lineRule="auto"/>
        <w:ind w:left="360"/>
      </w:pPr>
    </w:p>
    <w:p w:rsidR="00274D37" w:rsidRDefault="00A8354E" w:rsidP="00D83552">
      <w:pPr>
        <w:pStyle w:val="ListParagraph"/>
        <w:numPr>
          <w:ilvl w:val="0"/>
          <w:numId w:val="184"/>
        </w:numPr>
        <w:spacing w:after="200" w:line="360" w:lineRule="auto"/>
      </w:pPr>
      <w:r>
        <w:rPr>
          <w:u w:val="single"/>
        </w:rPr>
        <w:t>Derivation of the Convexity Adjustment</w:t>
      </w:r>
      <w:r>
        <w:t>: No</w:t>
      </w:r>
      <w:r w:rsidR="00274D37">
        <w:t>t</w:t>
      </w:r>
      <w:r>
        <w:t>e the formula</w:t>
      </w:r>
    </w:p>
    <w:p w:rsidR="00274D37" w:rsidRDefault="00274D37" w:rsidP="00274D37">
      <w:pPr>
        <w:pStyle w:val="ListParagraph"/>
        <w:spacing w:after="200" w:line="360" w:lineRule="auto"/>
        <w:ind w:left="360"/>
        <w:rPr>
          <w:u w:val="single"/>
        </w:rPr>
      </w:pPr>
    </w:p>
    <w:p w:rsidR="00274D37" w:rsidRDefault="00A8354E"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 ρ</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274D37" w:rsidRDefault="00274D37" w:rsidP="00274D37">
      <w:pPr>
        <w:pStyle w:val="ListParagraph"/>
        <w:spacing w:after="200" w:line="360" w:lineRule="auto"/>
        <w:ind w:left="360"/>
      </w:pPr>
    </w:p>
    <w:p w:rsidR="00274D37" w:rsidRDefault="00A8354E" w:rsidP="00274D37">
      <w:pPr>
        <w:pStyle w:val="ListParagraph"/>
        <w:spacing w:after="200" w:line="360" w:lineRule="auto"/>
        <w:ind w:left="360"/>
      </w:pPr>
      <w:r>
        <w:t xml:space="preserve">is derived. The derivation can be done writing the probability density function in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and the conditional probability density function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given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as</w:t>
      </w:r>
    </w:p>
    <w:p w:rsidR="00274D37" w:rsidRDefault="00274D37" w:rsidP="00274D37">
      <w:pPr>
        <w:pStyle w:val="ListParagraph"/>
        <w:spacing w:after="200" w:line="360" w:lineRule="auto"/>
        <w:ind w:left="360"/>
      </w:pPr>
    </w:p>
    <w:p w:rsidR="00274D37" w:rsidRDefault="00A8354E" w:rsidP="00274D37">
      <w:pPr>
        <w:pStyle w:val="ListParagraph"/>
        <w:spacing w:after="200"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num>
                <m:den>
                  <m:sSub>
                    <m:sSubPr>
                      <m:ctrlPr>
                        <w:rPr>
                          <w:rFonts w:ascii="Cambria Math" w:hAnsi="Cambria Math"/>
                          <w:i/>
                        </w:rPr>
                      </m:ctrlPr>
                    </m:sSubPr>
                    <m:e>
                      <m:r>
                        <w:rPr>
                          <w:rFonts w:ascii="Cambria Math" w:hAnsi="Cambria Math"/>
                        </w:rPr>
                        <m:t>σ</m:t>
                      </m:r>
                    </m:e>
                    <m:sub>
                      <m:r>
                        <w:rPr>
                          <w:rFonts w:ascii="Cambria Math" w:hAnsi="Cambria Math"/>
                        </w:rPr>
                        <m:t>2</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oMath>
      </m:oMathPara>
    </w:p>
    <w:p w:rsidR="00274D37" w:rsidRDefault="00274D37" w:rsidP="00274D37">
      <w:pPr>
        <w:pStyle w:val="ListParagraph"/>
        <w:spacing w:after="200" w:line="360" w:lineRule="auto"/>
        <w:ind w:left="360"/>
      </w:pPr>
    </w:p>
    <w:p w:rsidR="00A8354E" w:rsidRDefault="00A8354E" w:rsidP="00274D37">
      <w:pPr>
        <w:pStyle w:val="ListParagraph"/>
        <w:spacing w:after="200" w:line="360" w:lineRule="auto"/>
        <w:ind w:left="360"/>
      </w:pPr>
      <w:r>
        <w:t xml:space="preserve">then performing the integration in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first.</w:t>
      </w:r>
    </w:p>
    <w:p w:rsidR="00274D37" w:rsidRDefault="004A0CD4" w:rsidP="00D83552">
      <w:pPr>
        <w:pStyle w:val="ListParagraph"/>
        <w:numPr>
          <w:ilvl w:val="0"/>
          <w:numId w:val="184"/>
        </w:numPr>
        <w:spacing w:after="200" w:line="360" w:lineRule="auto"/>
      </w:pPr>
      <w:r>
        <w:rPr>
          <w:u w:val="single"/>
        </w:rPr>
        <w:t>Measure Change using Girsanov Theorem</w:t>
      </w:r>
      <w:r w:rsidRPr="004A0CD4">
        <w:t>:</w:t>
      </w:r>
      <w:r>
        <w:t xml:space="preserve"> Alternatively it can be obtained from the Girsanov theorem using a measure change. Casting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in terms of two uncorrelated standard normal variables </w:t>
      </w:r>
      <m:oMath>
        <m:sSub>
          <m:sSubPr>
            <m:ctrlPr>
              <w:rPr>
                <w:rFonts w:ascii="Cambria Math" w:hAnsi="Cambria Math"/>
                <w:i/>
              </w:rPr>
            </m:ctrlPr>
          </m:sSubPr>
          <m:e>
            <m:r>
              <w:rPr>
                <w:rFonts w:ascii="Cambria Math" w:hAnsi="Cambria Math"/>
              </w:rPr>
              <m:t>ϵ</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2</m:t>
            </m:r>
          </m:sub>
        </m:sSub>
      </m:oMath>
      <w:r>
        <w:t xml:space="preserve"> helps perform in the integration in each variable separately:</w:t>
      </w:r>
    </w:p>
    <w:p w:rsidR="00274D37" w:rsidRDefault="00274D37" w:rsidP="00274D37">
      <w:pPr>
        <w:pStyle w:val="ListParagraph"/>
        <w:spacing w:after="200" w:line="360" w:lineRule="auto"/>
        <w:ind w:left="360"/>
        <w:rPr>
          <w:u w:val="single"/>
        </w:rPr>
      </w:pPr>
    </w:p>
    <w:p w:rsidR="00274D37" w:rsidRDefault="005D6A21" w:rsidP="00274D37">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ϵ</m:t>
                  </m:r>
                </m:e>
                <m:sub>
                  <m:r>
                    <w:rPr>
                      <w:rFonts w:ascii="Cambria Math" w:hAnsi="Cambria Math"/>
                    </w:rPr>
                    <m:t>2</m:t>
                  </m:r>
                </m:sub>
              </m:sSub>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sSub>
                <m:sSubPr>
                  <m:ctrlPr>
                    <w:rPr>
                      <w:rFonts w:ascii="Cambria Math" w:hAnsi="Cambria Math"/>
                      <w:i/>
                    </w:rPr>
                  </m:ctrlPr>
                </m:sSubPr>
                <m:e>
                  <m:r>
                    <w:rPr>
                      <w:rFonts w:ascii="Cambria Math" w:hAnsi="Cambria Math"/>
                    </w:rPr>
                    <m:t>ϵ</m:t>
                  </m:r>
                </m:e>
                <m:sub>
                  <m:r>
                    <w:rPr>
                      <w:rFonts w:ascii="Cambria Math" w:hAnsi="Cambria Math"/>
                    </w:rPr>
                    <m:t>1</m:t>
                  </m:r>
                </m:sub>
              </m:sSub>
            </m:e>
          </m:d>
        </m:oMath>
      </m:oMathPara>
    </w:p>
    <w:p w:rsidR="00274D37" w:rsidRDefault="00274D37" w:rsidP="00274D37">
      <w:pPr>
        <w:pStyle w:val="ListParagraph"/>
        <w:spacing w:after="200" w:line="360" w:lineRule="auto"/>
        <w:ind w:left="360"/>
      </w:pPr>
    </w:p>
    <w:p w:rsidR="004A0CD4" w:rsidRPr="00274D37" w:rsidRDefault="005D6A21" w:rsidP="00274D37">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oMath>
      </m:oMathPara>
    </w:p>
    <w:p w:rsidR="00274D37" w:rsidRDefault="00274D37" w:rsidP="00274D37">
      <w:pPr>
        <w:pStyle w:val="ListParagraph"/>
        <w:spacing w:after="200" w:line="360" w:lineRule="auto"/>
        <w:ind w:left="360"/>
      </w:pPr>
    </w:p>
    <w:p w:rsidR="00274D37" w:rsidRDefault="004A0CD4" w:rsidP="00D83552">
      <w:pPr>
        <w:pStyle w:val="ListParagraph"/>
        <w:numPr>
          <w:ilvl w:val="0"/>
          <w:numId w:val="184"/>
        </w:numPr>
        <w:spacing w:after="200" w:line="360" w:lineRule="auto"/>
      </w:pPr>
      <w:r>
        <w:rPr>
          <w:u w:val="single"/>
        </w:rPr>
        <w:t>Decomposition using Dependent/Independent Wanderers</w:t>
      </w:r>
      <w:r>
        <w:t>: The variables are separated to perform the expectation:</w:t>
      </w:r>
    </w:p>
    <w:p w:rsidR="00274D37" w:rsidRDefault="00274D37" w:rsidP="00274D37">
      <w:pPr>
        <w:pStyle w:val="ListParagraph"/>
        <w:spacing w:after="200" w:line="360" w:lineRule="auto"/>
        <w:ind w:left="360"/>
        <w:rPr>
          <w:u w:val="single"/>
        </w:rPr>
      </w:pPr>
    </w:p>
    <w:p w:rsidR="004A0CD4" w:rsidRPr="00274D37" w:rsidRDefault="004A0CD4"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sSub>
                    <m:sSubPr>
                      <m:ctrlPr>
                        <w:rPr>
                          <w:rFonts w:ascii="Cambria Math" w:hAnsi="Cambria Math"/>
                          <w:i/>
                        </w:rPr>
                      </m:ctrlPr>
                    </m:sSubPr>
                    <m:e>
                      <m:r>
                        <w:rPr>
                          <w:rFonts w:ascii="Cambria Math" w:hAnsi="Cambria Math"/>
                        </w:rPr>
                        <m:t>ϵ</m:t>
                      </m:r>
                    </m:e>
                    <m:sub>
                      <m:r>
                        <w:rPr>
                          <w:rFonts w:ascii="Cambria Math" w:hAnsi="Cambria Math"/>
                        </w:rPr>
                        <m:t>1</m:t>
                      </m:r>
                    </m:sub>
                  </m:sSub>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ρ</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ρ</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oMath>
      </m:oMathPara>
    </w:p>
    <w:p w:rsidR="00274D37" w:rsidRDefault="00274D37" w:rsidP="00274D37">
      <w:pPr>
        <w:pStyle w:val="ListParagraph"/>
        <w:spacing w:after="200" w:line="360" w:lineRule="auto"/>
        <w:ind w:left="360"/>
      </w:pPr>
    </w:p>
    <w:p w:rsidR="00274D37" w:rsidRDefault="001A134A" w:rsidP="00D83552">
      <w:pPr>
        <w:pStyle w:val="ListParagraph"/>
        <w:numPr>
          <w:ilvl w:val="0"/>
          <w:numId w:val="184"/>
        </w:numPr>
        <w:spacing w:after="200" w:line="360" w:lineRule="auto"/>
      </w:pPr>
      <w:r>
        <w:rPr>
          <w:u w:val="single"/>
        </w:rPr>
        <w:t>Application of the Girsanov Theorem</w:t>
      </w:r>
      <w:r>
        <w:t>: Note that the Girsanov theorem states that</w:t>
      </w:r>
    </w:p>
    <w:p w:rsidR="00274D37" w:rsidRDefault="00274D37" w:rsidP="00274D37">
      <w:pPr>
        <w:pStyle w:val="ListParagraph"/>
        <w:spacing w:after="200" w:line="360" w:lineRule="auto"/>
        <w:ind w:left="360"/>
        <w:rPr>
          <w:u w:val="single"/>
        </w:rPr>
      </w:pPr>
    </w:p>
    <w:p w:rsidR="00274D37" w:rsidRDefault="005D6A21" w:rsidP="00274D37">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 xml:space="preserve">ϵ ~ </m:t>
              </m:r>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αϵ-</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sup>
              </m:sSup>
              <m:r>
                <w:rPr>
                  <w:rFonts w:ascii="Cambria Math" w:hAnsi="Cambria Math"/>
                </w:rPr>
                <m:t>g</m:t>
              </m:r>
              <m:d>
                <m:dPr>
                  <m:ctrlPr>
                    <w:rPr>
                      <w:rFonts w:ascii="Cambria Math" w:hAnsi="Cambria Math"/>
                      <w:i/>
                    </w:rPr>
                  </m:ctrlPr>
                </m:dPr>
                <m:e>
                  <m:r>
                    <w:rPr>
                      <w:rFonts w:ascii="Cambria Math" w:hAnsi="Cambria Math"/>
                    </w:rPr>
                    <m:t>ϵ</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 xml:space="preserve">ϵ-α ~ </m:t>
              </m:r>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ϵ</m:t>
                  </m:r>
                </m:e>
              </m:d>
            </m:e>
          </m:d>
        </m:oMath>
      </m:oMathPara>
    </w:p>
    <w:p w:rsidR="00274D37" w:rsidRDefault="00274D37" w:rsidP="00274D37">
      <w:pPr>
        <w:pStyle w:val="ListParagraph"/>
        <w:spacing w:after="200" w:line="360" w:lineRule="auto"/>
        <w:ind w:left="360"/>
      </w:pPr>
    </w:p>
    <w:p w:rsidR="00274D37" w:rsidRDefault="001A134A" w:rsidP="00274D37">
      <w:pPr>
        <w:pStyle w:val="ListParagraph"/>
        <w:spacing w:after="200" w:line="360" w:lineRule="auto"/>
        <w:ind w:left="360"/>
      </w:pPr>
      <w:r>
        <w:t>which results in</w:t>
      </w:r>
    </w:p>
    <w:p w:rsidR="00274D37" w:rsidRDefault="00274D37" w:rsidP="00274D37">
      <w:pPr>
        <w:pStyle w:val="ListParagraph"/>
        <w:spacing w:after="200" w:line="360" w:lineRule="auto"/>
        <w:ind w:left="360"/>
      </w:pPr>
    </w:p>
    <w:p w:rsidR="001A134A" w:rsidRPr="00274D37" w:rsidRDefault="001A134A"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274D37" w:rsidRDefault="00274D37" w:rsidP="00274D37">
      <w:pPr>
        <w:pStyle w:val="ListParagraph"/>
        <w:spacing w:after="200" w:line="360" w:lineRule="auto"/>
        <w:ind w:left="360"/>
      </w:pPr>
    </w:p>
    <w:p w:rsidR="00274D37" w:rsidRDefault="00F65500" w:rsidP="00D83552">
      <w:pPr>
        <w:pStyle w:val="ListParagraph"/>
        <w:numPr>
          <w:ilvl w:val="0"/>
          <w:numId w:val="184"/>
        </w:numPr>
        <w:spacing w:after="200" w:line="360" w:lineRule="auto"/>
      </w:pPr>
      <w:r>
        <w:rPr>
          <w:u w:val="single"/>
        </w:rPr>
        <w:t>Using the Radon-Nikodyn Derivative</w:t>
      </w:r>
      <w:r>
        <w:t>: Thus the change of measure can be applied directly to obtain the extra drift term</w:t>
      </w:r>
    </w:p>
    <w:p w:rsidR="00274D37" w:rsidRDefault="00274D37" w:rsidP="00274D37">
      <w:pPr>
        <w:pStyle w:val="ListParagraph"/>
        <w:spacing w:after="200" w:line="360" w:lineRule="auto"/>
        <w:ind w:left="360"/>
        <w:rPr>
          <w:u w:val="single"/>
        </w:rPr>
      </w:pPr>
    </w:p>
    <w:p w:rsidR="00274D37" w:rsidRDefault="005D6A21" w:rsidP="00274D37">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oMath>
      </m:oMathPara>
    </w:p>
    <w:p w:rsidR="00274D37" w:rsidRDefault="00274D37" w:rsidP="00274D37">
      <w:pPr>
        <w:pStyle w:val="ListParagraph"/>
        <w:spacing w:after="200" w:line="360" w:lineRule="auto"/>
        <w:ind w:left="360"/>
      </w:pPr>
    </w:p>
    <w:p w:rsidR="00274D37" w:rsidRDefault="00F65500" w:rsidP="00274D37">
      <w:pPr>
        <w:pStyle w:val="ListParagraph"/>
        <w:spacing w:after="200" w:line="360" w:lineRule="auto"/>
        <w:ind w:left="360"/>
      </w:pPr>
      <w:r>
        <w:t>where the Radon-Nikodyn derivative is</w:t>
      </w:r>
    </w:p>
    <w:p w:rsidR="00274D37" w:rsidRDefault="00274D37" w:rsidP="00274D37">
      <w:pPr>
        <w:pStyle w:val="ListParagraph"/>
        <w:spacing w:after="200" w:line="360" w:lineRule="auto"/>
        <w:ind w:left="360"/>
      </w:pPr>
    </w:p>
    <w:p w:rsidR="00274D37" w:rsidRDefault="005D6A21"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dP</m:t>
              </m:r>
            </m:num>
            <m:den>
              <m:r>
                <w:rPr>
                  <w:rFonts w:ascii="Cambria Math" w:hAnsi="Cambria Math"/>
                </w:rPr>
                <m:t>dQ</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den>
          </m:f>
        </m:oMath>
      </m:oMathPara>
    </w:p>
    <w:p w:rsidR="00274D37" w:rsidRDefault="00274D37" w:rsidP="00274D37">
      <w:pPr>
        <w:pStyle w:val="ListParagraph"/>
        <w:spacing w:after="200" w:line="360" w:lineRule="auto"/>
        <w:ind w:left="360"/>
      </w:pPr>
    </w:p>
    <w:p w:rsidR="00274D37" w:rsidRDefault="00F65500" w:rsidP="00274D37">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are the values of the following two processes </w:t>
      </w:r>
      <m:oMath>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at time instant </w:t>
      </w:r>
      <m:oMath>
        <m:r>
          <w:rPr>
            <w:rFonts w:ascii="Cambria Math" w:hAnsi="Cambria Math"/>
          </w:rPr>
          <m:t>1</m:t>
        </m:r>
      </m:oMath>
      <w:r>
        <w:t>:</w:t>
      </w:r>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i=1, 2</m:t>
          </m:r>
        </m:oMath>
      </m:oMathPara>
    </w:p>
    <w:p w:rsidR="00274D37" w:rsidRDefault="00274D37" w:rsidP="00274D37">
      <w:pPr>
        <w:pStyle w:val="ListParagraph"/>
        <w:spacing w:after="200" w:line="360" w:lineRule="auto"/>
        <w:ind w:left="360"/>
      </w:pPr>
    </w:p>
    <w:p w:rsidR="00F65500" w:rsidRPr="00274D37" w:rsidRDefault="00311FD6" w:rsidP="00274D37">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=ρ∆t</m:t>
          </m:r>
        </m:oMath>
      </m:oMathPara>
    </w:p>
    <w:p w:rsidR="00274D37" w:rsidRDefault="00274D37" w:rsidP="00274D37">
      <w:pPr>
        <w:pStyle w:val="ListParagraph"/>
        <w:spacing w:after="200" w:line="360" w:lineRule="auto"/>
        <w:ind w:left="360"/>
      </w:pPr>
    </w:p>
    <w:p w:rsidR="00274D37" w:rsidRDefault="00311FD6" w:rsidP="00D83552">
      <w:pPr>
        <w:pStyle w:val="ListParagraph"/>
        <w:numPr>
          <w:ilvl w:val="0"/>
          <w:numId w:val="184"/>
        </w:numPr>
        <w:spacing w:after="200" w:line="360" w:lineRule="auto"/>
      </w:pPr>
      <w:r>
        <w:rPr>
          <w:u w:val="single"/>
        </w:rPr>
        <w:t>Corresponding Radon-Nikodyn Measure Change</w:t>
      </w:r>
      <w:r>
        <w:t>: The measure change can be realized from a change of numeraire from</w:t>
      </w:r>
    </w:p>
    <w:p w:rsidR="00274D37" w:rsidRDefault="00274D37" w:rsidP="00274D37">
      <w:pPr>
        <w:pStyle w:val="ListParagraph"/>
        <w:spacing w:after="200" w:line="360" w:lineRule="auto"/>
        <w:ind w:left="360"/>
        <w:rPr>
          <w:u w:val="single"/>
        </w:rPr>
      </w:pPr>
    </w:p>
    <w:p w:rsidR="00274D37" w:rsidRDefault="00311FD6" w:rsidP="00274D37">
      <w:pPr>
        <w:pStyle w:val="ListParagraph"/>
        <w:spacing w:after="200"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≡1</m:t>
          </m:r>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w:r>
        <w:t>to</w:t>
      </w:r>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1</m:t>
                      </m:r>
                    </m:e>
                  </m:d>
                </m:sup>
              </m:sSup>
              <m:r>
                <w:rPr>
                  <w:rFonts w:ascii="Cambria Math" w:hAnsi="Cambria Math"/>
                </w:rPr>
                <m:t xml:space="preserve">|t; </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e>
          </m:d>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w:r>
        <w:t>using</w:t>
      </w:r>
    </w:p>
    <w:p w:rsidR="00274D37" w:rsidRDefault="00274D37" w:rsidP="00274D37">
      <w:pPr>
        <w:pStyle w:val="ListParagraph"/>
        <w:spacing w:after="200" w:line="360" w:lineRule="auto"/>
        <w:ind w:left="360"/>
      </w:pPr>
    </w:p>
    <w:p w:rsidR="00311FD6" w:rsidRPr="00274D37" w:rsidRDefault="005D6A21"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dP</m:t>
              </m:r>
            </m:num>
            <m:den>
              <m:r>
                <w:rPr>
                  <w:rFonts w:ascii="Cambria Math" w:hAnsi="Cambria Math"/>
                </w:rPr>
                <m:t>dQ</m:t>
              </m:r>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/P</m:t>
              </m:r>
              <m:d>
                <m:dPr>
                  <m:ctrlPr>
                    <w:rPr>
                      <w:rFonts w:ascii="Cambria Math" w:hAnsi="Cambria Math"/>
                      <w:i/>
                    </w:rPr>
                  </m:ctrlPr>
                </m:dPr>
                <m:e>
                  <m:r>
                    <w:rPr>
                      <w:rFonts w:ascii="Cambria Math" w:hAnsi="Cambria Math"/>
                    </w:rPr>
                    <m:t>0</m:t>
                  </m:r>
                </m:e>
              </m:d>
            </m:num>
            <m:den>
              <m:r>
                <w:rPr>
                  <w:rFonts w:ascii="Cambria Math" w:hAnsi="Cambria Math"/>
                </w:rPr>
                <m:t>B</m:t>
              </m:r>
              <m:d>
                <m:dPr>
                  <m:ctrlPr>
                    <w:rPr>
                      <w:rFonts w:ascii="Cambria Math" w:hAnsi="Cambria Math"/>
                      <w:i/>
                    </w:rPr>
                  </m:ctrlPr>
                </m:dPr>
                <m:e>
                  <m:r>
                    <w:rPr>
                      <w:rFonts w:ascii="Cambria Math" w:hAnsi="Cambria Math"/>
                    </w:rPr>
                    <m:t>1</m:t>
                  </m:r>
                </m:e>
              </m:d>
              <m:r>
                <w:rPr>
                  <w:rFonts w:ascii="Cambria Math" w:hAnsi="Cambria Math"/>
                </w:rPr>
                <m:t>/B</m:t>
              </m:r>
              <m:d>
                <m:dPr>
                  <m:ctrlPr>
                    <w:rPr>
                      <w:rFonts w:ascii="Cambria Math" w:hAnsi="Cambria Math"/>
                      <w:i/>
                    </w:rPr>
                  </m:ctrlPr>
                </m:dPr>
                <m:e>
                  <m:r>
                    <w:rPr>
                      <w:rFonts w:ascii="Cambria Math" w:hAnsi="Cambria Math"/>
                    </w:rPr>
                    <m:t>0</m:t>
                  </m:r>
                </m:e>
              </m:d>
            </m:den>
          </m:f>
        </m:oMath>
      </m:oMathPara>
    </w:p>
    <w:p w:rsidR="00274D37" w:rsidRDefault="00274D37" w:rsidP="00274D37">
      <w:pPr>
        <w:pStyle w:val="ListParagraph"/>
        <w:spacing w:after="200" w:line="360" w:lineRule="auto"/>
        <w:ind w:left="360"/>
      </w:pPr>
    </w:p>
    <w:p w:rsidR="00274D37" w:rsidRDefault="00311FD6" w:rsidP="00D83552">
      <w:pPr>
        <w:pStyle w:val="ListParagraph"/>
        <w:numPr>
          <w:ilvl w:val="0"/>
          <w:numId w:val="184"/>
        </w:numPr>
        <w:spacing w:after="200" w:line="360" w:lineRule="auto"/>
      </w:pPr>
      <w:r>
        <w:rPr>
          <w:u w:val="single"/>
        </w:rPr>
        <w:t>Value of the Convexity Adjustment</w:t>
      </w:r>
      <w:r>
        <w:t>: Note that</w:t>
      </w:r>
    </w:p>
    <w:p w:rsidR="00274D37" w:rsidRDefault="00274D37" w:rsidP="00274D37">
      <w:pPr>
        <w:pStyle w:val="ListParagraph"/>
        <w:spacing w:after="200" w:line="360" w:lineRule="auto"/>
        <w:ind w:left="360"/>
        <w:rPr>
          <w:u w:val="single"/>
        </w:rPr>
      </w:pPr>
    </w:p>
    <w:p w:rsidR="00274D37" w:rsidRDefault="005D6A21"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m:t>
                  </m:r>
                </m:e>
              </m:d>
            </m:num>
            <m:den>
              <m:r>
                <w:rPr>
                  <w:rFonts w:ascii="Cambria Math" w:hAnsi="Cambria Math"/>
                </w:rPr>
                <m:t>P</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oMath>
      </m:oMathPara>
    </w:p>
    <w:p w:rsidR="00274D37" w:rsidRDefault="00274D37" w:rsidP="00274D37">
      <w:pPr>
        <w:pStyle w:val="ListParagraph"/>
        <w:spacing w:after="200" w:line="360" w:lineRule="auto"/>
        <w:ind w:left="360"/>
      </w:pPr>
    </w:p>
    <w:p w:rsidR="00274D37" w:rsidRDefault="00B975E6" w:rsidP="00274D37">
      <w:pPr>
        <w:pStyle w:val="ListParagraph"/>
        <w:spacing w:after="200" w:line="360" w:lineRule="auto"/>
        <w:ind w:left="360"/>
      </w:pPr>
      <w:r>
        <w:lastRenderedPageBreak/>
        <w:t>(Brigo and Mercurio (2007</w:t>
      </w:r>
      <w:r w:rsidR="00311FD6">
        <w:t xml:space="preserve">)) and the extra drift term for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311FD6">
        <w:t xml:space="preserve"> under the numeraire </w:t>
      </w:r>
      <m:oMath>
        <m:r>
          <w:rPr>
            <w:rFonts w:ascii="Cambria Math" w:hAnsi="Cambria Math"/>
          </w:rPr>
          <m:t>P</m:t>
        </m:r>
        <m:d>
          <m:dPr>
            <m:ctrlPr>
              <w:rPr>
                <w:rFonts w:ascii="Cambria Math" w:hAnsi="Cambria Math"/>
                <w:i/>
              </w:rPr>
            </m:ctrlPr>
          </m:dPr>
          <m:e>
            <m:r>
              <w:rPr>
                <w:rFonts w:ascii="Cambria Math" w:hAnsi="Cambria Math"/>
              </w:rPr>
              <m:t>t</m:t>
            </m:r>
          </m:e>
        </m:d>
      </m:oMath>
      <w:r w:rsidR="00311FD6">
        <w:t xml:space="preserve"> is</w:t>
      </w:r>
    </w:p>
    <w:p w:rsidR="00274D37" w:rsidRDefault="00274D37" w:rsidP="00274D37">
      <w:pPr>
        <w:pStyle w:val="ListParagraph"/>
        <w:spacing w:after="200" w:line="360" w:lineRule="auto"/>
        <w:ind w:left="360"/>
        <w:rPr>
          <w:u w:val="single"/>
        </w:rPr>
      </w:pPr>
    </w:p>
    <w:p w:rsidR="00311FD6" w:rsidRDefault="006E14D0" w:rsidP="00274D37">
      <w:pPr>
        <w:pStyle w:val="ListParagraph"/>
        <w:spacing w:after="200" w:line="360" w:lineRule="auto"/>
        <w:ind w:left="36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m:t>
                          </m:r>
                        </m:e>
                      </m:d>
                    </m:num>
                    <m:den>
                      <m:r>
                        <w:rPr>
                          <w:rFonts w:ascii="Cambria Math" w:hAnsi="Cambria Math"/>
                        </w:rPr>
                        <m:t>B</m:t>
                      </m:r>
                      <m:d>
                        <m:dPr>
                          <m:ctrlPr>
                            <w:rPr>
                              <w:rFonts w:ascii="Cambria Math" w:hAnsi="Cambria Math"/>
                              <w:i/>
                            </w:rPr>
                          </m:ctrlPr>
                        </m:dPr>
                        <m:e>
                          <m:r>
                            <w:rPr>
                              <w:rFonts w:ascii="Cambria Math" w:hAnsi="Cambria Math"/>
                            </w:rPr>
                            <m:t>t</m:t>
                          </m:r>
                        </m:e>
                      </m:d>
                    </m:den>
                  </m:f>
                </m:e>
              </m:d>
            </m:e>
          </m:fun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∆t</m:t>
          </m:r>
        </m:oMath>
      </m:oMathPara>
    </w:p>
    <w:p w:rsidR="00B47E3E" w:rsidRDefault="00B47E3E" w:rsidP="00C83F45">
      <w:pPr>
        <w:spacing w:after="200" w:line="360" w:lineRule="auto"/>
      </w:pPr>
    </w:p>
    <w:p w:rsidR="00D32DE2" w:rsidRDefault="00D32DE2" w:rsidP="00C83F45">
      <w:pPr>
        <w:spacing w:after="200" w:line="360" w:lineRule="auto"/>
      </w:pPr>
    </w:p>
    <w:p w:rsidR="00D32DE2" w:rsidRPr="00D32DE2" w:rsidRDefault="00D32DE2" w:rsidP="00C83F45">
      <w:pPr>
        <w:spacing w:after="200" w:line="360" w:lineRule="auto"/>
        <w:rPr>
          <w:b/>
          <w:sz w:val="28"/>
          <w:szCs w:val="28"/>
        </w:rPr>
      </w:pPr>
      <w:r w:rsidRPr="00D32DE2">
        <w:rPr>
          <w:b/>
          <w:sz w:val="28"/>
          <w:szCs w:val="28"/>
        </w:rPr>
        <w:t>A Simple WWR/RWR Model with Approximated CP Probability Distribution</w:t>
      </w:r>
    </w:p>
    <w:p w:rsidR="00D32DE2" w:rsidRDefault="00D32DE2" w:rsidP="00C83F45">
      <w:pPr>
        <w:spacing w:after="200" w:line="360" w:lineRule="auto"/>
      </w:pPr>
    </w:p>
    <w:p w:rsidR="00D32DE2" w:rsidRDefault="00D32DE2" w:rsidP="00D83552">
      <w:pPr>
        <w:pStyle w:val="ListParagraph"/>
        <w:numPr>
          <w:ilvl w:val="0"/>
          <w:numId w:val="185"/>
        </w:numPr>
        <w:spacing w:after="200" w:line="360" w:lineRule="auto"/>
      </w:pPr>
      <w:r w:rsidRPr="00D32DE2">
        <w:rPr>
          <w:u w:val="single"/>
        </w:rPr>
        <w:t>Constant Exposure CP Default Correlation</w:t>
      </w:r>
      <w:r>
        <w:t>: The mode in the previous section is based on the constant correlation between the CP portfolio value and the CP default probability, either directly or through the delta approximation (and performing the drift adjustment on the drift of the CP portfolio value).</w:t>
      </w:r>
    </w:p>
    <w:p w:rsidR="00D32DE2" w:rsidRDefault="00D32DE2" w:rsidP="00D83552">
      <w:pPr>
        <w:pStyle w:val="ListParagraph"/>
        <w:numPr>
          <w:ilvl w:val="0"/>
          <w:numId w:val="185"/>
        </w:numPr>
        <w:spacing w:after="200" w:line="360" w:lineRule="auto"/>
      </w:pPr>
      <w:r>
        <w:rPr>
          <w:u w:val="single"/>
        </w:rPr>
        <w:t>Constant Factor/CP Default Correlation</w:t>
      </w:r>
      <w:r w:rsidRPr="00D32DE2">
        <w:t>:</w:t>
      </w:r>
      <w:r>
        <w:t xml:space="preserve"> The model in this section is based on constant correlation between the CP portfolio underlying the risk factors and the CP default probability, which is more accurate because it can handle state-dependency and time-dependency between the CP portfolio value and CP default probability arising from non-linear underlying trades, underlying trades duration shortening over time, and long/short underlying trades in CP portfolios.</w:t>
      </w:r>
    </w:p>
    <w:p w:rsidR="00D32DE2" w:rsidRDefault="00D32DE2" w:rsidP="00D83552">
      <w:pPr>
        <w:pStyle w:val="ListParagraph"/>
        <w:numPr>
          <w:ilvl w:val="0"/>
          <w:numId w:val="185"/>
        </w:numPr>
        <w:spacing w:after="200" w:line="360" w:lineRule="auto"/>
      </w:pPr>
      <w:r>
        <w:rPr>
          <w:u w:val="single"/>
        </w:rPr>
        <w:t>Approximate of the CP Default Distribution</w:t>
      </w:r>
      <w:r w:rsidRPr="00D32DE2">
        <w:t>:</w:t>
      </w:r>
      <w:r>
        <w:t xml:space="preserve"> The essence of the model in this section is to approximate the CP default probability distribution leaving the CP underlying values unchanged, </w:t>
      </w:r>
      <w:r w:rsidR="00AE6741">
        <w:t>addressing the diffusion based general WWR/RWR.</w:t>
      </w:r>
    </w:p>
    <w:p w:rsidR="00563B24" w:rsidRDefault="00AE6741" w:rsidP="00D83552">
      <w:pPr>
        <w:pStyle w:val="ListParagraph"/>
        <w:numPr>
          <w:ilvl w:val="0"/>
          <w:numId w:val="185"/>
        </w:numPr>
        <w:spacing w:after="200" w:line="360" w:lineRule="auto"/>
      </w:pPr>
      <w:r>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Pr>
          <w:u w:val="single"/>
        </w:rPr>
        <w:t xml:space="preserve"> CP</w:t>
      </w:r>
      <w:r w:rsidRPr="00AE6741">
        <w:t>:</w:t>
      </w:r>
      <w:r>
        <w:t xml:space="preserve"> Recalling from the CVA formula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563B24">
        <w:t xml:space="preserve"> CP</w:t>
      </w:r>
    </w:p>
    <w:p w:rsidR="00563B24" w:rsidRDefault="00563B24" w:rsidP="00563B24">
      <w:pPr>
        <w:pStyle w:val="ListParagraph"/>
        <w:spacing w:after="200" w:line="360" w:lineRule="auto"/>
        <w:ind w:left="360"/>
        <w:rPr>
          <w:u w:val="single"/>
        </w:rPr>
      </w:pPr>
    </w:p>
    <w:p w:rsidR="00AE6741" w:rsidRPr="00563B24" w:rsidRDefault="005D6A21" w:rsidP="00563B24">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e>
              </m:nary>
            </m:e>
          </m:d>
        </m:oMath>
      </m:oMathPara>
    </w:p>
    <w:p w:rsidR="00563B24" w:rsidRDefault="00563B24" w:rsidP="00563B24">
      <w:pPr>
        <w:pStyle w:val="ListParagraph"/>
        <w:spacing w:after="200" w:line="360" w:lineRule="auto"/>
        <w:ind w:left="360"/>
      </w:pPr>
    </w:p>
    <w:p w:rsidR="00563B24" w:rsidRDefault="00686D79" w:rsidP="00D83552">
      <w:pPr>
        <w:pStyle w:val="ListParagraph"/>
        <w:numPr>
          <w:ilvl w:val="0"/>
          <w:numId w:val="185"/>
        </w:numPr>
        <w:spacing w:after="200" w:line="360" w:lineRule="auto"/>
      </w:pPr>
      <w:r>
        <w:rPr>
          <w:u w:val="single"/>
        </w:rPr>
        <w:lastRenderedPageBreak/>
        <w:t>Distribution of the Probability Decay</w:t>
      </w:r>
      <w:r>
        <w:t xml:space="preserve">: It is assumed that the CP recovery rate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non-stochastic, and that the CP default rate</w:t>
      </w:r>
      <w:r w:rsidR="00A6563B">
        <w:t xml:space="preserve"> </w:t>
      </w:r>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num>
          <m:den>
            <m:r>
              <w:rPr>
                <w:rFonts w:ascii="Cambria Math" w:hAnsi="Cambria Math"/>
              </w:rPr>
              <m:t>dt</m:t>
            </m:r>
          </m:den>
        </m:f>
      </m:oMath>
      <w:r>
        <w:t xml:space="preserve"> follows the following log-normal </w:t>
      </w:r>
      <w:r w:rsidR="00A6563B">
        <w:t xml:space="preserve">process (assuming that the interest rate is non-stochastic): </w:t>
      </w:r>
    </w:p>
    <w:p w:rsidR="00563B24" w:rsidRDefault="005D6A21" w:rsidP="00563B24">
      <w:pPr>
        <w:pStyle w:val="ListParagraph"/>
        <w:spacing w:after="200" w:line="360" w:lineRule="auto"/>
        <w:ind w:left="360"/>
      </w:pPr>
      <m:oMathPara>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num>
            <m:den>
              <m:r>
                <w:rPr>
                  <w:rFonts w:ascii="Cambria Math" w:hAnsi="Cambria Math"/>
                </w:rPr>
                <m:t>d</m:t>
              </m:r>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num>
                <m:den>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ρ</m:t>
                          </m:r>
                        </m:e>
                        <m:sub>
                          <m:r>
                            <w:rPr>
                              <w:rFonts w:ascii="Cambria Math" w:hAnsi="Cambria Math"/>
                            </w:rPr>
                            <m:t>M</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rad>
                </m:den>
              </m:f>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e>
                  </m:d>
                </m:e>
                <m:sup>
                  <m:r>
                    <w:rPr>
                      <w:rFonts w:ascii="Cambria Math" w:hAnsi="Cambria Math"/>
                    </w:rPr>
                    <m:t>2</m:t>
                  </m:r>
                </m:sup>
              </m:sSup>
              <m:r>
                <w:rPr>
                  <w:rFonts w:ascii="Cambria Math" w:hAnsi="Cambria Math"/>
                </w:rPr>
                <m:t>t</m:t>
              </m:r>
            </m:sup>
          </m:sSup>
        </m:oMath>
      </m:oMathPara>
    </w:p>
    <w:p w:rsidR="00563B24" w:rsidRDefault="00563B24" w:rsidP="00563B24">
      <w:pPr>
        <w:pStyle w:val="ListParagraph"/>
        <w:spacing w:after="200" w:line="360" w:lineRule="auto"/>
        <w:ind w:left="360"/>
      </w:pPr>
    </w:p>
    <w:p w:rsidR="00686D79" w:rsidRDefault="004E352F" w:rsidP="00563B24">
      <w:pPr>
        <w:pStyle w:val="ListParagraph"/>
        <w:spacing w:after="200" w:line="360" w:lineRule="auto"/>
        <w:ind w:left="360"/>
      </w:pPr>
      <w:r>
        <w:t xml:space="preserve">where </w:t>
      </w:r>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oMath>
      <w:r>
        <w:t xml:space="preserve"> is the forward CP default rate,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is the column vector of the standard Brownian motions driving the market risk factors, which in turn drive the exposures </w:t>
      </w:r>
      <m:oMath>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num>
          <m:den>
            <m:sSub>
              <m:sSubPr>
                <m:ctrlPr>
                  <w:rPr>
                    <w:rFonts w:ascii="Cambria Math" w:hAnsi="Cambria Math"/>
                    <w:i/>
                  </w:rPr>
                </m:ctrlPr>
              </m:sSubPr>
              <m:e>
                <m:r>
                  <w:rPr>
                    <w:rFonts w:ascii="Cambria Math" w:hAnsi="Cambria Math"/>
                  </w:rPr>
                  <m:t>β</m:t>
                </m:r>
              </m:e>
              <m:sub>
                <m:r>
                  <w:rPr>
                    <w:rFonts w:ascii="Cambria Math" w:hAnsi="Cambria Math"/>
                  </w:rPr>
                  <m:t>t</m:t>
                </m:r>
              </m:sub>
            </m:sSub>
          </m:den>
        </m:f>
      </m:oMath>
      <w:r>
        <w:t xml:space="preserve">, </w:t>
      </w:r>
      <m:oMath>
        <m:sSub>
          <m:sSubPr>
            <m:ctrlPr>
              <w:rPr>
                <w:rFonts w:ascii="Cambria Math" w:hAnsi="Cambria Math"/>
                <w:i/>
              </w:rPr>
            </m:ctrlPr>
          </m:sSubPr>
          <m:e>
            <m:r>
              <w:rPr>
                <w:rFonts w:ascii="Cambria Math" w:hAnsi="Cambria Math"/>
              </w:rPr>
              <m:t>W</m:t>
            </m:r>
          </m:e>
          <m:sub>
            <m:r>
              <w:rPr>
                <w:rFonts w:ascii="Cambria Math" w:hAnsi="Cambria Math"/>
              </w:rPr>
              <m:t>it</m:t>
            </m:r>
          </m:sub>
        </m:sSub>
      </m:oMath>
      <w:r>
        <w:t xml:space="preserve"> is a standard Brownian motion – independent of the market Brownian motion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 representing the idiosyncratic factor of the CP default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oMath>
      <w:r>
        <w:t xml:space="preserve"> is the constant log-normal volatility of the CP default rate,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oMath>
      <w:r>
        <w:t xml:space="preserve"> is a column vector of constant weights and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is a constant weight, which can be determined from the correlations of the CP default rates and the market Brownian motions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and their constant correlation matrix </w:t>
      </w:r>
      <m:oMath>
        <m:sSub>
          <m:sSubPr>
            <m:ctrlPr>
              <w:rPr>
                <w:rFonts w:ascii="Cambria Math" w:hAnsi="Cambria Math"/>
                <w:i/>
              </w:rPr>
            </m:ctrlPr>
          </m:sSubPr>
          <m:e>
            <m:r>
              <w:rPr>
                <w:rFonts w:ascii="Cambria Math" w:hAnsi="Cambria Math"/>
              </w:rPr>
              <m:t>ρ</m:t>
            </m:r>
          </m:e>
          <m:sub>
            <m:r>
              <w:rPr>
                <w:rFonts w:ascii="Cambria Math" w:hAnsi="Cambria Math"/>
              </w:rPr>
              <m:t>M</m:t>
            </m:r>
          </m:sub>
        </m:sSub>
      </m:oMath>
      <w:r>
        <w:t xml:space="preserve"> among the Brownian motions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w:t>
      </w:r>
    </w:p>
    <w:p w:rsidR="00563B24" w:rsidRDefault="004E352F" w:rsidP="00D83552">
      <w:pPr>
        <w:pStyle w:val="ListParagraph"/>
        <w:numPr>
          <w:ilvl w:val="0"/>
          <w:numId w:val="185"/>
        </w:numPr>
        <w:spacing w:after="200" w:line="360" w:lineRule="auto"/>
      </w:pPr>
      <w:r>
        <w:rPr>
          <w:u w:val="single"/>
        </w:rPr>
        <w:t>The Corresponding WWR/RWR CVA</w:t>
      </w:r>
      <w:r w:rsidRPr="004E352F">
        <w:t>:</w:t>
      </w:r>
      <w:r>
        <w:t xml:space="preserve"> Consequently the WWR/RWR CVA is given by</w:t>
      </w:r>
    </w:p>
    <w:p w:rsidR="00563B24" w:rsidRDefault="00563B24" w:rsidP="00563B24">
      <w:pPr>
        <w:pStyle w:val="ListParagraph"/>
        <w:spacing w:after="200" w:line="360" w:lineRule="auto"/>
        <w:ind w:left="360"/>
        <w:rPr>
          <w:u w:val="single"/>
        </w:rPr>
      </w:pPr>
    </w:p>
    <w:p w:rsidR="004E352F" w:rsidRPr="00563B24" w:rsidRDefault="005D6A21" w:rsidP="00563B24">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num>
                        <m:den>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ρ</m:t>
                                  </m:r>
                                </m:e>
                                <m:sub>
                                  <m:r>
                                    <w:rPr>
                                      <w:rFonts w:ascii="Cambria Math" w:hAnsi="Cambria Math"/>
                                    </w:rPr>
                                    <m:t>M</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rad>
                        </m:den>
                      </m:f>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e>
                          </m:d>
                        </m:e>
                        <m:sup>
                          <m:r>
                            <w:rPr>
                              <w:rFonts w:ascii="Cambria Math" w:hAnsi="Cambria Math"/>
                            </w:rPr>
                            <m:t>2</m:t>
                          </m:r>
                        </m:sup>
                      </m:sSup>
                      <m:r>
                        <w:rPr>
                          <w:rFonts w:ascii="Cambria Math" w:hAnsi="Cambria Math"/>
                        </w:rPr>
                        <m:t>t</m:t>
                      </m:r>
                    </m:sup>
                  </m:sSup>
                  <m:r>
                    <w:rPr>
                      <w:rFonts w:ascii="Cambria Math" w:hAnsi="Cambria Math"/>
                    </w:rPr>
                    <m:t>dt</m:t>
                  </m:r>
                </m:e>
              </m:nary>
            </m:e>
          </m:d>
        </m:oMath>
      </m:oMathPara>
    </w:p>
    <w:p w:rsidR="00563B24" w:rsidRDefault="00563B24" w:rsidP="00563B24">
      <w:pPr>
        <w:pStyle w:val="ListParagraph"/>
        <w:spacing w:after="200" w:line="360" w:lineRule="auto"/>
        <w:ind w:left="360"/>
      </w:pPr>
    </w:p>
    <w:p w:rsidR="00563B24" w:rsidRDefault="00563B24" w:rsidP="00D83552">
      <w:pPr>
        <w:pStyle w:val="ListParagraph"/>
        <w:numPr>
          <w:ilvl w:val="0"/>
          <w:numId w:val="185"/>
        </w:numPr>
        <w:spacing w:after="200" w:line="360" w:lineRule="auto"/>
      </w:pPr>
      <w:r>
        <w:rPr>
          <w:u w:val="single"/>
        </w:rPr>
        <w:t>Extraction of the Market Brownians</w:t>
      </w:r>
      <w:r>
        <w:t xml:space="preserve">: To back-fit this model into existing independent CVA models the market Brownians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can be backed out from the market risk factors that drive the existing independent CVA models (on a lattice or in a Monte Carlo simulation).</w:t>
      </w:r>
    </w:p>
    <w:p w:rsidR="00563B24" w:rsidRDefault="00563B24" w:rsidP="00563B24">
      <w:pPr>
        <w:spacing w:after="200" w:line="360" w:lineRule="auto"/>
      </w:pPr>
    </w:p>
    <w:p w:rsidR="00563B24" w:rsidRDefault="00563B24" w:rsidP="00563B24">
      <w:pPr>
        <w:spacing w:after="200" w:line="360" w:lineRule="auto"/>
      </w:pPr>
    </w:p>
    <w:p w:rsidR="00563B24" w:rsidRPr="00563B24" w:rsidRDefault="00563B24" w:rsidP="00563B24">
      <w:pPr>
        <w:spacing w:after="200" w:line="360" w:lineRule="auto"/>
        <w:rPr>
          <w:b/>
          <w:sz w:val="28"/>
          <w:szCs w:val="28"/>
        </w:rPr>
      </w:pPr>
      <w:r w:rsidRPr="00563B24">
        <w:rPr>
          <w:b/>
          <w:sz w:val="28"/>
          <w:szCs w:val="28"/>
        </w:rPr>
        <w:lastRenderedPageBreak/>
        <w:t>A Simple CVA Model with Approximated CP Collateral under Stress Scenarios</w:t>
      </w:r>
    </w:p>
    <w:p w:rsidR="00563B24" w:rsidRDefault="00563B24" w:rsidP="00563B24">
      <w:pPr>
        <w:spacing w:after="200" w:line="360" w:lineRule="auto"/>
      </w:pPr>
    </w:p>
    <w:p w:rsidR="00563B24" w:rsidRDefault="00563B24" w:rsidP="00D83552">
      <w:pPr>
        <w:pStyle w:val="ListParagraph"/>
        <w:numPr>
          <w:ilvl w:val="0"/>
          <w:numId w:val="186"/>
        </w:numPr>
        <w:spacing w:after="200" w:line="360" w:lineRule="auto"/>
      </w:pPr>
      <w:r w:rsidRPr="00563B24">
        <w:rPr>
          <w:u w:val="single"/>
        </w:rPr>
        <w:t>Collateral Value CP Default Correlation</w:t>
      </w:r>
      <w:r>
        <w:t>: The methodology in this section addresses the situation whereby the collateral posted by – or available from - a CP is limited to the asset in a particular entity. In this case the general WWR/RWR can occur due to the co-dependency of the CP collateral quality and value, or the CP’s effective default recovery, with the CP default and/or credit spread.</w:t>
      </w:r>
    </w:p>
    <w:p w:rsidR="00AB775A" w:rsidRDefault="00B02005" w:rsidP="00D83552">
      <w:pPr>
        <w:pStyle w:val="ListParagraph"/>
        <w:numPr>
          <w:ilvl w:val="0"/>
          <w:numId w:val="186"/>
        </w:numPr>
        <w:spacing w:after="200" w:line="360" w:lineRule="auto"/>
      </w:pPr>
      <w:r>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Pr>
          <w:u w:val="single"/>
        </w:rPr>
        <w:t xml:space="preserve"> CP</w:t>
      </w:r>
      <w:r>
        <w:t xml:space="preserve">: This is particularly applicable to CP’s with no liquid CDS available for hedging. The earlier formula for the CVA for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is recalled:</w:t>
      </w:r>
    </w:p>
    <w:p w:rsidR="00AB775A" w:rsidRDefault="00AB775A" w:rsidP="00AB775A">
      <w:pPr>
        <w:pStyle w:val="ListParagraph"/>
        <w:spacing w:after="200" w:line="360" w:lineRule="auto"/>
        <w:ind w:left="360"/>
        <w:rPr>
          <w:u w:val="single"/>
        </w:rPr>
      </w:pPr>
    </w:p>
    <w:p w:rsidR="00B02005" w:rsidRPr="00AB775A" w:rsidRDefault="005D6A21"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oMath>
      </m:oMathPara>
    </w:p>
    <w:p w:rsidR="00AB775A" w:rsidRDefault="00AB775A" w:rsidP="00AB775A">
      <w:pPr>
        <w:pStyle w:val="ListParagraph"/>
        <w:spacing w:after="200" w:line="360" w:lineRule="auto"/>
        <w:ind w:left="360"/>
      </w:pPr>
    </w:p>
    <w:p w:rsidR="00B02005" w:rsidRDefault="00105B19" w:rsidP="00D83552">
      <w:pPr>
        <w:pStyle w:val="ListParagraph"/>
        <w:numPr>
          <w:ilvl w:val="0"/>
          <w:numId w:val="186"/>
        </w:numPr>
        <w:spacing w:after="200" w:line="360" w:lineRule="auto"/>
      </w:pPr>
      <w:r>
        <w:rPr>
          <w:u w:val="single"/>
        </w:rPr>
        <w:t>Estimating Collateral Value u</w:t>
      </w:r>
      <w:r w:rsidR="00B02005">
        <w:rPr>
          <w:u w:val="single"/>
        </w:rPr>
        <w:t>nder Stress</w:t>
      </w:r>
      <w:r w:rsidR="00B02005">
        <w:t xml:space="preserve">: The essence of this methodology on WWR is to use the CP posted collateral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Col</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oMath>
      <w:r w:rsidR="00B02005">
        <w:t xml:space="preserve"> estimated under some stress scenarios.</w:t>
      </w:r>
    </w:p>
    <w:p w:rsidR="00AB775A" w:rsidRDefault="00B02005" w:rsidP="00D83552">
      <w:pPr>
        <w:pStyle w:val="ListParagraph"/>
        <w:numPr>
          <w:ilvl w:val="0"/>
          <w:numId w:val="186"/>
        </w:numPr>
        <w:spacing w:after="200" w:line="360" w:lineRule="auto"/>
      </w:pPr>
      <w:r w:rsidRPr="00C4315C">
        <w:rPr>
          <w:u w:val="single"/>
        </w:rPr>
        <w:t>The Requested Total Initial Collateral</w:t>
      </w:r>
      <w:r w:rsidRPr="00B02005">
        <w:t>:</w:t>
      </w:r>
      <w:r>
        <w:t xml:space="preserve"> For the case where the swap/trade facing the CP is part of a package of a </w:t>
      </w:r>
      <w:r w:rsidR="00105B19" w:rsidRPr="00C4315C">
        <w:rPr>
          <w:i/>
        </w:rPr>
        <w:t>pari passu</w:t>
      </w:r>
      <w:r w:rsidR="00105B19">
        <w:t xml:space="preserve"> loan (for example, for converting the loan from a floating coupon to a fixed coupon), one can start with a minimum total required collateral </w:t>
      </w:r>
      <m:oMath>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oMath>
      <w:r w:rsidR="00105B19">
        <w:t xml:space="preserve"> covering both the swap and the </w:t>
      </w:r>
      <w:r w:rsidR="00105B19" w:rsidRPr="00C4315C">
        <w:rPr>
          <w:i/>
        </w:rPr>
        <w:t>pari</w:t>
      </w:r>
      <w:r w:rsidR="00105B19">
        <w:t xml:space="preserve"> </w:t>
      </w:r>
      <w:r w:rsidR="00105B19" w:rsidRPr="00C4315C">
        <w:rPr>
          <w:i/>
        </w:rPr>
        <w:t>passu</w:t>
      </w:r>
      <w:r w:rsidR="00105B19">
        <w:t xml:space="preserve"> loan, before the CP defaults, given by</w:t>
      </w:r>
    </w:p>
    <w:p w:rsidR="00AB775A" w:rsidRDefault="00AB775A" w:rsidP="00AB775A">
      <w:pPr>
        <w:pStyle w:val="ListParagraph"/>
        <w:spacing w:after="200" w:line="360" w:lineRule="auto"/>
        <w:ind w:left="360"/>
        <w:rPr>
          <w:u w:val="single"/>
        </w:rPr>
      </w:pPr>
    </w:p>
    <w:p w:rsidR="00AB775A" w:rsidRDefault="005D6A21"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oMath>
      </m:oMathPara>
    </w:p>
    <w:p w:rsidR="00AB775A" w:rsidRDefault="00AB775A" w:rsidP="00AB775A">
      <w:pPr>
        <w:pStyle w:val="ListParagraph"/>
        <w:spacing w:after="200" w:line="360" w:lineRule="auto"/>
        <w:ind w:left="360"/>
      </w:pPr>
    </w:p>
    <w:p w:rsidR="00D32DE2" w:rsidRDefault="00105B19" w:rsidP="00AB775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notional of the loan at the initiation, </w:t>
      </w:r>
      <m:oMath>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w:t>
      </w:r>
      <m:oMath>
        <m:r>
          <w:rPr>
            <w:rFonts w:ascii="Cambria Math" w:hAnsi="Cambria Math"/>
          </w:rPr>
          <m:t>E</m:t>
        </m:r>
        <m:r>
          <w:rPr>
            <w:rFonts w:ascii="Cambria Math" w:hAnsi="Cambria Math"/>
          </w:rPr>
          <m:t>PE</m:t>
        </m:r>
      </m:oMath>
      <w:r>
        <w:t xml:space="preserve"> of the </w:t>
      </w:r>
      <w:r w:rsidRPr="00C4315C">
        <w:rPr>
          <w:i/>
        </w:rPr>
        <w:t>pari passu</w:t>
      </w:r>
      <w:r>
        <w:t xml:space="preserve"> swap at the initiation, and </w:t>
      </w:r>
      <m:oMath>
        <m:sSub>
          <m:sSubPr>
            <m:ctrlPr>
              <w:rPr>
                <w:rFonts w:ascii="Cambria Math" w:hAnsi="Cambria Math"/>
                <w:i/>
              </w:rPr>
            </m:ctrlPr>
          </m:sSubPr>
          <m:e>
            <m:r>
              <w:rPr>
                <w:rFonts w:ascii="Cambria Math" w:hAnsi="Cambria Math"/>
              </w:rPr>
              <m:t>LTV</m:t>
            </m:r>
          </m:e>
          <m:sub>
            <m:r>
              <w:rPr>
                <w:rFonts w:ascii="Cambria Math" w:hAnsi="Cambria Math"/>
              </w:rPr>
              <m:t>i</m:t>
            </m:r>
          </m:sub>
        </m:sSub>
      </m:oMath>
      <w:r>
        <w:t xml:space="preserve"> is the minimum required loan-to-value ratio.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w:t>
      </w:r>
      <w:r>
        <w:lastRenderedPageBreak/>
        <w:t>notional of the loan – which is</w:t>
      </w:r>
      <w:r w:rsidR="00C4315C">
        <w:t xml:space="preserve"> the same as that of the swap, and </w:t>
      </w:r>
      <m:oMath>
        <m:sSub>
          <m:sSubPr>
            <m:ctrlPr>
              <w:rPr>
                <w:rFonts w:ascii="Cambria Math" w:hAnsi="Cambria Math"/>
                <w:i/>
              </w:rPr>
            </m:ctrlPr>
          </m:sSubPr>
          <m:e>
            <m:r>
              <w:rPr>
                <w:rFonts w:ascii="Cambria Math" w:hAnsi="Cambria Math"/>
              </w:rPr>
              <m:t>LTV</m:t>
            </m:r>
          </m:e>
          <m:sub>
            <m:r>
              <w:rPr>
                <w:rFonts w:ascii="Cambria Math" w:hAnsi="Cambria Math"/>
              </w:rPr>
              <m:t>i</m:t>
            </m:r>
          </m:sub>
        </m:sSub>
        <m:d>
          <m:dPr>
            <m:ctrlPr>
              <w:rPr>
                <w:rFonts w:ascii="Cambria Math" w:hAnsi="Cambria Math"/>
                <w:i/>
              </w:rPr>
            </m:ctrlPr>
          </m:dPr>
          <m:e>
            <m:r>
              <w:rPr>
                <w:rFonts w:ascii="Cambria Math" w:hAnsi="Cambria Math"/>
              </w:rPr>
              <m:t>t</m:t>
            </m:r>
          </m:e>
        </m:d>
      </m:oMath>
      <w:r w:rsidR="00C4315C">
        <w:t xml:space="preserve"> – typically a constant – is the maximum required </w:t>
      </w:r>
      <m:oMath>
        <m:r>
          <w:rPr>
            <w:rFonts w:ascii="Cambria Math" w:hAnsi="Cambria Math"/>
          </w:rPr>
          <m:t>LTV</m:t>
        </m:r>
      </m:oMath>
      <w:r w:rsidR="00C4315C">
        <w:t xml:space="preserve"> (loan-to-value) ratio.</w:t>
      </w:r>
    </w:p>
    <w:p w:rsidR="00AB775A" w:rsidRDefault="00C4315C" w:rsidP="00D83552">
      <w:pPr>
        <w:pStyle w:val="ListParagraph"/>
        <w:numPr>
          <w:ilvl w:val="0"/>
          <w:numId w:val="186"/>
        </w:numPr>
        <w:spacing w:after="200" w:line="360" w:lineRule="auto"/>
      </w:pPr>
      <w:r>
        <w:rPr>
          <w:u w:val="single"/>
        </w:rPr>
        <w:t>Collateral Devaluation upon CP Default</w:t>
      </w:r>
      <w:r w:rsidRPr="00C4315C">
        <w:t>:</w:t>
      </w:r>
      <w:r>
        <w:t xml:space="preserve"> Upon CP default the minimum total collateral </w:t>
      </w:r>
      <m:oMath>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oMath>
      <w:r>
        <w:t xml:space="preserve"> devalues to</w:t>
      </w:r>
    </w:p>
    <w:p w:rsidR="00AB775A" w:rsidRDefault="00AB775A" w:rsidP="00AB775A">
      <w:pPr>
        <w:pStyle w:val="ListParagraph"/>
        <w:spacing w:after="200" w:line="360" w:lineRule="auto"/>
        <w:ind w:left="360"/>
        <w:rPr>
          <w:u w:val="single"/>
        </w:rPr>
      </w:pPr>
    </w:p>
    <w:p w:rsidR="00AB775A" w:rsidRDefault="005D6A21"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oMath>
      </m:oMathPara>
    </w:p>
    <w:p w:rsidR="00AB775A" w:rsidRDefault="00AB775A" w:rsidP="00AB775A">
      <w:pPr>
        <w:pStyle w:val="ListParagraph"/>
        <w:spacing w:after="200" w:line="360" w:lineRule="auto"/>
        <w:ind w:left="360"/>
      </w:pPr>
    </w:p>
    <w:p w:rsidR="00C4315C" w:rsidRDefault="00C4315C" w:rsidP="00AB775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J</m:t>
            </m:r>
          </m:e>
          <m:sub>
            <m:r>
              <w:rPr>
                <w:rFonts w:ascii="Cambria Math" w:hAnsi="Cambria Math"/>
              </w:rPr>
              <m:t>i</m:t>
            </m:r>
          </m:sub>
        </m:sSub>
      </m:oMath>
      <w:r>
        <w:t xml:space="preserve"> is the constant percentage of the total collateral value upon CP defaults, which can be estimated under some stress scenarios such as the market condition under the 2008 crisis or the CCAR stress scenarios, </w:t>
      </w:r>
      <w:r w:rsidR="004F1F56">
        <w:t>and optionally the worst case is to be chosen on the conservative side.</w:t>
      </w:r>
    </w:p>
    <w:p w:rsidR="00AB775A" w:rsidRDefault="00A6688C" w:rsidP="00D83552">
      <w:pPr>
        <w:pStyle w:val="ListParagraph"/>
        <w:numPr>
          <w:ilvl w:val="0"/>
          <w:numId w:val="186"/>
        </w:numPr>
        <w:spacing w:after="200" w:line="360" w:lineRule="auto"/>
      </w:pPr>
      <w:r>
        <w:rPr>
          <w:u w:val="single"/>
        </w:rPr>
        <w:t>Collateral Devaluation Effective Recovery Rate</w:t>
      </w:r>
      <w:r w:rsidRPr="00A6688C">
        <w:t>:</w:t>
      </w:r>
      <w:r>
        <w:t xml:space="preserve"> Thus the effective recovery rate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for both the swap and the </w:t>
      </w:r>
      <w:r>
        <w:rPr>
          <w:i/>
        </w:rPr>
        <w:t>pari passu</w:t>
      </w:r>
      <w:r>
        <w:t xml:space="preserve"> loan is given – when</w:t>
      </w:r>
    </w:p>
    <w:p w:rsidR="00AB775A" w:rsidRDefault="00AB775A" w:rsidP="00AB775A">
      <w:pPr>
        <w:pStyle w:val="ListParagraph"/>
        <w:spacing w:after="200" w:line="360" w:lineRule="auto"/>
        <w:ind w:left="360"/>
        <w:rPr>
          <w:u w:val="single"/>
        </w:rPr>
      </w:pPr>
    </w:p>
    <w:p w:rsidR="00AB775A" w:rsidRDefault="005D6A21"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&gt;0</m:t>
          </m:r>
        </m:oMath>
      </m:oMathPara>
    </w:p>
    <w:p w:rsidR="00AB775A" w:rsidRDefault="00AB775A" w:rsidP="00AB775A">
      <w:pPr>
        <w:pStyle w:val="ListParagraph"/>
        <w:spacing w:after="200" w:line="360" w:lineRule="auto"/>
        <w:ind w:left="360"/>
      </w:pPr>
    </w:p>
    <w:p w:rsidR="00AB775A" w:rsidRDefault="00A6688C" w:rsidP="00AB775A">
      <w:pPr>
        <w:pStyle w:val="ListParagraph"/>
        <w:spacing w:after="200" w:line="360" w:lineRule="auto"/>
        <w:ind w:left="360"/>
      </w:pPr>
      <w:r>
        <w:t>by</w:t>
      </w:r>
    </w:p>
    <w:p w:rsidR="00AB775A" w:rsidRDefault="00AB775A" w:rsidP="00AB775A">
      <w:pPr>
        <w:pStyle w:val="ListParagraph"/>
        <w:spacing w:after="200" w:line="360" w:lineRule="auto"/>
        <w:ind w:left="360"/>
      </w:pPr>
    </w:p>
    <w:p w:rsidR="00A6688C" w:rsidRPr="00AB775A" w:rsidRDefault="005D6A21"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oMath>
      </m:oMathPara>
    </w:p>
    <w:p w:rsidR="00AB775A" w:rsidRDefault="00AB775A" w:rsidP="00AB775A">
      <w:pPr>
        <w:pStyle w:val="ListParagraph"/>
        <w:spacing w:after="200" w:line="360" w:lineRule="auto"/>
        <w:ind w:left="360"/>
      </w:pPr>
    </w:p>
    <w:p w:rsidR="00AB775A" w:rsidRDefault="00992C9C" w:rsidP="00D83552">
      <w:pPr>
        <w:pStyle w:val="ListParagraph"/>
        <w:numPr>
          <w:ilvl w:val="0"/>
          <w:numId w:val="186"/>
        </w:numPr>
        <w:spacing w:after="200" w:line="360" w:lineRule="auto"/>
      </w:pPr>
      <w:r>
        <w:rPr>
          <w:u w:val="single"/>
        </w:rPr>
        <w:t>The WWR CVA Risk Formulation</w:t>
      </w:r>
      <w:r>
        <w:t>: Therefore the WWR CVA risk formula can be re-written as</w:t>
      </w:r>
    </w:p>
    <w:p w:rsidR="00AB775A" w:rsidRDefault="00AB775A" w:rsidP="00AB775A">
      <w:pPr>
        <w:pStyle w:val="ListParagraph"/>
        <w:spacing w:after="200" w:line="360" w:lineRule="auto"/>
        <w:ind w:left="360"/>
        <w:rPr>
          <w:u w:val="single"/>
        </w:rPr>
      </w:pPr>
    </w:p>
    <w:p w:rsidR="00AB775A" w:rsidRDefault="005D6A21"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oMath>
      </m:oMathPara>
    </w:p>
    <w:p w:rsidR="00AB775A" w:rsidRDefault="00AB775A" w:rsidP="00AB775A">
      <w:pPr>
        <w:pStyle w:val="ListParagraph"/>
        <w:spacing w:after="200" w:line="360" w:lineRule="auto"/>
        <w:ind w:left="360"/>
      </w:pPr>
    </w:p>
    <w:p w:rsidR="00A6688C" w:rsidRDefault="00992C9C" w:rsidP="00AB775A">
      <w:pPr>
        <w:pStyle w:val="ListParagraph"/>
        <w:spacing w:after="200" w:line="360" w:lineRule="auto"/>
        <w:ind w:left="360"/>
      </w:pPr>
      <w:r>
        <w:t>which is similar to the uncollateralized case, but with a state-dependent and a time-dependent recovery rate.</w:t>
      </w:r>
    </w:p>
    <w:p w:rsidR="00AB775A" w:rsidRDefault="00992C9C" w:rsidP="00D83552">
      <w:pPr>
        <w:pStyle w:val="ListParagraph"/>
        <w:numPr>
          <w:ilvl w:val="0"/>
          <w:numId w:val="186"/>
        </w:numPr>
        <w:spacing w:after="200" w:line="360" w:lineRule="auto"/>
      </w:pPr>
      <w:r>
        <w:rPr>
          <w:u w:val="single"/>
        </w:rPr>
        <w:lastRenderedPageBreak/>
        <w:t>Effective Recovery Rate Approximation #1</w:t>
      </w:r>
      <w:r w:rsidRPr="00992C9C">
        <w:t>:</w:t>
      </w:r>
      <w:r>
        <w:t xml:space="preserve"> The effective recovery rate can be approximated by the following conservative formula when</w:t>
      </w:r>
    </w:p>
    <w:p w:rsidR="00AB775A" w:rsidRDefault="00AB775A" w:rsidP="00AB775A">
      <w:pPr>
        <w:pStyle w:val="ListParagraph"/>
        <w:spacing w:after="200" w:line="360" w:lineRule="auto"/>
        <w:ind w:left="360"/>
        <w:rPr>
          <w:u w:val="single"/>
        </w:rPr>
      </w:pPr>
    </w:p>
    <w:p w:rsidR="00AB775A" w:rsidRDefault="005D6A21"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&gt;0</m:t>
          </m:r>
        </m:oMath>
      </m:oMathPara>
    </w:p>
    <w:p w:rsidR="00AB775A" w:rsidRDefault="00AB775A" w:rsidP="00AB775A">
      <w:pPr>
        <w:pStyle w:val="ListParagraph"/>
        <w:spacing w:after="200" w:line="360" w:lineRule="auto"/>
        <w:ind w:left="360"/>
      </w:pPr>
    </w:p>
    <w:p w:rsidR="00AB775A" w:rsidRDefault="00992C9C" w:rsidP="00AB775A">
      <w:pPr>
        <w:pStyle w:val="ListParagraph"/>
        <w:spacing w:after="200" w:line="360" w:lineRule="auto"/>
        <w:ind w:left="360"/>
      </w:pPr>
      <w:r>
        <w:t>by</w:t>
      </w:r>
    </w:p>
    <w:p w:rsidR="00AB775A" w:rsidRDefault="00AB775A" w:rsidP="00AB775A">
      <w:pPr>
        <w:pStyle w:val="ListParagraph"/>
        <w:spacing w:after="200" w:line="360" w:lineRule="auto"/>
        <w:ind w:left="360"/>
      </w:pPr>
    </w:p>
    <w:p w:rsidR="00992C9C" w:rsidRPr="00AB775A" w:rsidRDefault="005D6A21"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oMath>
      </m:oMathPara>
    </w:p>
    <w:p w:rsidR="00AB775A" w:rsidRDefault="00AB775A" w:rsidP="00AB775A">
      <w:pPr>
        <w:pStyle w:val="ListParagraph"/>
        <w:spacing w:after="200" w:line="360" w:lineRule="auto"/>
        <w:ind w:left="360"/>
      </w:pPr>
    </w:p>
    <w:p w:rsidR="00AB775A" w:rsidRDefault="00992C9C" w:rsidP="00D83552">
      <w:pPr>
        <w:pStyle w:val="ListParagraph"/>
        <w:numPr>
          <w:ilvl w:val="0"/>
          <w:numId w:val="186"/>
        </w:numPr>
        <w:spacing w:after="200" w:line="360" w:lineRule="auto"/>
      </w:pPr>
      <w:r>
        <w:rPr>
          <w:u w:val="single"/>
        </w:rPr>
        <w:t>Effective Recovery Rate Approximation #2</w:t>
      </w:r>
      <w:r>
        <w:t xml:space="preserve">: </w:t>
      </w:r>
      <w:r w:rsidR="00CF2849">
        <w:t>For a back-of-the-envelope calculation one can use</w:t>
      </w:r>
    </w:p>
    <w:p w:rsidR="00AB775A" w:rsidRDefault="00AB775A" w:rsidP="00AB775A">
      <w:pPr>
        <w:pStyle w:val="ListParagraph"/>
        <w:spacing w:after="200" w:line="360" w:lineRule="auto"/>
        <w:ind w:left="360"/>
        <w:rPr>
          <w:u w:val="single"/>
        </w:rPr>
      </w:pPr>
    </w:p>
    <w:p w:rsidR="00992C9C" w:rsidRPr="00AB775A" w:rsidRDefault="005D6A21"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LTV</m:t>
                  </m:r>
                </m:e>
                <m:sub>
                  <m:r>
                    <w:rPr>
                      <w:rFonts w:ascii="Cambria Math" w:hAnsi="Cambria Math"/>
                    </w:rPr>
                    <m:t>i</m:t>
                  </m:r>
                </m:sub>
              </m:sSub>
            </m:den>
          </m:f>
        </m:oMath>
      </m:oMathPara>
    </w:p>
    <w:p w:rsidR="00AB775A" w:rsidRDefault="00AB775A" w:rsidP="00AB775A">
      <w:pPr>
        <w:pStyle w:val="ListParagraph"/>
        <w:spacing w:after="200" w:line="360" w:lineRule="auto"/>
        <w:ind w:left="360"/>
      </w:pPr>
    </w:p>
    <w:p w:rsidR="00BB226A" w:rsidRDefault="00BB226A" w:rsidP="00D83552">
      <w:pPr>
        <w:pStyle w:val="ListParagraph"/>
        <w:numPr>
          <w:ilvl w:val="0"/>
          <w:numId w:val="186"/>
        </w:numPr>
        <w:spacing w:after="200" w:line="360" w:lineRule="auto"/>
      </w:pPr>
      <w:r>
        <w:rPr>
          <w:u w:val="single"/>
        </w:rPr>
        <w:t>The Original CP Recovery Rate</w:t>
      </w:r>
      <w:r>
        <w:t xml:space="preserve">: Since the CP default recovery is explicitly handled, the original CP recovery rate </w:t>
      </w:r>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in the expressions for the CVA is set to zero for the CVA exposure calculation in the above equation – the recovery rate in the CP credit curve should not be changed.</w:t>
      </w:r>
    </w:p>
    <w:p w:rsidR="00BB226A" w:rsidRDefault="00BB226A" w:rsidP="00D83552">
      <w:pPr>
        <w:pStyle w:val="ListParagraph"/>
        <w:numPr>
          <w:ilvl w:val="0"/>
          <w:numId w:val="186"/>
        </w:numPr>
        <w:spacing w:after="200" w:line="360" w:lineRule="auto"/>
      </w:pPr>
      <w:r>
        <w:rPr>
          <w:u w:val="single"/>
        </w:rPr>
        <w:t>No Change to the DVA</w:t>
      </w:r>
      <w:r w:rsidRPr="00BB226A">
        <w:t>:</w:t>
      </w:r>
      <w:r>
        <w:t xml:space="preserve"> The expression for the DVA should not change, but needs to properly handle the segregation status of the collateral posted by the CP.</w:t>
      </w:r>
    </w:p>
    <w:p w:rsidR="00BB226A" w:rsidRDefault="00BB226A" w:rsidP="00D83552">
      <w:pPr>
        <w:pStyle w:val="ListParagraph"/>
        <w:numPr>
          <w:ilvl w:val="0"/>
          <w:numId w:val="186"/>
        </w:numPr>
        <w:spacing w:after="200" w:line="360" w:lineRule="auto"/>
      </w:pPr>
      <w:r>
        <w:rPr>
          <w:u w:val="single"/>
        </w:rPr>
        <w:t>Collateralized Exposures under Stress Scenarios</w:t>
      </w:r>
      <w:r w:rsidRPr="00BB226A">
        <w:t>:</w:t>
      </w:r>
      <w:r>
        <w:t xml:space="preserve"> Optionally the exposures under the stressed scenarios can also be used.</w:t>
      </w:r>
    </w:p>
    <w:p w:rsidR="00BB226A" w:rsidRDefault="00BB226A" w:rsidP="00D83552">
      <w:pPr>
        <w:pStyle w:val="ListParagraph"/>
        <w:numPr>
          <w:ilvl w:val="0"/>
          <w:numId w:val="186"/>
        </w:numPr>
        <w:spacing w:after="200" w:line="360" w:lineRule="auto"/>
      </w:pPr>
      <w:r>
        <w:rPr>
          <w:u w:val="single"/>
        </w:rPr>
        <w:t>A Simple WWR Model with Approximated CP Collateral under Stress Scenarios with Distribution</w:t>
      </w:r>
      <w:r>
        <w:t xml:space="preserve">: </w:t>
      </w:r>
      <w:r w:rsidR="00D058A3">
        <w:t>The methodology in this section addresses the same situation as the previous one, except that the worst case will not be used some stress scenarios. Rather the CP collateral value distribution estimated under various stress scenarios will be used.</w:t>
      </w:r>
    </w:p>
    <w:p w:rsidR="00AB775A" w:rsidRDefault="00AB775A" w:rsidP="00AB775A">
      <w:pPr>
        <w:spacing w:after="200" w:line="360" w:lineRule="auto"/>
      </w:pPr>
    </w:p>
    <w:p w:rsidR="00AB775A" w:rsidRDefault="00AB775A" w:rsidP="00AB775A">
      <w:pPr>
        <w:spacing w:after="200" w:line="360" w:lineRule="auto"/>
      </w:pPr>
    </w:p>
    <w:p w:rsidR="00AB775A" w:rsidRPr="00AB775A" w:rsidRDefault="00AB775A" w:rsidP="00AB775A">
      <w:pPr>
        <w:spacing w:after="200" w:line="360" w:lineRule="auto"/>
        <w:rPr>
          <w:b/>
          <w:sz w:val="28"/>
          <w:szCs w:val="28"/>
        </w:rPr>
      </w:pPr>
      <w:r w:rsidRPr="00AB775A">
        <w:rPr>
          <w:b/>
          <w:sz w:val="28"/>
          <w:szCs w:val="28"/>
        </w:rPr>
        <w:lastRenderedPageBreak/>
        <w:t>A Simple Specific WWR and RWR Model with Approximated Exposures upon CP Default</w:t>
      </w:r>
    </w:p>
    <w:p w:rsidR="00AB775A" w:rsidRDefault="00AB775A" w:rsidP="00AB775A">
      <w:pPr>
        <w:spacing w:after="200" w:line="360" w:lineRule="auto"/>
      </w:pPr>
    </w:p>
    <w:p w:rsidR="00AB775A" w:rsidRDefault="00AB775A" w:rsidP="00D83552">
      <w:pPr>
        <w:pStyle w:val="ListParagraph"/>
        <w:numPr>
          <w:ilvl w:val="0"/>
          <w:numId w:val="187"/>
        </w:numPr>
        <w:spacing w:after="200" w:line="360" w:lineRule="auto"/>
      </w:pPr>
      <w:r w:rsidRPr="00AB775A">
        <w:rPr>
          <w:u w:val="single"/>
        </w:rPr>
        <w:t>General/Specific WWR and RWR</w:t>
      </w:r>
      <w:r>
        <w:t>: The methodology in this section addresses the specific and general WWR and RWR whereby the impact to the market due to the CP default can be reasonably estimated. In this case the exposures used in the CVA and the DVA calculations can be estimated by setting the market variables to the estimated values upon CP default.</w:t>
      </w:r>
    </w:p>
    <w:p w:rsidR="00BB6FB4" w:rsidRDefault="00BB6FB4" w:rsidP="00D83552">
      <w:pPr>
        <w:pStyle w:val="ListParagraph"/>
        <w:numPr>
          <w:ilvl w:val="0"/>
          <w:numId w:val="187"/>
        </w:numPr>
        <w:spacing w:after="200" w:line="360" w:lineRule="auto"/>
      </w:pPr>
      <w:r>
        <w:rPr>
          <w:u w:val="single"/>
        </w:rPr>
        <w:t>Override of the CVA/DVA Recoveries</w:t>
      </w:r>
      <w:r w:rsidRPr="00BB6FB4">
        <w:t>:</w:t>
      </w:r>
      <w:r>
        <w:t xml:space="preserve"> For simplicity of the system implementation, the CVA/DVA recoveries above can be optionally overridden to handle the above – although the recovery rates for the counter parties and the bank should not be changed.</w:t>
      </w:r>
    </w:p>
    <w:p w:rsidR="00BB6FB4" w:rsidRDefault="00BB6FB4" w:rsidP="00D83552">
      <w:pPr>
        <w:pStyle w:val="ListParagraph"/>
        <w:numPr>
          <w:ilvl w:val="0"/>
          <w:numId w:val="187"/>
        </w:numPr>
        <w:spacing w:after="200" w:line="360" w:lineRule="auto"/>
      </w:pPr>
      <w:r>
        <w:rPr>
          <w:u w:val="single"/>
        </w:rPr>
        <w:t>Example CP Tax Optimization Strategy</w:t>
      </w:r>
      <w:r w:rsidRPr="00BB6FB4">
        <w:t>:</w:t>
      </w:r>
      <w:r>
        <w:t xml:space="preserve"> For instance in the tax optimization strategy for the convertible bonds, </w:t>
      </w:r>
      <w:r w:rsidR="00583D55">
        <w:t>the CP buys (or enters a debit) a call spread on its own stock from the bank – which is typically treated as two separate calls without netting.</w:t>
      </w:r>
    </w:p>
    <w:p w:rsidR="00583D55" w:rsidRDefault="00583D55" w:rsidP="00D83552">
      <w:pPr>
        <w:pStyle w:val="ListParagraph"/>
        <w:numPr>
          <w:ilvl w:val="0"/>
          <w:numId w:val="187"/>
        </w:numPr>
        <w:spacing w:after="200" w:line="360" w:lineRule="auto"/>
      </w:pPr>
      <w:r>
        <w:rPr>
          <w:u w:val="single"/>
        </w:rPr>
        <w:t>Tax Optimization Strategy Recovery Overrides</w:t>
      </w:r>
      <w:r w:rsidRPr="00583D55">
        <w:t>:</w:t>
      </w:r>
      <w:r>
        <w:t xml:space="preserve"> </w:t>
      </w:r>
      <w:r w:rsidR="000839A0">
        <w:t xml:space="preserve">Technically it can be argued that the CVA and the DVA should be virtually zero in this case, as if the CP were in default the stock price would go to zero, and if the bank were to default the market would drop significantly, and so would the CP’s stock. The override of the CVA and the DVA recoveries would be used to handle this – although the conservativeness would need to </w:t>
      </w:r>
      <w:r w:rsidR="00FF3873">
        <w:t xml:space="preserve">be </w:t>
      </w:r>
      <w:r w:rsidR="000839A0">
        <w:t>demonstrated with monitoring.</w:t>
      </w:r>
    </w:p>
    <w:p w:rsidR="000839A0" w:rsidRDefault="000839A0" w:rsidP="000839A0">
      <w:pPr>
        <w:spacing w:after="200" w:line="360" w:lineRule="auto"/>
      </w:pPr>
    </w:p>
    <w:p w:rsidR="000839A0" w:rsidRDefault="000839A0" w:rsidP="000839A0">
      <w:pPr>
        <w:spacing w:after="200" w:line="360" w:lineRule="auto"/>
      </w:pPr>
    </w:p>
    <w:p w:rsidR="000839A0" w:rsidRPr="000839A0" w:rsidRDefault="000839A0" w:rsidP="000839A0">
      <w:pPr>
        <w:spacing w:after="200" w:line="360" w:lineRule="auto"/>
        <w:rPr>
          <w:b/>
          <w:sz w:val="28"/>
          <w:szCs w:val="28"/>
        </w:rPr>
      </w:pPr>
      <w:r w:rsidRPr="000839A0">
        <w:rPr>
          <w:b/>
          <w:sz w:val="28"/>
          <w:szCs w:val="28"/>
        </w:rPr>
        <w:t>Default and Market Risk Metrics</w:t>
      </w:r>
    </w:p>
    <w:p w:rsidR="000839A0" w:rsidRDefault="000839A0" w:rsidP="000839A0">
      <w:pPr>
        <w:spacing w:after="200" w:line="360" w:lineRule="auto"/>
      </w:pPr>
    </w:p>
    <w:p w:rsidR="000839A0" w:rsidRDefault="000839A0" w:rsidP="00D83552">
      <w:pPr>
        <w:pStyle w:val="ListParagraph"/>
        <w:numPr>
          <w:ilvl w:val="0"/>
          <w:numId w:val="188"/>
        </w:numPr>
        <w:spacing w:after="200" w:line="360" w:lineRule="auto"/>
      </w:pPr>
      <w:r w:rsidRPr="000839A0">
        <w:rPr>
          <w:u w:val="single"/>
        </w:rPr>
        <w:t>DTZ and DTR Metrics Definitions</w:t>
      </w:r>
      <w:r>
        <w:t>: Default-to-zero (DTZ) and default-to-recovery (DTR) are important risk metrics for risk management. DTZ represents a loss if the CP defaults immediately with 0% recovery and DTR represents a loss if the CP defaults immediately with CP’s marked recovery rate (</w:t>
      </w:r>
      <m:oMath>
        <m:sSub>
          <m:sSubPr>
            <m:ctrlPr>
              <w:rPr>
                <w:rFonts w:ascii="Cambria Math" w:hAnsi="Cambria Math"/>
                <w:i/>
              </w:rPr>
            </m:ctrlPr>
          </m:sSubPr>
          <m:e>
            <m:r>
              <w:rPr>
                <w:rFonts w:ascii="Cambria Math" w:hAnsi="Cambria Math"/>
              </w:rPr>
              <m:t>R</m:t>
            </m:r>
          </m:e>
          <m:sub>
            <m:r>
              <w:rPr>
                <w:rFonts w:ascii="Cambria Math" w:hAnsi="Cambria Math"/>
              </w:rPr>
              <m:t>CP</m:t>
            </m:r>
          </m:sub>
        </m:sSub>
      </m:oMath>
      <w:r>
        <w:t>).</w:t>
      </w:r>
    </w:p>
    <w:p w:rsidR="00855955" w:rsidRDefault="000839A0" w:rsidP="00D83552">
      <w:pPr>
        <w:pStyle w:val="ListParagraph"/>
        <w:numPr>
          <w:ilvl w:val="0"/>
          <w:numId w:val="188"/>
        </w:numPr>
        <w:spacing w:after="200" w:line="360" w:lineRule="auto"/>
      </w:pPr>
      <w:r>
        <w:rPr>
          <w:u w:val="single"/>
        </w:rPr>
        <w:lastRenderedPageBreak/>
        <w:t>Exposures for DTZ and DTR</w:t>
      </w:r>
      <w:r w:rsidRPr="000839A0">
        <w:t>:</w:t>
      </w:r>
      <w:r>
        <w:t xml:space="preserve"> </w:t>
      </w:r>
      <w:r w:rsidR="00FF3873">
        <w:t>They are defined as</w:t>
      </w:r>
    </w:p>
    <w:p w:rsidR="00855955" w:rsidRDefault="00855955" w:rsidP="00855955">
      <w:pPr>
        <w:pStyle w:val="ListParagraph"/>
        <w:spacing w:after="200" w:line="360" w:lineRule="auto"/>
        <w:ind w:left="360"/>
        <w:rPr>
          <w:u w:val="single"/>
        </w:rPr>
      </w:pPr>
    </w:p>
    <w:p w:rsidR="00855955" w:rsidRDefault="00FF3873" w:rsidP="00855955">
      <w:pPr>
        <w:pStyle w:val="ListParagraph"/>
        <w:spacing w:after="200" w:line="360" w:lineRule="auto"/>
        <w:ind w:left="360"/>
      </w:pPr>
      <m:oMathPara>
        <m:oMath>
          <m:r>
            <w:rPr>
              <w:rFonts w:ascii="Cambria Math" w:hAnsi="Cambria Math"/>
            </w:rPr>
            <m:t>DTZ=-</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PortfolioValue-CollateralValue, 0</m:t>
                  </m:r>
                </m:e>
              </m:d>
            </m:e>
          </m:func>
          <m:r>
            <w:rPr>
              <w:rFonts w:ascii="Cambria Math" w:hAnsi="Cambria Math"/>
            </w:rPr>
            <m:t>-NPV</m:t>
          </m:r>
        </m:oMath>
      </m:oMathPara>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m:oMathPara>
        <m:oMath>
          <m:r>
            <w:rPr>
              <w:rFonts w:ascii="Cambria Math" w:hAnsi="Cambria Math"/>
            </w:rPr>
            <m:t>DTR=-</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PortfolioValue-CollateralValue, 0</m:t>
                  </m:r>
                </m:e>
              </m:d>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e>
          </m:d>
          <m:r>
            <w:rPr>
              <w:rFonts w:ascii="Cambria Math" w:hAnsi="Cambria Math"/>
            </w:rPr>
            <m:t>NPV</m:t>
          </m:r>
        </m:oMath>
      </m:oMathPara>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w:r>
        <w:t xml:space="preserve">where </w:t>
      </w:r>
      <m:oMath>
        <m:r>
          <w:rPr>
            <w:rFonts w:ascii="Cambria Math" w:hAnsi="Cambria Math"/>
          </w:rPr>
          <m:t>PortfolioValue</m:t>
        </m:r>
      </m:oMath>
      <w:r>
        <w:t xml:space="preserve"> is the underlying time-0 CP portfolio MTM from the CVA model, </w:t>
      </w:r>
      <m:oMath>
        <m:r>
          <w:rPr>
            <w:rFonts w:ascii="Cambria Math" w:hAnsi="Cambria Math"/>
          </w:rPr>
          <m:t>CollateralValue</m:t>
        </m:r>
      </m:oMath>
      <w:r>
        <w:t xml:space="preserve"> is the time-0 collateral that the bank receives, if positive, and the time-0 collateral that the bank posts, if negative, and</w:t>
      </w:r>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m:oMathPara>
        <m:oMath>
          <m:r>
            <w:rPr>
              <w:rFonts w:ascii="Cambria Math" w:hAnsi="Cambria Math"/>
            </w:rPr>
            <m:t>NPV=CVA+DVA</m:t>
          </m:r>
        </m:oMath>
      </m:oMathPara>
    </w:p>
    <w:p w:rsidR="00855955" w:rsidRDefault="00855955" w:rsidP="00855955">
      <w:pPr>
        <w:pStyle w:val="ListParagraph"/>
        <w:spacing w:after="200" w:line="360" w:lineRule="auto"/>
        <w:ind w:left="360"/>
      </w:pPr>
    </w:p>
    <w:p w:rsidR="000839A0" w:rsidRDefault="00FF3873" w:rsidP="00855955">
      <w:pPr>
        <w:pStyle w:val="ListParagraph"/>
        <w:spacing w:after="200" w:line="360" w:lineRule="auto"/>
        <w:ind w:left="360"/>
      </w:pPr>
      <w:r>
        <w:t>They are generated from the CVA model directly.</w:t>
      </w:r>
    </w:p>
    <w:p w:rsidR="00FF3873" w:rsidRDefault="00FF3873" w:rsidP="00D83552">
      <w:pPr>
        <w:pStyle w:val="ListParagraph"/>
        <w:numPr>
          <w:ilvl w:val="0"/>
          <w:numId w:val="188"/>
        </w:numPr>
        <w:spacing w:after="200" w:line="360" w:lineRule="auto"/>
      </w:pPr>
      <w:r>
        <w:rPr>
          <w:u w:val="single"/>
        </w:rPr>
        <w:t>DTZ/DTR Calculation Assumption #1</w:t>
      </w:r>
      <w:r w:rsidRPr="00FF3873">
        <w:t>:</w:t>
      </w:r>
      <w:r>
        <w:t xml:space="preserve"> One major assumption is that the time-0 collateral is directly calculated from the CVA model, not the actual collateral, and as such the CVA and the DVA do not work under stress scenarios.</w:t>
      </w:r>
    </w:p>
    <w:p w:rsidR="00FF3873" w:rsidRDefault="00FF3873" w:rsidP="00D83552">
      <w:pPr>
        <w:pStyle w:val="ListParagraph"/>
        <w:numPr>
          <w:ilvl w:val="0"/>
          <w:numId w:val="188"/>
        </w:numPr>
        <w:spacing w:after="200" w:line="360" w:lineRule="auto"/>
      </w:pPr>
      <w:r>
        <w:rPr>
          <w:u w:val="single"/>
        </w:rPr>
        <w:t>DTZ/DTR Calculation Assumption #2</w:t>
      </w:r>
      <w:r w:rsidRPr="00FF3873">
        <w:t>:</w:t>
      </w:r>
      <w:r>
        <w:t xml:space="preserve"> Further, DRIP does not handle the potential segregation of the collateral (nor IA/IM), which does not have any impact for the DTZ/DTR for the case where the bank receives collateral from the counter party, and is on the conservative side when the bank posts collateral to the counter party.</w:t>
      </w:r>
    </w:p>
    <w:p w:rsidR="00855955" w:rsidRDefault="00855955" w:rsidP="00D83552">
      <w:pPr>
        <w:pStyle w:val="ListParagraph"/>
        <w:numPr>
          <w:ilvl w:val="0"/>
          <w:numId w:val="188"/>
        </w:numPr>
        <w:spacing w:after="200" w:line="360" w:lineRule="auto"/>
      </w:pPr>
      <w:r>
        <w:rPr>
          <w:u w:val="single"/>
        </w:rPr>
        <w:t>Market Risk Metrics</w:t>
      </w:r>
      <w:r w:rsidRPr="00855955">
        <w:t>:</w:t>
      </w:r>
      <w:r>
        <w:t xml:space="preserve"> The technology system – not DRIP – needs to produce risk numbers via bumping and revaluation, such as:</w:t>
      </w:r>
    </w:p>
    <w:p w:rsidR="00855955" w:rsidRDefault="00855955" w:rsidP="00D83552">
      <w:pPr>
        <w:pStyle w:val="ListParagraph"/>
        <w:numPr>
          <w:ilvl w:val="1"/>
          <w:numId w:val="188"/>
        </w:numPr>
        <w:spacing w:after="200" w:line="360" w:lineRule="auto"/>
      </w:pPr>
      <w:r>
        <w:t>Theta</w:t>
      </w:r>
    </w:p>
    <w:p w:rsidR="00855955" w:rsidRDefault="00855955" w:rsidP="00D83552">
      <w:pPr>
        <w:pStyle w:val="ListParagraph"/>
        <w:numPr>
          <w:ilvl w:val="1"/>
          <w:numId w:val="188"/>
        </w:numPr>
        <w:spacing w:after="200" w:line="360" w:lineRule="auto"/>
      </w:pPr>
      <w:r>
        <w:t>Portfolio Delta</w:t>
      </w:r>
    </w:p>
    <w:p w:rsidR="00855955" w:rsidRDefault="00855955" w:rsidP="00D83552">
      <w:pPr>
        <w:pStyle w:val="ListParagraph"/>
        <w:numPr>
          <w:ilvl w:val="1"/>
          <w:numId w:val="188"/>
        </w:numPr>
        <w:spacing w:after="200" w:line="360" w:lineRule="auto"/>
      </w:pPr>
      <w:r>
        <w:t>Market Delta</w:t>
      </w:r>
    </w:p>
    <w:p w:rsidR="00855955" w:rsidRDefault="00855955" w:rsidP="00D83552">
      <w:pPr>
        <w:pStyle w:val="ListParagraph"/>
        <w:numPr>
          <w:ilvl w:val="1"/>
          <w:numId w:val="188"/>
        </w:numPr>
        <w:spacing w:after="200" w:line="360" w:lineRule="auto"/>
      </w:pPr>
      <w:r>
        <w:t>Market Gamma</w:t>
      </w:r>
    </w:p>
    <w:p w:rsidR="00855955" w:rsidRDefault="00855955" w:rsidP="00D83552">
      <w:pPr>
        <w:pStyle w:val="ListParagraph"/>
        <w:numPr>
          <w:ilvl w:val="1"/>
          <w:numId w:val="188"/>
        </w:numPr>
        <w:spacing w:after="200" w:line="360" w:lineRule="auto"/>
      </w:pPr>
      <w:r>
        <w:t>Cross Gamma</w:t>
      </w:r>
    </w:p>
    <w:p w:rsidR="00855955" w:rsidRDefault="00855955" w:rsidP="00D83552">
      <w:pPr>
        <w:pStyle w:val="ListParagraph"/>
        <w:numPr>
          <w:ilvl w:val="1"/>
          <w:numId w:val="188"/>
        </w:numPr>
        <w:spacing w:after="200" w:line="360" w:lineRule="auto"/>
      </w:pPr>
      <w:r>
        <w:t>Vega</w:t>
      </w:r>
    </w:p>
    <w:p w:rsidR="00855955" w:rsidRDefault="00855955" w:rsidP="00D83552">
      <w:pPr>
        <w:pStyle w:val="ListParagraph"/>
        <w:numPr>
          <w:ilvl w:val="1"/>
          <w:numId w:val="188"/>
        </w:numPr>
        <w:spacing w:after="200" w:line="360" w:lineRule="auto"/>
      </w:pPr>
      <w:r>
        <w:t>Cega (Correlation Sensitivity)</w:t>
      </w:r>
    </w:p>
    <w:p w:rsidR="00C83F45" w:rsidRDefault="00C83F45" w:rsidP="00C83F45">
      <w:pPr>
        <w:spacing w:after="200" w:line="360" w:lineRule="auto"/>
      </w:pPr>
    </w:p>
    <w:p w:rsidR="005B379F" w:rsidRDefault="005B379F" w:rsidP="00C83F45">
      <w:pPr>
        <w:spacing w:after="200" w:line="360" w:lineRule="auto"/>
      </w:pPr>
    </w:p>
    <w:p w:rsidR="005B379F" w:rsidRPr="005B379F" w:rsidRDefault="005B379F" w:rsidP="00C83F45">
      <w:pPr>
        <w:spacing w:after="200" w:line="360" w:lineRule="auto"/>
        <w:rPr>
          <w:b/>
          <w:sz w:val="28"/>
          <w:szCs w:val="28"/>
        </w:rPr>
      </w:pPr>
      <w:r w:rsidRPr="005B379F">
        <w:rPr>
          <w:b/>
          <w:sz w:val="28"/>
          <w:szCs w:val="28"/>
        </w:rPr>
        <w:t>Martingale Resampling and Testing</w:t>
      </w:r>
    </w:p>
    <w:p w:rsidR="005B379F" w:rsidRDefault="005B379F" w:rsidP="00C83F45">
      <w:pPr>
        <w:spacing w:after="200" w:line="360" w:lineRule="auto"/>
      </w:pPr>
    </w:p>
    <w:p w:rsidR="005B379F" w:rsidRDefault="005B379F" w:rsidP="00D83552">
      <w:pPr>
        <w:pStyle w:val="ListParagraph"/>
        <w:numPr>
          <w:ilvl w:val="0"/>
          <w:numId w:val="189"/>
        </w:numPr>
        <w:spacing w:after="200" w:line="360" w:lineRule="auto"/>
      </w:pPr>
      <w:r w:rsidRPr="005B379F">
        <w:rPr>
          <w:u w:val="single"/>
        </w:rPr>
        <w:t>Martingale Resampling and Numerical Adjustment</w:t>
      </w:r>
      <w:r>
        <w:t>: This is for improving accuracy and numerical stability by numerically enforcing the necessary martingale conditions. More details will be added in line with Tang and Li (2007).</w:t>
      </w:r>
    </w:p>
    <w:p w:rsidR="005B379F" w:rsidRDefault="005B379F" w:rsidP="00D83552">
      <w:pPr>
        <w:pStyle w:val="ListParagraph"/>
        <w:numPr>
          <w:ilvl w:val="0"/>
          <w:numId w:val="189"/>
        </w:numPr>
        <w:spacing w:after="200" w:line="360" w:lineRule="auto"/>
      </w:pPr>
      <w:r>
        <w:rPr>
          <w:u w:val="single"/>
        </w:rPr>
        <w:t>CVA Model Self-Consistency Testing</w:t>
      </w:r>
      <w:r w:rsidRPr="005B379F">
        <w:t>:</w:t>
      </w:r>
      <w:r w:rsidR="00FD1694">
        <w:t xml:space="preserve"> This section formulate</w:t>
      </w:r>
      <w:r>
        <w:t>s various model testing cases for model self-consistency testing and testing against</w:t>
      </w:r>
      <w:r w:rsidR="00FD1694">
        <w:t xml:space="preserve"> known target values, mostly based on the martingale arbitrage pricing theories, which is why they are also called martingale tests.</w:t>
      </w:r>
    </w:p>
    <w:p w:rsidR="00FD1694" w:rsidRDefault="00FD1694" w:rsidP="00D83552">
      <w:pPr>
        <w:pStyle w:val="ListParagraph"/>
        <w:numPr>
          <w:ilvl w:val="0"/>
          <w:numId w:val="189"/>
        </w:numPr>
        <w:spacing w:after="200" w:line="360" w:lineRule="auto"/>
      </w:pPr>
      <w:r>
        <w:rPr>
          <w:u w:val="single"/>
        </w:rPr>
        <w:t>Subset Based Automated Test Model</w:t>
      </w:r>
      <w:r w:rsidRPr="00FD1694">
        <w:t>:</w:t>
      </w:r>
      <w:r>
        <w:t xml:space="preserve"> A subset of these tests will also be used for automated model monitoring.</w:t>
      </w:r>
    </w:p>
    <w:p w:rsidR="00FD1694" w:rsidRDefault="00FD1694" w:rsidP="00D83552">
      <w:pPr>
        <w:pStyle w:val="ListParagraph"/>
        <w:numPr>
          <w:ilvl w:val="0"/>
          <w:numId w:val="189"/>
        </w:numPr>
        <w:spacing w:after="200" w:line="360" w:lineRule="auto"/>
      </w:pPr>
      <w:r>
        <w:rPr>
          <w:u w:val="single"/>
        </w:rPr>
        <w:t>Supplementing the Model Validation Procedures</w:t>
      </w:r>
      <w:r w:rsidRPr="00FD1694">
        <w:t>:</w:t>
      </w:r>
      <w:r>
        <w:t xml:space="preserve"> It is important to note that not all these tests apply to all trades or trade types, depending on the availability of the martingale targets. These are meant to supplement – not to replace – the testing required by the model validation procedure.</w:t>
      </w:r>
    </w:p>
    <w:p w:rsidR="00FD1694" w:rsidRDefault="00FD1694" w:rsidP="00D83552">
      <w:pPr>
        <w:pStyle w:val="ListParagraph"/>
        <w:numPr>
          <w:ilvl w:val="0"/>
          <w:numId w:val="189"/>
        </w:numPr>
        <w:spacing w:after="200" w:line="360" w:lineRule="auto"/>
      </w:pPr>
      <w:r>
        <w:rPr>
          <w:u w:val="single"/>
        </w:rPr>
        <w:t>Formulating the Issue Materiality Criterion</w:t>
      </w:r>
      <w:r w:rsidRPr="00FD1694">
        <w:t>:</w:t>
      </w:r>
      <w:r>
        <w:t xml:space="preserve"> In addition materiality criterion is formulated (for example, based on exposures and CVA/DVA), and if any issue is deemed immaterial, no issue resolution is needed. But the issue needs to be included in the monitoring tests on an on-going basis to ensure that it remains immaterial.</w:t>
      </w:r>
    </w:p>
    <w:p w:rsidR="007C640D" w:rsidRDefault="007C640D" w:rsidP="00D83552">
      <w:pPr>
        <w:pStyle w:val="ListParagraph"/>
        <w:numPr>
          <w:ilvl w:val="0"/>
          <w:numId w:val="189"/>
        </w:numPr>
        <w:spacing w:after="200" w:line="360" w:lineRule="auto"/>
      </w:pPr>
      <w:r>
        <w:rPr>
          <w:u w:val="single"/>
        </w:rPr>
        <w:t>Notional/Exposure Based Trade Selection</w:t>
      </w:r>
      <w:r w:rsidRPr="007C640D">
        <w:t>:</w:t>
      </w:r>
      <w:r>
        <w:t xml:space="preserve"> Selected trades are normally tested, typically based on top notional and/or top AEPE/AENE.</w:t>
      </w:r>
    </w:p>
    <w:p w:rsidR="007C640D" w:rsidRDefault="007C640D" w:rsidP="00D83552">
      <w:pPr>
        <w:pStyle w:val="ListParagraph"/>
        <w:numPr>
          <w:ilvl w:val="0"/>
          <w:numId w:val="189"/>
        </w:numPr>
        <w:spacing w:after="200" w:line="360" w:lineRule="auto"/>
      </w:pPr>
      <w:r>
        <w:rPr>
          <w:u w:val="single"/>
        </w:rPr>
        <w:t>Accuracy vs. Precision Issue Identification</w:t>
      </w:r>
      <w:r w:rsidRPr="007C640D">
        <w:t>:</w:t>
      </w:r>
      <w:r>
        <w:t xml:space="preserve"> Optionally the errors are also tested against the two times Monte Carlo error</w:t>
      </w:r>
      <w:r w:rsidR="00232FC5">
        <w:t xml:space="preserve"> to determine whether the issue is an accuracy issue or a precision issue, or it has random or systematic errors.</w:t>
      </w:r>
    </w:p>
    <w:p w:rsidR="00232FC5" w:rsidRDefault="00232FC5" w:rsidP="00232FC5">
      <w:pPr>
        <w:spacing w:after="200" w:line="360" w:lineRule="auto"/>
      </w:pPr>
    </w:p>
    <w:p w:rsidR="00232FC5" w:rsidRDefault="00232FC5" w:rsidP="00232FC5">
      <w:pPr>
        <w:spacing w:after="200" w:line="360" w:lineRule="auto"/>
      </w:pPr>
    </w:p>
    <w:p w:rsidR="00232FC5" w:rsidRPr="00232FC5" w:rsidRDefault="00232FC5" w:rsidP="00232FC5">
      <w:pPr>
        <w:spacing w:after="200" w:line="360" w:lineRule="auto"/>
        <w:rPr>
          <w:b/>
          <w:sz w:val="28"/>
          <w:szCs w:val="28"/>
        </w:rPr>
      </w:pPr>
      <w:r w:rsidRPr="00232FC5">
        <w:rPr>
          <w:b/>
          <w:sz w:val="28"/>
          <w:szCs w:val="28"/>
        </w:rPr>
        <w:t>At the Underlying Trade Level</w:t>
      </w:r>
    </w:p>
    <w:p w:rsidR="00232FC5" w:rsidRDefault="00232FC5" w:rsidP="00232FC5">
      <w:pPr>
        <w:spacing w:after="200" w:line="360" w:lineRule="auto"/>
      </w:pPr>
    </w:p>
    <w:p w:rsidR="00232FC5" w:rsidRDefault="00232FC5" w:rsidP="00D83552">
      <w:pPr>
        <w:pStyle w:val="ListParagraph"/>
        <w:numPr>
          <w:ilvl w:val="0"/>
          <w:numId w:val="190"/>
        </w:numPr>
        <w:spacing w:after="200" w:line="360" w:lineRule="auto"/>
      </w:pPr>
      <w:r w:rsidRPr="00232FC5">
        <w:rPr>
          <w:u w:val="single"/>
        </w:rPr>
        <w:t>Trade Level Martingale Relationships Testing</w:t>
      </w:r>
      <w:r>
        <w:t>: At the underlying trade level, martingale testing is used to test the trade level martingale relationships outlined below (if the martingale targets are available), which does not apply to all trades.</w:t>
      </w:r>
    </w:p>
    <w:p w:rsidR="00232FC5" w:rsidRDefault="00232FC5" w:rsidP="00D83552">
      <w:pPr>
        <w:pStyle w:val="ListParagraph"/>
        <w:numPr>
          <w:ilvl w:val="0"/>
          <w:numId w:val="190"/>
        </w:numPr>
        <w:spacing w:after="200" w:line="360" w:lineRule="auto"/>
      </w:pPr>
      <w:r>
        <w:rPr>
          <w:u w:val="single"/>
        </w:rPr>
        <w:t>Market and Self Consistency Tests</w:t>
      </w:r>
      <w:r w:rsidRPr="00232FC5">
        <w:t>:</w:t>
      </w:r>
      <w:r>
        <w:t xml:space="preserve"> These tests are used to test the accuracy of the CVA pricing models and/or the accuracy of the combination of the CVA simulation and the pricing models against the LOB pricing models (for market consistency) and against the CVA pricing models for self-consistency.</w:t>
      </w:r>
    </w:p>
    <w:p w:rsidR="00232FC5" w:rsidRDefault="00232FC5" w:rsidP="00D83552">
      <w:pPr>
        <w:pStyle w:val="ListParagraph"/>
        <w:numPr>
          <w:ilvl w:val="0"/>
          <w:numId w:val="190"/>
        </w:numPr>
        <w:spacing w:after="200" w:line="360" w:lineRule="auto"/>
      </w:pPr>
      <w:r>
        <w:rPr>
          <w:u w:val="single"/>
        </w:rPr>
        <w:t>Approximation Models for Materiality Analysis</w:t>
      </w:r>
      <w:r w:rsidRPr="00232FC5">
        <w:t>:</w:t>
      </w:r>
      <w:r>
        <w:t xml:space="preserve"> Approximated models for materiality analysis only (such as the stochastic volatility models for materiality analysis only) are not in scope for these tests.</w:t>
      </w:r>
    </w:p>
    <w:p w:rsidR="0085172B" w:rsidRDefault="0085172B" w:rsidP="00D83552">
      <w:pPr>
        <w:pStyle w:val="ListParagraph"/>
        <w:numPr>
          <w:ilvl w:val="0"/>
          <w:numId w:val="190"/>
        </w:numPr>
        <w:spacing w:after="200" w:line="360" w:lineRule="auto"/>
      </w:pPr>
      <w:r>
        <w:rPr>
          <w:u w:val="single"/>
        </w:rPr>
        <w:t>CVA vs. LOB Model PV</w:t>
      </w:r>
      <w:r w:rsidRPr="0085172B">
        <w:t>:</w:t>
      </w:r>
      <w:r>
        <w:t xml:space="preserve"> The time 0 PV of every trade from the CVA model is tested against that from the underlying LOB model (with proper handling of the initial trade cash flows).</w:t>
      </w:r>
    </w:p>
    <w:p w:rsidR="0085172B" w:rsidRDefault="0085172B" w:rsidP="00D83552">
      <w:pPr>
        <w:pStyle w:val="ListParagraph"/>
        <w:numPr>
          <w:ilvl w:val="0"/>
          <w:numId w:val="190"/>
        </w:numPr>
        <w:spacing w:after="200" w:line="360" w:lineRule="auto"/>
      </w:pPr>
      <w:r>
        <w:rPr>
          <w:u w:val="single"/>
        </w:rPr>
        <w:t>PV Error Metrics Representation Choice</w:t>
      </w:r>
      <w:r w:rsidRPr="0085172B">
        <w:t>:</w:t>
      </w:r>
      <w:r>
        <w:t xml:space="preserve"> It is useful to represent such PV differences in terms of ratios to risk metrics such as IR01, CS01, vega, and so on, to convert the PV differences into running basis points (or volatility), which are more intuitive.</w:t>
      </w:r>
    </w:p>
    <w:p w:rsidR="0085172B" w:rsidRDefault="00163625" w:rsidP="00D83552">
      <w:pPr>
        <w:pStyle w:val="ListParagraph"/>
        <w:numPr>
          <w:ilvl w:val="0"/>
          <w:numId w:val="190"/>
        </w:numPr>
        <w:spacing w:after="200" w:line="360" w:lineRule="auto"/>
      </w:pPr>
      <w:r w:rsidRPr="00163625">
        <w:rPr>
          <w:u w:val="single"/>
        </w:rPr>
        <w:t>Martingale Target – Future Uncollateralized Exposure</w:t>
      </w:r>
      <w:r>
        <w:t>: The martingale target of the discounted future uncollateralized expected exposure profile (including both the positive and the negative exposures) equals the PV of the corresponding forward starting swaps (with proper handling of the trade cash flows).</w:t>
      </w:r>
    </w:p>
    <w:p w:rsidR="00163625" w:rsidRDefault="00163625" w:rsidP="00D83552">
      <w:pPr>
        <w:pStyle w:val="ListParagraph"/>
        <w:numPr>
          <w:ilvl w:val="0"/>
          <w:numId w:val="190"/>
        </w:numPr>
        <w:spacing w:after="200" w:line="360" w:lineRule="auto"/>
      </w:pPr>
      <w:r>
        <w:rPr>
          <w:u w:val="single"/>
        </w:rPr>
        <w:t>Martingale Target - Uncollateralized EPE/ENE</w:t>
      </w:r>
      <w:r w:rsidRPr="00163625">
        <w:t>:</w:t>
      </w:r>
      <w:r>
        <w:t xml:space="preserve"> The martingale target of the discounted future uncollateralized expected positive or negative exposure profile of a swap equals the PV of the corresponding options to enter or cancel the remaining swap (with proper handling of the trade cash flows).</w:t>
      </w:r>
    </w:p>
    <w:p w:rsidR="00163625" w:rsidRDefault="00163625" w:rsidP="00D83552">
      <w:pPr>
        <w:pStyle w:val="ListParagraph"/>
        <w:numPr>
          <w:ilvl w:val="0"/>
          <w:numId w:val="190"/>
        </w:numPr>
        <w:spacing w:after="200" w:line="360" w:lineRule="auto"/>
      </w:pPr>
      <w:r>
        <w:rPr>
          <w:u w:val="single"/>
        </w:rPr>
        <w:t>Martingale Target - Uncollateralized European Swaption</w:t>
      </w:r>
      <w:r w:rsidRPr="00163625">
        <w:t>:</w:t>
      </w:r>
      <w:r>
        <w:t xml:space="preserve"> The martingale target of the discounted future uncollateralized expected exposure profile of a European swaption is a constant (after the premium is paid) and equals its PV. The same applies to all trade types with one net cash flow as the payoff.</w:t>
      </w:r>
    </w:p>
    <w:p w:rsidR="00095C5F" w:rsidRDefault="00095C5F" w:rsidP="00D83552">
      <w:pPr>
        <w:pStyle w:val="ListParagraph"/>
        <w:numPr>
          <w:ilvl w:val="0"/>
          <w:numId w:val="190"/>
        </w:numPr>
        <w:spacing w:after="200" w:line="360" w:lineRule="auto"/>
      </w:pPr>
      <w:r>
        <w:rPr>
          <w:u w:val="single"/>
        </w:rPr>
        <w:lastRenderedPageBreak/>
        <w:t>Martingale Target - Collateralized Swap Exposure</w:t>
      </w:r>
      <w:r w:rsidRPr="00095C5F">
        <w:t>:</w:t>
      </w:r>
      <w:r>
        <w:t xml:space="preserve"> The martingale target of the discounted future fully collateralized expected positive or negative exposure profile of a swap approximately equals the PV of the corresponding forward starting (two week) options to enter (or cancel) the remaining swap (with proper handling of the trade cash flows).</w:t>
      </w:r>
    </w:p>
    <w:p w:rsidR="00095C5F" w:rsidRDefault="00095C5F" w:rsidP="00D83552">
      <w:pPr>
        <w:pStyle w:val="ListParagraph"/>
        <w:numPr>
          <w:ilvl w:val="0"/>
          <w:numId w:val="190"/>
        </w:numPr>
        <w:spacing w:after="200" w:line="360" w:lineRule="auto"/>
      </w:pPr>
      <w:r>
        <w:rPr>
          <w:u w:val="single"/>
        </w:rPr>
        <w:t>Handling the Trade Cash Flows</w:t>
      </w:r>
      <w:r w:rsidRPr="00095C5F">
        <w:t>:</w:t>
      </w:r>
      <w:r>
        <w:t xml:space="preserve"> It is important to note that the CVA pricing models may be configured to include the trade cash flows to be paid at the pricing date, while the underlying pricing models do not. This requires proper handling of the trade cash flows.</w:t>
      </w:r>
    </w:p>
    <w:p w:rsidR="00095C5F" w:rsidRDefault="00095C5F" w:rsidP="00D83552">
      <w:pPr>
        <w:pStyle w:val="ListParagraph"/>
        <w:numPr>
          <w:ilvl w:val="0"/>
          <w:numId w:val="190"/>
        </w:numPr>
        <w:spacing w:after="200" w:line="360" w:lineRule="auto"/>
      </w:pPr>
      <w:r>
        <w:rPr>
          <w:u w:val="single"/>
        </w:rPr>
        <w:t>Asset Class Trade Category Specification</w:t>
      </w:r>
      <w:r>
        <w:t>: For each asset class (for example, IR, FX, equity, commodity, and credit), the following trade categories are defined.</w:t>
      </w:r>
    </w:p>
    <w:p w:rsidR="00095C5F" w:rsidRDefault="00095C5F" w:rsidP="00D83552">
      <w:pPr>
        <w:pStyle w:val="ListParagraph"/>
        <w:numPr>
          <w:ilvl w:val="0"/>
          <w:numId w:val="190"/>
        </w:numPr>
        <w:spacing w:after="200" w:line="360" w:lineRule="auto"/>
      </w:pPr>
      <w:r>
        <w:rPr>
          <w:u w:val="single"/>
        </w:rPr>
        <w:t>Vanilla Non-Volatility Trade Category</w:t>
      </w:r>
      <w:r w:rsidRPr="00095C5F">
        <w:t>:</w:t>
      </w:r>
      <w:r>
        <w:t xml:space="preserve"> For linear or approximated linear trades with insignificant volatility sensitivity, such as swaps, forwards, non-tranched CDS (including structured CDS, CDS index, and ABS index), LIBOR in-arrears, and CMS swaps.</w:t>
      </w:r>
    </w:p>
    <w:p w:rsidR="00095C5F" w:rsidRDefault="00095C5F" w:rsidP="00D83552">
      <w:pPr>
        <w:pStyle w:val="ListParagraph"/>
        <w:numPr>
          <w:ilvl w:val="0"/>
          <w:numId w:val="190"/>
        </w:numPr>
        <w:spacing w:after="200" w:line="360" w:lineRule="auto"/>
      </w:pPr>
      <w:r>
        <w:rPr>
          <w:u w:val="single"/>
        </w:rPr>
        <w:t>Volatility Based Trade Category Specification</w:t>
      </w:r>
      <w:r w:rsidRPr="00095C5F">
        <w:t>:</w:t>
      </w:r>
      <w:r>
        <w:t xml:space="preserve"> For options and trades with embedded options, such as European, Bermudan, American, and exotic options, and cancellable swaps.</w:t>
      </w:r>
    </w:p>
    <w:p w:rsidR="00D55F13" w:rsidRDefault="00D55F13" w:rsidP="00D83552">
      <w:pPr>
        <w:pStyle w:val="ListParagraph"/>
        <w:numPr>
          <w:ilvl w:val="0"/>
          <w:numId w:val="190"/>
        </w:numPr>
        <w:spacing w:after="200" w:line="360" w:lineRule="auto"/>
      </w:pPr>
      <w:r>
        <w:rPr>
          <w:u w:val="single"/>
        </w:rPr>
        <w:t>Stochastic Volatility and Correlation Categories</w:t>
      </w:r>
      <w:r w:rsidRPr="00D55F13">
        <w:t>:</w:t>
      </w:r>
      <w:r>
        <w:t xml:space="preserve"> Stochastic volatility category for trades specifically requiring stochastic volatility modeling, and correlation category for CDO (collateralized debt obligations) and tranches.</w:t>
      </w:r>
    </w:p>
    <w:p w:rsidR="00D55F13" w:rsidRDefault="00D55F13" w:rsidP="00D83552">
      <w:pPr>
        <w:pStyle w:val="ListParagraph"/>
        <w:numPr>
          <w:ilvl w:val="0"/>
          <w:numId w:val="190"/>
        </w:numPr>
        <w:spacing w:after="200" w:line="360" w:lineRule="auto"/>
      </w:pPr>
      <w:r>
        <w:rPr>
          <w:u w:val="single"/>
        </w:rPr>
        <w:t>Test Specific Dollar Error Specification</w:t>
      </w:r>
      <w:r w:rsidRPr="00D55F13">
        <w:t>:</w:t>
      </w:r>
      <w:r>
        <w:t xml:space="preserve"> For each of the tests the dollar error </w:t>
      </w:r>
      <m:oMath>
        <m:r>
          <w:rPr>
            <w:rFonts w:ascii="Cambria Math" w:hAnsi="Cambria Math"/>
          </w:rPr>
          <m:t>e'</m:t>
        </m:r>
      </m:oMath>
      <w:r>
        <w:t xml:space="preserve"> is defined based on the specifics of the test.</w:t>
      </w:r>
    </w:p>
    <w:p w:rsidR="00D55F13" w:rsidRDefault="00D55F13" w:rsidP="00D83552">
      <w:pPr>
        <w:pStyle w:val="ListParagraph"/>
        <w:numPr>
          <w:ilvl w:val="0"/>
          <w:numId w:val="190"/>
        </w:numPr>
        <w:spacing w:after="200" w:line="360" w:lineRule="auto"/>
      </w:pPr>
      <w:r>
        <w:rPr>
          <w:u w:val="single"/>
        </w:rPr>
        <w:t>Error using Dominant Risk Metrics</w:t>
      </w:r>
      <w:r w:rsidRPr="00D55F13">
        <w:t>:</w:t>
      </w:r>
      <w:r>
        <w:t xml:space="preserve"> It is useful to express such dollar error </w:t>
      </w:r>
      <m:oMath>
        <m:r>
          <w:rPr>
            <w:rFonts w:ascii="Cambria Math" w:hAnsi="Cambria Math"/>
          </w:rPr>
          <m:t>e'</m:t>
        </m:r>
      </m:oMath>
      <w:r>
        <w:t xml:space="preserve"> in terms of ratios to dominant risk metrics such as IR01, bank or counter party CS01, vega, and so on, to convert the PV differences to running basis points (or a fraction of delta or volatility point), which are more intuitive.</w:t>
      </w:r>
    </w:p>
    <w:p w:rsidR="008F7840" w:rsidRDefault="00D55F13" w:rsidP="00D83552">
      <w:pPr>
        <w:pStyle w:val="ListParagraph"/>
        <w:numPr>
          <w:ilvl w:val="0"/>
          <w:numId w:val="190"/>
        </w:numPr>
        <w:spacing w:after="200" w:line="360" w:lineRule="auto"/>
      </w:pPr>
      <w:r>
        <w:rPr>
          <w:u w:val="single"/>
        </w:rPr>
        <w:t>Generalized Risk Based Relative Error</w:t>
      </w:r>
      <w:r w:rsidRPr="00D55F13">
        <w:t>:</w:t>
      </w:r>
      <w:r>
        <w:t xml:space="preserve"> Further DRIP defines the risk based error (with respect to the risk metric </w:t>
      </w:r>
      <m:oMath>
        <m:r>
          <w:rPr>
            <w:rFonts w:ascii="Cambria Math" w:hAnsi="Cambria Math"/>
          </w:rPr>
          <m:t>R</m:t>
        </m:r>
      </m:oMath>
      <w:r>
        <w:t xml:space="preserve">) and the relative error in general (with respect to the numeraire </w:t>
      </w:r>
      <m:oMath>
        <m:r>
          <w:rPr>
            <w:rFonts w:ascii="Cambria Math" w:hAnsi="Cambria Math"/>
          </w:rPr>
          <m:t>R</m:t>
        </m:r>
      </m:oMath>
      <w:r>
        <w:t>) as</w:t>
      </w:r>
    </w:p>
    <w:p w:rsidR="008F7840" w:rsidRDefault="008F7840" w:rsidP="008F7840">
      <w:pPr>
        <w:pStyle w:val="ListParagraph"/>
        <w:spacing w:after="200" w:line="360" w:lineRule="auto"/>
        <w:ind w:left="360"/>
        <w:rPr>
          <w:u w:val="single"/>
        </w:rPr>
      </w:pPr>
    </w:p>
    <w:p w:rsidR="00D55F13" w:rsidRPr="008F7840" w:rsidRDefault="00D55F13" w:rsidP="008F7840">
      <w:pPr>
        <w:pStyle w:val="ListParagraph"/>
        <w:spacing w:after="200" w:line="360" w:lineRule="auto"/>
        <w:ind w:left="360"/>
      </w:pPr>
      <m:oMathPara>
        <m:oMath>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R</m:t>
                  </m:r>
                </m:den>
              </m:f>
            </m:e>
          </m:d>
        </m:oMath>
      </m:oMathPara>
    </w:p>
    <w:p w:rsidR="008F7840" w:rsidRDefault="008F7840" w:rsidP="008F7840">
      <w:pPr>
        <w:pStyle w:val="ListParagraph"/>
        <w:spacing w:after="200" w:line="360" w:lineRule="auto"/>
        <w:ind w:left="360"/>
      </w:pPr>
    </w:p>
    <w:p w:rsidR="008F7840" w:rsidRDefault="00D55F13" w:rsidP="00D83552">
      <w:pPr>
        <w:pStyle w:val="ListParagraph"/>
        <w:numPr>
          <w:ilvl w:val="0"/>
          <w:numId w:val="190"/>
        </w:numPr>
        <w:spacing w:after="200" w:line="360" w:lineRule="auto"/>
      </w:pPr>
      <w:r>
        <w:rPr>
          <w:u w:val="single"/>
        </w:rPr>
        <w:lastRenderedPageBreak/>
        <w:t>Compendium of Common Error Thresholds</w:t>
      </w:r>
      <w:r>
        <w:t>: The thresholds for these errors are defined as follows:</w:t>
      </w:r>
    </w:p>
    <w:p w:rsidR="008F7840" w:rsidRDefault="008F7840" w:rsidP="008F7840">
      <w:pPr>
        <w:pStyle w:val="ListParagraph"/>
        <w:spacing w:after="200" w:line="360" w:lineRule="auto"/>
        <w:ind w:left="360"/>
        <w:rPr>
          <w:u w:val="single"/>
        </w:rPr>
      </w:pPr>
    </w:p>
    <w:p w:rsidR="008F7840" w:rsidRDefault="005D6A21"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m:t>
              </m:r>
            </m:sub>
          </m:sSub>
          <m:r>
            <w:rPr>
              <w:rFonts w:ascii="Cambria Math" w:hAnsi="Cambria Math"/>
            </w:rPr>
            <m:t>=3 bp</m:t>
          </m:r>
        </m:oMath>
      </m:oMathPara>
    </w:p>
    <w:p w:rsidR="008F7840" w:rsidRDefault="008F7840" w:rsidP="008F7840">
      <w:pPr>
        <w:pStyle w:val="ListParagraph"/>
        <w:spacing w:after="200" w:line="360" w:lineRule="auto"/>
        <w:ind w:left="360"/>
      </w:pPr>
    </w:p>
    <w:p w:rsidR="008F7840" w:rsidRDefault="005D6A21"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IR01_AGG</m:t>
              </m:r>
            </m:sub>
          </m:sSub>
          <m:r>
            <w:rPr>
              <w:rFonts w:ascii="Cambria Math" w:hAnsi="Cambria Math"/>
            </w:rPr>
            <m:t>=1.5 bp</m:t>
          </m:r>
        </m:oMath>
      </m:oMathPara>
    </w:p>
    <w:p w:rsidR="008F7840" w:rsidRDefault="008F7840" w:rsidP="008F7840">
      <w:pPr>
        <w:pStyle w:val="ListParagraph"/>
        <w:spacing w:after="200" w:line="360" w:lineRule="auto"/>
        <w:ind w:left="360"/>
      </w:pPr>
    </w:p>
    <w:p w:rsidR="008F7840" w:rsidRDefault="005D6A21"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CS01</m:t>
              </m:r>
            </m:sub>
          </m:sSub>
          <m:r>
            <w:rPr>
              <w:rFonts w:ascii="Cambria Math" w:hAnsi="Cambria Math"/>
            </w:rPr>
            <m:t>=3 bp</m:t>
          </m:r>
        </m:oMath>
      </m:oMathPara>
    </w:p>
    <w:p w:rsidR="008F7840" w:rsidRDefault="008F7840" w:rsidP="008F7840">
      <w:pPr>
        <w:pStyle w:val="ListParagraph"/>
        <w:spacing w:after="200" w:line="360" w:lineRule="auto"/>
        <w:ind w:left="360"/>
      </w:pPr>
    </w:p>
    <w:p w:rsidR="008F7840" w:rsidRDefault="005D6A21"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CS01_AGG</m:t>
              </m:r>
            </m:sub>
          </m:sSub>
          <m:r>
            <w:rPr>
              <w:rFonts w:ascii="Cambria Math" w:hAnsi="Cambria Math"/>
            </w:rPr>
            <m:t>=1.5 bp</m:t>
          </m:r>
        </m:oMath>
      </m:oMathPara>
    </w:p>
    <w:p w:rsidR="008F7840" w:rsidRDefault="008F7840" w:rsidP="008F7840">
      <w:pPr>
        <w:pStyle w:val="ListParagraph"/>
        <w:spacing w:after="200" w:line="360" w:lineRule="auto"/>
        <w:ind w:left="360"/>
      </w:pPr>
    </w:p>
    <w:p w:rsidR="008F7840" w:rsidRDefault="005D6A21"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8F7840" w:rsidRDefault="008F7840" w:rsidP="008F7840">
      <w:pPr>
        <w:pStyle w:val="ListParagraph"/>
        <w:spacing w:after="200" w:line="360" w:lineRule="auto"/>
        <w:ind w:left="360"/>
      </w:pPr>
    </w:p>
    <w:p w:rsidR="008F7840" w:rsidRDefault="005D6A21"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VEGA_SV</m:t>
              </m:r>
            </m:sub>
          </m:sSub>
          <m:r>
            <w:rPr>
              <w:rFonts w:ascii="Cambria Math" w:hAnsi="Cambria Math"/>
            </w:rPr>
            <m:t>=3 Black Volatility Points</m:t>
          </m:r>
        </m:oMath>
      </m:oMathPara>
    </w:p>
    <w:p w:rsidR="008F7840" w:rsidRDefault="008F7840" w:rsidP="008F7840">
      <w:pPr>
        <w:pStyle w:val="ListParagraph"/>
        <w:spacing w:after="200" w:line="360" w:lineRule="auto"/>
        <w:ind w:left="360"/>
      </w:pPr>
    </w:p>
    <w:p w:rsidR="008F7840" w:rsidRDefault="005D6A21"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NOTIONAL</m:t>
              </m:r>
            </m:sub>
          </m:sSub>
          <m:r>
            <w:rPr>
              <w:rFonts w:ascii="Cambria Math" w:hAnsi="Cambria Math"/>
            </w:rPr>
            <m:t>=2%</m:t>
          </m:r>
        </m:oMath>
      </m:oMathPara>
    </w:p>
    <w:p w:rsidR="008F7840" w:rsidRDefault="008F7840" w:rsidP="008F7840">
      <w:pPr>
        <w:pStyle w:val="ListParagraph"/>
        <w:spacing w:after="200" w:line="360" w:lineRule="auto"/>
        <w:ind w:left="360"/>
      </w:pPr>
    </w:p>
    <w:p w:rsidR="008F7840" w:rsidRDefault="005D6A21"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EXP</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5%,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B</m:t>
                                  </m:r>
                                </m:sub>
                              </m:sSub>
                            </m:den>
                          </m:f>
                        </m:e>
                      </m:d>
                      <m:r>
                        <w:rPr>
                          <w:rFonts w:ascii="Cambria Math" w:hAnsi="Cambria Math"/>
                        </w:rPr>
                        <m:t>, 10%</m:t>
                      </m:r>
                    </m:e>
                  </m:func>
                </m:e>
              </m:d>
            </m:e>
          </m:func>
        </m:oMath>
      </m:oMathPara>
    </w:p>
    <w:p w:rsidR="008F7840" w:rsidRDefault="008F7840" w:rsidP="008F7840">
      <w:pPr>
        <w:pStyle w:val="ListParagraph"/>
        <w:spacing w:after="200" w:line="360" w:lineRule="auto"/>
        <w:ind w:left="360"/>
      </w:pPr>
    </w:p>
    <w:p w:rsidR="008F7840" w:rsidRDefault="0015515C" w:rsidP="008F7840">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σ</m:t>
            </m:r>
          </m:e>
          <m:sub>
            <m:r>
              <w:rPr>
                <w:rFonts w:ascii="Cambria Math" w:hAnsi="Cambria Math"/>
              </w:rPr>
              <m:t>B</m:t>
            </m:r>
          </m:sub>
        </m:sSub>
      </m:oMath>
      <w:r>
        <w:t xml:space="preserve"> is the relevant Black ATM volatility driving the exposures.</w:t>
      </w:r>
    </w:p>
    <w:p w:rsidR="008F7840" w:rsidRDefault="008F7840" w:rsidP="008F7840">
      <w:pPr>
        <w:pStyle w:val="ListParagraph"/>
        <w:spacing w:after="200" w:line="360" w:lineRule="auto"/>
        <w:ind w:left="360"/>
      </w:pPr>
    </w:p>
    <w:p w:rsidR="008F7840" w:rsidRDefault="005D6A21"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=$10 MM</m:t>
          </m:r>
        </m:oMath>
      </m:oMathPara>
    </w:p>
    <w:p w:rsidR="008F7840" w:rsidRDefault="008F7840" w:rsidP="008F7840">
      <w:pPr>
        <w:pStyle w:val="ListParagraph"/>
        <w:spacing w:after="200" w:line="360" w:lineRule="auto"/>
        <w:ind w:left="360"/>
      </w:pPr>
    </w:p>
    <w:p w:rsidR="008F7840" w:rsidRDefault="005D6A21"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=$100 K</m:t>
          </m:r>
        </m:oMath>
      </m:oMathPara>
    </w:p>
    <w:p w:rsidR="008F7840" w:rsidRDefault="008F7840" w:rsidP="008F7840">
      <w:pPr>
        <w:pStyle w:val="ListParagraph"/>
        <w:spacing w:after="200" w:line="360" w:lineRule="auto"/>
        <w:ind w:left="360"/>
      </w:pPr>
    </w:p>
    <w:p w:rsidR="00D55F13" w:rsidRPr="008F7840" w:rsidRDefault="005D6A21"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RECOVERY</m:t>
              </m:r>
            </m:sub>
          </m:sSub>
          <m:r>
            <w:rPr>
              <w:rFonts w:ascii="Cambria Math" w:hAnsi="Cambria Math"/>
            </w:rPr>
            <m:t>=1.5 Black Volatility Points</m:t>
          </m:r>
        </m:oMath>
      </m:oMathPara>
    </w:p>
    <w:p w:rsidR="008F7840" w:rsidRDefault="008F7840" w:rsidP="008F7840">
      <w:pPr>
        <w:pStyle w:val="ListParagraph"/>
        <w:spacing w:after="200" w:line="360" w:lineRule="auto"/>
        <w:ind w:left="360"/>
      </w:pPr>
    </w:p>
    <w:p w:rsidR="003319AF" w:rsidRDefault="003319AF" w:rsidP="00D83552">
      <w:pPr>
        <w:pStyle w:val="ListParagraph"/>
        <w:numPr>
          <w:ilvl w:val="0"/>
          <w:numId w:val="190"/>
        </w:numPr>
        <w:spacing w:after="200" w:line="360" w:lineRule="auto"/>
      </w:pPr>
      <w:r>
        <w:rPr>
          <w:u w:val="single"/>
        </w:rPr>
        <w:lastRenderedPageBreak/>
        <w:t>Trade Level Error Threshold Breach</w:t>
      </w:r>
      <w:r>
        <w:t>: Unless otherwise indicated, if the error of any test at the individual trade level exceeds the relevant threshold, then the model for that trade is deemed to have an issue, subject to the following materiality criterion.</w:t>
      </w:r>
    </w:p>
    <w:p w:rsidR="003319AF" w:rsidRDefault="003319AF" w:rsidP="00D83552">
      <w:pPr>
        <w:pStyle w:val="ListParagraph"/>
        <w:numPr>
          <w:ilvl w:val="0"/>
          <w:numId w:val="190"/>
        </w:numPr>
        <w:spacing w:after="200" w:line="360" w:lineRule="auto"/>
      </w:pPr>
      <w:r>
        <w:rPr>
          <w:u w:val="single"/>
        </w:rPr>
        <w:t>Extreme OTM Error Threshold Breach</w:t>
      </w:r>
      <w:r w:rsidRPr="003319AF">
        <w:t>:</w:t>
      </w:r>
      <w:r>
        <w:t xml:space="preserve"> In some cases, the trades being tested are quiet off-the-money, which may result in failed percentage errors.</w:t>
      </w:r>
    </w:p>
    <w:p w:rsidR="003319AF" w:rsidRDefault="003319AF" w:rsidP="00D83552">
      <w:pPr>
        <w:pStyle w:val="ListParagraph"/>
        <w:numPr>
          <w:ilvl w:val="0"/>
          <w:numId w:val="190"/>
        </w:numPr>
        <w:spacing w:after="200" w:line="360" w:lineRule="auto"/>
      </w:pPr>
      <w:r>
        <w:rPr>
          <w:u w:val="single"/>
        </w:rPr>
        <w:t>OTM Error Breach - ATM Testing</w:t>
      </w:r>
      <w:r w:rsidRPr="003319AF">
        <w:t>:</w:t>
      </w:r>
      <w:r>
        <w:t xml:space="preserve"> In this case the corresponding ATM trades (or those with less off-the-money trades) are required to pass the tests and show smoothness of exposures as a function of moneyness.</w:t>
      </w:r>
    </w:p>
    <w:p w:rsidR="003319AF" w:rsidRDefault="003319AF" w:rsidP="00D83552">
      <w:pPr>
        <w:pStyle w:val="ListParagraph"/>
        <w:numPr>
          <w:ilvl w:val="0"/>
          <w:numId w:val="190"/>
        </w:numPr>
        <w:spacing w:after="200" w:line="360" w:lineRule="auto"/>
      </w:pPr>
      <w:r>
        <w:rPr>
          <w:u w:val="single"/>
        </w:rPr>
        <w:t>Thresholds as Worst-Case Errors</w:t>
      </w:r>
      <w:r>
        <w:t xml:space="preserve">: It is to be noted that these error thresholds are more like the worst-case errors, and the overall CVA errors are much smaller, partially due to the averaging or the diversification benefit of a counter party portfolio. </w:t>
      </w:r>
      <w:r w:rsidR="008F7840">
        <w:t>DRIP model developers will continue to improve the model accuracy to the extent practical.</w:t>
      </w:r>
    </w:p>
    <w:p w:rsidR="008F7840" w:rsidRDefault="008F7840" w:rsidP="008F7840">
      <w:pPr>
        <w:spacing w:after="200" w:line="360" w:lineRule="auto"/>
      </w:pPr>
    </w:p>
    <w:p w:rsidR="008F7840" w:rsidRDefault="008F7840" w:rsidP="008F7840">
      <w:pPr>
        <w:spacing w:after="200" w:line="360" w:lineRule="auto"/>
      </w:pPr>
    </w:p>
    <w:p w:rsidR="008F7840" w:rsidRPr="008F7840" w:rsidRDefault="008F7840" w:rsidP="008F7840">
      <w:pPr>
        <w:spacing w:after="200" w:line="360" w:lineRule="auto"/>
        <w:rPr>
          <w:b/>
          <w:sz w:val="28"/>
          <w:szCs w:val="28"/>
        </w:rPr>
      </w:pPr>
      <w:r w:rsidRPr="008F7840">
        <w:rPr>
          <w:b/>
          <w:sz w:val="28"/>
          <w:szCs w:val="28"/>
        </w:rPr>
        <w:t>Known Limitations of the CVA Models</w:t>
      </w:r>
    </w:p>
    <w:p w:rsidR="008F7840" w:rsidRDefault="008F7840" w:rsidP="008F7840">
      <w:pPr>
        <w:spacing w:after="200" w:line="360" w:lineRule="auto"/>
      </w:pPr>
    </w:p>
    <w:p w:rsidR="008F7840" w:rsidRDefault="008F7840" w:rsidP="00D83552">
      <w:pPr>
        <w:pStyle w:val="ListParagraph"/>
        <w:numPr>
          <w:ilvl w:val="0"/>
          <w:numId w:val="191"/>
        </w:numPr>
        <w:spacing w:after="200" w:line="360" w:lineRule="auto"/>
      </w:pPr>
      <w:r w:rsidRPr="008F7840">
        <w:rPr>
          <w:u w:val="single"/>
        </w:rPr>
        <w:t>IR CVA Model Expected Accuracy</w:t>
      </w:r>
      <w:r>
        <w:t>: The rationale of setting such thresholds is mainly based on the expected accuracy or the known limitations of the IR CVA model in the cross-asset framework, which will account for the vast majority of the CVA among all asset classes; such thresholds are used for other CVA models as approximations when applicable.</w:t>
      </w:r>
    </w:p>
    <w:p w:rsidR="00C32F38" w:rsidRDefault="00C32F38" w:rsidP="00D83552">
      <w:pPr>
        <w:pStyle w:val="ListParagraph"/>
        <w:numPr>
          <w:ilvl w:val="0"/>
          <w:numId w:val="191"/>
        </w:numPr>
        <w:spacing w:after="200" w:line="360" w:lineRule="auto"/>
      </w:pPr>
      <w:r>
        <w:rPr>
          <w:u w:val="single"/>
        </w:rPr>
        <w:t>Trade Level IR CVA Accuracy</w:t>
      </w:r>
      <w:r w:rsidRPr="00C32F38">
        <w:t>:</w:t>
      </w:r>
      <w:r>
        <w:t xml:space="preserve"> More specifically such thresholds are roughly estimated by the accuracy of the trade-level pricing in the IR CVA model.</w:t>
      </w:r>
    </w:p>
    <w:p w:rsidR="00166D89" w:rsidRDefault="00C32F38" w:rsidP="00D83552">
      <w:pPr>
        <w:pStyle w:val="ListParagraph"/>
        <w:numPr>
          <w:ilvl w:val="0"/>
          <w:numId w:val="191"/>
        </w:numPr>
        <w:spacing w:after="200" w:line="360" w:lineRule="auto"/>
      </w:pPr>
      <w:r>
        <w:rPr>
          <w:u w:val="single"/>
        </w:rPr>
        <w:t>Non-vanilla IR Trades Accuracy</w:t>
      </w:r>
      <w:r w:rsidRPr="00C32F38">
        <w:t>:</w:t>
      </w:r>
      <w:r>
        <w:t xml:space="preserve"> For trade-level pricing accuracy, the error for the PV of vanilla non-vol IR trades is mainly from various interpolations (for example, in the discount curves). The error is roughly estimated to be a few basis points. Therefore DRIP sets it to</w:t>
      </w:r>
    </w:p>
    <w:p w:rsidR="00166D89" w:rsidRDefault="00166D89" w:rsidP="00166D89">
      <w:pPr>
        <w:pStyle w:val="ListParagraph"/>
        <w:spacing w:after="200" w:line="360" w:lineRule="auto"/>
        <w:ind w:left="360"/>
        <w:rPr>
          <w:u w:val="single"/>
        </w:rPr>
      </w:pPr>
    </w:p>
    <w:p w:rsidR="00C32F38" w:rsidRPr="00166D89" w:rsidRDefault="005D6A21" w:rsidP="00166D89">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m:t>
              </m:r>
            </m:sub>
          </m:sSub>
          <m:r>
            <w:rPr>
              <w:rFonts w:ascii="Cambria Math" w:hAnsi="Cambria Math"/>
            </w:rPr>
            <m:t>=3 bp</m:t>
          </m:r>
        </m:oMath>
      </m:oMathPara>
    </w:p>
    <w:p w:rsidR="00166D89" w:rsidRDefault="00166D89" w:rsidP="00166D89">
      <w:pPr>
        <w:pStyle w:val="ListParagraph"/>
        <w:spacing w:after="200" w:line="360" w:lineRule="auto"/>
        <w:ind w:left="360"/>
      </w:pPr>
    </w:p>
    <w:p w:rsidR="00166D89" w:rsidRDefault="00931364" w:rsidP="00D83552">
      <w:pPr>
        <w:pStyle w:val="ListParagraph"/>
        <w:numPr>
          <w:ilvl w:val="0"/>
          <w:numId w:val="191"/>
        </w:numPr>
        <w:spacing w:after="200" w:line="360" w:lineRule="auto"/>
      </w:pPr>
      <w:r>
        <w:rPr>
          <w:u w:val="single"/>
        </w:rPr>
        <w:lastRenderedPageBreak/>
        <w:t>Volatility Category IR Trades Accuracy</w:t>
      </w:r>
      <w:r>
        <w:t>: On the other hand the error for the PV of volatility category IR trades is mainly from the volatility calibration or the specification error, which is roughly estimated to be about one Black volatility point. Therefore DRIP sets</w:t>
      </w:r>
    </w:p>
    <w:p w:rsidR="00166D89" w:rsidRDefault="00166D89" w:rsidP="00166D89">
      <w:pPr>
        <w:pStyle w:val="ListParagraph"/>
        <w:spacing w:after="200" w:line="360" w:lineRule="auto"/>
        <w:ind w:left="360"/>
        <w:rPr>
          <w:u w:val="single"/>
        </w:rPr>
      </w:pPr>
    </w:p>
    <w:p w:rsidR="00931364" w:rsidRPr="00166D89" w:rsidRDefault="005D6A21" w:rsidP="00166D89">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166D89" w:rsidRDefault="00166D89" w:rsidP="00166D89">
      <w:pPr>
        <w:pStyle w:val="ListParagraph"/>
        <w:spacing w:after="200" w:line="360" w:lineRule="auto"/>
        <w:ind w:left="360"/>
      </w:pPr>
    </w:p>
    <w:p w:rsidR="00931364" w:rsidRDefault="00931364" w:rsidP="00D83552">
      <w:pPr>
        <w:pStyle w:val="ListParagraph"/>
        <w:numPr>
          <w:ilvl w:val="0"/>
          <w:numId w:val="191"/>
        </w:numPr>
        <w:spacing w:after="200" w:line="360" w:lineRule="auto"/>
      </w:pPr>
      <w:r>
        <w:rPr>
          <w:u w:val="single"/>
        </w:rPr>
        <w:t>Driving Brownian Motion Factor Exposure</w:t>
      </w:r>
      <w:r>
        <w:t xml:space="preserve">: For the exposure error </w:t>
      </w:r>
      <m:oMath>
        <m:sSub>
          <m:sSubPr>
            <m:ctrlPr>
              <w:rPr>
                <w:rFonts w:ascii="Cambria Math" w:hAnsi="Cambria Math"/>
                <w:i/>
              </w:rPr>
            </m:ctrlPr>
          </m:sSubPr>
          <m:e>
            <m:r>
              <w:rPr>
                <w:rFonts w:ascii="Cambria Math" w:hAnsi="Cambria Math"/>
              </w:rPr>
              <m:t>e</m:t>
            </m:r>
          </m:e>
          <m:sub>
            <m:r>
              <w:rPr>
                <w:rFonts w:ascii="Cambria Math" w:hAnsi="Cambria Math"/>
              </w:rPr>
              <m:t>EXP</m:t>
            </m:r>
          </m:sub>
        </m:sSub>
      </m:oMath>
      <w:r>
        <w:t>, DRIP estimates it with one Black volatility point error for an ATM option with 10% to 20% Black volatility, which is about 5% to 10% (</w:t>
      </w:r>
      <m:oMath>
        <m:f>
          <m:fPr>
            <m:ctrlPr>
              <w:rPr>
                <w:rFonts w:ascii="Cambria Math" w:hAnsi="Cambria Math"/>
                <w:i/>
              </w:rPr>
            </m:ctrlPr>
          </m:fPr>
          <m:num>
            <m:r>
              <w:rPr>
                <w:rFonts w:ascii="Cambria Math" w:hAnsi="Cambria Math"/>
              </w:rPr>
              <m:t>1</m:t>
            </m:r>
          </m:num>
          <m:den>
            <m:r>
              <w:rPr>
                <w:rFonts w:ascii="Cambria Math" w:hAnsi="Cambria Math"/>
              </w:rPr>
              <m:t>20</m:t>
            </m:r>
          </m:den>
        </m:f>
      </m:oMath>
      <w:r>
        <w:t xml:space="preserve"> to </w:t>
      </w:r>
      <m:oMath>
        <m:f>
          <m:fPr>
            <m:ctrlPr>
              <w:rPr>
                <w:rFonts w:ascii="Cambria Math" w:hAnsi="Cambria Math"/>
                <w:i/>
              </w:rPr>
            </m:ctrlPr>
          </m:fPr>
          <m:num>
            <m:r>
              <w:rPr>
                <w:rFonts w:ascii="Cambria Math" w:hAnsi="Cambria Math"/>
              </w:rPr>
              <m:t>1</m:t>
            </m:r>
          </m:num>
          <m:den>
            <m:r>
              <w:rPr>
                <w:rFonts w:ascii="Cambria Math" w:hAnsi="Cambria Math"/>
              </w:rPr>
              <m:t>10</m:t>
            </m:r>
          </m:den>
        </m:f>
      </m:oMath>
      <w:r>
        <w:t>).</w:t>
      </w:r>
    </w:p>
    <w:p w:rsidR="00931364" w:rsidRDefault="00931364" w:rsidP="00D83552">
      <w:pPr>
        <w:pStyle w:val="ListParagraph"/>
        <w:numPr>
          <w:ilvl w:val="0"/>
          <w:numId w:val="191"/>
        </w:numPr>
        <w:spacing w:after="200" w:line="360" w:lineRule="auto"/>
      </w:pPr>
      <w:r>
        <w:rPr>
          <w:u w:val="single"/>
        </w:rPr>
        <w:t>Portfolio Diversification Counter Party Error Impact</w:t>
      </w:r>
      <w:r w:rsidRPr="00931364">
        <w:t>:</w:t>
      </w:r>
      <w:r>
        <w:t xml:space="preserve"> The counter party level error is typically smaller due to portfolio diversification.</w:t>
      </w:r>
    </w:p>
    <w:p w:rsidR="00C534D1" w:rsidRDefault="00C534D1" w:rsidP="00D83552">
      <w:pPr>
        <w:pStyle w:val="ListParagraph"/>
        <w:numPr>
          <w:ilvl w:val="0"/>
          <w:numId w:val="191"/>
        </w:numPr>
        <w:spacing w:after="200" w:line="360" w:lineRule="auto"/>
      </w:pPr>
      <w:r>
        <w:rPr>
          <w:u w:val="single"/>
        </w:rPr>
        <w:t>Inconsistency between Simulation and Valuation</w:t>
      </w:r>
      <w:r w:rsidRPr="00C534D1">
        <w:t>:</w:t>
      </w:r>
      <w:r>
        <w:t xml:space="preserve"> Another general limitation of the CVA model is that the market generation/simulation and the trade valuation in the CVA model are not 100% consistent (in terms of dynamic processes, for example). An important purpose of the martingale test is to quantify such inconsistency and its impact on the CVA.</w:t>
      </w:r>
    </w:p>
    <w:p w:rsidR="00C534D1" w:rsidRDefault="00C534D1" w:rsidP="00C534D1">
      <w:pPr>
        <w:spacing w:after="200" w:line="360" w:lineRule="auto"/>
      </w:pPr>
    </w:p>
    <w:p w:rsidR="00C534D1" w:rsidRDefault="00C534D1" w:rsidP="00C534D1">
      <w:pPr>
        <w:spacing w:after="200" w:line="360" w:lineRule="auto"/>
      </w:pPr>
    </w:p>
    <w:p w:rsidR="00C534D1" w:rsidRPr="00166D89" w:rsidRDefault="00C534D1" w:rsidP="00C534D1">
      <w:pPr>
        <w:spacing w:after="200" w:line="360" w:lineRule="auto"/>
        <w:rPr>
          <w:b/>
          <w:sz w:val="28"/>
          <w:szCs w:val="28"/>
        </w:rPr>
      </w:pPr>
      <w:r w:rsidRPr="00166D89">
        <w:rPr>
          <w:b/>
          <w:sz w:val="28"/>
          <w:szCs w:val="28"/>
        </w:rPr>
        <w:t>Materiality Criteria</w:t>
      </w:r>
    </w:p>
    <w:p w:rsidR="00C534D1" w:rsidRDefault="00C534D1" w:rsidP="00C534D1">
      <w:pPr>
        <w:spacing w:after="200" w:line="360" w:lineRule="auto"/>
      </w:pPr>
    </w:p>
    <w:p w:rsidR="00B22458" w:rsidRDefault="00C534D1" w:rsidP="00D83552">
      <w:pPr>
        <w:pStyle w:val="ListParagraph"/>
        <w:numPr>
          <w:ilvl w:val="0"/>
          <w:numId w:val="192"/>
        </w:numPr>
        <w:spacing w:after="200" w:line="360" w:lineRule="auto"/>
      </w:pPr>
      <w:r w:rsidRPr="00166D89">
        <w:rPr>
          <w:u w:val="single"/>
        </w:rPr>
        <w:t>Trade Level Model Immateriality Criterion</w:t>
      </w:r>
      <w:r>
        <w:t xml:space="preserve">: The issue of the model for that trade </w:t>
      </w:r>
      <w:r w:rsidR="00166D89">
        <w:t>is deemed immaterial and no issue resolution is needed, regardless of other testing results, if</w:t>
      </w:r>
    </w:p>
    <w:p w:rsidR="00B22458" w:rsidRDefault="00B22458" w:rsidP="00B22458">
      <w:pPr>
        <w:pStyle w:val="ListParagraph"/>
        <w:spacing w:after="200" w:line="360" w:lineRule="auto"/>
        <w:ind w:left="360"/>
        <w:rPr>
          <w:u w:val="single"/>
        </w:rPr>
      </w:pPr>
    </w:p>
    <w:p w:rsidR="00C534D1" w:rsidRPr="00B22458" w:rsidRDefault="00166D89" w:rsidP="00B22458">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MIN</m:t>
              </m:r>
            </m:sub>
          </m:sSub>
        </m:oMath>
      </m:oMathPara>
    </w:p>
    <w:p w:rsidR="00B22458" w:rsidRDefault="00B22458" w:rsidP="00B22458">
      <w:pPr>
        <w:pStyle w:val="ListParagraph"/>
        <w:spacing w:after="200" w:line="360" w:lineRule="auto"/>
        <w:ind w:left="360"/>
      </w:pPr>
    </w:p>
    <w:p w:rsidR="00B22458" w:rsidRDefault="00166D89" w:rsidP="00D83552">
      <w:pPr>
        <w:pStyle w:val="ListParagraph"/>
        <w:numPr>
          <w:ilvl w:val="0"/>
          <w:numId w:val="192"/>
        </w:numPr>
        <w:spacing w:after="200" w:line="360" w:lineRule="auto"/>
      </w:pPr>
      <w:r>
        <w:rPr>
          <w:u w:val="single"/>
        </w:rPr>
        <w:t>Trade Level CVA Credit Error</w:t>
      </w:r>
      <w:r>
        <w:t>: As an example, for a trade with 5 year duration with a counter party with 200 bp credit spread, the trade level CVA error would be about</w:t>
      </w:r>
    </w:p>
    <w:p w:rsidR="00B22458" w:rsidRDefault="00B22458" w:rsidP="00B22458">
      <w:pPr>
        <w:pStyle w:val="ListParagraph"/>
        <w:spacing w:after="200" w:line="360" w:lineRule="auto"/>
        <w:ind w:left="360"/>
        <w:rPr>
          <w:u w:val="single"/>
        </w:rPr>
      </w:pPr>
    </w:p>
    <w:p w:rsidR="00B22458" w:rsidRDefault="005D6A21"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 xml:space="preserve">×200 </m:t>
          </m:r>
          <m:f>
            <m:fPr>
              <m:ctrlPr>
                <w:rPr>
                  <w:rFonts w:ascii="Cambria Math" w:hAnsi="Cambria Math"/>
                  <w:i/>
                </w:rPr>
              </m:ctrlPr>
            </m:fPr>
            <m:num>
              <m:r>
                <w:rPr>
                  <w:rFonts w:ascii="Cambria Math" w:hAnsi="Cambria Math"/>
                </w:rPr>
                <m:t>bp</m:t>
              </m:r>
            </m:num>
            <m:den>
              <m:r>
                <w:rPr>
                  <w:rFonts w:ascii="Cambria Math" w:hAnsi="Cambria Math"/>
                </w:rPr>
                <m:t>Y</m:t>
              </m:r>
            </m:den>
          </m:f>
          <m:r>
            <w:rPr>
              <w:rFonts w:ascii="Cambria Math" w:hAnsi="Cambria Math"/>
            </w:rPr>
            <m:t>×5Y≈$100 K</m:t>
          </m:r>
        </m:oMath>
      </m:oMathPara>
    </w:p>
    <w:p w:rsidR="00B22458" w:rsidRDefault="00B22458" w:rsidP="00B22458">
      <w:pPr>
        <w:pStyle w:val="ListParagraph"/>
        <w:spacing w:after="200" w:line="360" w:lineRule="auto"/>
        <w:ind w:left="360"/>
      </w:pPr>
    </w:p>
    <w:p w:rsidR="00166D89" w:rsidRDefault="00166D89" w:rsidP="00B22458">
      <w:pPr>
        <w:pStyle w:val="ListParagraph"/>
        <w:spacing w:after="200" w:line="360" w:lineRule="auto"/>
        <w:ind w:left="360"/>
      </w:pPr>
      <w:r>
        <w:t>which is immaterial.</w:t>
      </w:r>
    </w:p>
    <w:p w:rsidR="00B22458" w:rsidRDefault="00166D89" w:rsidP="00D83552">
      <w:pPr>
        <w:pStyle w:val="ListParagraph"/>
        <w:numPr>
          <w:ilvl w:val="0"/>
          <w:numId w:val="192"/>
        </w:numPr>
        <w:spacing w:after="200" w:line="360" w:lineRule="auto"/>
      </w:pPr>
      <w:r>
        <w:rPr>
          <w:u w:val="single"/>
        </w:rPr>
        <w:t>Trade Level CVA Recovery Error</w:t>
      </w:r>
      <w:r w:rsidRPr="00166D89">
        <w:t>:</w:t>
      </w:r>
      <w:r>
        <w:t xml:space="preserve"> In an extreme case where the counter party is extremely close to default (with 40% recovery) the trade level error would be about</w:t>
      </w:r>
    </w:p>
    <w:p w:rsidR="00B22458" w:rsidRDefault="00B22458" w:rsidP="00B22458">
      <w:pPr>
        <w:pStyle w:val="ListParagraph"/>
        <w:spacing w:after="200" w:line="360" w:lineRule="auto"/>
        <w:ind w:left="360"/>
        <w:rPr>
          <w:u w:val="single"/>
        </w:rPr>
      </w:pPr>
    </w:p>
    <w:p w:rsidR="00B22458" w:rsidRDefault="005D6A21"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m:t>
          </m:r>
          <m:d>
            <m:dPr>
              <m:ctrlPr>
                <w:rPr>
                  <w:rFonts w:ascii="Cambria Math" w:hAnsi="Cambria Math"/>
                  <w:i/>
                </w:rPr>
              </m:ctrlPr>
            </m:dPr>
            <m:e>
              <m:r>
                <w:rPr>
                  <w:rFonts w:ascii="Cambria Math" w:hAnsi="Cambria Math"/>
                </w:rPr>
                <m:t>1-40%</m:t>
              </m:r>
            </m:e>
          </m:d>
          <m:r>
            <w:rPr>
              <w:rFonts w:ascii="Cambria Math" w:hAnsi="Cambria Math"/>
            </w:rPr>
            <m:t>≈$60 K</m:t>
          </m:r>
        </m:oMath>
      </m:oMathPara>
    </w:p>
    <w:p w:rsidR="00B22458" w:rsidRDefault="00B22458" w:rsidP="00B22458">
      <w:pPr>
        <w:pStyle w:val="ListParagraph"/>
        <w:spacing w:after="200" w:line="360" w:lineRule="auto"/>
        <w:ind w:left="360"/>
      </w:pPr>
    </w:p>
    <w:p w:rsidR="00166D89" w:rsidRDefault="00166D89" w:rsidP="00B22458">
      <w:pPr>
        <w:pStyle w:val="ListParagraph"/>
        <w:spacing w:after="200" w:line="360" w:lineRule="auto"/>
        <w:ind w:left="360"/>
      </w:pPr>
      <w:r>
        <w:t>which is also not material.</w:t>
      </w:r>
    </w:p>
    <w:p w:rsidR="00166D89" w:rsidRDefault="00166D89" w:rsidP="00D83552">
      <w:pPr>
        <w:pStyle w:val="ListParagraph"/>
        <w:numPr>
          <w:ilvl w:val="0"/>
          <w:numId w:val="192"/>
        </w:numPr>
        <w:spacing w:after="200" w:line="360" w:lineRule="auto"/>
      </w:pPr>
      <w:r>
        <w:rPr>
          <w:u w:val="single"/>
        </w:rPr>
        <w:t>Ongoing Monitoring of Immateriality</w:t>
      </w:r>
      <w:r w:rsidRPr="00166D89">
        <w:t>:</w:t>
      </w:r>
      <w:r>
        <w:t xml:space="preserve"> The counter party level CVA is typically smaller due to portfolio diversification. But the issue needs to be included in the monitoring tests on an on-going basis to ensure that it remains immaterial.</w:t>
      </w:r>
    </w:p>
    <w:p w:rsidR="00B22458" w:rsidRDefault="00CE4683" w:rsidP="00D83552">
      <w:pPr>
        <w:pStyle w:val="ListParagraph"/>
        <w:numPr>
          <w:ilvl w:val="0"/>
          <w:numId w:val="192"/>
        </w:numPr>
        <w:spacing w:after="200" w:line="360" w:lineRule="auto"/>
      </w:pPr>
      <w:r>
        <w:rPr>
          <w:u w:val="single"/>
        </w:rPr>
        <w:t>Trade Level Model Materiality Criterion</w:t>
      </w:r>
      <w:r w:rsidRPr="00CE4683">
        <w:t>:</w:t>
      </w:r>
      <w:r>
        <w:t xml:space="preserve"> On the other hand the issue of the model for that trade is deemed material and the model developer needs to follow the issue resolution process regardless of other testing results if</w:t>
      </w:r>
    </w:p>
    <w:p w:rsidR="00B22458" w:rsidRDefault="00B22458" w:rsidP="00B22458">
      <w:pPr>
        <w:pStyle w:val="ListParagraph"/>
        <w:spacing w:after="200" w:line="360" w:lineRule="auto"/>
        <w:ind w:left="360"/>
        <w:rPr>
          <w:u w:val="single"/>
        </w:rPr>
      </w:pPr>
    </w:p>
    <w:p w:rsidR="00CE4683" w:rsidRPr="00B22458" w:rsidRDefault="00CE4683" w:rsidP="00B22458">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MAX</m:t>
              </m:r>
            </m:sub>
          </m:sSub>
        </m:oMath>
      </m:oMathPara>
    </w:p>
    <w:p w:rsidR="00B22458" w:rsidRDefault="00B22458" w:rsidP="00B22458">
      <w:pPr>
        <w:pStyle w:val="ListParagraph"/>
        <w:spacing w:after="200" w:line="360" w:lineRule="auto"/>
        <w:ind w:left="360"/>
      </w:pPr>
    </w:p>
    <w:p w:rsidR="00B22458" w:rsidRDefault="00CE4683" w:rsidP="00D83552">
      <w:pPr>
        <w:pStyle w:val="ListParagraph"/>
        <w:numPr>
          <w:ilvl w:val="0"/>
          <w:numId w:val="192"/>
        </w:numPr>
        <w:spacing w:after="200" w:line="360" w:lineRule="auto"/>
      </w:pPr>
      <w:r>
        <w:rPr>
          <w:u w:val="single"/>
        </w:rPr>
        <w:t>Trade Level Dollar Materiality Threshold</w:t>
      </w:r>
      <w:r>
        <w:t>: In this case for a trade with five year duration and a counter party with 200 bp credit spread, the trade level CVA would be</w:t>
      </w:r>
    </w:p>
    <w:p w:rsidR="00B22458" w:rsidRDefault="00B22458" w:rsidP="00B22458">
      <w:pPr>
        <w:pStyle w:val="ListParagraph"/>
        <w:spacing w:after="200" w:line="360" w:lineRule="auto"/>
        <w:ind w:left="360"/>
        <w:rPr>
          <w:u w:val="single"/>
        </w:rPr>
      </w:pPr>
    </w:p>
    <w:p w:rsidR="00B22458" w:rsidRDefault="005D6A21"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 xml:space="preserve">×200 </m:t>
          </m:r>
          <m:f>
            <m:fPr>
              <m:ctrlPr>
                <w:rPr>
                  <w:rFonts w:ascii="Cambria Math" w:hAnsi="Cambria Math"/>
                  <w:i/>
                </w:rPr>
              </m:ctrlPr>
            </m:fPr>
            <m:num>
              <m:r>
                <w:rPr>
                  <w:rFonts w:ascii="Cambria Math" w:hAnsi="Cambria Math"/>
                </w:rPr>
                <m:t>bp</m:t>
              </m:r>
            </m:num>
            <m:den>
              <m:r>
                <w:rPr>
                  <w:rFonts w:ascii="Cambria Math" w:hAnsi="Cambria Math"/>
                </w:rPr>
                <m:t>Y</m:t>
              </m:r>
            </m:den>
          </m:f>
          <m:r>
            <w:rPr>
              <w:rFonts w:ascii="Cambria Math" w:hAnsi="Cambria Math"/>
            </w:rPr>
            <m:t>×5Y≈$1 MM</m:t>
          </m:r>
        </m:oMath>
      </m:oMathPara>
    </w:p>
    <w:p w:rsidR="00B22458" w:rsidRDefault="00B22458" w:rsidP="00B22458">
      <w:pPr>
        <w:pStyle w:val="ListParagraph"/>
        <w:spacing w:after="200" w:line="360" w:lineRule="auto"/>
        <w:ind w:left="360"/>
      </w:pPr>
    </w:p>
    <w:p w:rsidR="00CE4683" w:rsidRDefault="00CE4683" w:rsidP="00B22458">
      <w:pPr>
        <w:pStyle w:val="ListParagraph"/>
        <w:spacing w:after="200" w:line="360" w:lineRule="auto"/>
        <w:ind w:left="360"/>
      </w:pPr>
      <w:r>
        <w:t>which is material. Again the counter party level CVA error is typically smaller due to portfolio diversification.</w:t>
      </w:r>
    </w:p>
    <w:p w:rsidR="00AD2F05" w:rsidRDefault="00AD2F05" w:rsidP="00AD2F05">
      <w:pPr>
        <w:spacing w:after="200" w:line="360" w:lineRule="auto"/>
      </w:pPr>
    </w:p>
    <w:p w:rsidR="00AD2F05" w:rsidRDefault="00AD2F05" w:rsidP="00AD2F05">
      <w:pPr>
        <w:spacing w:after="200" w:line="360" w:lineRule="auto"/>
      </w:pPr>
    </w:p>
    <w:p w:rsidR="00AD2F05" w:rsidRPr="00AD2F05" w:rsidRDefault="00AD2F05" w:rsidP="00AD2F05">
      <w:pPr>
        <w:spacing w:after="200" w:line="360" w:lineRule="auto"/>
        <w:rPr>
          <w:b/>
          <w:sz w:val="28"/>
          <w:szCs w:val="28"/>
        </w:rPr>
      </w:pPr>
      <w:r w:rsidRPr="00AD2F05">
        <w:rPr>
          <w:b/>
          <w:sz w:val="28"/>
          <w:szCs w:val="28"/>
        </w:rPr>
        <w:lastRenderedPageBreak/>
        <w:t>CVA-PV-Underlying-PV Test</w:t>
      </w:r>
    </w:p>
    <w:p w:rsidR="00AD2F05" w:rsidRDefault="00AD2F05" w:rsidP="00AD2F05">
      <w:pPr>
        <w:spacing w:after="200" w:line="360" w:lineRule="auto"/>
      </w:pPr>
    </w:p>
    <w:p w:rsidR="00AD2F05" w:rsidRDefault="00AD2F05" w:rsidP="00D83552">
      <w:pPr>
        <w:pStyle w:val="ListParagraph"/>
        <w:numPr>
          <w:ilvl w:val="0"/>
          <w:numId w:val="193"/>
        </w:numPr>
        <w:spacing w:after="200" w:line="360" w:lineRule="auto"/>
      </w:pPr>
      <w:r w:rsidRPr="00AD2F05">
        <w:rPr>
          <w:u w:val="single"/>
        </w:rPr>
        <w:t>Desk CVA Time-0 PV Reconciliation</w:t>
      </w:r>
      <w:r>
        <w:t>: For selected trades in scope for CVA of every trade type, DRIP tests trade-by-trade that time-0 PV or the time-0 uncollateralized exposure from the CVA model equals the PV from the LOB model with proper handling of the initial or time-0 trade cash flows as listed below, as the CVA PV includes the time-0 cash flow and the LOB does not.</w:t>
      </w:r>
    </w:p>
    <w:p w:rsidR="00AD2F05" w:rsidRDefault="00AD2F05" w:rsidP="00D83552">
      <w:pPr>
        <w:pStyle w:val="ListParagraph"/>
        <w:numPr>
          <w:ilvl w:val="0"/>
          <w:numId w:val="193"/>
        </w:numPr>
        <w:spacing w:after="200" w:line="360" w:lineRule="auto"/>
      </w:pPr>
      <w:r>
        <w:rPr>
          <w:u w:val="single"/>
        </w:rPr>
        <w:t>Limited Test of CVA Accuracy</w:t>
      </w:r>
      <w:r w:rsidRPr="00AD2F05">
        <w:t>:</w:t>
      </w:r>
      <w:r>
        <w:t xml:space="preserve"> The purpose of this is to test one aspect of the accuracy of the CVA pricing models against the LOB pricing models.</w:t>
      </w:r>
    </w:p>
    <w:p w:rsidR="00545594" w:rsidRDefault="00AD2F05" w:rsidP="00D83552">
      <w:pPr>
        <w:pStyle w:val="ListParagraph"/>
        <w:numPr>
          <w:ilvl w:val="0"/>
          <w:numId w:val="193"/>
        </w:numPr>
        <w:spacing w:after="200" w:line="360" w:lineRule="auto"/>
      </w:pPr>
      <w:r>
        <w:rPr>
          <w:u w:val="single"/>
        </w:rPr>
        <w:t>Absolute and Relative Risk Errors</w:t>
      </w:r>
      <w:r w:rsidRPr="00AD2F05">
        <w:t>:</w:t>
      </w:r>
      <w:r>
        <w:t xml:space="preserve"> For the comparison of the CVA PV </w:t>
      </w:r>
      <m:oMath>
        <m:sSub>
          <m:sSubPr>
            <m:ctrlPr>
              <w:rPr>
                <w:rFonts w:ascii="Cambria Math" w:hAnsi="Cambria Math"/>
                <w:i/>
              </w:rPr>
            </m:ctrlPr>
          </m:sSubPr>
          <m:e>
            <m:r>
              <w:rPr>
                <w:rFonts w:ascii="Cambria Math" w:hAnsi="Cambria Math"/>
              </w:rPr>
              <m:t>PV</m:t>
            </m:r>
          </m:e>
          <m:sub>
            <m:r>
              <w:rPr>
                <w:rFonts w:ascii="Cambria Math" w:hAnsi="Cambria Math"/>
              </w:rPr>
              <m:t>CVA</m:t>
            </m:r>
          </m:sub>
        </m:sSub>
      </m:oMath>
      <w:r>
        <w:t xml:space="preserve"> and the LOB PV </w:t>
      </w:r>
      <m:oMath>
        <m:sSub>
          <m:sSubPr>
            <m:ctrlPr>
              <w:rPr>
                <w:rFonts w:ascii="Cambria Math" w:hAnsi="Cambria Math"/>
                <w:i/>
              </w:rPr>
            </m:ctrlPr>
          </m:sSubPr>
          <m:e>
            <m:r>
              <w:rPr>
                <w:rFonts w:ascii="Cambria Math" w:hAnsi="Cambria Math"/>
              </w:rPr>
              <m:t>PV</m:t>
            </m:r>
          </m:e>
          <m:sub>
            <m:r>
              <w:rPr>
                <w:rFonts w:ascii="Cambria Math" w:hAnsi="Cambria Math"/>
              </w:rPr>
              <m:t>LOB</m:t>
            </m:r>
          </m:sub>
        </m:sSub>
      </m:oMath>
      <w:r>
        <w:t xml:space="preserve"> the dollar error is defined as</w:t>
      </w:r>
    </w:p>
    <w:p w:rsidR="00545594" w:rsidRDefault="00545594" w:rsidP="00545594">
      <w:pPr>
        <w:pStyle w:val="ListParagraph"/>
        <w:spacing w:after="200" w:line="360" w:lineRule="auto"/>
        <w:ind w:left="360"/>
        <w:rPr>
          <w:u w:val="single"/>
        </w:rPr>
      </w:pPr>
    </w:p>
    <w:p w:rsidR="00545594" w:rsidRDefault="005D6A21" w:rsidP="0054559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m:t>
                  </m:r>
                </m:sub>
              </m:sSub>
              <m:r>
                <w:rPr>
                  <w:rFonts w:ascii="Cambria Math" w:hAnsi="Cambria Math"/>
                </w:rPr>
                <m:t>-C-</m:t>
              </m:r>
              <m:sSub>
                <m:sSubPr>
                  <m:ctrlPr>
                    <w:rPr>
                      <w:rFonts w:ascii="Cambria Math" w:hAnsi="Cambria Math"/>
                      <w:i/>
                    </w:rPr>
                  </m:ctrlPr>
                </m:sSubPr>
                <m:e>
                  <m:r>
                    <w:rPr>
                      <w:rFonts w:ascii="Cambria Math" w:hAnsi="Cambria Math"/>
                    </w:rPr>
                    <m:t>PV</m:t>
                  </m:r>
                </m:e>
                <m:sub>
                  <m:r>
                    <w:rPr>
                      <w:rFonts w:ascii="Cambria Math" w:hAnsi="Cambria Math"/>
                    </w:rPr>
                    <m:t>LOB</m:t>
                  </m:r>
                </m:sub>
              </m:sSub>
            </m:e>
          </m:d>
        </m:oMath>
      </m:oMathPara>
    </w:p>
    <w:p w:rsidR="00545594" w:rsidRDefault="00545594" w:rsidP="00545594">
      <w:pPr>
        <w:pStyle w:val="ListParagraph"/>
        <w:spacing w:after="200" w:line="360" w:lineRule="auto"/>
        <w:ind w:left="360"/>
      </w:pPr>
    </w:p>
    <w:p w:rsidR="00545594" w:rsidRDefault="00AD2F05" w:rsidP="00545594">
      <w:pPr>
        <w:pStyle w:val="ListParagraph"/>
        <w:spacing w:after="200" w:line="360" w:lineRule="auto"/>
        <w:ind w:left="360"/>
      </w:pPr>
      <w:r>
        <w:t>and the risk based error as</w:t>
      </w:r>
    </w:p>
    <w:p w:rsidR="00545594" w:rsidRDefault="00545594" w:rsidP="00545594">
      <w:pPr>
        <w:pStyle w:val="ListParagraph"/>
        <w:spacing w:after="200" w:line="360" w:lineRule="auto"/>
        <w:ind w:left="360"/>
      </w:pPr>
    </w:p>
    <w:p w:rsidR="00545594" w:rsidRDefault="00AD2F05" w:rsidP="00545594">
      <w:pPr>
        <w:pStyle w:val="ListParagraph"/>
        <w:spacing w:after="200" w:line="360" w:lineRule="auto"/>
        <w:ind w:left="360"/>
      </w:pPr>
      <m:oMathPara>
        <m:oMath>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R</m:t>
                  </m:r>
                </m:den>
              </m:f>
            </m:e>
          </m:d>
        </m:oMath>
      </m:oMathPara>
    </w:p>
    <w:p w:rsidR="00545594" w:rsidRDefault="00545594" w:rsidP="00545594">
      <w:pPr>
        <w:pStyle w:val="ListParagraph"/>
        <w:spacing w:after="200" w:line="360" w:lineRule="auto"/>
        <w:ind w:left="360"/>
      </w:pPr>
    </w:p>
    <w:p w:rsidR="00AD2F05" w:rsidRDefault="00E4376D" w:rsidP="00545594">
      <w:pPr>
        <w:pStyle w:val="ListParagraph"/>
        <w:spacing w:after="200" w:line="360" w:lineRule="auto"/>
        <w:ind w:left="360"/>
      </w:pPr>
      <w:r>
        <w:t xml:space="preserve">where </w:t>
      </w:r>
      <m:oMath>
        <m:r>
          <w:rPr>
            <w:rFonts w:ascii="Cambria Math" w:hAnsi="Cambria Math"/>
          </w:rPr>
          <m:t>C</m:t>
        </m:r>
      </m:oMath>
      <w:r>
        <w:t xml:space="preserve"> is the time-</w:t>
      </w:r>
      <m:oMath>
        <m:r>
          <w:rPr>
            <w:rFonts w:ascii="Cambria Math" w:hAnsi="Cambria Math"/>
          </w:rPr>
          <m:t>0</m:t>
        </m:r>
      </m:oMath>
      <w:r>
        <w:t xml:space="preserve"> cash flow of the trade, if </w:t>
      </w:r>
      <m:oMath>
        <m:sSub>
          <m:sSubPr>
            <m:ctrlPr>
              <w:rPr>
                <w:rFonts w:ascii="Cambria Math" w:hAnsi="Cambria Math"/>
                <w:i/>
              </w:rPr>
            </m:ctrlPr>
          </m:sSubPr>
          <m:e>
            <m:r>
              <w:rPr>
                <w:rFonts w:ascii="Cambria Math" w:hAnsi="Cambria Math"/>
              </w:rPr>
              <m:t>PV</m:t>
            </m:r>
          </m:e>
          <m:sub>
            <m:r>
              <w:rPr>
                <w:rFonts w:ascii="Cambria Math" w:hAnsi="Cambria Math"/>
              </w:rPr>
              <m:t>CVA</m:t>
            </m:r>
          </m:sub>
        </m:sSub>
      </m:oMath>
      <w:r>
        <w:t xml:space="preserve"> is configured to include the cash flow. Otherwise </w:t>
      </w:r>
      <m:oMath>
        <m:r>
          <w:rPr>
            <w:rFonts w:ascii="Cambria Math" w:hAnsi="Cambria Math"/>
          </w:rPr>
          <m:t>C</m:t>
        </m:r>
      </m:oMath>
      <w:r>
        <w:t xml:space="preserve"> is set to </w:t>
      </w:r>
      <m:oMath>
        <m:r>
          <w:rPr>
            <w:rFonts w:ascii="Cambria Math" w:hAnsi="Cambria Math"/>
          </w:rPr>
          <m:t>0</m:t>
        </m:r>
      </m:oMath>
      <w:r>
        <w:t>.</w:t>
      </w:r>
    </w:p>
    <w:p w:rsidR="00545594" w:rsidRDefault="00E4376D" w:rsidP="00D83552">
      <w:pPr>
        <w:pStyle w:val="ListParagraph"/>
        <w:numPr>
          <w:ilvl w:val="0"/>
          <w:numId w:val="193"/>
        </w:numPr>
        <w:spacing w:after="200" w:line="360" w:lineRule="auto"/>
      </w:pPr>
      <w:r>
        <w:rPr>
          <w:u w:val="single"/>
        </w:rPr>
        <w:t>IR Swaps Risk Metrics Numeraire</w:t>
      </w:r>
      <w:r w:rsidRPr="00E4376D">
        <w:t>:</w:t>
      </w:r>
      <w:r>
        <w:t xml:space="preserve"> For vanilla non-vol IR swaps, IR01 is used as the risk metrics </w:t>
      </w:r>
      <m:oMath>
        <m:r>
          <w:rPr>
            <w:rFonts w:ascii="Cambria Math" w:hAnsi="Cambria Math"/>
          </w:rPr>
          <m:t>R</m:t>
        </m:r>
      </m:oMath>
      <w:r>
        <w:t>, and it is required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IR01</m:t>
              </m:r>
            </m:sub>
          </m:sSub>
        </m:oMath>
      </m:oMathPara>
    </w:p>
    <w:p w:rsidR="00545594" w:rsidRDefault="00545594" w:rsidP="00545594">
      <w:pPr>
        <w:pStyle w:val="ListParagraph"/>
        <w:spacing w:after="200" w:line="360" w:lineRule="auto"/>
        <w:ind w:left="360"/>
      </w:pPr>
    </w:p>
    <w:p w:rsidR="00545594" w:rsidRDefault="00E4376D" w:rsidP="00D83552">
      <w:pPr>
        <w:pStyle w:val="ListParagraph"/>
        <w:numPr>
          <w:ilvl w:val="0"/>
          <w:numId w:val="193"/>
        </w:numPr>
        <w:spacing w:after="200" w:line="360" w:lineRule="auto"/>
      </w:pPr>
      <w:r>
        <w:rPr>
          <w:u w:val="single"/>
        </w:rPr>
        <w:t>CDS Trade Risk Metrics Numeraire</w:t>
      </w:r>
      <w:r>
        <w:t xml:space="preserve">: For non-tranched CDS trades, CS01 is used as the risk metrics </w:t>
      </w:r>
      <m:oMath>
        <m:r>
          <w:rPr>
            <w:rFonts w:ascii="Cambria Math" w:hAnsi="Cambria Math"/>
          </w:rPr>
          <m:t>R</m:t>
        </m:r>
      </m:oMath>
      <w:r>
        <w:t>, and it is required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w:lastRenderedPageBreak/>
            <m:t>e≤</m:t>
          </m:r>
          <m:sSub>
            <m:sSubPr>
              <m:ctrlPr>
                <w:rPr>
                  <w:rFonts w:ascii="Cambria Math" w:hAnsi="Cambria Math"/>
                  <w:i/>
                </w:rPr>
              </m:ctrlPr>
            </m:sSubPr>
            <m:e>
              <m:r>
                <w:rPr>
                  <w:rFonts w:ascii="Cambria Math" w:hAnsi="Cambria Math"/>
                </w:rPr>
                <m:t>e</m:t>
              </m:r>
            </m:e>
            <m:sub>
              <m:r>
                <w:rPr>
                  <w:rFonts w:ascii="Cambria Math" w:hAnsi="Cambria Math"/>
                </w:rPr>
                <m:t>CS01</m:t>
              </m:r>
            </m:sub>
          </m:sSub>
        </m:oMath>
      </m:oMathPara>
    </w:p>
    <w:p w:rsidR="00545594" w:rsidRDefault="00545594" w:rsidP="00545594">
      <w:pPr>
        <w:pStyle w:val="ListParagraph"/>
        <w:spacing w:after="200" w:line="360" w:lineRule="auto"/>
        <w:ind w:left="360"/>
      </w:pPr>
    </w:p>
    <w:p w:rsidR="00E4376D" w:rsidRDefault="00E4376D" w:rsidP="00D83552">
      <w:pPr>
        <w:pStyle w:val="ListParagraph"/>
        <w:numPr>
          <w:ilvl w:val="0"/>
          <w:numId w:val="193"/>
        </w:numPr>
        <w:spacing w:after="200" w:line="360" w:lineRule="auto"/>
      </w:pPr>
      <w:r>
        <w:rPr>
          <w:u w:val="single"/>
        </w:rPr>
        <w:t>Credit CS01 Numeraire Choice Caveat</w:t>
      </w:r>
      <w:r>
        <w:t>: However CS01 test may become unreliable when the reference credit is distressed, as in that case the CS01 becomes very small.</w:t>
      </w:r>
    </w:p>
    <w:p w:rsidR="00545594" w:rsidRDefault="00E4376D" w:rsidP="00D83552">
      <w:pPr>
        <w:pStyle w:val="ListParagraph"/>
        <w:numPr>
          <w:ilvl w:val="0"/>
          <w:numId w:val="193"/>
        </w:numPr>
        <w:spacing w:after="200" w:line="360" w:lineRule="auto"/>
      </w:pPr>
      <w:r>
        <w:rPr>
          <w:u w:val="single"/>
        </w:rPr>
        <w:t>Recovery Rate Sensitivity Metrics Numeraire</w:t>
      </w:r>
      <w:r w:rsidRPr="00E4376D">
        <w:t>:</w:t>
      </w:r>
      <w:r>
        <w:t xml:space="preserve"> DRIP then uses the recovery sensitivity – by bumping the recovery rate by one percentage point – as the risk metrics </w:t>
      </w:r>
      <m:oMath>
        <m:r>
          <w:rPr>
            <w:rFonts w:ascii="Cambria Math" w:hAnsi="Cambria Math"/>
          </w:rPr>
          <m:t>R</m:t>
        </m:r>
      </m:oMath>
      <w:r>
        <w:t xml:space="preserve"> and requires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RECOVERY</m:t>
              </m:r>
            </m:sub>
          </m:sSub>
        </m:oMath>
      </m:oMathPara>
    </w:p>
    <w:p w:rsidR="00545594" w:rsidRDefault="00545594" w:rsidP="00545594">
      <w:pPr>
        <w:pStyle w:val="ListParagraph"/>
        <w:spacing w:after="200" w:line="360" w:lineRule="auto"/>
        <w:ind w:left="360"/>
      </w:pPr>
    </w:p>
    <w:p w:rsidR="00545594" w:rsidRDefault="00E4376D" w:rsidP="00D83552">
      <w:pPr>
        <w:pStyle w:val="ListParagraph"/>
        <w:numPr>
          <w:ilvl w:val="0"/>
          <w:numId w:val="193"/>
        </w:numPr>
        <w:spacing w:after="200" w:line="360" w:lineRule="auto"/>
      </w:pPr>
      <w:r>
        <w:rPr>
          <w:u w:val="single"/>
        </w:rPr>
        <w:t>Volatility Sensitivity Risk Metrics Numeraire</w:t>
      </w:r>
      <w:r>
        <w:t xml:space="preserve">: For volatility category trades across all assets, DRIP uses vega as the risk metrics </w:t>
      </w:r>
      <m:oMath>
        <m:r>
          <w:rPr>
            <w:rFonts w:ascii="Cambria Math" w:hAnsi="Cambria Math"/>
          </w:rPr>
          <m:t>R</m:t>
        </m:r>
      </m:oMath>
      <w:r>
        <w:t xml:space="preserve"> and requires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545594" w:rsidRDefault="00545594" w:rsidP="00545594">
      <w:pPr>
        <w:pStyle w:val="ListParagraph"/>
        <w:spacing w:after="200" w:line="360" w:lineRule="auto"/>
        <w:ind w:left="360"/>
      </w:pPr>
    </w:p>
    <w:p w:rsidR="00766F2E" w:rsidRDefault="00766F2E" w:rsidP="00D83552">
      <w:pPr>
        <w:pStyle w:val="ListParagraph"/>
        <w:numPr>
          <w:ilvl w:val="0"/>
          <w:numId w:val="193"/>
        </w:numPr>
        <w:spacing w:after="200" w:line="360" w:lineRule="auto"/>
      </w:pPr>
      <w:r>
        <w:rPr>
          <w:u w:val="single"/>
        </w:rPr>
        <w:t>ATM Vega as the Volatility Numeraire</w:t>
      </w:r>
      <w:r>
        <w:t>: For this trade one has the option of using the ATM vega of the corresponding ATM trade (or the maximum absolute value of the vega of the corresponding trade) before it is declared a failure.</w:t>
      </w:r>
    </w:p>
    <w:p w:rsidR="00545594" w:rsidRDefault="00766F2E" w:rsidP="00D83552">
      <w:pPr>
        <w:pStyle w:val="ListParagraph"/>
        <w:numPr>
          <w:ilvl w:val="0"/>
          <w:numId w:val="193"/>
        </w:numPr>
        <w:spacing w:after="200" w:line="360" w:lineRule="auto"/>
      </w:pPr>
      <w:r>
        <w:rPr>
          <w:u w:val="single"/>
        </w:rPr>
        <w:t>Optional Notional Based Materiality Criterion</w:t>
      </w:r>
      <w:r w:rsidRPr="00766F2E">
        <w:t>:</w:t>
      </w:r>
      <w:r>
        <w:t xml:space="preserve"> For trades not covered by the above risk-based errors, or trades failing the risk-metrics based tests due to the risk metrics being small under special conditions, DRIP requires that</w:t>
      </w:r>
    </w:p>
    <w:p w:rsidR="00545594" w:rsidRDefault="00545594" w:rsidP="00545594">
      <w:pPr>
        <w:pStyle w:val="ListParagraph"/>
        <w:spacing w:after="200" w:line="360" w:lineRule="auto"/>
        <w:ind w:left="360"/>
        <w:rPr>
          <w:u w:val="single"/>
        </w:rPr>
      </w:pPr>
    </w:p>
    <w:p w:rsidR="00545594" w:rsidRDefault="00766F2E"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NOTIONAL</m:t>
              </m:r>
            </m:sub>
          </m:sSub>
        </m:oMath>
      </m:oMathPara>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w:r>
        <w:t>with</w:t>
      </w:r>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m:oMathPara>
        <m:oMath>
          <m:r>
            <w:rPr>
              <w:rFonts w:ascii="Cambria Math" w:hAnsi="Cambria Math"/>
            </w:rPr>
            <m:t>R=NOTIONAL</m:t>
          </m:r>
        </m:oMath>
      </m:oMathPara>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w:r>
        <w:t>the trade notional. Optionally a stronger test may be used by setting</w:t>
      </w:r>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m:oMathPara>
        <m:oMath>
          <m:r>
            <w:rPr>
              <w:rFonts w:ascii="Cambria Math" w:hAnsi="Cambria Math"/>
            </w:rPr>
            <w:lastRenderedPageBreak/>
            <m:t>R=</m:t>
          </m:r>
          <m:sSub>
            <m:sSubPr>
              <m:ctrlPr>
                <w:rPr>
                  <w:rFonts w:ascii="Cambria Math" w:hAnsi="Cambria Math"/>
                  <w:i/>
                </w:rPr>
              </m:ctrlPr>
            </m:sSubPr>
            <m:e>
              <m:r>
                <w:rPr>
                  <w:rFonts w:ascii="Cambria Math" w:hAnsi="Cambria Math"/>
                </w:rPr>
                <m:t>PV</m:t>
              </m:r>
            </m:e>
            <m:sub>
              <m:r>
                <w:rPr>
                  <w:rFonts w:ascii="Cambria Math" w:hAnsi="Cambria Math"/>
                </w:rPr>
                <m:t>LOB</m:t>
              </m:r>
            </m:sub>
          </m:sSub>
        </m:oMath>
      </m:oMathPara>
    </w:p>
    <w:p w:rsidR="00545594" w:rsidRDefault="00545594" w:rsidP="00545594">
      <w:pPr>
        <w:pStyle w:val="ListParagraph"/>
        <w:spacing w:after="200" w:line="360" w:lineRule="auto"/>
        <w:ind w:left="360"/>
      </w:pPr>
    </w:p>
    <w:p w:rsidR="00766F2E" w:rsidRDefault="00766F2E" w:rsidP="00545594">
      <w:pPr>
        <w:pStyle w:val="ListParagraph"/>
        <w:spacing w:after="200" w:line="360" w:lineRule="auto"/>
        <w:ind w:left="360"/>
      </w:pPr>
      <w:r>
        <w:t>The materiality criteria list above apply.</w:t>
      </w:r>
    </w:p>
    <w:p w:rsidR="00766F2E" w:rsidRDefault="00766F2E" w:rsidP="00766F2E">
      <w:pPr>
        <w:spacing w:after="200" w:line="360" w:lineRule="auto"/>
      </w:pPr>
    </w:p>
    <w:p w:rsidR="00766F2E" w:rsidRDefault="00766F2E" w:rsidP="00766F2E">
      <w:pPr>
        <w:spacing w:after="200" w:line="360" w:lineRule="auto"/>
      </w:pPr>
    </w:p>
    <w:p w:rsidR="00766F2E" w:rsidRPr="00545594" w:rsidRDefault="00766F2E" w:rsidP="00766F2E">
      <w:pPr>
        <w:spacing w:after="200" w:line="360" w:lineRule="auto"/>
        <w:rPr>
          <w:b/>
          <w:sz w:val="28"/>
          <w:szCs w:val="28"/>
        </w:rPr>
      </w:pPr>
      <w:r w:rsidRPr="00545594">
        <w:rPr>
          <w:b/>
          <w:sz w:val="28"/>
          <w:szCs w:val="28"/>
        </w:rPr>
        <w:t>One Cash Flow Test</w:t>
      </w:r>
    </w:p>
    <w:p w:rsidR="00766F2E" w:rsidRDefault="00766F2E" w:rsidP="00766F2E">
      <w:pPr>
        <w:spacing w:after="200" w:line="360" w:lineRule="auto"/>
      </w:pPr>
    </w:p>
    <w:p w:rsidR="00766F2E" w:rsidRDefault="00766F2E" w:rsidP="00D83552">
      <w:pPr>
        <w:pStyle w:val="ListParagraph"/>
        <w:numPr>
          <w:ilvl w:val="0"/>
          <w:numId w:val="194"/>
        </w:numPr>
        <w:spacing w:after="200" w:line="360" w:lineRule="auto"/>
      </w:pPr>
      <w:r w:rsidRPr="00766F2E">
        <w:rPr>
          <w:u w:val="single"/>
        </w:rPr>
        <w:t>European Swaption Uncollateralized Expected Exposure</w:t>
      </w:r>
      <w:r>
        <w:t>: For selected trades in the scope for CVA, DRIP tests that the discounted future uncollateralized expected exposure (EE) profile of a European swaption is a constant – after the premium is paid – and equals its PV.</w:t>
      </w:r>
    </w:p>
    <w:p w:rsidR="00766F2E" w:rsidRDefault="00766F2E" w:rsidP="00D83552">
      <w:pPr>
        <w:pStyle w:val="ListParagraph"/>
        <w:numPr>
          <w:ilvl w:val="0"/>
          <w:numId w:val="194"/>
        </w:numPr>
        <w:spacing w:after="200" w:line="360" w:lineRule="auto"/>
      </w:pPr>
      <w:r>
        <w:rPr>
          <w:u w:val="single"/>
        </w:rPr>
        <w:t>Single Cash Flow Payoff</w:t>
      </w:r>
      <w:r w:rsidRPr="00766F2E">
        <w:t>:</w:t>
      </w:r>
      <w:r>
        <w:t xml:space="preserve"> The same applies to all European options and all trade types with one net cash flow as the payoff.</w:t>
      </w:r>
    </w:p>
    <w:p w:rsidR="00766F2E" w:rsidRDefault="00766F2E" w:rsidP="00D83552">
      <w:pPr>
        <w:pStyle w:val="ListParagraph"/>
        <w:numPr>
          <w:ilvl w:val="0"/>
          <w:numId w:val="194"/>
        </w:numPr>
        <w:spacing w:after="200" w:line="360" w:lineRule="auto"/>
      </w:pPr>
      <w:r>
        <w:rPr>
          <w:u w:val="single"/>
        </w:rPr>
        <w:t>Purpose - CVA Models Accuracy Testing</w:t>
      </w:r>
      <w:r w:rsidRPr="00766F2E">
        <w:t>:</w:t>
      </w:r>
      <w:r>
        <w:t xml:space="preserve"> The purpose of this is to test the accuracy of the CVA simulation models – in the case of simple test trades – or the accuracy of the combination of the CVA simulation models and the </w:t>
      </w:r>
      <w:r w:rsidR="00F15E81">
        <w:t>pricing models – in the case of complex trades – against the LOB pricing models.</w:t>
      </w:r>
    </w:p>
    <w:p w:rsidR="00F15E81" w:rsidRDefault="00D76BE1" w:rsidP="00D83552">
      <w:pPr>
        <w:pStyle w:val="ListParagraph"/>
        <w:numPr>
          <w:ilvl w:val="0"/>
          <w:numId w:val="194"/>
        </w:numPr>
        <w:spacing w:after="200" w:line="360" w:lineRule="auto"/>
      </w:pPr>
      <w:r>
        <w:rPr>
          <w:u w:val="single"/>
        </w:rPr>
        <w:t>Replacement of the Martingale Tests</w:t>
      </w:r>
      <w:r>
        <w:t>: With simple test trades whose payoff is a linear function of the simulated risk factor, this test can replace the martingale tests on the simulation.</w:t>
      </w:r>
    </w:p>
    <w:p w:rsidR="00D76BE1" w:rsidRDefault="00D76BE1" w:rsidP="00D83552">
      <w:pPr>
        <w:pStyle w:val="ListParagraph"/>
        <w:numPr>
          <w:ilvl w:val="0"/>
          <w:numId w:val="194"/>
        </w:numPr>
        <w:spacing w:after="200" w:line="360" w:lineRule="auto"/>
      </w:pPr>
      <w:r>
        <w:rPr>
          <w:u w:val="single"/>
        </w:rPr>
        <w:t>CVA Volatility Skew Modeling Testing</w:t>
      </w:r>
      <w:r w:rsidRPr="00D76BE1">
        <w:t>:</w:t>
      </w:r>
      <w:r>
        <w:t xml:space="preserve"> With European options this tests the accuracy and the consistency of the volatility skew modeling in the CVA simulation models and the pricing models.</w:t>
      </w:r>
    </w:p>
    <w:p w:rsidR="00331358" w:rsidRDefault="00D76BE1" w:rsidP="00D83552">
      <w:pPr>
        <w:pStyle w:val="ListParagraph"/>
        <w:numPr>
          <w:ilvl w:val="0"/>
          <w:numId w:val="194"/>
        </w:numPr>
        <w:spacing w:after="200" w:line="360" w:lineRule="auto"/>
      </w:pPr>
      <w:r>
        <w:rPr>
          <w:u w:val="single"/>
        </w:rPr>
        <w:t>Expected Exposure under Different Filtrations</w:t>
      </w:r>
      <w:r w:rsidRPr="00D76BE1">
        <w:t>:</w:t>
      </w:r>
      <w:r>
        <w:t xml:space="preserve"> Recall that in this case</w:t>
      </w:r>
    </w:p>
    <w:p w:rsidR="00331358" w:rsidRDefault="00331358" w:rsidP="00331358">
      <w:pPr>
        <w:pStyle w:val="ListParagraph"/>
        <w:spacing w:after="200" w:line="360" w:lineRule="auto"/>
        <w:ind w:left="360"/>
        <w:rPr>
          <w:u w:val="single"/>
        </w:rPr>
      </w:pPr>
    </w:p>
    <w:p w:rsidR="00331358" w:rsidRDefault="00D76BE1" w:rsidP="00331358">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331358" w:rsidRDefault="00331358" w:rsidP="00331358">
      <w:pPr>
        <w:pStyle w:val="ListParagraph"/>
        <w:spacing w:after="200" w:line="360" w:lineRule="auto"/>
        <w:ind w:left="360"/>
      </w:pPr>
    </w:p>
    <w:p w:rsidR="00331358" w:rsidRDefault="00D76BE1" w:rsidP="00331358">
      <w:pPr>
        <w:pStyle w:val="ListParagraph"/>
        <w:spacing w:after="200" w:line="360" w:lineRule="auto"/>
        <w:ind w:left="360"/>
      </w:pPr>
      <w:r>
        <w:t>and</w:t>
      </w:r>
    </w:p>
    <w:p w:rsidR="00331358" w:rsidRDefault="00331358" w:rsidP="00331358">
      <w:pPr>
        <w:pStyle w:val="ListParagraph"/>
        <w:spacing w:after="200" w:line="360" w:lineRule="auto"/>
        <w:ind w:left="360"/>
      </w:pPr>
    </w:p>
    <w:p w:rsidR="00331358" w:rsidRDefault="005D6A21" w:rsidP="00331358">
      <w:pPr>
        <w:pStyle w:val="ListParagraph"/>
        <w:spacing w:after="200"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331358" w:rsidRDefault="00331358" w:rsidP="00331358">
      <w:pPr>
        <w:pStyle w:val="ListParagraph"/>
        <w:spacing w:after="200" w:line="360" w:lineRule="auto"/>
        <w:ind w:left="360"/>
      </w:pPr>
    </w:p>
    <w:p w:rsidR="00D76BE1" w:rsidRDefault="00D76BE1" w:rsidP="00331358">
      <w:pPr>
        <w:pStyle w:val="ListParagraph"/>
        <w:spacing w:after="200" w:line="360" w:lineRule="auto"/>
        <w:ind w:left="360"/>
      </w:pPr>
      <w:r>
        <w:t xml:space="preserve">where </w:t>
      </w:r>
      <m:oMath>
        <m:r>
          <w:rPr>
            <w:rFonts w:ascii="Cambria Math" w:hAnsi="Cambria Math"/>
          </w:rPr>
          <m:t>EE</m:t>
        </m:r>
        <m:d>
          <m:dPr>
            <m:ctrlPr>
              <w:rPr>
                <w:rFonts w:ascii="Cambria Math" w:hAnsi="Cambria Math"/>
                <w:i/>
              </w:rPr>
            </m:ctrlPr>
          </m:dPr>
          <m:e>
            <m:r>
              <w:rPr>
                <w:rFonts w:ascii="Cambria Math" w:hAnsi="Cambria Math"/>
              </w:rPr>
              <m:t>t</m:t>
            </m:r>
          </m:e>
        </m:d>
      </m:oMath>
      <w:r>
        <w:t xml:space="preserve"> is the uncollateralized exposure at time-</w:t>
      </w:r>
      <m:oMath>
        <m:r>
          <w:rPr>
            <w:rFonts w:ascii="Cambria Math" w:hAnsi="Cambria Math"/>
          </w:rPr>
          <m:t>t</m:t>
        </m:r>
      </m:oMath>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T</m:t>
            </m:r>
          </m:e>
        </m:d>
      </m:oMath>
      <w:r>
        <w:t xml:space="preserve"> represent the price of the trade at time-</w:t>
      </w:r>
      <m:oMath>
        <m:r>
          <w:rPr>
            <w:rFonts w:ascii="Cambria Math" w:hAnsi="Cambria Math"/>
          </w:rPr>
          <m:t>t</m:t>
        </m:r>
      </m:oMath>
      <w:r>
        <w:t xml:space="preserve"> and time-</w:t>
      </w:r>
      <m:oMath>
        <m:r>
          <w:rPr>
            <w:rFonts w:ascii="Cambria Math" w:hAnsi="Cambria Math"/>
          </w:rPr>
          <m:t>T</m:t>
        </m:r>
      </m:oMath>
      <w:r>
        <w:t xml:space="preserve"> respectively, with </w:t>
      </w:r>
      <m:oMath>
        <m:r>
          <w:rPr>
            <w:rFonts w:ascii="Cambria Math" w:hAnsi="Cambria Math"/>
          </w:rPr>
          <m:t>T</m:t>
        </m:r>
      </m:oMath>
      <w:r>
        <w:t xml:space="preserve"> being the final payment of the trade.</w:t>
      </w:r>
    </w:p>
    <w:p w:rsidR="00BD5BC9" w:rsidRDefault="00D76BE1" w:rsidP="00D83552">
      <w:pPr>
        <w:pStyle w:val="ListParagraph"/>
        <w:numPr>
          <w:ilvl w:val="0"/>
          <w:numId w:val="194"/>
        </w:numPr>
        <w:spacing w:after="200" w:line="360" w:lineRule="auto"/>
      </w:pPr>
      <w:r>
        <w:rPr>
          <w:u w:val="single"/>
        </w:rPr>
        <w:t>Applying the Iterated Expectations Theorem</w:t>
      </w:r>
      <w:r w:rsidRPr="00D76BE1">
        <w:t>:</w:t>
      </w:r>
      <w:r>
        <w:t xml:space="preserve"> With the iterated expectations theorem one has</w:t>
      </w:r>
    </w:p>
    <w:p w:rsidR="00BD5BC9" w:rsidRDefault="00BD5BC9" w:rsidP="00BD5BC9">
      <w:pPr>
        <w:pStyle w:val="ListParagraph"/>
        <w:spacing w:after="200" w:line="360" w:lineRule="auto"/>
        <w:ind w:left="360"/>
        <w:rPr>
          <w:u w:val="single"/>
        </w:rPr>
      </w:pPr>
    </w:p>
    <w:p w:rsidR="00D76BE1" w:rsidRPr="00BD5BC9" w:rsidRDefault="00D76BE1" w:rsidP="00BD5BC9">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rsidR="00BD5BC9" w:rsidRDefault="00BD5BC9" w:rsidP="00BD5BC9">
      <w:pPr>
        <w:pStyle w:val="ListParagraph"/>
        <w:spacing w:after="200" w:line="360" w:lineRule="auto"/>
        <w:ind w:left="360"/>
      </w:pPr>
    </w:p>
    <w:p w:rsidR="00BD5BC9" w:rsidRDefault="00545594" w:rsidP="00D83552">
      <w:pPr>
        <w:pStyle w:val="ListParagraph"/>
        <w:numPr>
          <w:ilvl w:val="0"/>
          <w:numId w:val="194"/>
        </w:numPr>
        <w:spacing w:after="200" w:line="360" w:lineRule="auto"/>
      </w:pPr>
      <w:r>
        <w:rPr>
          <w:u w:val="single"/>
        </w:rPr>
        <w:t>Absolute and Relative Error Thresholds</w:t>
      </w:r>
      <w:r>
        <w:t>: The dollar error is defined as</w:t>
      </w:r>
    </w:p>
    <w:p w:rsidR="00BD5BC9" w:rsidRDefault="00BD5BC9" w:rsidP="00BD5BC9">
      <w:pPr>
        <w:pStyle w:val="ListParagraph"/>
        <w:spacing w:after="200" w:line="360" w:lineRule="auto"/>
        <w:ind w:left="360"/>
        <w:rPr>
          <w:u w:val="single"/>
        </w:rPr>
      </w:pPr>
    </w:p>
    <w:p w:rsidR="00BD5BC9" w:rsidRDefault="005D6A21" w:rsidP="00BD5BC9">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dt</m:t>
              </m:r>
            </m:e>
          </m:nary>
        </m:oMath>
      </m:oMathPara>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w:r>
        <w:t>and the relative error as</w:t>
      </w:r>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oMath>
      </m:oMathPara>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w:r>
        <w:t>It is required that the error</w:t>
      </w:r>
    </w:p>
    <w:p w:rsidR="00BD5BC9" w:rsidRDefault="00BD5BC9" w:rsidP="00BD5BC9">
      <w:pPr>
        <w:pStyle w:val="ListParagraph"/>
        <w:spacing w:after="200" w:line="360" w:lineRule="auto"/>
        <w:ind w:left="360"/>
      </w:pPr>
    </w:p>
    <w:p w:rsidR="00545594" w:rsidRPr="00BD5BC9" w:rsidRDefault="00545594" w:rsidP="00BD5BC9">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BD5BC9" w:rsidRDefault="00BD5BC9" w:rsidP="00BD5BC9">
      <w:pPr>
        <w:pStyle w:val="ListParagraph"/>
        <w:spacing w:after="200" w:line="360" w:lineRule="auto"/>
        <w:ind w:left="360"/>
      </w:pPr>
    </w:p>
    <w:p w:rsidR="00006FEA" w:rsidRDefault="00006FEA" w:rsidP="00D83552">
      <w:pPr>
        <w:pStyle w:val="ListParagraph"/>
        <w:numPr>
          <w:ilvl w:val="0"/>
          <w:numId w:val="194"/>
        </w:numPr>
        <w:spacing w:after="200" w:line="360" w:lineRule="auto"/>
      </w:pPr>
      <w:r>
        <w:rPr>
          <w:u w:val="single"/>
        </w:rPr>
        <w:t>Applying Vega Based Error Analysis</w:t>
      </w:r>
      <w:r>
        <w:t>: In the case of test failure, vega-based error analysis may be optionally performed, as later discussed in a later section. The materiality criteria above apply.</w:t>
      </w:r>
    </w:p>
    <w:p w:rsidR="005B379F" w:rsidRDefault="005B379F" w:rsidP="00C83F45">
      <w:pPr>
        <w:spacing w:after="200" w:line="360" w:lineRule="auto"/>
      </w:pPr>
    </w:p>
    <w:p w:rsidR="00EC3D8C" w:rsidRDefault="00EC3D8C" w:rsidP="00C83F45">
      <w:pPr>
        <w:spacing w:after="200" w:line="360" w:lineRule="auto"/>
      </w:pPr>
    </w:p>
    <w:p w:rsidR="00EC3D8C" w:rsidRPr="00EC3D8C" w:rsidRDefault="00EC3D8C" w:rsidP="00C83F45">
      <w:pPr>
        <w:spacing w:after="200" w:line="360" w:lineRule="auto"/>
        <w:rPr>
          <w:b/>
          <w:sz w:val="28"/>
          <w:szCs w:val="28"/>
        </w:rPr>
      </w:pPr>
      <w:r w:rsidRPr="00EC3D8C">
        <w:rPr>
          <w:b/>
          <w:sz w:val="28"/>
          <w:szCs w:val="28"/>
        </w:rPr>
        <w:t>Swap-Forward-Swap Test</w:t>
      </w:r>
    </w:p>
    <w:p w:rsidR="00EC3D8C" w:rsidRDefault="00EC3D8C" w:rsidP="00C83F45">
      <w:pPr>
        <w:spacing w:after="200" w:line="360" w:lineRule="auto"/>
      </w:pPr>
    </w:p>
    <w:p w:rsidR="00EC3D8C" w:rsidRDefault="00EC3D8C" w:rsidP="00EC3D8C">
      <w:pPr>
        <w:pStyle w:val="ListParagraph"/>
        <w:numPr>
          <w:ilvl w:val="0"/>
          <w:numId w:val="195"/>
        </w:numPr>
        <w:spacing w:after="200" w:line="360" w:lineRule="auto"/>
      </w:pPr>
      <w:r w:rsidRPr="00EC3D8C">
        <w:rPr>
          <w:u w:val="single"/>
        </w:rPr>
        <w:t>Forward Swap Exposure PV Reconciliation</w:t>
      </w:r>
      <w:r>
        <w:t>: For selected trades in scope for CVA DRIP tests that the discounted future uncollateralized expected exposure (EE) profile of a swap equals the PV of the corresponding forward starting swap – with proper handling of the trade cash flows as shown below.</w:t>
      </w:r>
    </w:p>
    <w:p w:rsidR="00EC3D8C" w:rsidRDefault="00EC3D8C" w:rsidP="00EC3D8C">
      <w:pPr>
        <w:pStyle w:val="ListParagraph"/>
        <w:numPr>
          <w:ilvl w:val="0"/>
          <w:numId w:val="195"/>
        </w:numPr>
        <w:spacing w:after="200" w:line="360" w:lineRule="auto"/>
      </w:pPr>
      <w:r>
        <w:rPr>
          <w:u w:val="single"/>
        </w:rPr>
        <w:t>Purpose - CVA Models Accuracy Testing</w:t>
      </w:r>
      <w:r w:rsidRPr="00EC3D8C">
        <w:t>:</w:t>
      </w:r>
      <w:r>
        <w:t xml:space="preserve"> The purpose of this is to test the accuracy of the CVA simulation models in the case of simple test trades, or the accuracy of the combination of the CVA simulation models and the pricing models in the case of complex trades against the LOB pricing models.</w:t>
      </w:r>
    </w:p>
    <w:p w:rsidR="00EC3D8C" w:rsidRDefault="00EC3D8C" w:rsidP="00EC3D8C">
      <w:pPr>
        <w:pStyle w:val="ListParagraph"/>
        <w:numPr>
          <w:ilvl w:val="0"/>
          <w:numId w:val="195"/>
        </w:numPr>
        <w:spacing w:after="200" w:line="360" w:lineRule="auto"/>
      </w:pPr>
      <w:r>
        <w:rPr>
          <w:u w:val="single"/>
        </w:rPr>
        <w:t>Linear Sum of Payoffs</w:t>
      </w:r>
      <w:r w:rsidRPr="00EC3D8C">
        <w:t>:</w:t>
      </w:r>
      <w:r>
        <w:t xml:space="preserve"> The same applies to all types of trades whose payoff is a linear combination of future payoffs, such as CDS, commodity swaps, and caps/floors.</w:t>
      </w:r>
    </w:p>
    <w:p w:rsidR="004F543B" w:rsidRDefault="00EC3D8C" w:rsidP="00EC3D8C">
      <w:pPr>
        <w:pStyle w:val="ListParagraph"/>
        <w:numPr>
          <w:ilvl w:val="0"/>
          <w:numId w:val="195"/>
        </w:numPr>
        <w:spacing w:after="200" w:line="360" w:lineRule="auto"/>
      </w:pPr>
      <w:r>
        <w:rPr>
          <w:u w:val="single"/>
        </w:rPr>
        <w:t>Expected Filtration of Linear Sums</w:t>
      </w:r>
      <w:r w:rsidRPr="00EC3D8C">
        <w:t>:</w:t>
      </w:r>
      <w:r>
        <w:t xml:space="preserve"> For such a trade</w:t>
      </w:r>
    </w:p>
    <w:p w:rsidR="004F543B" w:rsidRDefault="004F543B" w:rsidP="004F543B">
      <w:pPr>
        <w:pStyle w:val="ListParagraph"/>
        <w:spacing w:after="200" w:line="360" w:lineRule="auto"/>
        <w:ind w:left="360"/>
        <w:rPr>
          <w:u w:val="single"/>
        </w:rPr>
      </w:pPr>
    </w:p>
    <w:p w:rsidR="004F543B" w:rsidRDefault="00EC3D8C" w:rsidP="004F543B">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4F543B" w:rsidRDefault="004F543B" w:rsidP="004F543B">
      <w:pPr>
        <w:pStyle w:val="ListParagraph"/>
        <w:spacing w:after="200" w:line="360" w:lineRule="auto"/>
        <w:ind w:left="360"/>
      </w:pPr>
    </w:p>
    <w:p w:rsidR="004F543B" w:rsidRDefault="00EC3D8C" w:rsidP="004F543B">
      <w:pPr>
        <w:pStyle w:val="ListParagraph"/>
        <w:spacing w:after="200" w:line="360" w:lineRule="auto"/>
        <w:ind w:left="360"/>
      </w:pPr>
      <w:r>
        <w:t>and</w:t>
      </w:r>
    </w:p>
    <w:p w:rsidR="004F543B" w:rsidRDefault="004F543B" w:rsidP="004F543B">
      <w:pPr>
        <w:pStyle w:val="ListParagraph"/>
        <w:spacing w:after="200" w:line="360" w:lineRule="auto"/>
        <w:ind w:left="360"/>
      </w:pPr>
    </w:p>
    <w:p w:rsidR="004F543B" w:rsidRDefault="005D6A21" w:rsidP="004F543B">
      <w:pPr>
        <w:pStyle w:val="ListParagraph"/>
        <w:spacing w:after="200"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i=i</m:t>
                  </m:r>
                  <m:d>
                    <m:dPr>
                      <m:ctrlPr>
                        <w:rPr>
                          <w:rFonts w:ascii="Cambria Math" w:hAnsi="Cambria Math"/>
                          <w:i/>
                        </w:rPr>
                      </m:ctrlPr>
                    </m:dPr>
                    <m:e>
                      <m:r>
                        <w:rPr>
                          <w:rFonts w:ascii="Cambria Math" w:hAnsi="Cambria Math"/>
                        </w:rPr>
                        <m:t>t</m:t>
                      </m:r>
                    </m:e>
                  </m:d>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e>
          </m:d>
        </m:oMath>
      </m:oMathPara>
    </w:p>
    <w:p w:rsidR="004F543B" w:rsidRDefault="004F543B" w:rsidP="004F543B">
      <w:pPr>
        <w:pStyle w:val="ListParagraph"/>
        <w:spacing w:after="200" w:line="360" w:lineRule="auto"/>
        <w:ind w:left="360"/>
      </w:pPr>
    </w:p>
    <w:p w:rsidR="00EC3D8C" w:rsidRDefault="00EC3D8C" w:rsidP="004F543B">
      <w:pPr>
        <w:pStyle w:val="ListParagraph"/>
        <w:spacing w:after="200" w:line="360" w:lineRule="auto"/>
        <w:ind w:left="360"/>
      </w:pPr>
      <w:r>
        <w:t xml:space="preserve">where </w:t>
      </w:r>
      <m:oMath>
        <m:r>
          <w:rPr>
            <w:rFonts w:ascii="Cambria Math" w:hAnsi="Cambria Math"/>
          </w:rPr>
          <m:t>EE</m:t>
        </m:r>
        <m:d>
          <m:dPr>
            <m:ctrlPr>
              <w:rPr>
                <w:rFonts w:ascii="Cambria Math" w:hAnsi="Cambria Math"/>
                <w:i/>
              </w:rPr>
            </m:ctrlPr>
          </m:dPr>
          <m:e>
            <m:r>
              <w:rPr>
                <w:rFonts w:ascii="Cambria Math" w:hAnsi="Cambria Math"/>
              </w:rPr>
              <m:t>t</m:t>
            </m:r>
          </m:e>
        </m:d>
      </m:oMath>
      <w:r>
        <w:t xml:space="preserve"> is the uncollateralized expected exposure (</w:t>
      </w:r>
      <m:oMath>
        <m:r>
          <w:rPr>
            <w:rFonts w:ascii="Cambria Math" w:hAnsi="Cambria Math"/>
          </w:rPr>
          <m:t>EE</m:t>
        </m:r>
      </m:oMath>
      <w:r>
        <w:t>) at time-</w:t>
      </w:r>
      <m:oMath>
        <m:r>
          <w:rPr>
            <w:rFonts w:ascii="Cambria Math" w:hAnsi="Cambria Math"/>
          </w:rPr>
          <m:t>t</m:t>
        </m:r>
      </m:oMath>
      <w:r w:rsidR="00176A5A">
        <w:t xml:space="preserve">,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176A5A">
        <w:t xml:space="preserve"> and </w:t>
      </w:r>
      <m:oMath>
        <m:r>
          <w:rPr>
            <w:rFonts w:ascii="Cambria Math" w:hAnsi="Cambria Math"/>
          </w:rPr>
          <m:t>V</m:t>
        </m:r>
        <m:d>
          <m:dPr>
            <m:ctrlPr>
              <w:rPr>
                <w:rFonts w:ascii="Cambria Math" w:hAnsi="Cambria Math"/>
                <w:i/>
              </w:rPr>
            </m:ctrlPr>
          </m:dPr>
          <m:e>
            <m:r>
              <w:rPr>
                <w:rFonts w:ascii="Cambria Math" w:hAnsi="Cambria Math"/>
              </w:rPr>
              <m:t>T</m:t>
            </m:r>
          </m:e>
        </m:d>
      </m:oMath>
      <w:r w:rsidR="00176A5A">
        <w:t xml:space="preserve"> represent the price of the trade at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176A5A">
        <w:t xml:space="preserve"> and time </w:t>
      </w:r>
      <m:oMath>
        <m:r>
          <w:rPr>
            <w:rFonts w:ascii="Cambria Math" w:hAnsi="Cambria Math"/>
          </w:rPr>
          <m:t>T</m:t>
        </m:r>
      </m:oMath>
      <w:r w:rsidR="00176A5A">
        <w:t xml:space="preserve">, with </w:t>
      </w:r>
      <m:oMath>
        <m:r>
          <w:rPr>
            <w:rFonts w:ascii="Cambria Math" w:hAnsi="Cambria Math"/>
          </w:rPr>
          <m:t>T</m:t>
        </m:r>
      </m:oMath>
      <w:r w:rsidR="00176A5A">
        <w:t xml:space="preserve"> being the final payment date of the trade.</w:t>
      </w:r>
    </w:p>
    <w:p w:rsidR="004F543B" w:rsidRDefault="003B237B" w:rsidP="00EC3D8C">
      <w:pPr>
        <w:pStyle w:val="ListParagraph"/>
        <w:numPr>
          <w:ilvl w:val="0"/>
          <w:numId w:val="195"/>
        </w:numPr>
        <w:spacing w:after="200" w:line="360" w:lineRule="auto"/>
      </w:pPr>
      <w:r>
        <w:rPr>
          <w:u w:val="single"/>
        </w:rPr>
        <w:t>Application of the Iterated Expectations</w:t>
      </w:r>
      <w:r w:rsidRPr="003B237B">
        <w:t>:</w:t>
      </w:r>
      <w:r>
        <w:t xml:space="preserve"> Applying the iterated expectations theorem the above becomes</w:t>
      </w:r>
    </w:p>
    <w:p w:rsidR="004F543B" w:rsidRDefault="004F543B" w:rsidP="004F543B">
      <w:pPr>
        <w:pStyle w:val="ListParagraph"/>
        <w:spacing w:after="200" w:line="360" w:lineRule="auto"/>
        <w:ind w:left="360"/>
        <w:rPr>
          <w:u w:val="single"/>
        </w:rPr>
      </w:pPr>
    </w:p>
    <w:p w:rsidR="004F543B" w:rsidRDefault="003B237B" w:rsidP="004F543B">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i=i</m:t>
                      </m:r>
                      <m:d>
                        <m:dPr>
                          <m:ctrlPr>
                            <w:rPr>
                              <w:rFonts w:ascii="Cambria Math" w:hAnsi="Cambria Math"/>
                              <w:i/>
                            </w:rPr>
                          </m:ctrlPr>
                        </m:dPr>
                        <m:e>
                          <m:r>
                            <w:rPr>
                              <w:rFonts w:ascii="Cambria Math" w:hAnsi="Cambria Math"/>
                            </w:rPr>
                            <m:t>t</m:t>
                          </m:r>
                        </m:e>
                      </m:d>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e>
              </m:d>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i=i</m:t>
                  </m:r>
                  <m:d>
                    <m:dPr>
                      <m:ctrlPr>
                        <w:rPr>
                          <w:rFonts w:ascii="Cambria Math" w:hAnsi="Cambria Math"/>
                          <w:i/>
                        </w:rPr>
                      </m:ctrlPr>
                    </m:dPr>
                    <m:e>
                      <m:r>
                        <w:rPr>
                          <w:rFonts w:ascii="Cambria Math" w:hAnsi="Cambria Math"/>
                        </w:rPr>
                        <m:t>t</m:t>
                      </m:r>
                    </m:e>
                  </m:d>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rsidR="004F543B" w:rsidRDefault="004F543B" w:rsidP="004F543B">
      <w:pPr>
        <w:pStyle w:val="ListParagraph"/>
        <w:spacing w:after="200" w:line="360" w:lineRule="auto"/>
        <w:ind w:left="360"/>
      </w:pPr>
    </w:p>
    <w:p w:rsidR="003B237B" w:rsidRDefault="003B237B" w:rsidP="004F543B">
      <w:pPr>
        <w:pStyle w:val="ListParagraph"/>
        <w:spacing w:after="200" w:line="360" w:lineRule="auto"/>
        <w:ind w:left="360"/>
      </w:pPr>
      <w:r>
        <w:t>where there is no trade cash flow at time-</w:t>
      </w:r>
      <m:oMath>
        <m:r>
          <w:rPr>
            <w:rFonts w:ascii="Cambria Math" w:hAnsi="Cambria Math"/>
          </w:rPr>
          <m:t>t</m:t>
        </m:r>
      </m:oMath>
      <w:r>
        <w:t>. Otherwise the above can be used as an approximation for testing purposes.</w:t>
      </w:r>
    </w:p>
    <w:p w:rsidR="003B237B" w:rsidRDefault="003B237B" w:rsidP="00EC3D8C">
      <w:pPr>
        <w:pStyle w:val="ListParagraph"/>
        <w:numPr>
          <w:ilvl w:val="0"/>
          <w:numId w:val="195"/>
        </w:numPr>
        <w:spacing w:after="200" w:line="360" w:lineRule="auto"/>
      </w:pPr>
      <w:r>
        <w:rPr>
          <w:u w:val="single"/>
        </w:rPr>
        <w:t>Impact of the Knock-Out</w:t>
      </w:r>
      <w:r w:rsidRPr="003B237B">
        <w:t>:</w:t>
      </w:r>
      <w:r>
        <w:t xml:space="preserve"> For CDS and other knock-out trades, this assumes that if the underlying credit defaults or the knock-out event happens on or before the forward starting date, the forward starting CDS or trade would terminate with zero value.</w:t>
      </w:r>
    </w:p>
    <w:p w:rsidR="004F543B" w:rsidRDefault="003B237B" w:rsidP="00EC3D8C">
      <w:pPr>
        <w:pStyle w:val="ListParagraph"/>
        <w:numPr>
          <w:ilvl w:val="0"/>
          <w:numId w:val="195"/>
        </w:numPr>
        <w:spacing w:after="200" w:line="360" w:lineRule="auto"/>
      </w:pPr>
      <w:r>
        <w:rPr>
          <w:u w:val="single"/>
        </w:rPr>
        <w:t>Relative and Absolute Error Thresholds</w:t>
      </w:r>
      <w:r w:rsidRPr="003B237B">
        <w:t>:</w:t>
      </w:r>
      <w:r>
        <w:t xml:space="preserve"> The dollar error is defined as</w:t>
      </w:r>
    </w:p>
    <w:p w:rsidR="004F543B" w:rsidRDefault="004F543B" w:rsidP="004F543B">
      <w:pPr>
        <w:pStyle w:val="ListParagraph"/>
        <w:spacing w:after="200" w:line="360" w:lineRule="auto"/>
        <w:ind w:left="360"/>
        <w:rPr>
          <w:u w:val="single"/>
        </w:rPr>
      </w:pPr>
    </w:p>
    <w:p w:rsidR="004F543B" w:rsidRDefault="005D6A21" w:rsidP="004F543B">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dt</m:t>
              </m:r>
            </m:e>
          </m:nary>
        </m:oMath>
      </m:oMathPara>
    </w:p>
    <w:p w:rsidR="004F543B" w:rsidRDefault="004F543B" w:rsidP="004F543B">
      <w:pPr>
        <w:pStyle w:val="ListParagraph"/>
        <w:spacing w:after="200" w:line="360" w:lineRule="auto"/>
        <w:ind w:left="360"/>
      </w:pPr>
    </w:p>
    <w:p w:rsidR="004F543B" w:rsidRDefault="003B237B" w:rsidP="004F543B">
      <w:pPr>
        <w:pStyle w:val="ListParagraph"/>
        <w:spacing w:after="200" w:line="360" w:lineRule="auto"/>
        <w:ind w:left="360"/>
      </w:pPr>
      <w:r>
        <w:t>and the relative error is defined as</w:t>
      </w:r>
    </w:p>
    <w:p w:rsidR="004F543B" w:rsidRDefault="004F543B" w:rsidP="004F543B">
      <w:pPr>
        <w:pStyle w:val="ListParagraph"/>
        <w:spacing w:after="200" w:line="360" w:lineRule="auto"/>
        <w:ind w:left="360"/>
      </w:pPr>
    </w:p>
    <w:p w:rsidR="003B237B" w:rsidRPr="004F543B" w:rsidRDefault="003B237B" w:rsidP="004F543B">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m:t>
                      </m:r>
                      <m:r>
                        <w:rPr>
                          <w:rFonts w:ascii="Cambria Math" w:hAnsi="Cambria Math"/>
                        </w:rPr>
                        <m:t>E</m:t>
                      </m:r>
                    </m:e>
                  </m:d>
                </m:e>
              </m:func>
            </m:den>
          </m:f>
        </m:oMath>
      </m:oMathPara>
    </w:p>
    <w:p w:rsidR="004F543B" w:rsidRDefault="004F543B" w:rsidP="004F543B">
      <w:pPr>
        <w:pStyle w:val="ListParagraph"/>
        <w:spacing w:after="200" w:line="360" w:lineRule="auto"/>
        <w:ind w:left="360"/>
      </w:pPr>
    </w:p>
    <w:p w:rsidR="004F543B" w:rsidRDefault="003B237B" w:rsidP="00EC3D8C">
      <w:pPr>
        <w:pStyle w:val="ListParagraph"/>
        <w:numPr>
          <w:ilvl w:val="0"/>
          <w:numId w:val="195"/>
        </w:numPr>
        <w:spacing w:after="200" w:line="360" w:lineRule="auto"/>
      </w:pPr>
      <w:r>
        <w:rPr>
          <w:u w:val="single"/>
        </w:rPr>
        <w:t>Derivation of the Martingale Target</w:t>
      </w:r>
      <w:r>
        <w:t xml:space="preserve">: For some trade types such as CDO, the martingale target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may not be readily available, in which case it may be derived from</w:t>
      </w:r>
    </w:p>
    <w:p w:rsidR="004F543B" w:rsidRDefault="004F543B" w:rsidP="004F543B">
      <w:pPr>
        <w:pStyle w:val="ListParagraph"/>
        <w:spacing w:after="200" w:line="360" w:lineRule="auto"/>
        <w:ind w:left="360"/>
        <w:rPr>
          <w:u w:val="single"/>
        </w:rPr>
      </w:pPr>
    </w:p>
    <w:p w:rsidR="004F543B" w:rsidRDefault="005D6A21"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m:oMathPara>
    </w:p>
    <w:p w:rsidR="004F543B" w:rsidRDefault="004F543B" w:rsidP="004F543B">
      <w:pPr>
        <w:pStyle w:val="ListParagraph"/>
        <w:spacing w:after="200" w:line="360" w:lineRule="auto"/>
        <w:ind w:left="360"/>
      </w:pPr>
    </w:p>
    <w:p w:rsidR="003B237B" w:rsidRDefault="003B237B" w:rsidP="004F543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is the PV of the original underlying trade with original maturity </w:t>
      </w:r>
      <m:oMath>
        <m:r>
          <w:rPr>
            <w:rFonts w:ascii="Cambria Math" w:hAnsi="Cambria Math"/>
          </w:rPr>
          <m:t>T</m:t>
        </m:r>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w:t>
      </w:r>
      <w:r w:rsidR="002A2A9B">
        <w:t xml:space="preserve">the PV of the original underlying trade with modified maturity </w:t>
      </w:r>
      <m:oMath>
        <m:r>
          <w:rPr>
            <w:rFonts w:ascii="Cambria Math" w:hAnsi="Cambria Math"/>
          </w:rPr>
          <m:t>t</m:t>
        </m:r>
      </m:oMath>
      <w:r w:rsidR="002A2A9B">
        <w:t xml:space="preserve"> and excluding principal payments, and with all other payments to be the same.</w:t>
      </w:r>
    </w:p>
    <w:p w:rsidR="004F543B" w:rsidRDefault="002A2A9B" w:rsidP="00EC3D8C">
      <w:pPr>
        <w:pStyle w:val="ListParagraph"/>
        <w:numPr>
          <w:ilvl w:val="0"/>
          <w:numId w:val="195"/>
        </w:numPr>
        <w:spacing w:after="200" w:line="360" w:lineRule="auto"/>
      </w:pPr>
      <w:r>
        <w:rPr>
          <w:u w:val="single"/>
        </w:rPr>
        <w:t>Black Volatility Driving Process Error</w:t>
      </w:r>
      <w:r w:rsidRPr="002A2A9B">
        <w:t>:</w:t>
      </w:r>
      <w:r>
        <w:t xml:space="preserve"> It is required that</w:t>
      </w:r>
    </w:p>
    <w:p w:rsidR="004F543B" w:rsidRDefault="004F543B" w:rsidP="004F543B">
      <w:pPr>
        <w:pStyle w:val="ListParagraph"/>
        <w:spacing w:after="200" w:line="360" w:lineRule="auto"/>
        <w:ind w:left="360"/>
        <w:rPr>
          <w:u w:val="single"/>
        </w:rPr>
      </w:pPr>
    </w:p>
    <w:p w:rsidR="002A2A9B" w:rsidRPr="004F543B" w:rsidRDefault="002A2A9B" w:rsidP="004F543B">
      <w:pPr>
        <w:pStyle w:val="ListParagraph"/>
        <w:spacing w:after="200" w:line="360" w:lineRule="auto"/>
        <w:ind w:left="360"/>
      </w:pPr>
      <m:oMathPara>
        <m:oMath>
          <m:r>
            <w:rPr>
              <w:rFonts w:ascii="Cambria Math" w:hAnsi="Cambria Math"/>
            </w:rPr>
            <w:lastRenderedPageBreak/>
            <m:t>e≤</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4F543B" w:rsidRDefault="004F543B" w:rsidP="004F543B">
      <w:pPr>
        <w:pStyle w:val="ListParagraph"/>
        <w:spacing w:after="200" w:line="360" w:lineRule="auto"/>
        <w:ind w:left="360"/>
      </w:pPr>
    </w:p>
    <w:p w:rsidR="004F543B" w:rsidRDefault="00254EE5" w:rsidP="00EC3D8C">
      <w:pPr>
        <w:pStyle w:val="ListParagraph"/>
        <w:numPr>
          <w:ilvl w:val="0"/>
          <w:numId w:val="195"/>
        </w:numPr>
        <w:spacing w:after="200" w:line="360" w:lineRule="auto"/>
      </w:pPr>
      <w:r>
        <w:rPr>
          <w:u w:val="single"/>
        </w:rPr>
        <w:t>Martingale Targets for American Options</w:t>
      </w:r>
      <w:r>
        <w:t xml:space="preserve">: Similarly for some trade types including American and Bermudan options, the martingale target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can be approximated as</w:t>
      </w:r>
    </w:p>
    <w:p w:rsidR="004F543B" w:rsidRDefault="004F543B" w:rsidP="004F543B">
      <w:pPr>
        <w:pStyle w:val="ListParagraph"/>
        <w:spacing w:after="200" w:line="360" w:lineRule="auto"/>
        <w:ind w:left="360"/>
        <w:rPr>
          <w:u w:val="single"/>
        </w:rPr>
      </w:pPr>
    </w:p>
    <w:p w:rsidR="004F543B" w:rsidRDefault="005D6A21"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num>
                    <m:den>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den>
                  </m:f>
                  <m:r>
                    <w:rPr>
                      <w:rFonts w:ascii="Cambria Math" w:hAnsi="Cambria Math"/>
                    </w:rPr>
                    <m:t>, 1.</m:t>
                  </m:r>
                </m:e>
              </m:d>
            </m:e>
          </m:func>
        </m:oMath>
      </m:oMathPara>
    </w:p>
    <w:p w:rsidR="004F543B" w:rsidRDefault="004F543B" w:rsidP="004F543B">
      <w:pPr>
        <w:pStyle w:val="ListParagraph"/>
        <w:spacing w:after="200" w:line="360" w:lineRule="auto"/>
        <w:ind w:left="360"/>
      </w:pPr>
    </w:p>
    <w:p w:rsidR="004F543B" w:rsidRDefault="00254EE5" w:rsidP="004F543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have the same meaning as in</w:t>
      </w:r>
    </w:p>
    <w:p w:rsidR="004F543B" w:rsidRDefault="004F543B" w:rsidP="004F543B">
      <w:pPr>
        <w:pStyle w:val="ListParagraph"/>
        <w:spacing w:after="200" w:line="360" w:lineRule="auto"/>
        <w:ind w:left="360"/>
      </w:pPr>
    </w:p>
    <w:p w:rsidR="004F543B" w:rsidRDefault="005D6A21"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m:oMathPara>
    </w:p>
    <w:p w:rsidR="004F543B" w:rsidRDefault="004F543B" w:rsidP="004F543B">
      <w:pPr>
        <w:pStyle w:val="ListParagraph"/>
        <w:spacing w:after="200" w:line="360" w:lineRule="auto"/>
        <w:ind w:left="360"/>
      </w:pPr>
    </w:p>
    <w:p w:rsidR="00254EE5" w:rsidRDefault="00254EE5" w:rsidP="004F543B">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is the PV of the European counterpart of the original trade, i.e., the only difference is in the possibility of early exercise.</w:t>
      </w:r>
    </w:p>
    <w:p w:rsidR="00254EE5" w:rsidRDefault="00254EE5" w:rsidP="00EC3D8C">
      <w:pPr>
        <w:pStyle w:val="ListParagraph"/>
        <w:numPr>
          <w:ilvl w:val="0"/>
          <w:numId w:val="195"/>
        </w:numPr>
        <w:spacing w:after="200" w:line="360" w:lineRule="auto"/>
      </w:pPr>
      <w:r>
        <w:rPr>
          <w:u w:val="single"/>
        </w:rPr>
        <w:t>Intuition behind the Expression #1</w:t>
      </w:r>
      <w:r w:rsidRPr="00254EE5">
        <w:t>:</w:t>
      </w:r>
      <w:r>
        <w:t xml:space="preserve"> Likewise, </w:t>
      </w:r>
      <m:oMath>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is the PV of the counterpart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The term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num>
                  <m:den>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den>
                </m:f>
                <m:r>
                  <w:rPr>
                    <w:rFonts w:ascii="Cambria Math" w:hAnsi="Cambria Math"/>
                  </w:rPr>
                  <m:t>, 1.</m:t>
                </m:r>
              </m:e>
            </m:d>
          </m:e>
        </m:func>
      </m:oMath>
      <w:r>
        <w:t xml:space="preserve"> can be approximately interpreted as the probability of the original trade not being exercised at time </w:t>
      </w:r>
      <m:oMath>
        <m:r>
          <w:rPr>
            <w:rFonts w:ascii="Cambria Math" w:hAnsi="Cambria Math"/>
          </w:rPr>
          <m:t>t</m:t>
        </m:r>
      </m:oMath>
      <w:r>
        <w:t>.</w:t>
      </w:r>
    </w:p>
    <w:p w:rsidR="004F543B" w:rsidRDefault="00254EE5" w:rsidP="00EC3D8C">
      <w:pPr>
        <w:pStyle w:val="ListParagraph"/>
        <w:numPr>
          <w:ilvl w:val="0"/>
          <w:numId w:val="195"/>
        </w:numPr>
        <w:spacing w:after="200" w:line="360" w:lineRule="auto"/>
      </w:pPr>
      <w:r>
        <w:rPr>
          <w:u w:val="single"/>
        </w:rPr>
        <w:t>Intuition behind the Expression #2</w:t>
      </w:r>
      <w:r w:rsidRPr="00254EE5">
        <w:t>:</w:t>
      </w:r>
      <w:r>
        <w:t xml:space="preserve"> The intuition behind</w:t>
      </w:r>
    </w:p>
    <w:p w:rsidR="004F543B" w:rsidRDefault="004F543B" w:rsidP="004F543B">
      <w:pPr>
        <w:pStyle w:val="ListParagraph"/>
        <w:spacing w:after="200" w:line="360" w:lineRule="auto"/>
        <w:ind w:left="360"/>
        <w:rPr>
          <w:u w:val="single"/>
        </w:rPr>
      </w:pPr>
    </w:p>
    <w:p w:rsidR="004F543B" w:rsidRDefault="005D6A21"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num>
                    <m:den>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den>
                  </m:f>
                  <m:r>
                    <w:rPr>
                      <w:rFonts w:ascii="Cambria Math" w:hAnsi="Cambria Math"/>
                    </w:rPr>
                    <m:t>, 1.</m:t>
                  </m:r>
                </m:e>
              </m:d>
            </m:e>
          </m:func>
        </m:oMath>
      </m:oMathPara>
    </w:p>
    <w:p w:rsidR="004F543B" w:rsidRDefault="004F543B" w:rsidP="004F543B">
      <w:pPr>
        <w:pStyle w:val="ListParagraph"/>
        <w:spacing w:after="200" w:line="360" w:lineRule="auto"/>
        <w:ind w:left="360"/>
      </w:pPr>
    </w:p>
    <w:p w:rsidR="00254EE5" w:rsidRDefault="00254EE5" w:rsidP="004F543B">
      <w:pPr>
        <w:pStyle w:val="ListParagraph"/>
        <w:spacing w:after="200" w:line="360" w:lineRule="auto"/>
        <w:ind w:left="360"/>
      </w:pPr>
      <w:r>
        <w:t xml:space="preserve"> is as follows.</w:t>
      </w:r>
      <w:r w:rsidR="005F565E">
        <w:t xml:space="preserve"> If the early exercise compared to </w:t>
      </w:r>
      <m:oMath>
        <m:r>
          <w:rPr>
            <w:rFonts w:ascii="Cambria Math" w:hAnsi="Cambria Math"/>
          </w:rPr>
          <m:t>t</m:t>
        </m:r>
      </m:oMath>
      <w:r w:rsidR="005F565E">
        <w:t xml:space="preserve"> for the trade is favorable, which is equivalent to small exposure at </w:t>
      </w:r>
      <m:oMath>
        <m:r>
          <w:rPr>
            <w:rFonts w:ascii="Cambria Math" w:hAnsi="Cambria Math"/>
          </w:rPr>
          <m:t>t</m:t>
        </m:r>
      </m:oMath>
      <w:r w:rsidR="005F565E">
        <w:t xml:space="preserve">, then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rsidR="005F565E">
        <w:t xml:space="preserve"> is close to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rsidR="005F565E">
        <w:t xml:space="preserve"> so the right hand side is also small.</w:t>
      </w:r>
    </w:p>
    <w:p w:rsidR="004F543B" w:rsidRDefault="005F565E" w:rsidP="00EC3D8C">
      <w:pPr>
        <w:pStyle w:val="ListParagraph"/>
        <w:numPr>
          <w:ilvl w:val="0"/>
          <w:numId w:val="195"/>
        </w:numPr>
        <w:spacing w:after="200" w:line="360" w:lineRule="auto"/>
      </w:pPr>
      <w:r>
        <w:rPr>
          <w:u w:val="single"/>
        </w:rPr>
        <w:t>Intuition behind the Expression #3</w:t>
      </w:r>
      <w:r w:rsidRPr="005F565E">
        <w:t>:</w:t>
      </w:r>
      <w:r>
        <w:t xml:space="preserve"> On the other hand, if there is no incentive for early exercise compared to </w:t>
      </w:r>
      <m:oMath>
        <m:r>
          <w:rPr>
            <w:rFonts w:ascii="Cambria Math" w:hAnsi="Cambria Math"/>
          </w:rPr>
          <m:t>t</m:t>
        </m:r>
      </m:oMath>
      <w:r>
        <w:t xml:space="preserve">, then the exposure at time </w:t>
      </w:r>
      <m:oMath>
        <m:r>
          <w:rPr>
            <w:rFonts w:ascii="Cambria Math" w:hAnsi="Cambria Math"/>
          </w:rPr>
          <m:t>t</m:t>
        </m:r>
      </m:oMath>
      <w:r>
        <w:t xml:space="preserve"> is very large.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tends to be small relatively compared to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so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is large. DRIP requires that the error</w:t>
      </w:r>
    </w:p>
    <w:p w:rsidR="004F543B" w:rsidRDefault="004F543B" w:rsidP="004F543B">
      <w:pPr>
        <w:pStyle w:val="ListParagraph"/>
        <w:spacing w:after="200" w:line="360" w:lineRule="auto"/>
        <w:ind w:left="360"/>
        <w:rPr>
          <w:u w:val="single"/>
        </w:rPr>
      </w:pPr>
    </w:p>
    <w:p w:rsidR="005F565E" w:rsidRPr="004F543B" w:rsidRDefault="005F565E" w:rsidP="004F543B">
      <w:pPr>
        <w:pStyle w:val="ListParagraph"/>
        <w:spacing w:after="200" w:line="360" w:lineRule="auto"/>
        <w:ind w:left="360"/>
      </w:pPr>
      <m:oMathPara>
        <m:oMath>
          <m:r>
            <w:rPr>
              <w:rFonts w:ascii="Cambria Math" w:hAnsi="Cambria Math"/>
            </w:rPr>
            <m:t>e≤2∙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4F543B" w:rsidRDefault="004F543B" w:rsidP="004F543B">
      <w:pPr>
        <w:pStyle w:val="ListParagraph"/>
        <w:spacing w:after="200" w:line="360" w:lineRule="auto"/>
        <w:ind w:left="360"/>
      </w:pPr>
    </w:p>
    <w:p w:rsidR="005F565E" w:rsidRDefault="005F565E" w:rsidP="00EC3D8C">
      <w:pPr>
        <w:pStyle w:val="ListParagraph"/>
        <w:numPr>
          <w:ilvl w:val="0"/>
          <w:numId w:val="195"/>
        </w:numPr>
        <w:spacing w:after="200" w:line="360" w:lineRule="auto"/>
      </w:pPr>
      <w:r>
        <w:rPr>
          <w:u w:val="single"/>
        </w:rPr>
        <w:t>Vega Based Error Analysis Validation</w:t>
      </w:r>
      <w:r>
        <w:t>: In case of test failures, vega based error analysis is optionally performed, as discussed in the corresponding s</w:t>
      </w:r>
      <w:r w:rsidR="00E544C6">
        <w:t>ection. The materiality criterion</w:t>
      </w:r>
      <w:r w:rsidR="002B2074">
        <w:t xml:space="preserve"> list above applies</w:t>
      </w:r>
      <w:r>
        <w:t>.</w:t>
      </w:r>
    </w:p>
    <w:p w:rsidR="00E544C6" w:rsidRDefault="00E544C6" w:rsidP="00E544C6">
      <w:pPr>
        <w:spacing w:after="200" w:line="360" w:lineRule="auto"/>
      </w:pPr>
    </w:p>
    <w:p w:rsidR="00E544C6" w:rsidRDefault="00E544C6" w:rsidP="00E544C6">
      <w:pPr>
        <w:spacing w:after="200" w:line="360" w:lineRule="auto"/>
      </w:pPr>
    </w:p>
    <w:p w:rsidR="00E544C6" w:rsidRPr="008F492E" w:rsidRDefault="00E544C6" w:rsidP="00E544C6">
      <w:pPr>
        <w:spacing w:after="200" w:line="360" w:lineRule="auto"/>
        <w:rPr>
          <w:b/>
          <w:sz w:val="28"/>
          <w:szCs w:val="28"/>
        </w:rPr>
      </w:pPr>
      <w:r w:rsidRPr="008F492E">
        <w:rPr>
          <w:b/>
          <w:sz w:val="28"/>
          <w:szCs w:val="28"/>
        </w:rPr>
        <w:t>Swap Swaption Test</w:t>
      </w:r>
    </w:p>
    <w:p w:rsidR="00E544C6" w:rsidRDefault="00E544C6" w:rsidP="00E544C6">
      <w:pPr>
        <w:spacing w:after="200" w:line="360" w:lineRule="auto"/>
      </w:pPr>
    </w:p>
    <w:p w:rsidR="00E544C6" w:rsidRDefault="00E544C6" w:rsidP="008F492E">
      <w:pPr>
        <w:pStyle w:val="ListParagraph"/>
        <w:numPr>
          <w:ilvl w:val="0"/>
          <w:numId w:val="196"/>
        </w:numPr>
        <w:spacing w:after="200" w:line="360" w:lineRule="auto"/>
      </w:pPr>
      <w:r w:rsidRPr="008F492E">
        <w:rPr>
          <w:u w:val="single"/>
        </w:rPr>
        <w:t>Swap EPE/ENE Swaption PV</w:t>
      </w:r>
      <w:r>
        <w:t xml:space="preserve">: For selected trades in scope for CVA, DRIP </w:t>
      </w:r>
      <w:r w:rsidR="008F492E">
        <w:t>tests that the discounted future uncollateralized expected positive or negative exposures EPE or ENE profile of a swap equals the PV of the corresponding options to enter or cancel the remaining swap.</w:t>
      </w:r>
    </w:p>
    <w:p w:rsidR="008F492E" w:rsidRDefault="008F492E" w:rsidP="008F492E">
      <w:pPr>
        <w:pStyle w:val="ListParagraph"/>
        <w:numPr>
          <w:ilvl w:val="0"/>
          <w:numId w:val="196"/>
        </w:numPr>
        <w:spacing w:after="200" w:line="360" w:lineRule="auto"/>
      </w:pPr>
      <w:r>
        <w:rPr>
          <w:u w:val="single"/>
        </w:rPr>
        <w:t>Test of Underlying Swaption Model</w:t>
      </w:r>
      <w:r w:rsidRPr="008F492E">
        <w:t>:</w:t>
      </w:r>
      <w:r>
        <w:t xml:space="preserve"> The same applies to all trade types for which the corresponding options to enter and to cancel the underlying trades are available from the LOB models.</w:t>
      </w:r>
    </w:p>
    <w:p w:rsidR="008F492E" w:rsidRDefault="008F492E" w:rsidP="008F492E">
      <w:pPr>
        <w:pStyle w:val="ListParagraph"/>
        <w:numPr>
          <w:ilvl w:val="0"/>
          <w:numId w:val="196"/>
        </w:numPr>
        <w:spacing w:after="200" w:line="360" w:lineRule="auto"/>
      </w:pPr>
      <w:r>
        <w:rPr>
          <w:u w:val="single"/>
        </w:rPr>
        <w:t>Accuracy of the Volatility Skew Models</w:t>
      </w:r>
      <w:r w:rsidRPr="008F492E">
        <w:t>:</w:t>
      </w:r>
      <w:r>
        <w:t xml:space="preserve"> The purpose of this is to test the accuracy of the volatility skew modeling in the CVA simulation models, and the volatility skew consistency of the CVA simulation and the pricing models.</w:t>
      </w:r>
    </w:p>
    <w:p w:rsidR="002B2074" w:rsidRDefault="008F492E" w:rsidP="008F492E">
      <w:pPr>
        <w:pStyle w:val="ListParagraph"/>
        <w:numPr>
          <w:ilvl w:val="0"/>
          <w:numId w:val="196"/>
        </w:numPr>
        <w:spacing w:after="200" w:line="360" w:lineRule="auto"/>
      </w:pPr>
      <w:r>
        <w:rPr>
          <w:u w:val="single"/>
        </w:rPr>
        <w:t>Trade Level EPE and ENE</w:t>
      </w:r>
      <w:r w:rsidRPr="008F492E">
        <w:t>:</w:t>
      </w:r>
      <w:r>
        <w:t xml:space="preserve"> For such a trade</w:t>
      </w:r>
    </w:p>
    <w:p w:rsidR="002B2074" w:rsidRDefault="002B2074" w:rsidP="002B2074">
      <w:pPr>
        <w:pStyle w:val="ListParagraph"/>
        <w:spacing w:after="200" w:line="360" w:lineRule="auto"/>
        <w:ind w:left="360"/>
        <w:rPr>
          <w:u w:val="single"/>
        </w:rPr>
      </w:pPr>
    </w:p>
    <w:p w:rsidR="002B2074" w:rsidRDefault="008F492E" w:rsidP="002B2074">
      <w:pPr>
        <w:pStyle w:val="ListParagraph"/>
        <w:spacing w:after="200"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OPT-ENTER</m:t>
              </m:r>
            </m:sup>
          </m:sSup>
          <m:d>
            <m:dPr>
              <m:ctrlPr>
                <w:rPr>
                  <w:rFonts w:ascii="Cambria Math" w:hAnsi="Cambria Math"/>
                  <w:i/>
                </w:rPr>
              </m:ctrlPr>
            </m:dPr>
            <m:e>
              <m:r>
                <w:rPr>
                  <w:rFonts w:ascii="Cambria Math" w:hAnsi="Cambria Math"/>
                </w:rPr>
                <m:t>t</m:t>
              </m:r>
            </m:e>
          </m:d>
        </m:oMath>
      </m:oMathPara>
    </w:p>
    <w:p w:rsidR="002B2074" w:rsidRDefault="002B2074" w:rsidP="002B2074">
      <w:pPr>
        <w:pStyle w:val="ListParagraph"/>
        <w:spacing w:after="200" w:line="360" w:lineRule="auto"/>
        <w:ind w:left="360"/>
      </w:pPr>
    </w:p>
    <w:p w:rsidR="002B2074" w:rsidRDefault="008F492E" w:rsidP="002B2074">
      <w:pPr>
        <w:pStyle w:val="ListParagraph"/>
        <w:spacing w:after="200" w:line="360" w:lineRule="auto"/>
        <w:ind w:left="360"/>
      </w:pPr>
      <w:r>
        <w:t>and</w:t>
      </w:r>
    </w:p>
    <w:p w:rsidR="002B2074" w:rsidRDefault="002B2074" w:rsidP="002B2074">
      <w:pPr>
        <w:pStyle w:val="ListParagraph"/>
        <w:spacing w:after="200" w:line="360" w:lineRule="auto"/>
        <w:ind w:left="360"/>
      </w:pPr>
    </w:p>
    <w:p w:rsidR="002B2074" w:rsidRDefault="008F492E" w:rsidP="002B2074">
      <w:pPr>
        <w:pStyle w:val="ListParagraph"/>
        <w:spacing w:after="200" w:line="360" w:lineRule="auto"/>
        <w:ind w:left="360"/>
      </w:pPr>
      <m:oMathPara>
        <m:oMath>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OPT-CANCEL</m:t>
              </m:r>
            </m:sup>
          </m:sSup>
          <m:d>
            <m:dPr>
              <m:ctrlPr>
                <w:rPr>
                  <w:rFonts w:ascii="Cambria Math" w:hAnsi="Cambria Math"/>
                  <w:i/>
                </w:rPr>
              </m:ctrlPr>
            </m:dPr>
            <m:e>
              <m:r>
                <w:rPr>
                  <w:rFonts w:ascii="Cambria Math" w:hAnsi="Cambria Math"/>
                </w:rPr>
                <m:t>t</m:t>
              </m:r>
            </m:e>
          </m:d>
        </m:oMath>
      </m:oMathPara>
    </w:p>
    <w:p w:rsidR="002B2074" w:rsidRDefault="002B2074" w:rsidP="002B2074">
      <w:pPr>
        <w:pStyle w:val="ListParagraph"/>
        <w:spacing w:after="200" w:line="360" w:lineRule="auto"/>
        <w:ind w:left="360"/>
      </w:pPr>
    </w:p>
    <w:p w:rsidR="008F492E" w:rsidRDefault="008F492E" w:rsidP="002B2074">
      <w:pPr>
        <w:pStyle w:val="ListParagraph"/>
        <w:spacing w:after="200" w:line="360" w:lineRule="auto"/>
        <w:ind w:left="360"/>
      </w:pPr>
      <w:r>
        <w:lastRenderedPageBreak/>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OPT-ENTER</m:t>
            </m:r>
          </m:sup>
        </m:sSup>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OPT-CANCEL</m:t>
            </m:r>
          </m:sup>
        </m:sSup>
        <m:d>
          <m:dPr>
            <m:ctrlPr>
              <w:rPr>
                <w:rFonts w:ascii="Cambria Math" w:hAnsi="Cambria Math"/>
                <w:i/>
              </w:rPr>
            </m:ctrlPr>
          </m:dPr>
          <m:e>
            <m:r>
              <w:rPr>
                <w:rFonts w:ascii="Cambria Math" w:hAnsi="Cambria Math"/>
              </w:rPr>
              <m:t>t</m:t>
            </m:r>
          </m:e>
        </m:d>
      </m:oMath>
      <w:r>
        <w:t xml:space="preserve"> are the PV’s of the option to enter and to cancel the underlying trades respectively, with expiry at time </w:t>
      </w:r>
      <m:oMath>
        <m:r>
          <w:rPr>
            <w:rFonts w:ascii="Cambria Math" w:hAnsi="Cambria Math"/>
          </w:rPr>
          <m:t>t</m:t>
        </m:r>
      </m:oMath>
      <w:r>
        <w:t xml:space="preserve"> when there is no other trade cash flow at time </w:t>
      </w:r>
      <m:oMath>
        <m:r>
          <w:rPr>
            <w:rFonts w:ascii="Cambria Math" w:hAnsi="Cambria Math"/>
          </w:rPr>
          <m:t>t</m:t>
        </m:r>
      </m:oMath>
      <w:r>
        <w:t>.</w:t>
      </w:r>
      <w:r w:rsidR="006931FB">
        <w:t xml:space="preserve"> Otherwise the above can be used as an approximation for testing purposes.</w:t>
      </w:r>
    </w:p>
    <w:p w:rsidR="002B2074" w:rsidRDefault="006931FB" w:rsidP="008F492E">
      <w:pPr>
        <w:pStyle w:val="ListParagraph"/>
        <w:numPr>
          <w:ilvl w:val="0"/>
          <w:numId w:val="196"/>
        </w:numPr>
        <w:spacing w:after="200" w:line="360" w:lineRule="auto"/>
      </w:pPr>
      <w:r>
        <w:rPr>
          <w:u w:val="single"/>
        </w:rPr>
        <w:t>Absolute and Relative Error Thresholds</w:t>
      </w:r>
      <w:r w:rsidRPr="006931FB">
        <w:t>:</w:t>
      </w:r>
      <w:r>
        <w:t xml:space="preserve"> The dollar errors are defined as</w:t>
      </w:r>
    </w:p>
    <w:p w:rsidR="002B2074" w:rsidRDefault="002B2074" w:rsidP="002B2074">
      <w:pPr>
        <w:pStyle w:val="ListParagraph"/>
        <w:spacing w:after="200" w:line="360" w:lineRule="auto"/>
        <w:ind w:left="360"/>
        <w:rPr>
          <w:u w:val="single"/>
        </w:rPr>
      </w:pPr>
    </w:p>
    <w:p w:rsidR="002B2074" w:rsidRDefault="005D6A21" w:rsidP="002B207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EPE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OPT-ENTER</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2B2074" w:rsidRDefault="002B2074" w:rsidP="002B2074">
      <w:pPr>
        <w:pStyle w:val="ListParagraph"/>
        <w:spacing w:after="200" w:line="360" w:lineRule="auto"/>
        <w:ind w:left="360"/>
      </w:pPr>
    </w:p>
    <w:p w:rsidR="002B2074" w:rsidRDefault="005D6A21" w:rsidP="002B207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ENE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OPT-CANCEL</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2B2074" w:rsidRDefault="002B2074" w:rsidP="002B2074">
      <w:pPr>
        <w:pStyle w:val="ListParagraph"/>
        <w:spacing w:after="200" w:line="360" w:lineRule="auto"/>
        <w:ind w:left="360"/>
      </w:pPr>
    </w:p>
    <w:p w:rsidR="002B2074" w:rsidRDefault="006931FB" w:rsidP="002B2074">
      <w:pPr>
        <w:pStyle w:val="ListParagraph"/>
        <w:spacing w:after="200" w:line="360" w:lineRule="auto"/>
        <w:ind w:left="360"/>
      </w:pPr>
      <w:r>
        <w:t>and the relative errors as</w:t>
      </w:r>
    </w:p>
    <w:p w:rsidR="002B2074" w:rsidRDefault="002B2074" w:rsidP="002B2074">
      <w:pPr>
        <w:pStyle w:val="ListParagraph"/>
        <w:spacing w:after="200" w:line="360" w:lineRule="auto"/>
        <w:ind w:left="360"/>
      </w:pPr>
    </w:p>
    <w:p w:rsidR="002B2074" w:rsidRDefault="005D6A21"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2B2074" w:rsidRDefault="002B2074" w:rsidP="002B2074">
      <w:pPr>
        <w:pStyle w:val="ListParagraph"/>
        <w:spacing w:after="200" w:line="360" w:lineRule="auto"/>
        <w:ind w:left="360"/>
      </w:pPr>
    </w:p>
    <w:p w:rsidR="006931FB" w:rsidRPr="002B2074" w:rsidRDefault="005D6A21"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2B2074" w:rsidRDefault="002B2074" w:rsidP="002B2074">
      <w:pPr>
        <w:pStyle w:val="ListParagraph"/>
        <w:spacing w:after="200" w:line="360" w:lineRule="auto"/>
        <w:ind w:left="360"/>
      </w:pPr>
    </w:p>
    <w:p w:rsidR="002B2074" w:rsidRDefault="002B2074" w:rsidP="008F492E">
      <w:pPr>
        <w:pStyle w:val="ListParagraph"/>
        <w:numPr>
          <w:ilvl w:val="0"/>
          <w:numId w:val="196"/>
        </w:numPr>
        <w:spacing w:after="200" w:line="360" w:lineRule="auto"/>
      </w:pPr>
      <w:r>
        <w:rPr>
          <w:u w:val="single"/>
        </w:rPr>
        <w:t>EPE and ENE Exposure Thresholds</w:t>
      </w:r>
      <w:r>
        <w:t>: DRIP requires that the error</w:t>
      </w:r>
    </w:p>
    <w:p w:rsidR="002B2074" w:rsidRDefault="002B2074" w:rsidP="002B2074">
      <w:pPr>
        <w:pStyle w:val="ListParagraph"/>
        <w:spacing w:after="200" w:line="360" w:lineRule="auto"/>
        <w:ind w:left="360"/>
        <w:rPr>
          <w:u w:val="single"/>
        </w:rPr>
      </w:pPr>
    </w:p>
    <w:p w:rsidR="002B2074" w:rsidRDefault="005D6A21"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2B2074" w:rsidRDefault="002B2074" w:rsidP="002B2074">
      <w:pPr>
        <w:pStyle w:val="ListParagraph"/>
        <w:spacing w:after="200" w:line="360" w:lineRule="auto"/>
        <w:ind w:left="360"/>
      </w:pPr>
    </w:p>
    <w:p w:rsidR="002B2074" w:rsidRDefault="002B2074" w:rsidP="002B2074">
      <w:pPr>
        <w:pStyle w:val="ListParagraph"/>
        <w:spacing w:after="200" w:line="360" w:lineRule="auto"/>
        <w:ind w:left="360"/>
      </w:pPr>
      <w:r>
        <w:t>and</w:t>
      </w:r>
    </w:p>
    <w:p w:rsidR="0049062C" w:rsidRDefault="0049062C" w:rsidP="002B2074">
      <w:pPr>
        <w:pStyle w:val="ListParagraph"/>
        <w:spacing w:after="200" w:line="360" w:lineRule="auto"/>
        <w:ind w:left="360"/>
      </w:pPr>
    </w:p>
    <w:p w:rsidR="002B2074" w:rsidRPr="0049062C" w:rsidRDefault="005D6A21"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49062C" w:rsidRDefault="0049062C" w:rsidP="002B2074">
      <w:pPr>
        <w:pStyle w:val="ListParagraph"/>
        <w:spacing w:after="200" w:line="360" w:lineRule="auto"/>
        <w:ind w:left="360"/>
      </w:pPr>
    </w:p>
    <w:p w:rsidR="002B2074" w:rsidRDefault="002B2074" w:rsidP="008F492E">
      <w:pPr>
        <w:pStyle w:val="ListParagraph"/>
        <w:numPr>
          <w:ilvl w:val="0"/>
          <w:numId w:val="196"/>
        </w:numPr>
        <w:spacing w:after="200" w:line="360" w:lineRule="auto"/>
      </w:pPr>
      <w:r>
        <w:rPr>
          <w:u w:val="single"/>
        </w:rPr>
        <w:t>Vega Based Error Analysis Validation</w:t>
      </w:r>
      <w:r>
        <w:t>: In case of test failure, the vega based error analysis is optionally performed. The materiality criteria list above applies.</w:t>
      </w:r>
    </w:p>
    <w:p w:rsidR="002B2074" w:rsidRDefault="002B2074" w:rsidP="002B2074">
      <w:pPr>
        <w:spacing w:after="200" w:line="360" w:lineRule="auto"/>
      </w:pPr>
    </w:p>
    <w:p w:rsidR="002B2074" w:rsidRDefault="002B2074" w:rsidP="002B2074">
      <w:pPr>
        <w:spacing w:after="200" w:line="360" w:lineRule="auto"/>
      </w:pPr>
    </w:p>
    <w:p w:rsidR="002B2074" w:rsidRPr="002B2074" w:rsidRDefault="002B2074" w:rsidP="002B2074">
      <w:pPr>
        <w:spacing w:after="200" w:line="360" w:lineRule="auto"/>
        <w:rPr>
          <w:b/>
          <w:sz w:val="28"/>
          <w:szCs w:val="28"/>
        </w:rPr>
      </w:pPr>
      <w:r w:rsidRPr="002B2074">
        <w:rPr>
          <w:b/>
          <w:sz w:val="28"/>
          <w:szCs w:val="28"/>
        </w:rPr>
        <w:t>Swap Forward Swaption Test</w:t>
      </w:r>
    </w:p>
    <w:p w:rsidR="002B2074" w:rsidRDefault="002B2074" w:rsidP="002B2074">
      <w:pPr>
        <w:spacing w:after="200" w:line="360" w:lineRule="auto"/>
      </w:pPr>
    </w:p>
    <w:p w:rsidR="002B2074" w:rsidRDefault="002B2074" w:rsidP="002B2074">
      <w:pPr>
        <w:pStyle w:val="ListParagraph"/>
        <w:numPr>
          <w:ilvl w:val="0"/>
          <w:numId w:val="197"/>
        </w:numPr>
        <w:spacing w:after="200" w:line="360" w:lineRule="auto"/>
      </w:pPr>
      <w:r w:rsidRPr="002B2074">
        <w:rPr>
          <w:u w:val="single"/>
        </w:rPr>
        <w:t>Swap Exposure Forward Swaption Test</w:t>
      </w:r>
      <w:r>
        <w:t>: For selected trades in the scope for CVA, DRIP tests that the discounted future fully collateralized expected positive or negative exposure EPE or ENE profile of a swap approximately equals the PV of the corresponding forward starting options.</w:t>
      </w:r>
    </w:p>
    <w:p w:rsidR="0049062C" w:rsidRDefault="00756E1B" w:rsidP="002B2074">
      <w:pPr>
        <w:pStyle w:val="ListParagraph"/>
        <w:numPr>
          <w:ilvl w:val="0"/>
          <w:numId w:val="197"/>
        </w:numPr>
        <w:spacing w:after="200" w:line="360" w:lineRule="auto"/>
      </w:pPr>
      <w:r>
        <w:rPr>
          <w:u w:val="single"/>
        </w:rPr>
        <w:t>Settlement Window as Margin Period</w:t>
      </w:r>
      <w:r w:rsidRPr="00756E1B">
        <w:t>:</w:t>
      </w:r>
      <w:r>
        <w:t xml:space="preserve"> These options are to enter or cancel the remaining swap with the time to expiry equal to the length of the total default window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t xml:space="preserve"> - or 14 calendar days by default – when there is no contractual cash flow in the default window (and the collateral threshold and the minimum transfer amount, the MTA, are all zero).</w:t>
      </w:r>
    </w:p>
    <w:p w:rsidR="00756E1B" w:rsidRDefault="00756E1B" w:rsidP="002B2074">
      <w:pPr>
        <w:pStyle w:val="ListParagraph"/>
        <w:numPr>
          <w:ilvl w:val="0"/>
          <w:numId w:val="197"/>
        </w:numPr>
        <w:spacing w:after="200" w:line="360" w:lineRule="auto"/>
      </w:pPr>
      <w:r>
        <w:rPr>
          <w:u w:val="single"/>
        </w:rPr>
        <w:t>Margin Period of Risk Test</w:t>
      </w:r>
      <w:r w:rsidRPr="00756E1B">
        <w:t>:</w:t>
      </w:r>
      <w:r>
        <w:t xml:space="preserve"> The purpose of this test is to test the accuracy of the MPoR (margin period of risk).</w:t>
      </w:r>
    </w:p>
    <w:p w:rsidR="00F1608D" w:rsidRDefault="00BB19AC" w:rsidP="002B2074">
      <w:pPr>
        <w:pStyle w:val="ListParagraph"/>
        <w:numPr>
          <w:ilvl w:val="0"/>
          <w:numId w:val="197"/>
        </w:numPr>
        <w:spacing w:after="200" w:line="360" w:lineRule="auto"/>
      </w:pPr>
      <w:r>
        <w:rPr>
          <w:u w:val="single"/>
        </w:rPr>
        <w:t>MPoR Based EPE and ENE</w:t>
      </w:r>
      <w:r w:rsidRPr="00BB19AC">
        <w:t>:</w:t>
      </w:r>
      <w:r>
        <w:t xml:space="preserve"> More specifically for such a trade</w:t>
      </w:r>
    </w:p>
    <w:p w:rsidR="00F1608D" w:rsidRDefault="00F1608D" w:rsidP="00F1608D">
      <w:pPr>
        <w:pStyle w:val="ListParagraph"/>
        <w:spacing w:after="200" w:line="360" w:lineRule="auto"/>
        <w:ind w:left="360"/>
        <w:rPr>
          <w:u w:val="single"/>
        </w:rPr>
      </w:pPr>
    </w:p>
    <w:p w:rsidR="00F1608D" w:rsidRDefault="00BB19AC" w:rsidP="00F1608D">
      <w:pPr>
        <w:pStyle w:val="ListParagraph"/>
        <w:spacing w:after="200"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oMath>
      </m:oMathPara>
    </w:p>
    <w:p w:rsidR="00F1608D" w:rsidRDefault="00F1608D" w:rsidP="00F1608D">
      <w:pPr>
        <w:pStyle w:val="ListParagraph"/>
        <w:spacing w:after="200" w:line="360" w:lineRule="auto"/>
        <w:ind w:left="360"/>
      </w:pPr>
    </w:p>
    <w:p w:rsidR="00F1608D" w:rsidRDefault="00BB19AC" w:rsidP="00F1608D">
      <w:pPr>
        <w:pStyle w:val="ListParagraph"/>
        <w:spacing w:after="200" w:line="360" w:lineRule="auto"/>
        <w:ind w:left="360"/>
      </w:pPr>
      <w:r>
        <w:t>and</w:t>
      </w:r>
    </w:p>
    <w:p w:rsidR="00F1608D" w:rsidRDefault="00F1608D" w:rsidP="00F1608D">
      <w:pPr>
        <w:pStyle w:val="ListParagraph"/>
        <w:spacing w:after="200" w:line="360" w:lineRule="auto"/>
        <w:ind w:left="360"/>
      </w:pPr>
    </w:p>
    <w:p w:rsidR="00F1608D" w:rsidRDefault="004C57FC" w:rsidP="00F1608D">
      <w:pPr>
        <w:pStyle w:val="ListParagraph"/>
        <w:spacing w:after="200" w:line="360" w:lineRule="auto"/>
        <w:ind w:left="360"/>
      </w:pPr>
      <m:oMathPara>
        <m:oMath>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oMath>
      </m:oMathPara>
    </w:p>
    <w:p w:rsidR="00F1608D" w:rsidRDefault="00F1608D" w:rsidP="00F1608D">
      <w:pPr>
        <w:pStyle w:val="ListParagraph"/>
        <w:spacing w:after="200" w:line="360" w:lineRule="auto"/>
        <w:ind w:left="360"/>
      </w:pPr>
    </w:p>
    <w:p w:rsidR="00F1608D" w:rsidRDefault="00BB19AC" w:rsidP="00F1608D">
      <w:pPr>
        <w:pStyle w:val="ListParagraph"/>
        <w:spacing w:after="200" w:line="360" w:lineRule="auto"/>
        <w:ind w:left="360"/>
      </w:pPr>
      <w:r>
        <w:t>whe</w:t>
      </w:r>
      <w:r w:rsidR="004C57FC">
        <w:t>n</w:t>
      </w:r>
    </w:p>
    <w:p w:rsidR="00F1608D" w:rsidRDefault="00F1608D" w:rsidP="00F1608D">
      <w:pPr>
        <w:pStyle w:val="ListParagraph"/>
        <w:spacing w:after="200" w:line="360" w:lineRule="auto"/>
        <w:ind w:left="360"/>
      </w:pPr>
    </w:p>
    <w:p w:rsidR="00F1608D" w:rsidRDefault="005D6A21"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r>
            <w:rPr>
              <w:rFonts w:ascii="Cambria Math" w:hAnsi="Cambria Math"/>
            </w:rPr>
            <m:t>=0</m:t>
          </m:r>
        </m:oMath>
      </m:oMathPara>
    </w:p>
    <w:p w:rsidR="00F1608D" w:rsidRDefault="00F1608D" w:rsidP="00F1608D">
      <w:pPr>
        <w:pStyle w:val="ListParagraph"/>
        <w:spacing w:after="200" w:line="360" w:lineRule="auto"/>
        <w:ind w:left="360"/>
      </w:pPr>
    </w:p>
    <w:p w:rsidR="00BB19AC" w:rsidRDefault="00BB19AC" w:rsidP="00F1608D">
      <w:pPr>
        <w:pStyle w:val="ListParagraph"/>
        <w:spacing w:after="200" w:line="360" w:lineRule="auto"/>
        <w:ind w:left="360"/>
      </w:pPr>
      <w:r>
        <w:lastRenderedPageBreak/>
        <w:t>where</w:t>
      </w:r>
      <w:r w:rsidR="004C57FC">
        <w:t xml:space="preserve"> </w:t>
      </w:r>
      <m:oMath>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oMath>
      <w:r>
        <w:t xml:space="preserve"> is the cash flow of the total default window conditioned on time </w:t>
      </w:r>
      <m:oMath>
        <m:r>
          <w:rPr>
            <w:rFonts w:ascii="Cambria Math" w:hAnsi="Cambria Math"/>
          </w:rPr>
          <m:t>t</m:t>
        </m:r>
      </m:oMath>
      <w:r w:rsidR="004C57FC">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oMath>
      <w:r>
        <w:t xml:space="preserve"> are the PV’s of the forward starting options to enter and to cancel the underlying trades respectively, with starting time at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oMath>
      <w:r>
        <w:t xml:space="preserve"> and time to expiry of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t xml:space="preserve">, again conditioned on time </w:t>
      </w:r>
      <m:oMath>
        <m:r>
          <w:rPr>
            <w:rFonts w:ascii="Cambria Math" w:hAnsi="Cambria Math"/>
          </w:rPr>
          <m:t>t</m:t>
        </m:r>
      </m:oMath>
      <w:r>
        <w:t>.</w:t>
      </w:r>
    </w:p>
    <w:p w:rsidR="00F1608D" w:rsidRDefault="004C57FC" w:rsidP="004C57FC">
      <w:pPr>
        <w:pStyle w:val="ListParagraph"/>
        <w:numPr>
          <w:ilvl w:val="0"/>
          <w:numId w:val="197"/>
        </w:numPr>
        <w:spacing w:after="200" w:line="360" w:lineRule="auto"/>
      </w:pPr>
      <w:r w:rsidRPr="004C57FC">
        <w:rPr>
          <w:u w:val="single"/>
        </w:rPr>
        <w:t>Corresponding Absolute and Relative Errors</w:t>
      </w:r>
      <w:r w:rsidRPr="004C57FC">
        <w:t>:</w:t>
      </w:r>
      <w:r>
        <w:t xml:space="preserve"> The dollar errors are defined as</w:t>
      </w:r>
    </w:p>
    <w:p w:rsidR="00F1608D" w:rsidRDefault="00F1608D" w:rsidP="00F1608D">
      <w:pPr>
        <w:pStyle w:val="ListParagraph"/>
        <w:spacing w:after="200" w:line="360" w:lineRule="auto"/>
        <w:ind w:left="360"/>
        <w:rPr>
          <w:u w:val="single"/>
        </w:rPr>
      </w:pPr>
    </w:p>
    <w:p w:rsidR="00F1608D" w:rsidRDefault="005D6A21"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EPE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FSOPT-ENTER</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F1608D" w:rsidRDefault="00F1608D" w:rsidP="00F1608D">
      <w:pPr>
        <w:pStyle w:val="ListParagraph"/>
        <w:spacing w:after="200" w:line="360" w:lineRule="auto"/>
        <w:ind w:left="360"/>
      </w:pPr>
    </w:p>
    <w:p w:rsidR="00F1608D" w:rsidRDefault="005D6A21"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ENE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FSOPT-CANCEL</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F1608D" w:rsidRDefault="00F1608D" w:rsidP="00F1608D">
      <w:pPr>
        <w:pStyle w:val="ListParagraph"/>
        <w:spacing w:after="200" w:line="360" w:lineRule="auto"/>
        <w:ind w:left="360"/>
      </w:pPr>
    </w:p>
    <w:p w:rsidR="00F1608D" w:rsidRDefault="004C57FC" w:rsidP="00F1608D">
      <w:pPr>
        <w:pStyle w:val="ListParagraph"/>
        <w:spacing w:after="200" w:line="360" w:lineRule="auto"/>
        <w:ind w:left="360"/>
      </w:pPr>
      <w:r>
        <w:t>and the relative errors as</w:t>
      </w:r>
    </w:p>
    <w:p w:rsidR="00F1608D" w:rsidRDefault="00F1608D" w:rsidP="00F1608D">
      <w:pPr>
        <w:pStyle w:val="ListParagraph"/>
        <w:spacing w:after="200" w:line="360" w:lineRule="auto"/>
        <w:ind w:left="360"/>
      </w:pPr>
    </w:p>
    <w:p w:rsidR="00F1608D" w:rsidRDefault="005D6A21"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m:t>
                          </m:r>
                          <m:r>
                            <w:rPr>
                              <w:rFonts w:ascii="Cambria Math" w:hAnsi="Cambria Math"/>
                            </w:rPr>
                            <m:t>EPE, -AENE</m:t>
                          </m:r>
                        </m:e>
                      </m:d>
                    </m:e>
                  </m:func>
                </m:den>
              </m:f>
            </m:e>
          </m:d>
        </m:oMath>
      </m:oMathPara>
    </w:p>
    <w:p w:rsidR="00F1608D" w:rsidRDefault="00F1608D" w:rsidP="00F1608D">
      <w:pPr>
        <w:pStyle w:val="ListParagraph"/>
        <w:spacing w:after="200" w:line="360" w:lineRule="auto"/>
        <w:ind w:left="360"/>
      </w:pPr>
    </w:p>
    <w:p w:rsidR="004C57FC" w:rsidRPr="00F1608D" w:rsidRDefault="005D6A21"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F1608D" w:rsidRDefault="00F1608D" w:rsidP="00F1608D">
      <w:pPr>
        <w:pStyle w:val="ListParagraph"/>
        <w:spacing w:after="200" w:line="360" w:lineRule="auto"/>
        <w:ind w:left="360"/>
      </w:pPr>
    </w:p>
    <w:p w:rsidR="004C57FC" w:rsidRDefault="004C57FC" w:rsidP="004C57FC">
      <w:pPr>
        <w:pStyle w:val="ListParagraph"/>
        <w:numPr>
          <w:ilvl w:val="0"/>
          <w:numId w:val="197"/>
        </w:numPr>
        <w:spacing w:after="200" w:line="360" w:lineRule="auto"/>
      </w:pPr>
      <w:r>
        <w:rPr>
          <w:u w:val="single"/>
        </w:rPr>
        <w:t>Approximations to the Option Prices</w:t>
      </w:r>
      <w:r>
        <w:t xml:space="preserve">: In most cases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oMath>
      <w:r>
        <w:t xml:space="preserve"> are not readily available, but DRIP uses simple approximations using a Black model.</w:t>
      </w:r>
    </w:p>
    <w:p w:rsidR="00F1608D" w:rsidRDefault="004C57FC" w:rsidP="004C57FC">
      <w:pPr>
        <w:pStyle w:val="ListParagraph"/>
        <w:numPr>
          <w:ilvl w:val="0"/>
          <w:numId w:val="197"/>
        </w:numPr>
        <w:spacing w:after="200" w:line="360" w:lineRule="auto"/>
      </w:pPr>
      <w:r>
        <w:rPr>
          <w:u w:val="single"/>
        </w:rPr>
        <w:t>Delta Based MPoR Valuation Gap</w:t>
      </w:r>
      <w:r w:rsidRPr="004C57FC">
        <w:t>:</w:t>
      </w:r>
      <w:r>
        <w:t xml:space="preserve"> For a linear trade that depends upon on dominant risk factor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one has the following delta risk approximation ignoring the cash flow effects:</w:t>
      </w:r>
    </w:p>
    <w:p w:rsidR="00F1608D" w:rsidRDefault="00F1608D" w:rsidP="00F1608D">
      <w:pPr>
        <w:pStyle w:val="ListParagraph"/>
        <w:spacing w:after="200" w:line="360" w:lineRule="auto"/>
        <w:ind w:left="360"/>
        <w:rPr>
          <w:u w:val="single"/>
        </w:rPr>
      </w:pPr>
    </w:p>
    <w:p w:rsidR="00F1608D" w:rsidRDefault="005D6A21" w:rsidP="00F1608D">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F1608D" w:rsidRDefault="00F1608D" w:rsidP="00F1608D">
      <w:pPr>
        <w:pStyle w:val="ListParagraph"/>
        <w:spacing w:after="200" w:line="360" w:lineRule="auto"/>
        <w:ind w:left="360"/>
      </w:pPr>
    </w:p>
    <w:p w:rsidR="004C57FC" w:rsidRDefault="004C57FC" w:rsidP="00F1608D">
      <w:pPr>
        <w:pStyle w:val="ListParagraph"/>
        <w:spacing w:after="200" w:line="360" w:lineRule="auto"/>
        <w:ind w:left="360"/>
      </w:pPr>
      <w:r>
        <w:lastRenderedPageBreak/>
        <w:t xml:space="preserve">where </w:t>
      </w:r>
      <m:oMath>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oMath>
      <w:r>
        <w:t xml:space="preserve"> is the delta risk corresponding to the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oMath>
      <w:r w:rsidR="009718D4">
        <w:t xml:space="preserve"> of the forward starting trade,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9718D4">
        <w:t xml:space="preserve"> is the time-</w:t>
      </w:r>
      <m:oMath>
        <m:r>
          <w:rPr>
            <w:rFonts w:ascii="Cambria Math" w:hAnsi="Cambria Math"/>
          </w:rPr>
          <m:t>t</m:t>
        </m:r>
      </m:oMath>
      <w:r w:rsidR="009718D4">
        <w:t xml:space="preserve"> forward value, </w:t>
      </w:r>
      <m:oMath>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oMath>
      <w:r w:rsidR="009718D4">
        <w:t xml:space="preserve"> is the time-</w:t>
      </w:r>
      <m:oMath>
        <m:r>
          <w:rPr>
            <w:rFonts w:ascii="Cambria Math" w:hAnsi="Cambria Math"/>
          </w:rPr>
          <m:t>0</m:t>
        </m:r>
      </m:oMath>
      <w:r w:rsidR="009718D4">
        <w:t xml:space="preserve"> forward Black volatility, all as of time-</w:t>
      </w:r>
      <m:oMath>
        <m:r>
          <w:rPr>
            <w:rFonts w:ascii="Cambria Math" w:hAnsi="Cambria Math"/>
          </w:rPr>
          <m:t>0</m:t>
        </m:r>
      </m:oMath>
      <w:r w:rsidR="009718D4">
        <w:t xml:space="preserve"> and assumed non-stochastic,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rsidR="009718D4">
        <w:t xml:space="preserve"> is a standard Brownian motion. The drift terms are ignored due to the relatively short time period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rsidR="009718D4">
        <w:t>.</w:t>
      </w:r>
    </w:p>
    <w:p w:rsidR="00F1608D" w:rsidRDefault="009718D4" w:rsidP="004C57FC">
      <w:pPr>
        <w:pStyle w:val="ListParagraph"/>
        <w:numPr>
          <w:ilvl w:val="0"/>
          <w:numId w:val="197"/>
        </w:numPr>
        <w:spacing w:after="200" w:line="360" w:lineRule="auto"/>
      </w:pPr>
      <w:r>
        <w:rPr>
          <w:u w:val="single"/>
        </w:rPr>
        <w:t>Margin Period Risk Estimate</w:t>
      </w:r>
      <w:r w:rsidRPr="009718D4">
        <w:t>:</w:t>
      </w:r>
      <w:r>
        <w:t xml:space="preserve"> Thus</w:t>
      </w:r>
    </w:p>
    <w:p w:rsidR="00F1608D" w:rsidRDefault="00F1608D" w:rsidP="00F1608D">
      <w:pPr>
        <w:pStyle w:val="ListParagraph"/>
        <w:spacing w:after="200" w:line="360" w:lineRule="auto"/>
        <w:ind w:left="360"/>
        <w:rPr>
          <w:u w:val="single"/>
        </w:rPr>
      </w:pPr>
    </w:p>
    <w:p w:rsidR="00F1608D" w:rsidRDefault="005D6A21"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e>
                <m:sup>
                  <m:r>
                    <w:rPr>
                      <w:rFonts w:ascii="Cambria Math" w:hAnsi="Cambria Math"/>
                    </w:rPr>
                    <m:t>+</m:t>
                  </m:r>
                </m:sup>
              </m:sSup>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e>
                  </m:rad>
                </m:e>
              </m:d>
            </m:num>
            <m:den>
              <m:rad>
                <m:radPr>
                  <m:degHide m:val="1"/>
                  <m:ctrlPr>
                    <w:rPr>
                      <w:rFonts w:ascii="Cambria Math" w:hAnsi="Cambria Math"/>
                      <w:i/>
                    </w:rPr>
                  </m:ctrlPr>
                </m:radPr>
                <m:deg/>
                <m:e>
                  <m:r>
                    <w:rPr>
                      <w:rFonts w:ascii="Cambria Math" w:hAnsi="Cambria Math"/>
                    </w:rPr>
                    <m:t>2π</m:t>
                  </m:r>
                </m:e>
              </m:rad>
            </m:den>
          </m:f>
        </m:oMath>
      </m:oMathPara>
    </w:p>
    <w:p w:rsidR="00F1608D" w:rsidRDefault="00F1608D" w:rsidP="00F1608D">
      <w:pPr>
        <w:pStyle w:val="ListParagraph"/>
        <w:spacing w:after="200" w:line="360" w:lineRule="auto"/>
        <w:ind w:left="360"/>
      </w:pPr>
    </w:p>
    <w:p w:rsidR="009718D4" w:rsidRPr="00F1608D" w:rsidRDefault="005D6A21"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e>
                <m:sup>
                  <m:r>
                    <w:rPr>
                      <w:rFonts w:ascii="Cambria Math" w:hAnsi="Cambria Math"/>
                    </w:rPr>
                    <m:t>-</m:t>
                  </m:r>
                </m:sup>
              </m:sSup>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e>
                  </m:rad>
                </m:e>
              </m:d>
            </m:num>
            <m:den>
              <m:rad>
                <m:radPr>
                  <m:degHide m:val="1"/>
                  <m:ctrlPr>
                    <w:rPr>
                      <w:rFonts w:ascii="Cambria Math" w:hAnsi="Cambria Math"/>
                      <w:i/>
                    </w:rPr>
                  </m:ctrlPr>
                </m:radPr>
                <m:deg/>
                <m:e>
                  <m:r>
                    <w:rPr>
                      <w:rFonts w:ascii="Cambria Math" w:hAnsi="Cambria Math"/>
                    </w:rPr>
                    <m:t>2π</m:t>
                  </m:r>
                </m:e>
              </m:rad>
            </m:den>
          </m:f>
        </m:oMath>
      </m:oMathPara>
    </w:p>
    <w:p w:rsidR="00F1608D" w:rsidRDefault="00F1608D" w:rsidP="00F1608D">
      <w:pPr>
        <w:pStyle w:val="ListParagraph"/>
        <w:spacing w:after="200" w:line="360" w:lineRule="auto"/>
        <w:ind w:left="360"/>
      </w:pPr>
    </w:p>
    <w:p w:rsidR="00F1608D" w:rsidRDefault="00593760" w:rsidP="004C57FC">
      <w:pPr>
        <w:pStyle w:val="ListParagraph"/>
        <w:numPr>
          <w:ilvl w:val="0"/>
          <w:numId w:val="197"/>
        </w:numPr>
        <w:spacing w:after="200" w:line="360" w:lineRule="auto"/>
      </w:pPr>
      <w:r>
        <w:rPr>
          <w:u w:val="single"/>
        </w:rPr>
        <w:t>Expanded EPE and ENE Thresholds</w:t>
      </w:r>
      <w:r>
        <w:t>: Due to various testing approximations involved, DRIP allows more tolerance and requires that the errors be within</w:t>
      </w:r>
    </w:p>
    <w:p w:rsidR="00F1608D" w:rsidRDefault="00F1608D" w:rsidP="00F1608D">
      <w:pPr>
        <w:pStyle w:val="ListParagraph"/>
        <w:spacing w:after="200" w:line="360" w:lineRule="auto"/>
        <w:ind w:left="360"/>
        <w:rPr>
          <w:u w:val="single"/>
        </w:rPr>
      </w:pPr>
    </w:p>
    <w:p w:rsidR="00F1608D" w:rsidRDefault="005D6A21"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F1608D" w:rsidRDefault="00F1608D" w:rsidP="00F1608D">
      <w:pPr>
        <w:pStyle w:val="ListParagraph"/>
        <w:spacing w:after="200" w:line="360" w:lineRule="auto"/>
        <w:ind w:left="360"/>
      </w:pPr>
    </w:p>
    <w:p w:rsidR="00F1608D" w:rsidRDefault="00593760" w:rsidP="00F1608D">
      <w:pPr>
        <w:pStyle w:val="ListParagraph"/>
        <w:spacing w:after="200" w:line="360" w:lineRule="auto"/>
        <w:ind w:left="360"/>
      </w:pPr>
      <w:r>
        <w:t>and</w:t>
      </w:r>
    </w:p>
    <w:p w:rsidR="00F1608D" w:rsidRDefault="00F1608D" w:rsidP="00F1608D">
      <w:pPr>
        <w:pStyle w:val="ListParagraph"/>
        <w:spacing w:after="200" w:line="360" w:lineRule="auto"/>
        <w:ind w:left="360"/>
      </w:pPr>
    </w:p>
    <w:p w:rsidR="00254082" w:rsidRPr="00F1608D" w:rsidRDefault="005D6A21"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F1608D" w:rsidRDefault="00F1608D" w:rsidP="00F1608D">
      <w:pPr>
        <w:pStyle w:val="ListParagraph"/>
        <w:spacing w:after="200" w:line="360" w:lineRule="auto"/>
        <w:ind w:left="360"/>
      </w:pPr>
    </w:p>
    <w:p w:rsidR="00593760" w:rsidRDefault="00593760" w:rsidP="004C57FC">
      <w:pPr>
        <w:pStyle w:val="ListParagraph"/>
        <w:numPr>
          <w:ilvl w:val="0"/>
          <w:numId w:val="197"/>
        </w:numPr>
        <w:spacing w:after="200" w:line="360" w:lineRule="auto"/>
      </w:pPr>
      <w:r>
        <w:rPr>
          <w:u w:val="single"/>
        </w:rPr>
        <w:t>Validation using Vega Based Analysis</w:t>
      </w:r>
      <w:r>
        <w:t>: In case of test failure, vega based error analysis is optionally performed, as is discussed in a later section.</w:t>
      </w:r>
    </w:p>
    <w:p w:rsidR="00593760" w:rsidRDefault="00593760" w:rsidP="004C57FC">
      <w:pPr>
        <w:pStyle w:val="ListParagraph"/>
        <w:numPr>
          <w:ilvl w:val="0"/>
          <w:numId w:val="197"/>
        </w:numPr>
        <w:spacing w:after="200" w:line="360" w:lineRule="auto"/>
      </w:pPr>
      <w:r>
        <w:rPr>
          <w:u w:val="single"/>
        </w:rPr>
        <w:t>Linear Trade Forward Exposure Test</w:t>
      </w:r>
      <w:r w:rsidRPr="00593760">
        <w:t>:</w:t>
      </w:r>
      <w:r>
        <w:t xml:space="preserve"> The following swap forward-swap</w:t>
      </w:r>
      <w:r w:rsidR="00F1608D">
        <w:t xml:space="preserve"> </w:t>
      </w:r>
      <w:r>
        <w:t xml:space="preserve">tests are also performed. For a linear trade the positive and the negative exposures should be </w:t>
      </w:r>
      <w:r>
        <w:lastRenderedPageBreak/>
        <w:t xml:space="preserve">approximately symmetric when there is no contractual cash flow in the default window, </w:t>
      </w:r>
      <w:r w:rsidR="00BD2F0C">
        <w:t>even when the collateral threshold and the MTA are not zero.</w:t>
      </w:r>
    </w:p>
    <w:p w:rsidR="00F1608D" w:rsidRDefault="00BD2F0C" w:rsidP="004C57FC">
      <w:pPr>
        <w:pStyle w:val="ListParagraph"/>
        <w:numPr>
          <w:ilvl w:val="0"/>
          <w:numId w:val="197"/>
        </w:numPr>
        <w:spacing w:after="200" w:line="360" w:lineRule="auto"/>
      </w:pPr>
      <w:r>
        <w:rPr>
          <w:u w:val="single"/>
        </w:rPr>
        <w:t>Forward Swap Exposure Test Errors</w:t>
      </w:r>
      <w:r w:rsidRPr="00BD2F0C">
        <w:t>:</w:t>
      </w:r>
      <w:r>
        <w:t xml:space="preserve"> This can also be used as a simpler test when the time-</w:t>
      </w:r>
      <m:oMath>
        <m:r>
          <w:rPr>
            <w:rFonts w:ascii="Cambria Math" w:hAnsi="Cambria Math"/>
          </w:rPr>
          <m:t>0</m:t>
        </m:r>
      </m:oMath>
      <w:r>
        <w:t xml:space="preserve"> forward Black volatility is not readily available. The dollar errors, ignoring the cash flow effects, are defined as</w:t>
      </w:r>
    </w:p>
    <w:p w:rsidR="00F1608D" w:rsidRDefault="00F1608D" w:rsidP="00F1608D">
      <w:pPr>
        <w:pStyle w:val="ListParagraph"/>
        <w:spacing w:after="200" w:line="360" w:lineRule="auto"/>
        <w:ind w:left="360"/>
        <w:rPr>
          <w:u w:val="single"/>
        </w:rPr>
      </w:pPr>
    </w:p>
    <w:p w:rsidR="00F1608D" w:rsidRPr="00F1608D" w:rsidRDefault="005D6A21"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+ENE</m:t>
                  </m:r>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F1608D" w:rsidRDefault="00F1608D" w:rsidP="00F1608D">
      <w:pPr>
        <w:pStyle w:val="ListParagraph"/>
        <w:spacing w:after="200" w:line="360" w:lineRule="auto"/>
        <w:ind w:left="360"/>
      </w:pPr>
    </w:p>
    <w:p w:rsidR="00F1608D" w:rsidRDefault="00BD2F0C" w:rsidP="00F1608D">
      <w:pPr>
        <w:pStyle w:val="ListParagraph"/>
        <w:spacing w:after="200" w:line="360" w:lineRule="auto"/>
        <w:ind w:left="360"/>
      </w:pPr>
      <w:r>
        <w:t>and the relative errors as</w:t>
      </w:r>
    </w:p>
    <w:p w:rsidR="00F1608D" w:rsidRDefault="00F1608D" w:rsidP="00F1608D">
      <w:pPr>
        <w:pStyle w:val="ListParagraph"/>
        <w:spacing w:after="200" w:line="360" w:lineRule="auto"/>
        <w:ind w:left="360"/>
      </w:pPr>
    </w:p>
    <w:p w:rsidR="00BD2F0C" w:rsidRPr="00F1608D" w:rsidRDefault="005D6A21"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F1608D" w:rsidRPr="00F1608D" w:rsidRDefault="00F1608D" w:rsidP="00F1608D">
      <w:pPr>
        <w:pStyle w:val="ListParagraph"/>
        <w:spacing w:after="200" w:line="360" w:lineRule="auto"/>
        <w:ind w:left="360"/>
      </w:pPr>
    </w:p>
    <w:p w:rsidR="00F1608D" w:rsidRDefault="00BD2F0C" w:rsidP="004C57FC">
      <w:pPr>
        <w:pStyle w:val="ListParagraph"/>
        <w:numPr>
          <w:ilvl w:val="0"/>
          <w:numId w:val="197"/>
        </w:numPr>
        <w:spacing w:after="200" w:line="360" w:lineRule="auto"/>
      </w:pPr>
      <w:r>
        <w:rPr>
          <w:u w:val="single"/>
        </w:rPr>
        <w:t>Expected Exposure Error Threshold Extension</w:t>
      </w:r>
      <w:r>
        <w:t>: Due to various testing approximations involved, more error tolerance is allowed, and the error is required to be</w:t>
      </w:r>
    </w:p>
    <w:p w:rsidR="00F1608D" w:rsidRDefault="00F1608D" w:rsidP="00F1608D">
      <w:pPr>
        <w:pStyle w:val="ListParagraph"/>
        <w:spacing w:after="200" w:line="360" w:lineRule="auto"/>
        <w:ind w:left="360"/>
        <w:rPr>
          <w:u w:val="single"/>
        </w:rPr>
      </w:pPr>
    </w:p>
    <w:p w:rsidR="00BD2F0C" w:rsidRPr="00F1608D" w:rsidRDefault="005D6A21"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EE</m:t>
              </m:r>
            </m:sub>
          </m:sSub>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F1608D" w:rsidRDefault="00F1608D" w:rsidP="00F1608D">
      <w:pPr>
        <w:pStyle w:val="ListParagraph"/>
        <w:spacing w:after="200" w:line="360" w:lineRule="auto"/>
        <w:ind w:left="360"/>
      </w:pPr>
    </w:p>
    <w:p w:rsidR="00233604" w:rsidRDefault="00233604" w:rsidP="004C57FC">
      <w:pPr>
        <w:pStyle w:val="ListParagraph"/>
        <w:numPr>
          <w:ilvl w:val="0"/>
          <w:numId w:val="197"/>
        </w:numPr>
        <w:spacing w:after="200" w:line="360" w:lineRule="auto"/>
      </w:pPr>
      <w:r>
        <w:rPr>
          <w:u w:val="single"/>
        </w:rPr>
        <w:t>Non-linear Trade Exposure Test</w:t>
      </w:r>
      <w:r>
        <w:t>: For a non-linear trade depending on one dominant factor, such as an option, smoothness analysis is first performed by changing the strike or moneyness. Next the moneyness or strike is set to be way in the money so that the trade becomes approximately linear. The above procedure is then repeated.</w:t>
      </w:r>
    </w:p>
    <w:p w:rsidR="00233604" w:rsidRDefault="00233604" w:rsidP="00233604">
      <w:pPr>
        <w:spacing w:after="200" w:line="360" w:lineRule="auto"/>
      </w:pPr>
    </w:p>
    <w:p w:rsidR="00233604" w:rsidRDefault="00233604" w:rsidP="00233604">
      <w:pPr>
        <w:spacing w:after="200" w:line="360" w:lineRule="auto"/>
      </w:pPr>
    </w:p>
    <w:p w:rsidR="00233604" w:rsidRPr="00233604" w:rsidRDefault="00233604" w:rsidP="00233604">
      <w:pPr>
        <w:spacing w:after="200" w:line="360" w:lineRule="auto"/>
        <w:rPr>
          <w:b/>
          <w:sz w:val="28"/>
          <w:szCs w:val="28"/>
        </w:rPr>
      </w:pPr>
      <w:r w:rsidRPr="00233604">
        <w:rPr>
          <w:b/>
          <w:sz w:val="28"/>
          <w:szCs w:val="28"/>
        </w:rPr>
        <w:t>Cash Flow Martingale Target</w:t>
      </w:r>
    </w:p>
    <w:p w:rsidR="00233604" w:rsidRDefault="00233604" w:rsidP="00233604">
      <w:pPr>
        <w:spacing w:after="200" w:line="360" w:lineRule="auto"/>
      </w:pPr>
    </w:p>
    <w:p w:rsidR="00233604" w:rsidRDefault="00233604" w:rsidP="00233604">
      <w:pPr>
        <w:pStyle w:val="ListParagraph"/>
        <w:numPr>
          <w:ilvl w:val="0"/>
          <w:numId w:val="198"/>
        </w:numPr>
        <w:spacing w:after="200" w:line="360" w:lineRule="auto"/>
      </w:pPr>
      <w:r w:rsidRPr="00233604">
        <w:rPr>
          <w:u w:val="single"/>
        </w:rPr>
        <w:lastRenderedPageBreak/>
        <w:t>Individual Cash Flows – Special Considerations</w:t>
      </w:r>
      <w:r>
        <w:t>: The cash flow martingale target is generally the PV of the individual cash flow. Certain cash flows, such as default payments of credit derivatives, require special attention as they tend to be more significant in terms of the order of magnitude.</w:t>
      </w:r>
    </w:p>
    <w:p w:rsidR="00EC169D" w:rsidRDefault="00F1608D" w:rsidP="00233604">
      <w:pPr>
        <w:pStyle w:val="ListParagraph"/>
        <w:numPr>
          <w:ilvl w:val="0"/>
          <w:numId w:val="198"/>
        </w:numPr>
        <w:spacing w:after="200" w:line="360" w:lineRule="auto"/>
      </w:pPr>
      <w:r>
        <w:rPr>
          <w:u w:val="single"/>
        </w:rPr>
        <w:t>CDS Expected Default Cash Flow</w:t>
      </w:r>
      <w:r w:rsidRPr="00F1608D">
        <w:t>:</w:t>
      </w:r>
      <w:r>
        <w:t xml:space="preserve"> For example for a CDS with notional </w:t>
      </w:r>
      <m:oMath>
        <m:r>
          <w:rPr>
            <w:rFonts w:ascii="Cambria Math" w:hAnsi="Cambria Math"/>
          </w:rPr>
          <m:t>N</m:t>
        </m:r>
      </m:oMath>
      <w:r>
        <w:t xml:space="preserve"> and recovery </w:t>
      </w:r>
      <m:oMath>
        <m:r>
          <w:rPr>
            <w:rFonts w:ascii="Cambria Math" w:hAnsi="Cambria Math"/>
          </w:rPr>
          <m:t>R</m:t>
        </m:r>
      </m:oMath>
      <w:r>
        <w:t xml:space="preserve"> the martingale target for the expected default payment cash flow – assuming zero settlement delay – to the protection buyer is given by</w:t>
      </w:r>
    </w:p>
    <w:p w:rsidR="00EC169D" w:rsidRDefault="00EC169D" w:rsidP="00EC169D">
      <w:pPr>
        <w:pStyle w:val="ListParagraph"/>
        <w:spacing w:after="200" w:line="360" w:lineRule="auto"/>
        <w:ind w:left="360"/>
        <w:rPr>
          <w:u w:val="single"/>
        </w:rPr>
      </w:pPr>
    </w:p>
    <w:p w:rsidR="00EC169D" w:rsidRDefault="005D6A21" w:rsidP="00EC169D">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r>
            <w:rPr>
              <w:rFonts w:ascii="Cambria Math" w:hAnsi="Cambria Math"/>
            </w:rPr>
            <m:t>=N</m:t>
          </m:r>
          <m:d>
            <m:dPr>
              <m:ctrlPr>
                <w:rPr>
                  <w:rFonts w:ascii="Cambria Math" w:hAnsi="Cambria Math"/>
                  <w:i/>
                </w:rPr>
              </m:ctrlPr>
            </m:dPr>
            <m:e>
              <m:r>
                <w:rPr>
                  <w:rFonts w:ascii="Cambria Math" w:hAnsi="Cambria Math"/>
                </w:rPr>
                <m:t>1-R</m:t>
              </m:r>
            </m:e>
          </m:d>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0, t</m:t>
                  </m:r>
                </m:sub>
                <m:sup>
                  <m:r>
                    <w:rPr>
                      <w:rFonts w:ascii="Cambria Math" w:hAnsi="Cambria Math"/>
                    </w:rPr>
                    <m:t>D</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0, t-∆</m:t>
                  </m:r>
                  <m:sSub>
                    <m:sSubPr>
                      <m:ctrlPr>
                        <w:rPr>
                          <w:rFonts w:ascii="Cambria Math" w:hAnsi="Cambria Math"/>
                          <w:i/>
                        </w:rPr>
                      </m:ctrlPr>
                    </m:sSubPr>
                    <m:e>
                      <m:r>
                        <w:rPr>
                          <w:rFonts w:ascii="Cambria Math" w:hAnsi="Cambria Math"/>
                        </w:rPr>
                        <m:t>t</m:t>
                      </m:r>
                    </m:e>
                    <m:sub>
                      <m:r>
                        <w:rPr>
                          <w:rFonts w:ascii="Cambria Math" w:hAnsi="Cambria Math"/>
                        </w:rPr>
                        <m:t>td</m:t>
                      </m:r>
                    </m:sub>
                  </m:sSub>
                </m:sub>
                <m:sup>
                  <m:r>
                    <w:rPr>
                      <w:rFonts w:ascii="Cambria Math" w:hAnsi="Cambria Math"/>
                    </w:rPr>
                    <m:t>D</m:t>
                  </m:r>
                </m:sup>
              </m:sSubSup>
            </m:e>
          </m:d>
        </m:oMath>
      </m:oMathPara>
    </w:p>
    <w:p w:rsidR="00EC169D" w:rsidRDefault="00EC169D" w:rsidP="00EC169D">
      <w:pPr>
        <w:pStyle w:val="ListParagraph"/>
        <w:spacing w:after="200" w:line="360" w:lineRule="auto"/>
        <w:ind w:left="360"/>
      </w:pPr>
    </w:p>
    <w:p w:rsidR="00F1608D" w:rsidRDefault="00F1608D" w:rsidP="00EC169D">
      <w:pPr>
        <w:pStyle w:val="ListParagraph"/>
        <w:spacing w:after="200" w:line="360" w:lineRule="auto"/>
        <w:ind w:left="360"/>
      </w:pPr>
      <w:r>
        <w:t xml:space="preserve">where </w:t>
      </w:r>
      <m:oMath>
        <m:sSubSup>
          <m:sSubSupPr>
            <m:ctrlPr>
              <w:rPr>
                <w:rFonts w:ascii="Cambria Math" w:hAnsi="Cambria Math"/>
                <w:i/>
              </w:rPr>
            </m:ctrlPr>
          </m:sSubSupPr>
          <m:e>
            <m:r>
              <w:rPr>
                <w:rFonts w:ascii="Cambria Math" w:hAnsi="Cambria Math"/>
              </w:rPr>
              <m:t>P</m:t>
            </m:r>
          </m:e>
          <m:sub>
            <m:r>
              <w:rPr>
                <w:rFonts w:ascii="Cambria Math" w:hAnsi="Cambria Math"/>
              </w:rPr>
              <m:t>0, t</m:t>
            </m:r>
          </m:sub>
          <m:sup>
            <m:r>
              <w:rPr>
                <w:rFonts w:ascii="Cambria Math" w:hAnsi="Cambria Math"/>
              </w:rPr>
              <m:t>D</m:t>
            </m:r>
          </m:sup>
        </m:sSubSup>
      </m:oMath>
      <w:r>
        <w:t xml:space="preserve"> is the time-</w:t>
      </w:r>
      <m:oMath>
        <m:r>
          <w:rPr>
            <w:rFonts w:ascii="Cambria Math" w:hAnsi="Cambria Math"/>
          </w:rPr>
          <m:t>0</m:t>
        </m:r>
      </m:oMath>
      <w:r>
        <w:t xml:space="preserve"> cumulative default probability up to time-</w:t>
      </w:r>
      <m:oMath>
        <m:r>
          <w:rPr>
            <w:rFonts w:ascii="Cambria Math" w:hAnsi="Cambria Math"/>
          </w:rPr>
          <m:t>t</m:t>
        </m:r>
      </m:oMath>
      <w:r>
        <w:t xml:space="preserve"> of the reference credit of the CDS. The cash flow martingale target is independent of the collateral thresholds and the MTA.</w:t>
      </w:r>
    </w:p>
    <w:p w:rsidR="00F1608D" w:rsidRDefault="00F1608D" w:rsidP="00F1608D">
      <w:pPr>
        <w:spacing w:after="200" w:line="360" w:lineRule="auto"/>
      </w:pPr>
    </w:p>
    <w:p w:rsidR="00F1608D" w:rsidRDefault="00F1608D" w:rsidP="00F1608D">
      <w:pPr>
        <w:spacing w:after="200" w:line="360" w:lineRule="auto"/>
      </w:pPr>
    </w:p>
    <w:p w:rsidR="00F1608D" w:rsidRPr="00EC169D" w:rsidRDefault="00F1608D" w:rsidP="00F1608D">
      <w:pPr>
        <w:spacing w:after="200" w:line="360" w:lineRule="auto"/>
        <w:rPr>
          <w:b/>
          <w:sz w:val="28"/>
          <w:szCs w:val="28"/>
        </w:rPr>
      </w:pPr>
      <w:r w:rsidRPr="00EC169D">
        <w:rPr>
          <w:b/>
          <w:sz w:val="28"/>
          <w:szCs w:val="28"/>
        </w:rPr>
        <w:t>Vega Based Error Analysis</w:t>
      </w:r>
    </w:p>
    <w:p w:rsidR="00F1608D" w:rsidRDefault="00F1608D" w:rsidP="00F1608D">
      <w:pPr>
        <w:spacing w:after="200" w:line="360" w:lineRule="auto"/>
      </w:pPr>
    </w:p>
    <w:p w:rsidR="00F1608D" w:rsidRDefault="00F1608D" w:rsidP="00EC169D">
      <w:pPr>
        <w:pStyle w:val="ListParagraph"/>
        <w:numPr>
          <w:ilvl w:val="0"/>
          <w:numId w:val="199"/>
        </w:numPr>
        <w:spacing w:after="200" w:line="360" w:lineRule="auto"/>
      </w:pPr>
      <w:r w:rsidRPr="00EC169D">
        <w:rPr>
          <w:u w:val="single"/>
        </w:rPr>
        <w:t>ATM Options Vega Risk Metrics</w:t>
      </w:r>
      <w:r>
        <w:t xml:space="preserve">: </w:t>
      </w:r>
      <w:r w:rsidR="00EC169D">
        <w:t xml:space="preserve">In case of the martingale test failure, optionally the vega based error analysis is performed. The time weighted vega of the corresponding ATM options is chosen as the risk metrics </w:t>
      </w:r>
      <m:oMath>
        <m:r>
          <w:rPr>
            <w:rFonts w:ascii="Cambria Math" w:hAnsi="Cambria Math"/>
          </w:rPr>
          <m:t>R</m:t>
        </m:r>
      </m:oMath>
      <w:r w:rsidR="00EC169D">
        <w:t>.</w:t>
      </w:r>
    </w:p>
    <w:p w:rsidR="00C214DA" w:rsidRDefault="00EC169D" w:rsidP="00EC169D">
      <w:pPr>
        <w:pStyle w:val="ListParagraph"/>
        <w:numPr>
          <w:ilvl w:val="0"/>
          <w:numId w:val="199"/>
        </w:numPr>
        <w:spacing w:after="200" w:line="360" w:lineRule="auto"/>
      </w:pPr>
      <w:r>
        <w:rPr>
          <w:u w:val="single"/>
        </w:rPr>
        <w:t>Time Weighted Vega Definition/Formulation</w:t>
      </w:r>
      <w:r w:rsidRPr="00EC169D">
        <w:t>:</w:t>
      </w:r>
      <w:r>
        <w:t xml:space="preserve"> The time weighted vega </w:t>
      </w:r>
      <m:oMath>
        <m:sSub>
          <m:sSubPr>
            <m:ctrlPr>
              <w:rPr>
                <w:rFonts w:ascii="Cambria Math" w:hAnsi="Cambria Math"/>
                <w:i/>
              </w:rPr>
            </m:ctrlPr>
          </m:sSubPr>
          <m:e>
            <m:r>
              <w:rPr>
                <w:rFonts w:ascii="Cambria Math" w:hAnsi="Cambria Math"/>
              </w:rPr>
              <m:t>Vega</m:t>
            </m:r>
          </m:e>
          <m:sub>
            <m:r>
              <w:rPr>
                <w:rFonts w:ascii="Cambria Math" w:hAnsi="Cambria Math"/>
              </w:rPr>
              <m:t>ATM</m:t>
            </m:r>
          </m:sub>
        </m:sSub>
      </m:oMath>
      <w:r>
        <w:t xml:space="preserve"> is defined as</w:t>
      </w:r>
    </w:p>
    <w:p w:rsidR="00C214DA" w:rsidRDefault="00C214DA" w:rsidP="00C214DA">
      <w:pPr>
        <w:pStyle w:val="ListParagraph"/>
        <w:spacing w:after="200" w:line="360" w:lineRule="auto"/>
        <w:ind w:left="360"/>
        <w:rPr>
          <w:u w:val="single"/>
        </w:rPr>
      </w:pPr>
    </w:p>
    <w:p w:rsidR="00C214DA" w:rsidRDefault="005D6A21"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Vega</m:t>
              </m:r>
            </m:e>
            <m:sub>
              <m:r>
                <w:rPr>
                  <w:rFonts w:ascii="Cambria Math" w:hAnsi="Cambria Math"/>
                </w:rPr>
                <m:t>ATM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C214DA" w:rsidRDefault="00C214DA" w:rsidP="00C214DA">
      <w:pPr>
        <w:pStyle w:val="ListParagraph"/>
        <w:spacing w:after="200" w:line="360" w:lineRule="auto"/>
        <w:ind w:left="360"/>
      </w:pPr>
    </w:p>
    <w:p w:rsidR="00EC169D" w:rsidRDefault="00EC169D" w:rsidP="00C214DA">
      <w:pPr>
        <w:pStyle w:val="ListParagraph"/>
        <w:spacing w:after="200" w:line="360" w:lineRule="auto"/>
        <w:ind w:left="360"/>
      </w:pPr>
      <w:r>
        <w:lastRenderedPageBreak/>
        <w:t xml:space="preserve">where </w:t>
      </w:r>
      <m:oMath>
        <m:r>
          <w:rPr>
            <w:rFonts w:ascii="Cambria Math" w:hAnsi="Cambria Math"/>
          </w:rPr>
          <m:t>T</m:t>
        </m:r>
      </m:oMath>
      <w:r>
        <w:t xml:space="preserve"> is the final payment date of the trade and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is the ATM vega of the martingale target corresponding to the exposure (EPE/ENE) at time </w:t>
      </w:r>
      <m:oMath>
        <m:r>
          <w:rPr>
            <w:rFonts w:ascii="Cambria Math" w:hAnsi="Cambria Math"/>
          </w:rPr>
          <m:t>t</m:t>
        </m:r>
      </m:oMath>
      <w:r>
        <w:t xml:space="preserve"> conditional on time </w:t>
      </w:r>
      <m:oMath>
        <m:r>
          <w:rPr>
            <w:rFonts w:ascii="Cambria Math" w:hAnsi="Cambria Math"/>
          </w:rPr>
          <m:t>0</m:t>
        </m:r>
      </m:oMath>
      <w:r>
        <w:t>.</w:t>
      </w:r>
    </w:p>
    <w:p w:rsidR="004D7CF0" w:rsidRDefault="004D7CF0" w:rsidP="00EC169D">
      <w:pPr>
        <w:pStyle w:val="ListParagraph"/>
        <w:numPr>
          <w:ilvl w:val="0"/>
          <w:numId w:val="199"/>
        </w:numPr>
        <w:spacing w:after="200" w:line="360" w:lineRule="auto"/>
      </w:pPr>
      <w:r>
        <w:rPr>
          <w:u w:val="single"/>
        </w:rPr>
        <w:t>Rationale behind Time Weighted Vega</w:t>
      </w:r>
      <w:r w:rsidRPr="004D7CF0">
        <w:t>:</w:t>
      </w:r>
      <w:r>
        <w:t xml:space="preserve"> ATM vega is used because it is the maximum absolute of the value of the vega of the corresponding trade with different moneyness.</w:t>
      </w:r>
    </w:p>
    <w:p w:rsidR="00C214DA" w:rsidRDefault="004D7CF0" w:rsidP="00EC169D">
      <w:pPr>
        <w:pStyle w:val="ListParagraph"/>
        <w:numPr>
          <w:ilvl w:val="0"/>
          <w:numId w:val="199"/>
        </w:numPr>
        <w:spacing w:after="200" w:line="360" w:lineRule="auto"/>
      </w:pPr>
      <w:r>
        <w:rPr>
          <w:u w:val="single"/>
        </w:rPr>
        <w:t>Vega Based EPE/ENE Errors</w:t>
      </w:r>
      <w:r w:rsidRPr="004D7CF0">
        <w:t>:</w:t>
      </w:r>
      <w:r>
        <w:t xml:space="preserve"> The vega based errors are</w:t>
      </w:r>
    </w:p>
    <w:p w:rsidR="00C214DA" w:rsidRDefault="00C214DA" w:rsidP="00C214DA">
      <w:pPr>
        <w:pStyle w:val="ListParagraph"/>
        <w:spacing w:after="200" w:line="360" w:lineRule="auto"/>
        <w:ind w:left="360"/>
        <w:rPr>
          <w:u w:val="single"/>
        </w:rPr>
      </w:pPr>
    </w:p>
    <w:p w:rsidR="00C214DA" w:rsidRDefault="005D6A21"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 VEGA</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num>
                <m:den>
                  <m:sSub>
                    <m:sSubPr>
                      <m:ctrlPr>
                        <w:rPr>
                          <w:rFonts w:ascii="Cambria Math" w:hAnsi="Cambria Math"/>
                          <w:i/>
                        </w:rPr>
                      </m:ctrlPr>
                    </m:sSubPr>
                    <m:e>
                      <m:r>
                        <w:rPr>
                          <w:rFonts w:ascii="Cambria Math" w:hAnsi="Cambria Math"/>
                        </w:rPr>
                        <m:t>Vega</m:t>
                      </m:r>
                    </m:e>
                    <m:sub>
                      <m:r>
                        <w:rPr>
                          <w:rFonts w:ascii="Cambria Math" w:hAnsi="Cambria Math"/>
                        </w:rPr>
                        <m:t>ATM</m:t>
                      </m:r>
                    </m:sub>
                  </m:sSub>
                </m:den>
              </m:f>
            </m:e>
          </m:d>
        </m:oMath>
      </m:oMathPara>
    </w:p>
    <w:p w:rsidR="00C214DA" w:rsidRDefault="00C214DA" w:rsidP="00C214DA">
      <w:pPr>
        <w:pStyle w:val="ListParagraph"/>
        <w:spacing w:after="200" w:line="360" w:lineRule="auto"/>
        <w:ind w:left="360"/>
      </w:pPr>
    </w:p>
    <w:p w:rsidR="004D7CF0" w:rsidRPr="00C214DA" w:rsidRDefault="005D6A21"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 VEGA</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num>
                <m:den>
                  <m:sSub>
                    <m:sSubPr>
                      <m:ctrlPr>
                        <w:rPr>
                          <w:rFonts w:ascii="Cambria Math" w:hAnsi="Cambria Math"/>
                          <w:i/>
                        </w:rPr>
                      </m:ctrlPr>
                    </m:sSubPr>
                    <m:e>
                      <m:r>
                        <w:rPr>
                          <w:rFonts w:ascii="Cambria Math" w:hAnsi="Cambria Math"/>
                        </w:rPr>
                        <m:t>Vega</m:t>
                      </m:r>
                    </m:e>
                    <m:sub>
                      <m:r>
                        <w:rPr>
                          <w:rFonts w:ascii="Cambria Math" w:hAnsi="Cambria Math"/>
                        </w:rPr>
                        <m:t>ATM</m:t>
                      </m:r>
                    </m:sub>
                  </m:sSub>
                </m:den>
              </m:f>
            </m:e>
          </m:d>
        </m:oMath>
      </m:oMathPara>
    </w:p>
    <w:p w:rsidR="00C214DA" w:rsidRDefault="00C214DA" w:rsidP="00C214DA">
      <w:pPr>
        <w:pStyle w:val="ListParagraph"/>
        <w:spacing w:after="200" w:line="360" w:lineRule="auto"/>
        <w:ind w:left="360"/>
      </w:pPr>
    </w:p>
    <w:p w:rsidR="00C214DA" w:rsidRDefault="00C62CF2" w:rsidP="00EC169D">
      <w:pPr>
        <w:pStyle w:val="ListParagraph"/>
        <w:numPr>
          <w:ilvl w:val="0"/>
          <w:numId w:val="199"/>
        </w:numPr>
        <w:spacing w:after="200" w:line="360" w:lineRule="auto"/>
      </w:pPr>
      <w:r>
        <w:rPr>
          <w:u w:val="single"/>
        </w:rPr>
        <w:t>Vega Based EPE/ENE Thresholds</w:t>
      </w:r>
      <w:r>
        <w:t>: DRIP requires that the errors</w:t>
      </w:r>
    </w:p>
    <w:p w:rsidR="00C214DA" w:rsidRDefault="00C214DA" w:rsidP="00C214DA">
      <w:pPr>
        <w:pStyle w:val="ListParagraph"/>
        <w:spacing w:after="200" w:line="360" w:lineRule="auto"/>
        <w:ind w:left="360"/>
        <w:rPr>
          <w:u w:val="single"/>
        </w:rPr>
      </w:pPr>
    </w:p>
    <w:p w:rsidR="00C214DA" w:rsidRDefault="005D6A21"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 VEGA</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C214DA" w:rsidRDefault="00C214DA" w:rsidP="00C214DA">
      <w:pPr>
        <w:pStyle w:val="ListParagraph"/>
        <w:spacing w:after="200" w:line="360" w:lineRule="auto"/>
        <w:ind w:left="360"/>
      </w:pPr>
    </w:p>
    <w:p w:rsidR="00C214DA" w:rsidRDefault="00C62CF2" w:rsidP="00C214DA">
      <w:pPr>
        <w:pStyle w:val="ListParagraph"/>
        <w:spacing w:after="200" w:line="360" w:lineRule="auto"/>
        <w:ind w:left="360"/>
      </w:pPr>
      <w:r>
        <w:t>and</w:t>
      </w:r>
    </w:p>
    <w:p w:rsidR="00C214DA" w:rsidRDefault="00C214DA" w:rsidP="00C214DA">
      <w:pPr>
        <w:pStyle w:val="ListParagraph"/>
        <w:spacing w:after="200" w:line="360" w:lineRule="auto"/>
        <w:ind w:left="360"/>
      </w:pPr>
    </w:p>
    <w:p w:rsidR="00C214DA" w:rsidRDefault="005D6A21"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 VEGA</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C214DA" w:rsidRDefault="00C214DA" w:rsidP="00C214DA">
      <w:pPr>
        <w:pStyle w:val="ListParagraph"/>
        <w:spacing w:after="200" w:line="360" w:lineRule="auto"/>
        <w:ind w:left="360"/>
      </w:pPr>
    </w:p>
    <w:p w:rsidR="00C214DA" w:rsidRDefault="00C62CF2" w:rsidP="00C214DA">
      <w:pPr>
        <w:pStyle w:val="ListParagraph"/>
        <w:spacing w:after="200" w:line="360" w:lineRule="auto"/>
        <w:ind w:left="360"/>
      </w:pPr>
      <w:r>
        <w:t xml:space="preserve">where the threshold </w:t>
      </w:r>
      <m:oMath>
        <m:sSub>
          <m:sSubPr>
            <m:ctrlPr>
              <w:rPr>
                <w:rFonts w:ascii="Cambria Math" w:hAnsi="Cambria Math"/>
                <w:i/>
              </w:rPr>
            </m:ctrlPr>
          </m:sSubPr>
          <m:e>
            <m:r>
              <w:rPr>
                <w:rFonts w:ascii="Cambria Math" w:hAnsi="Cambria Math"/>
              </w:rPr>
              <m:t>e</m:t>
            </m:r>
          </m:e>
          <m:sub>
            <m:r>
              <w:rPr>
                <w:rFonts w:ascii="Cambria Math" w:hAnsi="Cambria Math"/>
              </w:rPr>
              <m:t>VEGA</m:t>
            </m:r>
          </m:sub>
        </m:sSub>
      </m:oMath>
      <w:r>
        <w:t xml:space="preserve"> is defined from</w:t>
      </w:r>
    </w:p>
    <w:p w:rsidR="00C214DA" w:rsidRDefault="00C214DA" w:rsidP="00C214DA">
      <w:pPr>
        <w:pStyle w:val="ListParagraph"/>
        <w:spacing w:after="200" w:line="360" w:lineRule="auto"/>
        <w:ind w:left="360"/>
      </w:pPr>
    </w:p>
    <w:p w:rsidR="00C62CF2" w:rsidRPr="00C214DA" w:rsidRDefault="005D6A21"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C214DA" w:rsidRDefault="00C214DA" w:rsidP="00C214DA">
      <w:pPr>
        <w:pStyle w:val="ListParagraph"/>
        <w:spacing w:after="200" w:line="360" w:lineRule="auto"/>
        <w:ind w:left="360"/>
      </w:pPr>
    </w:p>
    <w:p w:rsidR="00C62CF2" w:rsidRDefault="00C62CF2" w:rsidP="00EC169D">
      <w:pPr>
        <w:pStyle w:val="ListParagraph"/>
        <w:numPr>
          <w:ilvl w:val="0"/>
          <w:numId w:val="199"/>
        </w:numPr>
        <w:spacing w:after="200" w:line="360" w:lineRule="auto"/>
      </w:pPr>
      <w:r>
        <w:rPr>
          <w:u w:val="single"/>
        </w:rPr>
        <w:t>Vega Based Error Analysis - Illustration</w:t>
      </w:r>
      <w:r>
        <w:t xml:space="preserve">: This section uses the commodity trade valuation as an example to illustrate the details of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for the vega-based error analysis for the case of one cash flow test, swap-forward-swap test, and swap-swaption test.</w:t>
      </w:r>
    </w:p>
    <w:p w:rsidR="00C62CF2" w:rsidRDefault="00C62CF2" w:rsidP="00EC169D">
      <w:pPr>
        <w:pStyle w:val="ListParagraph"/>
        <w:numPr>
          <w:ilvl w:val="0"/>
          <w:numId w:val="199"/>
        </w:numPr>
        <w:spacing w:after="200" w:line="360" w:lineRule="auto"/>
      </w:pPr>
      <w:r>
        <w:rPr>
          <w:u w:val="single"/>
        </w:rPr>
        <w:t>ATM Commodity Swap Option Vega</w:t>
      </w:r>
      <w:r w:rsidRPr="00C62CF2">
        <w:t>:</w:t>
      </w:r>
      <w:r>
        <w:t xml:space="preserve"> For swaps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is the vega for the option to enter the ATM swap with expiry at time </w:t>
      </w:r>
      <m:oMath>
        <m:r>
          <w:rPr>
            <w:rFonts w:ascii="Cambria Math" w:hAnsi="Cambria Math"/>
          </w:rPr>
          <m:t>t</m:t>
        </m:r>
      </m:oMath>
      <w:r>
        <w:t>.</w:t>
      </w:r>
    </w:p>
    <w:p w:rsidR="00C214DA" w:rsidRDefault="00B5212D" w:rsidP="00EC169D">
      <w:pPr>
        <w:pStyle w:val="ListParagraph"/>
        <w:numPr>
          <w:ilvl w:val="0"/>
          <w:numId w:val="199"/>
        </w:numPr>
        <w:spacing w:after="200" w:line="360" w:lineRule="auto"/>
      </w:pPr>
      <w:r>
        <w:rPr>
          <w:u w:val="single"/>
        </w:rPr>
        <w:lastRenderedPageBreak/>
        <w:t>European Swap Options ATM Vega</w:t>
      </w:r>
      <w:r w:rsidRPr="00B5212D">
        <w:t>:</w:t>
      </w:r>
      <w:r>
        <w:t xml:space="preserve"> For one cash flow options such as European swaptions and options</w:t>
      </w:r>
    </w:p>
    <w:p w:rsidR="00C214DA" w:rsidRDefault="00C214DA" w:rsidP="00C214DA">
      <w:pPr>
        <w:pStyle w:val="ListParagraph"/>
        <w:spacing w:after="200" w:line="360" w:lineRule="auto"/>
        <w:ind w:left="360"/>
        <w:rPr>
          <w:u w:val="single"/>
        </w:rPr>
      </w:pPr>
    </w:p>
    <w:p w:rsidR="00C214DA" w:rsidRDefault="005D6A21"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m:oMathPara>
    </w:p>
    <w:p w:rsidR="00C214DA" w:rsidRDefault="00C214DA" w:rsidP="00C214DA">
      <w:pPr>
        <w:pStyle w:val="ListParagraph"/>
        <w:spacing w:after="200" w:line="360" w:lineRule="auto"/>
        <w:ind w:left="360"/>
      </w:pPr>
    </w:p>
    <w:p w:rsidR="00C214DA" w:rsidRDefault="00B5212D" w:rsidP="00C214DA">
      <w:pPr>
        <w:pStyle w:val="ListParagraph"/>
        <w:spacing w:after="200" w:line="360" w:lineRule="auto"/>
        <w:ind w:left="360"/>
      </w:pPr>
      <w:r>
        <w:t>with discounting. Therefore</w:t>
      </w:r>
    </w:p>
    <w:p w:rsidR="00C214DA" w:rsidRDefault="00C214DA" w:rsidP="00C214DA">
      <w:pPr>
        <w:pStyle w:val="ListParagraph"/>
        <w:spacing w:after="200" w:line="360" w:lineRule="auto"/>
        <w:ind w:left="360"/>
      </w:pPr>
    </w:p>
    <w:p w:rsidR="00B5212D" w:rsidRPr="00C214DA" w:rsidRDefault="005D6A21"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Vega</m:t>
              </m:r>
            </m:e>
            <m:sub>
              <m:r>
                <w:rPr>
                  <w:rFonts w:ascii="Cambria Math" w:hAnsi="Cambria Math"/>
                </w:rPr>
                <m:t>ATM</m:t>
              </m:r>
            </m:sub>
          </m:sSub>
          <m:r>
            <w:rPr>
              <w:rFonts w:ascii="Cambria Math" w:hAnsi="Cambria Math"/>
            </w:rPr>
            <m:t>=</m:t>
          </m:r>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m:oMathPara>
    </w:p>
    <w:p w:rsidR="00C214DA" w:rsidRDefault="00C214DA" w:rsidP="00C214DA">
      <w:pPr>
        <w:pStyle w:val="ListParagraph"/>
        <w:spacing w:after="200" w:line="360" w:lineRule="auto"/>
        <w:ind w:left="360"/>
      </w:pPr>
    </w:p>
    <w:p w:rsidR="00B5212D" w:rsidRDefault="00B5212D" w:rsidP="00EC169D">
      <w:pPr>
        <w:pStyle w:val="ListParagraph"/>
        <w:numPr>
          <w:ilvl w:val="0"/>
          <w:numId w:val="199"/>
        </w:numPr>
        <w:spacing w:after="200" w:line="360" w:lineRule="auto"/>
      </w:pPr>
      <w:r>
        <w:rPr>
          <w:u w:val="single"/>
        </w:rPr>
        <w:t>E</w:t>
      </w:r>
      <w:r w:rsidR="00C214DA">
        <w:rPr>
          <w:u w:val="single"/>
        </w:rPr>
        <w:t>stimating the Initial ATM Vega</w:t>
      </w:r>
      <w:r w:rsidR="00C214DA">
        <w:t xml:space="preserve">: In case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w:r w:rsidR="00C214DA">
        <w:t xml:space="preserve"> cannot be directly retrieved from the underlying trade, it can be obtained from an option with the strike set as the time-</w:t>
      </w:r>
      <m:oMath>
        <m:r>
          <w:rPr>
            <w:rFonts w:ascii="Cambria Math" w:hAnsi="Cambria Math"/>
          </w:rPr>
          <m:t>0</m:t>
        </m:r>
      </m:oMath>
      <w:r w:rsidR="00C214DA">
        <w:t xml:space="preserve"> forward price.</w:t>
      </w:r>
    </w:p>
    <w:p w:rsidR="00C214DA" w:rsidRDefault="00C214DA" w:rsidP="00EC169D">
      <w:pPr>
        <w:pStyle w:val="ListParagraph"/>
        <w:numPr>
          <w:ilvl w:val="0"/>
          <w:numId w:val="199"/>
        </w:numPr>
        <w:spacing w:after="200" w:line="360" w:lineRule="auto"/>
      </w:pPr>
      <w:r>
        <w:rPr>
          <w:u w:val="single"/>
        </w:rPr>
        <w:t>Options with Multiple Cash Flows</w:t>
      </w:r>
      <w:r w:rsidRPr="00C214DA">
        <w:t>:</w:t>
      </w:r>
      <w:r>
        <w:t xml:space="preserve"> For options with multiple cash flows, such as the commodity Asian options with monthly payments,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is the ATM vega for the remaining options at time </w:t>
      </w:r>
      <m:oMath>
        <m:r>
          <w:rPr>
            <w:rFonts w:ascii="Cambria Math" w:hAnsi="Cambria Math"/>
          </w:rPr>
          <m:t>t</m:t>
        </m:r>
      </m:oMath>
      <w:r>
        <w:t xml:space="preserve">. To simplify the analysis,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w:r>
        <w:t xml:space="preserve"> may be used as an approximation for </w:t>
      </w:r>
      <m:oMath>
        <m:sSub>
          <m:sSubPr>
            <m:ctrlPr>
              <w:rPr>
                <w:rFonts w:ascii="Cambria Math" w:hAnsi="Cambria Math"/>
                <w:i/>
              </w:rPr>
            </m:ctrlPr>
          </m:sSubPr>
          <m:e>
            <m:r>
              <w:rPr>
                <w:rFonts w:ascii="Cambria Math" w:hAnsi="Cambria Math"/>
              </w:rPr>
              <m:t>Vega</m:t>
            </m:r>
          </m:e>
          <m:sub>
            <m:r>
              <w:rPr>
                <w:rFonts w:ascii="Cambria Math" w:hAnsi="Cambria Math"/>
              </w:rPr>
              <m:t>ATM</m:t>
            </m:r>
          </m:sub>
        </m:sSub>
      </m:oMath>
      <w:r>
        <w:t>.</w:t>
      </w:r>
    </w:p>
    <w:p w:rsidR="00076DD3" w:rsidRDefault="00076DD3" w:rsidP="00076DD3">
      <w:pPr>
        <w:spacing w:after="200" w:line="360" w:lineRule="auto"/>
      </w:pPr>
    </w:p>
    <w:p w:rsidR="00076DD3" w:rsidRDefault="00076DD3" w:rsidP="00076DD3">
      <w:pPr>
        <w:spacing w:after="200" w:line="360" w:lineRule="auto"/>
      </w:pPr>
    </w:p>
    <w:p w:rsidR="00076DD3" w:rsidRPr="00076DD3" w:rsidRDefault="00076DD3" w:rsidP="00076DD3">
      <w:pPr>
        <w:spacing w:after="200" w:line="360" w:lineRule="auto"/>
        <w:rPr>
          <w:b/>
          <w:sz w:val="28"/>
          <w:szCs w:val="28"/>
        </w:rPr>
      </w:pPr>
      <w:r w:rsidRPr="00076DD3">
        <w:rPr>
          <w:b/>
          <w:sz w:val="28"/>
          <w:szCs w:val="28"/>
        </w:rPr>
        <w:t>At the State Variable Level</w:t>
      </w:r>
    </w:p>
    <w:p w:rsidR="00076DD3" w:rsidRDefault="00076DD3" w:rsidP="00076DD3">
      <w:pPr>
        <w:spacing w:after="200" w:line="360" w:lineRule="auto"/>
      </w:pPr>
    </w:p>
    <w:p w:rsidR="00076DD3" w:rsidRDefault="00076DD3" w:rsidP="00076DD3">
      <w:pPr>
        <w:pStyle w:val="ListParagraph"/>
        <w:numPr>
          <w:ilvl w:val="0"/>
          <w:numId w:val="200"/>
        </w:numPr>
        <w:spacing w:after="200" w:line="360" w:lineRule="auto"/>
      </w:pPr>
      <w:r w:rsidRPr="00076DD3">
        <w:rPr>
          <w:u w:val="single"/>
        </w:rPr>
        <w:t>State Variable Level Martingale Testing</w:t>
      </w:r>
      <w:r>
        <w:t>: At the state variable level, martingale testing is used to optionally test the following martingale relationships under LIBOR discounting. The purpose of these tests is to gain the transparency and intuition on the CVA simulation results.</w:t>
      </w:r>
    </w:p>
    <w:p w:rsidR="00076DD3" w:rsidRDefault="00076DD3" w:rsidP="00076DD3">
      <w:pPr>
        <w:pStyle w:val="ListParagraph"/>
        <w:numPr>
          <w:ilvl w:val="0"/>
          <w:numId w:val="200"/>
        </w:numPr>
        <w:spacing w:after="200" w:line="360" w:lineRule="auto"/>
      </w:pPr>
      <w:r>
        <w:rPr>
          <w:u w:val="single"/>
        </w:rPr>
        <w:t>Failure of CVA/Pricing Models</w:t>
      </w:r>
      <w:r w:rsidRPr="00076DD3">
        <w:t>:</w:t>
      </w:r>
      <w:r>
        <w:t xml:space="preserve"> These tests are optional and considered only of the combination of the CVA simulation and the pricing models in the next section for simple/linear trades fail. The success criterion for these tests is that the error is less than two times the Monte Carlo error.</w:t>
      </w:r>
    </w:p>
    <w:p w:rsidR="00076DD3" w:rsidRDefault="00076DD3" w:rsidP="00076DD3">
      <w:pPr>
        <w:pStyle w:val="ListParagraph"/>
        <w:numPr>
          <w:ilvl w:val="0"/>
          <w:numId w:val="200"/>
        </w:numPr>
        <w:spacing w:after="200" w:line="360" w:lineRule="auto"/>
      </w:pPr>
      <w:r>
        <w:rPr>
          <w:u w:val="single"/>
        </w:rPr>
        <w:lastRenderedPageBreak/>
        <w:t>Criterion for Materiality Issues Treatment</w:t>
      </w:r>
      <w:r w:rsidRPr="00076DD3">
        <w:t>:</w:t>
      </w:r>
      <w:r>
        <w:t xml:space="preserve"> In rare cases the simulations not satisfying this requirement are considered to have material issues only if they are deemed to have issues relevant issues by other tests in the later sections.</w:t>
      </w:r>
    </w:p>
    <w:p w:rsidR="00076DD3" w:rsidRDefault="00076DD3" w:rsidP="00076DD3">
      <w:pPr>
        <w:pStyle w:val="ListParagraph"/>
        <w:numPr>
          <w:ilvl w:val="0"/>
          <w:numId w:val="200"/>
        </w:numPr>
        <w:spacing w:after="200" w:line="360" w:lineRule="auto"/>
      </w:pPr>
      <w:r>
        <w:rPr>
          <w:u w:val="single"/>
        </w:rPr>
        <w:t>Forward LIBOR Rate Martingale Test</w:t>
      </w:r>
      <w:r w:rsidRPr="00076DD3">
        <w:t>:</w:t>
      </w:r>
      <w:r>
        <w:t xml:space="preserve"> Forward LIBOR is a martingale under the corresponding forward measure.</w:t>
      </w:r>
    </w:p>
    <w:p w:rsidR="0070072D" w:rsidRDefault="0070072D" w:rsidP="00076DD3">
      <w:pPr>
        <w:pStyle w:val="ListParagraph"/>
        <w:numPr>
          <w:ilvl w:val="0"/>
          <w:numId w:val="200"/>
        </w:numPr>
        <w:spacing w:after="200" w:line="360" w:lineRule="auto"/>
      </w:pPr>
      <w:r>
        <w:rPr>
          <w:u w:val="single"/>
        </w:rPr>
        <w:t>Forward Swap Rate Martingale Test</w:t>
      </w:r>
      <w:r w:rsidRPr="0070072D">
        <w:t>:</w:t>
      </w:r>
      <w:r>
        <w:t xml:space="preserve"> Forward swap rate is a martingale under the corresponding annuity measure.</w:t>
      </w:r>
    </w:p>
    <w:p w:rsidR="0070072D" w:rsidRDefault="0070072D" w:rsidP="00076DD3">
      <w:pPr>
        <w:pStyle w:val="ListParagraph"/>
        <w:numPr>
          <w:ilvl w:val="0"/>
          <w:numId w:val="200"/>
        </w:numPr>
        <w:spacing w:after="200" w:line="360" w:lineRule="auto"/>
      </w:pPr>
      <w:r>
        <w:rPr>
          <w:u w:val="single"/>
        </w:rPr>
        <w:t>Forward FX Rate Martingale Test</w:t>
      </w:r>
      <w:r w:rsidRPr="0070072D">
        <w:t>:</w:t>
      </w:r>
      <w:r>
        <w:t xml:space="preserve"> Forward FX rate – the price of a unit of </w:t>
      </w:r>
      <w:r w:rsidR="00BE1026">
        <w:t>foreign currency in terms of the domestic currency – is a martingale under the corresponding domestic forward measure.</w:t>
      </w:r>
    </w:p>
    <w:p w:rsidR="00BE1026" w:rsidRDefault="00BE1026" w:rsidP="00076DD3">
      <w:pPr>
        <w:pStyle w:val="ListParagraph"/>
        <w:numPr>
          <w:ilvl w:val="0"/>
          <w:numId w:val="200"/>
        </w:numPr>
        <w:spacing w:after="200" w:line="360" w:lineRule="auto"/>
      </w:pPr>
      <w:r>
        <w:rPr>
          <w:u w:val="single"/>
        </w:rPr>
        <w:t>Forward CDS Rate Martingale Test</w:t>
      </w:r>
      <w:r w:rsidRPr="00BE1026">
        <w:t>:</w:t>
      </w:r>
      <w:r>
        <w:t xml:space="preserve"> Forward CDS rate is a martingale under the corresponding survival annuity measure.</w:t>
      </w:r>
    </w:p>
    <w:p w:rsidR="00BE1026" w:rsidRDefault="00BE1026" w:rsidP="00076DD3">
      <w:pPr>
        <w:pStyle w:val="ListParagraph"/>
        <w:numPr>
          <w:ilvl w:val="0"/>
          <w:numId w:val="200"/>
        </w:numPr>
        <w:spacing w:after="200" w:line="360" w:lineRule="auto"/>
      </w:pPr>
      <w:r>
        <w:rPr>
          <w:u w:val="single"/>
        </w:rPr>
        <w:t>Forward Default Probability Martingale Test</w:t>
      </w:r>
      <w:r w:rsidRPr="00BE1026">
        <w:t>:</w:t>
      </w:r>
      <w:r>
        <w:t xml:space="preserve"> Default probability of a given credit name is a martingale under the risk neutral measure of the same currency when the interest rate is deterministic.</w:t>
      </w:r>
    </w:p>
    <w:p w:rsidR="00B24EE6" w:rsidRDefault="00B24EE6" w:rsidP="00076DD3">
      <w:pPr>
        <w:pStyle w:val="ListParagraph"/>
        <w:numPr>
          <w:ilvl w:val="0"/>
          <w:numId w:val="200"/>
        </w:numPr>
        <w:spacing w:after="200" w:line="360" w:lineRule="auto"/>
      </w:pPr>
      <w:r>
        <w:rPr>
          <w:u w:val="single"/>
        </w:rPr>
        <w:t>Risk Neutral Measure Future Prices</w:t>
      </w:r>
      <w:r w:rsidRPr="00B24EE6">
        <w:t>:</w:t>
      </w:r>
      <w:r>
        <w:t xml:space="preserve"> Future prices are martingales under the risk neutral measure of the same currency.</w:t>
      </w:r>
    </w:p>
    <w:p w:rsidR="00B24EE6" w:rsidRDefault="00B24EE6" w:rsidP="00B24EE6">
      <w:pPr>
        <w:pStyle w:val="ListParagraph"/>
        <w:numPr>
          <w:ilvl w:val="0"/>
          <w:numId w:val="200"/>
        </w:numPr>
        <w:spacing w:after="200" w:line="360" w:lineRule="auto"/>
      </w:pPr>
      <w:r>
        <w:rPr>
          <w:u w:val="single"/>
        </w:rPr>
        <w:t>Discounted Stock Price Martingale Test</w:t>
      </w:r>
      <w:r w:rsidRPr="00B24EE6">
        <w:t>:</w:t>
      </w:r>
      <w:r>
        <w:t xml:space="preserve"> Properly discounted stock prices (plus all the dividends paid in the relevant time interval) are a martingale under the risk neutral measure of the same currency.</w:t>
      </w:r>
    </w:p>
    <w:p w:rsidR="00B24EE6" w:rsidRDefault="00B24EE6" w:rsidP="00B24EE6">
      <w:pPr>
        <w:pStyle w:val="ListParagraph"/>
        <w:numPr>
          <w:ilvl w:val="0"/>
          <w:numId w:val="200"/>
        </w:numPr>
        <w:spacing w:after="200" w:line="360" w:lineRule="auto"/>
      </w:pPr>
      <w:r>
        <w:rPr>
          <w:u w:val="single"/>
        </w:rPr>
        <w:t>Input/Realized Volatility Profile Reconciliations</w:t>
      </w:r>
      <w:r w:rsidRPr="00B24EE6">
        <w:t>:</w:t>
      </w:r>
      <w:r>
        <w:t xml:space="preserve"> The volatility profile is reported as a function of the simulation time of selected risk factors and market observable variables realized in the CVA simulation. These are compared with the observed or input ATM volatility if applicable. The success criterion for these tests is that the error is less than 1.5 Black volatility points.</w:t>
      </w:r>
    </w:p>
    <w:p w:rsidR="00B24EE6" w:rsidRDefault="00B24EE6" w:rsidP="00B24EE6">
      <w:pPr>
        <w:pStyle w:val="ListParagraph"/>
        <w:numPr>
          <w:ilvl w:val="0"/>
          <w:numId w:val="200"/>
        </w:numPr>
        <w:spacing w:after="200" w:line="360" w:lineRule="auto"/>
      </w:pPr>
      <w:r>
        <w:rPr>
          <w:u w:val="single"/>
        </w:rPr>
        <w:t>Input/Realized Correlation Profile Reconciliations</w:t>
      </w:r>
      <w:r w:rsidRPr="00B24EE6">
        <w:t>:</w:t>
      </w:r>
      <w:r>
        <w:t xml:space="preserve"> The correlation and the covariance profile are reported as a function of the simulation time of selected risk factors and market observed variables realized in a CVA simulation; these are compared with the input correlation or covariance, if applicable. The success criterion for this test is that the relative error is less than 5%.</w:t>
      </w:r>
    </w:p>
    <w:p w:rsidR="00E51BB6" w:rsidRDefault="00E51BB6" w:rsidP="00E51BB6">
      <w:pPr>
        <w:spacing w:after="200" w:line="360" w:lineRule="auto"/>
      </w:pPr>
    </w:p>
    <w:p w:rsidR="00E51BB6" w:rsidRDefault="00E51BB6" w:rsidP="00E51BB6">
      <w:pPr>
        <w:spacing w:after="200" w:line="360" w:lineRule="auto"/>
      </w:pPr>
    </w:p>
    <w:p w:rsidR="00E51BB6" w:rsidRPr="00E51BB6" w:rsidRDefault="00E51BB6" w:rsidP="00E51BB6">
      <w:pPr>
        <w:spacing w:after="200" w:line="360" w:lineRule="auto"/>
        <w:rPr>
          <w:b/>
          <w:sz w:val="28"/>
          <w:szCs w:val="28"/>
        </w:rPr>
      </w:pPr>
      <w:r w:rsidRPr="00E51BB6">
        <w:rPr>
          <w:b/>
          <w:sz w:val="28"/>
          <w:szCs w:val="28"/>
        </w:rPr>
        <w:t>Portfolio Based Testing</w:t>
      </w:r>
    </w:p>
    <w:p w:rsidR="00E51BB6" w:rsidRDefault="00E51BB6" w:rsidP="00E51BB6">
      <w:pPr>
        <w:spacing w:after="200" w:line="360" w:lineRule="auto"/>
      </w:pPr>
    </w:p>
    <w:p w:rsidR="00C359B4" w:rsidRDefault="00E51BB6" w:rsidP="00E51BB6">
      <w:pPr>
        <w:pStyle w:val="ListParagraph"/>
        <w:numPr>
          <w:ilvl w:val="0"/>
          <w:numId w:val="201"/>
        </w:numPr>
        <w:spacing w:after="200" w:line="360" w:lineRule="auto"/>
      </w:pPr>
      <w:r w:rsidRPr="00E51BB6">
        <w:rPr>
          <w:u w:val="single"/>
        </w:rPr>
        <w:t>Dollar Error of the Portfolio</w:t>
      </w:r>
      <w:r>
        <w:t>: For selected or all counter party portfolios DRIP performs the CVA-PV-underlying-PV test for each counter party portfolio and defines the dollar error as</w:t>
      </w:r>
    </w:p>
    <w:p w:rsidR="00C359B4" w:rsidRDefault="00C359B4" w:rsidP="00C359B4">
      <w:pPr>
        <w:pStyle w:val="ListParagraph"/>
        <w:spacing w:after="200" w:line="360" w:lineRule="auto"/>
        <w:ind w:left="360"/>
        <w:rPr>
          <w:u w:val="single"/>
        </w:rPr>
      </w:pPr>
    </w:p>
    <w:p w:rsidR="00C359B4" w:rsidRDefault="005D6A21" w:rsidP="00C359B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UND</m:t>
                  </m:r>
                </m:sub>
              </m:sSub>
            </m:e>
          </m:d>
        </m:oMath>
      </m:oMathPara>
    </w:p>
    <w:p w:rsidR="00C359B4" w:rsidRDefault="00C359B4" w:rsidP="00C359B4">
      <w:pPr>
        <w:pStyle w:val="ListParagraph"/>
        <w:spacing w:after="200" w:line="360" w:lineRule="auto"/>
        <w:ind w:left="360"/>
      </w:pPr>
    </w:p>
    <w:p w:rsidR="00E51BB6" w:rsidRDefault="00E51BB6" w:rsidP="00C359B4">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t xml:space="preserve"> is the time-0 cash flow of the counter party portfolio, if </w:t>
      </w:r>
      <m:oMath>
        <m:sSub>
          <m:sSubPr>
            <m:ctrlPr>
              <w:rPr>
                <w:rFonts w:ascii="Cambria Math" w:hAnsi="Cambria Math"/>
                <w:i/>
              </w:rPr>
            </m:ctrlPr>
          </m:sSubPr>
          <m:e>
            <m:r>
              <w:rPr>
                <w:rFonts w:ascii="Cambria Math" w:hAnsi="Cambria Math"/>
              </w:rPr>
              <m:t>PV</m:t>
            </m:r>
          </m:e>
          <m:sub>
            <m:r>
              <w:rPr>
                <w:rFonts w:ascii="Cambria Math" w:hAnsi="Cambria Math"/>
              </w:rPr>
              <m:t>CVA</m:t>
            </m:r>
          </m:sub>
        </m:sSub>
      </m:oMath>
      <w:r>
        <w:t xml:space="preserve"> is configured to include this cash flow. Otherwise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t xml:space="preserve"> is set to 0.</w:t>
      </w:r>
    </w:p>
    <w:p w:rsidR="00C359B4" w:rsidRDefault="00E51BB6" w:rsidP="00E51BB6">
      <w:pPr>
        <w:pStyle w:val="ListParagraph"/>
        <w:numPr>
          <w:ilvl w:val="0"/>
          <w:numId w:val="201"/>
        </w:numPr>
        <w:spacing w:after="200" w:line="360" w:lineRule="auto"/>
      </w:pPr>
      <w:r>
        <w:rPr>
          <w:u w:val="single"/>
        </w:rPr>
        <w:t>Relative Error of the Portfolio</w:t>
      </w:r>
      <w:r>
        <w:t>: The relative error i</w:t>
      </w:r>
      <w:r w:rsidR="00C359B4">
        <w:t>s further defined a</w:t>
      </w:r>
    </w:p>
    <w:p w:rsidR="00C359B4" w:rsidRDefault="00C359B4" w:rsidP="00C359B4">
      <w:pPr>
        <w:pStyle w:val="ListParagraph"/>
        <w:spacing w:after="200" w:line="360" w:lineRule="auto"/>
        <w:ind w:left="360"/>
        <w:rPr>
          <w:u w:val="single"/>
        </w:rPr>
      </w:pPr>
    </w:p>
    <w:p w:rsidR="00C359B4" w:rsidRDefault="00E51BB6" w:rsidP="00C359B4">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MPFE</m:t>
                          </m:r>
                        </m:e>
                        <m:sub>
                          <m:r>
                            <w:rPr>
                              <w:rFonts w:ascii="Cambria Math" w:hAnsi="Cambria Math"/>
                            </w:rPr>
                            <m:t>97.5%</m:t>
                          </m:r>
                        </m:sub>
                      </m:sSub>
                      <m:r>
                        <w:rPr>
                          <w:rFonts w:ascii="Cambria Math" w:hAnsi="Cambria Math"/>
                        </w:rPr>
                        <m:t>, -</m:t>
                      </m:r>
                      <m:sSub>
                        <m:sSubPr>
                          <m:ctrlPr>
                            <w:rPr>
                              <w:rFonts w:ascii="Cambria Math" w:hAnsi="Cambria Math"/>
                              <w:i/>
                            </w:rPr>
                          </m:ctrlPr>
                        </m:sSubPr>
                        <m:e>
                          <m:r>
                            <w:rPr>
                              <w:rFonts w:ascii="Cambria Math" w:hAnsi="Cambria Math"/>
                            </w:rPr>
                            <m:t>MPFNE</m:t>
                          </m:r>
                        </m:e>
                        <m:sub>
                          <m:r>
                            <w:rPr>
                              <w:rFonts w:ascii="Cambria Math" w:hAnsi="Cambria Math"/>
                            </w:rPr>
                            <m:t>2.5%</m:t>
                          </m:r>
                        </m:sub>
                      </m:sSub>
                    </m:e>
                  </m:d>
                </m:e>
              </m:func>
            </m:den>
          </m:f>
        </m:oMath>
      </m:oMathPara>
    </w:p>
    <w:p w:rsidR="00C359B4" w:rsidRDefault="00C359B4" w:rsidP="00C359B4">
      <w:pPr>
        <w:pStyle w:val="ListParagraph"/>
        <w:spacing w:after="200" w:line="360" w:lineRule="auto"/>
        <w:ind w:left="360"/>
      </w:pPr>
    </w:p>
    <w:p w:rsidR="00E51BB6" w:rsidRDefault="00E51BB6" w:rsidP="00C359B4">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MPFE</m:t>
            </m:r>
          </m:e>
          <m:sub>
            <m:r>
              <w:rPr>
                <w:rFonts w:ascii="Cambria Math" w:hAnsi="Cambria Math"/>
              </w:rPr>
              <m:t>97.5%</m:t>
            </m:r>
          </m:sub>
        </m:sSub>
      </m:oMath>
      <w:r>
        <w:t xml:space="preserve"> and </w:t>
      </w:r>
      <m:oMath>
        <m:sSub>
          <m:sSubPr>
            <m:ctrlPr>
              <w:rPr>
                <w:rFonts w:ascii="Cambria Math" w:hAnsi="Cambria Math"/>
                <w:i/>
              </w:rPr>
            </m:ctrlPr>
          </m:sSubPr>
          <m:e>
            <m:r>
              <w:rPr>
                <w:rFonts w:ascii="Cambria Math" w:hAnsi="Cambria Math"/>
              </w:rPr>
              <m:t>MPFNE</m:t>
            </m:r>
          </m:e>
          <m:sub>
            <m:r>
              <w:rPr>
                <w:rFonts w:ascii="Cambria Math" w:hAnsi="Cambria Math"/>
              </w:rPr>
              <m:t>2.5%</m:t>
            </m:r>
          </m:sub>
        </m:sSub>
      </m:oMath>
      <w:r>
        <w:t xml:space="preserve"> are the maximum PFE at 97.5 percentile and the minimum potential future negative exposure at 2.5 percentile of the CP portfolio respectively.</w:t>
      </w:r>
    </w:p>
    <w:p w:rsidR="00C359B4" w:rsidRDefault="00E51BB6" w:rsidP="00E51BB6">
      <w:pPr>
        <w:pStyle w:val="ListParagraph"/>
        <w:numPr>
          <w:ilvl w:val="0"/>
          <w:numId w:val="201"/>
        </w:numPr>
        <w:spacing w:after="200" w:line="360" w:lineRule="auto"/>
      </w:pPr>
      <w:r>
        <w:rPr>
          <w:u w:val="single"/>
        </w:rPr>
        <w:t>DRIP Portfolio Dollar Error Threshold</w:t>
      </w:r>
      <w:r w:rsidRPr="00E51BB6">
        <w:t>:</w:t>
      </w:r>
      <w:r>
        <w:t xml:space="preserve"> DRIP requires that the error</w:t>
      </w:r>
    </w:p>
    <w:p w:rsidR="00C359B4" w:rsidRDefault="00C359B4" w:rsidP="00C359B4">
      <w:pPr>
        <w:pStyle w:val="ListParagraph"/>
        <w:spacing w:after="200" w:line="360" w:lineRule="auto"/>
        <w:ind w:left="360"/>
        <w:rPr>
          <w:u w:val="single"/>
        </w:rPr>
      </w:pPr>
    </w:p>
    <w:p w:rsidR="00C359B4" w:rsidRDefault="00E51BB6"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C359B4" w:rsidRDefault="00C359B4" w:rsidP="00C359B4">
      <w:pPr>
        <w:pStyle w:val="ListParagraph"/>
        <w:spacing w:after="200" w:line="360" w:lineRule="auto"/>
        <w:ind w:left="360"/>
      </w:pPr>
    </w:p>
    <w:p w:rsidR="00E51BB6" w:rsidRDefault="00E51BB6" w:rsidP="00C359B4">
      <w:pPr>
        <w:pStyle w:val="ListParagraph"/>
        <w:spacing w:after="200" w:line="360" w:lineRule="auto"/>
        <w:ind w:left="360"/>
      </w:pPr>
      <w:r>
        <w:t>The above list of materiality criteria applies.</w:t>
      </w:r>
    </w:p>
    <w:p w:rsidR="00C359B4" w:rsidRDefault="00E51BB6" w:rsidP="00E51BB6">
      <w:pPr>
        <w:pStyle w:val="ListParagraph"/>
        <w:numPr>
          <w:ilvl w:val="0"/>
          <w:numId w:val="201"/>
        </w:numPr>
        <w:spacing w:after="200" w:line="360" w:lineRule="auto"/>
      </w:pPr>
      <w:r>
        <w:rPr>
          <w:u w:val="single"/>
        </w:rPr>
        <w:t>Portfolio Error across Trade Categories</w:t>
      </w:r>
      <w:r w:rsidRPr="00E51BB6">
        <w:t>:</w:t>
      </w:r>
      <w:r>
        <w:t xml:space="preserve"> Optionally, for all the trades in a given trade category, for the comparison of the CVA PV </w:t>
      </w:r>
      <m:oMath>
        <m:sSub>
          <m:sSubPr>
            <m:ctrlPr>
              <w:rPr>
                <w:rFonts w:ascii="Cambria Math" w:hAnsi="Cambria Math"/>
                <w:i/>
              </w:rPr>
            </m:ctrlPr>
          </m:sSubPr>
          <m:e>
            <m:r>
              <w:rPr>
                <w:rFonts w:ascii="Cambria Math" w:hAnsi="Cambria Math"/>
              </w:rPr>
              <m:t>PV</m:t>
            </m:r>
          </m:e>
          <m:sub>
            <m:r>
              <w:rPr>
                <w:rFonts w:ascii="Cambria Math" w:hAnsi="Cambria Math"/>
              </w:rPr>
              <m:t>CVA, i</m:t>
            </m:r>
          </m:sub>
        </m:sSub>
      </m:oMath>
      <w:r>
        <w:t xml:space="preserve"> and the underlying PV </w:t>
      </w:r>
      <m:oMath>
        <m:sSub>
          <m:sSubPr>
            <m:ctrlPr>
              <w:rPr>
                <w:rFonts w:ascii="Cambria Math" w:hAnsi="Cambria Math"/>
                <w:i/>
              </w:rPr>
            </m:ctrlPr>
          </m:sSubPr>
          <m:e>
            <m:r>
              <w:rPr>
                <w:rFonts w:ascii="Cambria Math" w:hAnsi="Cambria Math"/>
              </w:rPr>
              <m:t>PV</m:t>
            </m:r>
          </m:e>
          <m:sub>
            <m:r>
              <w:rPr>
                <w:rFonts w:ascii="Cambria Math" w:hAnsi="Cambria Math"/>
              </w:rPr>
              <m:t>UND, i</m:t>
            </m:r>
          </m:sub>
        </m:sSub>
      </m:oMath>
      <w:r>
        <w:t xml:space="preserve"> </w:t>
      </w:r>
      <w:r w:rsidR="000B1BA5">
        <w:t xml:space="preserve">for each trade </w:t>
      </w:r>
      <m:oMath>
        <m:r>
          <w:rPr>
            <w:rFonts w:ascii="Cambria Math" w:hAnsi="Cambria Math"/>
          </w:rPr>
          <m:t>i</m:t>
        </m:r>
      </m:oMath>
      <w:r w:rsidR="000B1BA5">
        <w:t xml:space="preserve"> the dollar error is defined as</w:t>
      </w:r>
    </w:p>
    <w:p w:rsidR="00C359B4" w:rsidRDefault="00C359B4" w:rsidP="00C359B4">
      <w:pPr>
        <w:pStyle w:val="ListParagraph"/>
        <w:spacing w:after="200" w:line="360" w:lineRule="auto"/>
        <w:ind w:left="360"/>
        <w:rPr>
          <w:u w:val="single"/>
        </w:rPr>
      </w:pPr>
    </w:p>
    <w:p w:rsidR="00C359B4" w:rsidRDefault="005D6A21" w:rsidP="00C359B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 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UND, i</m:t>
                      </m:r>
                    </m:sub>
                  </m:sSub>
                </m:e>
              </m:d>
            </m:e>
          </m:nary>
        </m:oMath>
      </m:oMathPara>
    </w:p>
    <w:p w:rsidR="00C359B4" w:rsidRDefault="00C359B4" w:rsidP="00C359B4">
      <w:pPr>
        <w:pStyle w:val="ListParagraph"/>
        <w:spacing w:after="200" w:line="360" w:lineRule="auto"/>
        <w:ind w:left="360"/>
      </w:pPr>
    </w:p>
    <w:p w:rsidR="00C359B4" w:rsidRDefault="000B1BA5" w:rsidP="00C359B4">
      <w:pPr>
        <w:pStyle w:val="ListParagraph"/>
        <w:spacing w:after="200" w:line="360" w:lineRule="auto"/>
        <w:ind w:left="360"/>
      </w:pPr>
      <w:r>
        <w:t>and the risk based error as</w:t>
      </w:r>
    </w:p>
    <w:p w:rsidR="00C359B4" w:rsidRDefault="00C359B4" w:rsidP="00C359B4">
      <w:pPr>
        <w:pStyle w:val="ListParagraph"/>
        <w:spacing w:after="200" w:line="360" w:lineRule="auto"/>
        <w:ind w:left="360"/>
      </w:pPr>
    </w:p>
    <w:p w:rsidR="00C359B4" w:rsidRDefault="000B1BA5" w:rsidP="00C359B4">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nary>
            </m:den>
          </m:f>
        </m:oMath>
      </m:oMathPara>
    </w:p>
    <w:p w:rsidR="00C359B4" w:rsidRDefault="00C359B4" w:rsidP="00C359B4">
      <w:pPr>
        <w:pStyle w:val="ListParagraph"/>
        <w:spacing w:after="200" w:line="360" w:lineRule="auto"/>
        <w:ind w:left="360"/>
      </w:pPr>
    </w:p>
    <w:p w:rsidR="00E51BB6" w:rsidRDefault="000B1BA5" w:rsidP="00C359B4">
      <w:pPr>
        <w:pStyle w:val="ListParagraph"/>
        <w:spacing w:after="200" w:line="360" w:lineRule="auto"/>
        <w:ind w:left="360"/>
      </w:pPr>
      <w:r>
        <w:t xml:space="preserve">where the summation is over all trades in a given trade category,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the time-0 cash flow of the trade if </w:t>
      </w:r>
      <m:oMath>
        <m:sSub>
          <m:sSubPr>
            <m:ctrlPr>
              <w:rPr>
                <w:rFonts w:ascii="Cambria Math" w:hAnsi="Cambria Math"/>
                <w:i/>
              </w:rPr>
            </m:ctrlPr>
          </m:sSubPr>
          <m:e>
            <m:r>
              <w:rPr>
                <w:rFonts w:ascii="Cambria Math" w:hAnsi="Cambria Math"/>
              </w:rPr>
              <m:t>PV</m:t>
            </m:r>
          </m:e>
          <m:sub>
            <m:r>
              <w:rPr>
                <w:rFonts w:ascii="Cambria Math" w:hAnsi="Cambria Math"/>
              </w:rPr>
              <m:t>CVA, i</m:t>
            </m:r>
          </m:sub>
        </m:sSub>
      </m:oMath>
      <w:r>
        <w:t xml:space="preserve"> is configured to include this cash flow. Otherwise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set to 0.</w:t>
      </w:r>
    </w:p>
    <w:p w:rsidR="00C359B4" w:rsidRDefault="00870B3A" w:rsidP="00E51BB6">
      <w:pPr>
        <w:pStyle w:val="ListParagraph"/>
        <w:numPr>
          <w:ilvl w:val="0"/>
          <w:numId w:val="201"/>
        </w:numPr>
        <w:spacing w:after="200" w:line="360" w:lineRule="auto"/>
      </w:pPr>
      <w:r>
        <w:rPr>
          <w:u w:val="single"/>
        </w:rPr>
        <w:t>IR01 Based Portfolio Error Threshold</w:t>
      </w:r>
      <w:r w:rsidRPr="00870B3A">
        <w:t>:</w:t>
      </w:r>
      <w:r>
        <w:t xml:space="preserve"> For vanilla non-vol IR swaps IR01 is used as the risk metrics and the error is required to be</w:t>
      </w:r>
    </w:p>
    <w:p w:rsidR="00C359B4" w:rsidRDefault="00C359B4" w:rsidP="00C359B4">
      <w:pPr>
        <w:pStyle w:val="ListParagraph"/>
        <w:spacing w:after="200" w:line="360" w:lineRule="auto"/>
        <w:ind w:left="360"/>
        <w:rPr>
          <w:u w:val="single"/>
        </w:rPr>
      </w:pPr>
    </w:p>
    <w:p w:rsidR="00870B3A" w:rsidRPr="00C359B4" w:rsidRDefault="00870B3A"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IR01_AGG</m:t>
              </m:r>
            </m:sub>
          </m:sSub>
        </m:oMath>
      </m:oMathPara>
    </w:p>
    <w:p w:rsidR="00C359B4" w:rsidRDefault="00C359B4" w:rsidP="00C359B4">
      <w:pPr>
        <w:pStyle w:val="ListParagraph"/>
        <w:spacing w:after="200" w:line="360" w:lineRule="auto"/>
        <w:ind w:left="360"/>
      </w:pPr>
    </w:p>
    <w:p w:rsidR="00C359B4" w:rsidRDefault="00870B3A" w:rsidP="00E51BB6">
      <w:pPr>
        <w:pStyle w:val="ListParagraph"/>
        <w:numPr>
          <w:ilvl w:val="0"/>
          <w:numId w:val="201"/>
        </w:numPr>
        <w:spacing w:after="200" w:line="360" w:lineRule="auto"/>
      </w:pPr>
      <w:r>
        <w:rPr>
          <w:u w:val="single"/>
        </w:rPr>
        <w:t>CS01 Based Portfolio Error Threshold</w:t>
      </w:r>
      <w:r>
        <w:t>: For non-tranched CDS trades DRIP uses CS01 as the risk metrics and requires that the error</w:t>
      </w:r>
    </w:p>
    <w:p w:rsidR="00C359B4" w:rsidRDefault="00C359B4" w:rsidP="00C359B4">
      <w:pPr>
        <w:pStyle w:val="ListParagraph"/>
        <w:spacing w:after="200" w:line="360" w:lineRule="auto"/>
        <w:ind w:left="360"/>
        <w:rPr>
          <w:u w:val="single"/>
        </w:rPr>
      </w:pPr>
    </w:p>
    <w:p w:rsidR="00C359B4" w:rsidRDefault="00870B3A"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CS01</m:t>
              </m:r>
            </m:sub>
          </m:sSub>
        </m:oMath>
      </m:oMathPara>
    </w:p>
    <w:p w:rsidR="00C359B4" w:rsidRDefault="00C359B4" w:rsidP="00C359B4">
      <w:pPr>
        <w:pStyle w:val="ListParagraph"/>
        <w:spacing w:after="200" w:line="360" w:lineRule="auto"/>
        <w:ind w:left="360"/>
      </w:pPr>
    </w:p>
    <w:p w:rsidR="00C359B4" w:rsidRDefault="00870B3A" w:rsidP="00C359B4">
      <w:pPr>
        <w:pStyle w:val="ListParagraph"/>
        <w:spacing w:after="200" w:line="360" w:lineRule="auto"/>
        <w:ind w:left="360"/>
      </w:pPr>
      <w:r>
        <w:t>This test may become unreliable wh</w:t>
      </w:r>
      <w:r w:rsidR="00DD3D2C">
        <w:t xml:space="preserve">en </w:t>
      </w:r>
      <w:r>
        <w:t>the reference credit is distressed, as in this case CS01 becomes very small.</w:t>
      </w:r>
      <w:r w:rsidR="00DD3D2C">
        <w:t xml:space="preserve"> The recovery sensitivity will then be used as the risk metrics </w:t>
      </w:r>
      <m:oMath>
        <m:r>
          <w:rPr>
            <w:rFonts w:ascii="Cambria Math" w:hAnsi="Cambria Math"/>
          </w:rPr>
          <m:t>R</m:t>
        </m:r>
      </m:oMath>
      <w:r w:rsidR="00DD3D2C">
        <w:t xml:space="preserve"> (by bumping the recovery rate by one percentage point) and it is required that</w:t>
      </w:r>
    </w:p>
    <w:p w:rsidR="00C359B4" w:rsidRDefault="00C359B4" w:rsidP="00C359B4">
      <w:pPr>
        <w:pStyle w:val="ListParagraph"/>
        <w:spacing w:after="200" w:line="360" w:lineRule="auto"/>
        <w:ind w:left="360"/>
      </w:pPr>
    </w:p>
    <w:p w:rsidR="00870B3A" w:rsidRPr="00C359B4" w:rsidRDefault="00DD3D2C"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RECOVERY</m:t>
              </m:r>
            </m:sub>
          </m:sSub>
        </m:oMath>
      </m:oMathPara>
    </w:p>
    <w:p w:rsidR="00C359B4" w:rsidRDefault="00C359B4" w:rsidP="00C359B4">
      <w:pPr>
        <w:pStyle w:val="ListParagraph"/>
        <w:spacing w:after="200" w:line="360" w:lineRule="auto"/>
        <w:ind w:left="360"/>
      </w:pPr>
    </w:p>
    <w:p w:rsidR="00C359B4" w:rsidRDefault="00DD3D2C" w:rsidP="00E51BB6">
      <w:pPr>
        <w:pStyle w:val="ListParagraph"/>
        <w:numPr>
          <w:ilvl w:val="0"/>
          <w:numId w:val="201"/>
        </w:numPr>
        <w:spacing w:after="200" w:line="360" w:lineRule="auto"/>
      </w:pPr>
      <w:r>
        <w:rPr>
          <w:u w:val="single"/>
        </w:rPr>
        <w:t>Vega Based Portfolio Error Threshold</w:t>
      </w:r>
      <w:r>
        <w:t>: For volatility category trades of all assets, vega is used as the risk metrics, and it is required that</w:t>
      </w:r>
    </w:p>
    <w:p w:rsidR="00C359B4" w:rsidRDefault="00C359B4" w:rsidP="00C359B4">
      <w:pPr>
        <w:pStyle w:val="ListParagraph"/>
        <w:spacing w:after="200" w:line="360" w:lineRule="auto"/>
        <w:ind w:left="360"/>
        <w:rPr>
          <w:u w:val="single"/>
        </w:rPr>
      </w:pPr>
    </w:p>
    <w:p w:rsidR="00C359B4" w:rsidRDefault="00DD3D2C"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C359B4" w:rsidRDefault="00C359B4" w:rsidP="00C359B4">
      <w:pPr>
        <w:pStyle w:val="ListParagraph"/>
        <w:spacing w:after="200" w:line="360" w:lineRule="auto"/>
        <w:ind w:left="360"/>
      </w:pPr>
    </w:p>
    <w:p w:rsidR="00DD3D2C" w:rsidRDefault="00DD3D2C" w:rsidP="00C359B4">
      <w:pPr>
        <w:pStyle w:val="ListParagraph"/>
        <w:spacing w:after="200" w:line="360" w:lineRule="auto"/>
        <w:ind w:left="360"/>
      </w:pPr>
      <w:r>
        <w:t>For this test one has the option of using the vega of the corresponding ATM trades (or the maximum absolute value of the vega of each of the corresponding trades) before it is declared a failure.</w:t>
      </w:r>
    </w:p>
    <w:p w:rsidR="00C359B4" w:rsidRDefault="00DD3D2C" w:rsidP="00E51BB6">
      <w:pPr>
        <w:pStyle w:val="ListParagraph"/>
        <w:numPr>
          <w:ilvl w:val="0"/>
          <w:numId w:val="201"/>
        </w:numPr>
        <w:spacing w:after="200" w:line="360" w:lineRule="auto"/>
      </w:pPr>
      <w:r>
        <w:rPr>
          <w:u w:val="single"/>
        </w:rPr>
        <w:t>Notional Based Portfolio Error Threshold</w:t>
      </w:r>
      <w:r w:rsidRPr="00DD3D2C">
        <w:t>:</w:t>
      </w:r>
      <w:r>
        <w:t xml:space="preserve"> For trades not covered by the above risk-based errors, or the trades failing the risk metrics tests due to the risk metrics being small under special conditions, it is required that</w:t>
      </w:r>
    </w:p>
    <w:p w:rsidR="00C359B4" w:rsidRDefault="00C359B4" w:rsidP="00C359B4">
      <w:pPr>
        <w:pStyle w:val="ListParagraph"/>
        <w:spacing w:after="200" w:line="360" w:lineRule="auto"/>
        <w:ind w:left="360"/>
        <w:rPr>
          <w:u w:val="single"/>
        </w:rPr>
      </w:pPr>
    </w:p>
    <w:p w:rsidR="00C359B4" w:rsidRDefault="00DD3D2C"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m:t>
              </m:r>
            </m:sub>
          </m:sSub>
        </m:oMath>
      </m:oMathPara>
    </w:p>
    <w:p w:rsidR="00C359B4" w:rsidRDefault="00C359B4" w:rsidP="00C359B4">
      <w:pPr>
        <w:pStyle w:val="ListParagraph"/>
        <w:spacing w:after="200" w:line="360" w:lineRule="auto"/>
        <w:ind w:left="360"/>
      </w:pPr>
    </w:p>
    <w:p w:rsidR="00C359B4" w:rsidRDefault="00DD3D2C" w:rsidP="00C359B4">
      <w:pPr>
        <w:pStyle w:val="ListParagraph"/>
        <w:spacing w:after="200" w:line="360" w:lineRule="auto"/>
        <w:ind w:left="360"/>
      </w:pPr>
      <w:r>
        <w:t>with</w:t>
      </w:r>
    </w:p>
    <w:p w:rsidR="00C359B4" w:rsidRDefault="00C359B4" w:rsidP="00C359B4">
      <w:pPr>
        <w:pStyle w:val="ListParagraph"/>
        <w:spacing w:after="200" w:line="360" w:lineRule="auto"/>
        <w:ind w:left="360"/>
      </w:pPr>
    </w:p>
    <w:p w:rsidR="00C359B4" w:rsidRDefault="005D6A21" w:rsidP="00C359B4">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oMath>
      </m:oMathPara>
    </w:p>
    <w:p w:rsidR="00C359B4" w:rsidRDefault="00C359B4" w:rsidP="00C359B4">
      <w:pPr>
        <w:pStyle w:val="ListParagraph"/>
        <w:spacing w:after="200" w:line="360" w:lineRule="auto"/>
        <w:ind w:left="360"/>
      </w:pPr>
    </w:p>
    <w:p w:rsidR="00C359B4" w:rsidRDefault="00DD3D2C" w:rsidP="00C359B4">
      <w:pPr>
        <w:pStyle w:val="ListParagraph"/>
        <w:spacing w:after="200" w:line="360" w:lineRule="auto"/>
        <w:ind w:left="360"/>
      </w:pPr>
      <w:r>
        <w:t xml:space="preserve">the dollar notional trade </w:t>
      </w:r>
      <m:oMath>
        <m:r>
          <w:rPr>
            <w:rFonts w:ascii="Cambria Math" w:hAnsi="Cambria Math"/>
          </w:rPr>
          <m:t>i</m:t>
        </m:r>
      </m:oMath>
      <w:r>
        <w:t>. Optionally a stringer test may be used by setting</w:t>
      </w:r>
    </w:p>
    <w:p w:rsidR="00C359B4" w:rsidRDefault="00C359B4" w:rsidP="00C359B4">
      <w:pPr>
        <w:pStyle w:val="ListParagraph"/>
        <w:spacing w:after="200" w:line="360" w:lineRule="auto"/>
        <w:ind w:left="360"/>
      </w:pPr>
    </w:p>
    <w:p w:rsidR="00DD3D2C" w:rsidRPr="00C359B4" w:rsidRDefault="005D6A21" w:rsidP="00C359B4">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UND, i</m:t>
              </m:r>
            </m:sub>
          </m:sSub>
        </m:oMath>
      </m:oMathPara>
    </w:p>
    <w:p w:rsidR="00C359B4" w:rsidRDefault="00C359B4" w:rsidP="00C359B4">
      <w:pPr>
        <w:pStyle w:val="ListParagraph"/>
        <w:spacing w:after="200" w:line="360" w:lineRule="auto"/>
        <w:ind w:left="360"/>
      </w:pPr>
    </w:p>
    <w:p w:rsidR="000B6828" w:rsidRDefault="000B6828" w:rsidP="00E51BB6">
      <w:pPr>
        <w:pStyle w:val="ListParagraph"/>
        <w:numPr>
          <w:ilvl w:val="0"/>
          <w:numId w:val="201"/>
        </w:numPr>
        <w:spacing w:after="200" w:line="360" w:lineRule="auto"/>
      </w:pPr>
      <w:r>
        <w:rPr>
          <w:u w:val="single"/>
        </w:rPr>
        <w:t>Portfolio Level Trade Martingale Test</w:t>
      </w:r>
      <w:r>
        <w:t>: Optionally DRIP applies all the trade level martingale methodologies to elected counter party portfolios to perform portfolio level martingale testing. In these cases the martingale targets are derived from the portfolio forward PV’s and the corresponding basket option prices valued with quadratic approximations.</w:t>
      </w:r>
    </w:p>
    <w:p w:rsidR="000B6828" w:rsidRDefault="000B6828" w:rsidP="00E51BB6">
      <w:pPr>
        <w:pStyle w:val="ListParagraph"/>
        <w:numPr>
          <w:ilvl w:val="0"/>
          <w:numId w:val="201"/>
        </w:numPr>
        <w:spacing w:after="200" w:line="360" w:lineRule="auto"/>
      </w:pPr>
      <w:r>
        <w:rPr>
          <w:u w:val="single"/>
        </w:rPr>
        <w:t>Approximations Based Portfolio Martingale Targets</w:t>
      </w:r>
      <w:r w:rsidRPr="000B6828">
        <w:t>:</w:t>
      </w:r>
      <w:r>
        <w:t xml:space="preserve"> For the cases with martingale targets involving approximations such as quadratic approximations, the error thresholds are doubled. The above list of materiality criteria applies.</w:t>
      </w:r>
    </w:p>
    <w:p w:rsidR="00C359B4" w:rsidRDefault="00C359B4" w:rsidP="00C359B4">
      <w:pPr>
        <w:spacing w:after="200" w:line="360" w:lineRule="auto"/>
      </w:pPr>
    </w:p>
    <w:p w:rsidR="00C359B4" w:rsidRDefault="00C359B4" w:rsidP="00C359B4">
      <w:pPr>
        <w:spacing w:after="200" w:line="360" w:lineRule="auto"/>
      </w:pPr>
    </w:p>
    <w:p w:rsidR="00C359B4" w:rsidRPr="00C359B4" w:rsidRDefault="00C359B4" w:rsidP="00C359B4">
      <w:pPr>
        <w:spacing w:after="200" w:line="360" w:lineRule="auto"/>
        <w:rPr>
          <w:b/>
          <w:sz w:val="28"/>
          <w:szCs w:val="28"/>
        </w:rPr>
      </w:pPr>
      <w:r w:rsidRPr="00C359B4">
        <w:rPr>
          <w:b/>
          <w:sz w:val="28"/>
          <w:szCs w:val="28"/>
        </w:rPr>
        <w:t>Materiality Analysis of Unmodeled or Failed Trades</w:t>
      </w:r>
    </w:p>
    <w:p w:rsidR="00C359B4" w:rsidRDefault="00C359B4" w:rsidP="00C359B4">
      <w:pPr>
        <w:spacing w:after="200" w:line="360" w:lineRule="auto"/>
      </w:pPr>
    </w:p>
    <w:p w:rsidR="00C359B4" w:rsidRDefault="00C359B4" w:rsidP="00C359B4">
      <w:pPr>
        <w:pStyle w:val="ListParagraph"/>
        <w:numPr>
          <w:ilvl w:val="0"/>
          <w:numId w:val="202"/>
        </w:numPr>
        <w:spacing w:after="200" w:line="360" w:lineRule="auto"/>
      </w:pPr>
      <w:r w:rsidRPr="00C359B4">
        <w:rPr>
          <w:u w:val="single"/>
        </w:rPr>
        <w:t>Inability to Model Certain Trades</w:t>
      </w:r>
      <w:r>
        <w:t>: In limited cases – due to the limitations in the system or in the models – certain trades cannot be modeled even with the proxy pricers formulated above, which simply fail in production runs.</w:t>
      </w:r>
    </w:p>
    <w:p w:rsidR="00C359B4" w:rsidRDefault="00C359B4" w:rsidP="00C359B4">
      <w:pPr>
        <w:pStyle w:val="ListParagraph"/>
        <w:numPr>
          <w:ilvl w:val="0"/>
          <w:numId w:val="202"/>
        </w:numPr>
        <w:spacing w:after="200" w:line="360" w:lineRule="auto"/>
      </w:pPr>
      <w:r>
        <w:rPr>
          <w:u w:val="single"/>
        </w:rPr>
        <w:t>Unmodeled Trades Extended Materiality Analysis</w:t>
      </w:r>
      <w:r w:rsidRPr="00C359B4">
        <w:t>:</w:t>
      </w:r>
      <w:r>
        <w:t xml:space="preserve"> In these cases a simple exposure-based or CVA-based materiality analysis can be formulated along with their estimates for such trades in terms of their potential impact on their overall exposures or CVA per asset class, or in terms of their potential impact on exposures or CVA per counter party (per netting or collateral group to be more precise).</w:t>
      </w:r>
    </w:p>
    <w:p w:rsidR="0041061E" w:rsidRDefault="0041061E" w:rsidP="00C359B4">
      <w:pPr>
        <w:pStyle w:val="ListParagraph"/>
        <w:numPr>
          <w:ilvl w:val="0"/>
          <w:numId w:val="202"/>
        </w:numPr>
        <w:spacing w:after="200" w:line="360" w:lineRule="auto"/>
      </w:pPr>
      <w:r>
        <w:rPr>
          <w:u w:val="single"/>
        </w:rPr>
        <w:t>Incorporation into Remediation Frameworks</w:t>
      </w:r>
      <w:r w:rsidRPr="0041061E">
        <w:t>:</w:t>
      </w:r>
      <w:r>
        <w:t xml:space="preserve"> This materiality analysis will be used in conjunction with the model control procedures, such as certain trigger event procedures, to determine remediation actions and plans.</w:t>
      </w:r>
    </w:p>
    <w:p w:rsidR="00297902" w:rsidRDefault="00297902" w:rsidP="00C359B4">
      <w:pPr>
        <w:pStyle w:val="ListParagraph"/>
        <w:numPr>
          <w:ilvl w:val="0"/>
          <w:numId w:val="202"/>
        </w:numPr>
        <w:spacing w:after="200" w:line="360" w:lineRule="auto"/>
      </w:pPr>
      <w:r>
        <w:rPr>
          <w:u w:val="single"/>
        </w:rPr>
        <w:t>Materiality Metric used in DRIP</w:t>
      </w:r>
      <w:r w:rsidRPr="00297902">
        <w:t>:</w:t>
      </w:r>
      <w:r>
        <w:t xml:space="preserve"> More specifically the materiality is measured by the ratio of the materiality metric such as USD equivalent NPV, notional, and delta between unmodeled or failed trades and trades that can be modeled.</w:t>
      </w:r>
    </w:p>
    <w:p w:rsidR="00297902" w:rsidRDefault="00297902" w:rsidP="00C359B4">
      <w:pPr>
        <w:pStyle w:val="ListParagraph"/>
        <w:numPr>
          <w:ilvl w:val="0"/>
          <w:numId w:val="202"/>
        </w:numPr>
        <w:spacing w:after="200" w:line="360" w:lineRule="auto"/>
      </w:pPr>
      <w:r>
        <w:rPr>
          <w:u w:val="single"/>
        </w:rPr>
        <w:t>Modeled vs Unmodeled Trade Portfolio</w:t>
      </w:r>
      <w:r w:rsidRPr="00297902">
        <w:t>:</w:t>
      </w:r>
      <w:r>
        <w:t xml:space="preserve"> Considered in this section are two portfolios per asset class (for example, credit CVA):</w:t>
      </w:r>
    </w:p>
    <w:p w:rsidR="00297902" w:rsidRDefault="00297902" w:rsidP="00297902">
      <w:pPr>
        <w:pStyle w:val="ListParagraph"/>
        <w:numPr>
          <w:ilvl w:val="1"/>
          <w:numId w:val="202"/>
        </w:numPr>
        <w:spacing w:after="200" w:line="360" w:lineRule="auto"/>
      </w:pPr>
      <w:r>
        <w:t>Trades that can be modeled</w:t>
      </w:r>
    </w:p>
    <w:p w:rsidR="00297902" w:rsidRDefault="00297902" w:rsidP="00297902">
      <w:pPr>
        <w:pStyle w:val="ListParagraph"/>
        <w:numPr>
          <w:ilvl w:val="1"/>
          <w:numId w:val="202"/>
        </w:numPr>
        <w:spacing w:after="200" w:line="360" w:lineRule="auto"/>
      </w:pPr>
      <w:r>
        <w:t>Trades that cannot be modeled or simply fail in production runs.</w:t>
      </w:r>
    </w:p>
    <w:p w:rsidR="004A7582" w:rsidRDefault="00297902" w:rsidP="00297902">
      <w:pPr>
        <w:pStyle w:val="ListParagraph"/>
        <w:numPr>
          <w:ilvl w:val="0"/>
          <w:numId w:val="202"/>
        </w:numPr>
        <w:spacing w:after="200" w:line="360" w:lineRule="auto"/>
      </w:pPr>
      <w:r w:rsidRPr="00297902">
        <w:rPr>
          <w:u w:val="single"/>
        </w:rPr>
        <w:t>Maturity and Duration Weighted Delta</w:t>
      </w:r>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trade in each portfolio,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denotes its notional,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its NPV,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the delta risk, </w:t>
      </w:r>
      <m:oMath>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oMath>
      <w:r>
        <w:t xml:space="preserve"> the time to maturity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weighted delta risk, and </w:t>
      </w:r>
      <m:oMath>
        <m:sSub>
          <m:sSubPr>
            <m:ctrlPr>
              <w:rPr>
                <w:rFonts w:ascii="Cambria Math" w:hAnsi="Cambria Math"/>
                <w:i/>
              </w:rPr>
            </m:ctrlPr>
          </m:sSubPr>
          <m:e>
            <m:r>
              <w:rPr>
                <w:rFonts w:ascii="Cambria Math" w:hAnsi="Cambria Math"/>
              </w:rPr>
              <m:t>D</m:t>
            </m:r>
          </m:e>
          <m:sub>
            <m:r>
              <w:rPr>
                <w:rFonts w:ascii="Cambria Math" w:hAnsi="Cambria Math"/>
              </w:rPr>
              <m:t>i,  DUR</m:t>
            </m:r>
          </m:sub>
        </m:sSub>
      </m:oMath>
      <w:r>
        <w:t xml:space="preserve"> for the duration (</w:t>
      </w:r>
      <m:oMath>
        <m:r>
          <w:rPr>
            <w:rFonts w:ascii="Cambria Math" w:hAnsi="Cambria Math"/>
          </w:rPr>
          <m:t>D</m:t>
        </m:r>
        <m:r>
          <w:rPr>
            <w:rFonts w:ascii="Cambria Math" w:hAnsi="Cambria Math"/>
          </w:rPr>
          <m:t>ur</m:t>
        </m:r>
      </m:oMath>
      <w:r>
        <w:t>) weighted delta risk – if the duration can be defined – such that</w:t>
      </w:r>
    </w:p>
    <w:p w:rsidR="004A7582" w:rsidRDefault="004A7582" w:rsidP="004A7582">
      <w:pPr>
        <w:pStyle w:val="ListParagraph"/>
        <w:spacing w:after="200" w:line="360" w:lineRule="auto"/>
        <w:ind w:left="360"/>
        <w:rPr>
          <w:u w:val="single"/>
        </w:rPr>
      </w:pPr>
    </w:p>
    <w:p w:rsidR="004A7582" w:rsidRDefault="005D6A21"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rsidR="004A7582" w:rsidRDefault="004A7582" w:rsidP="004A7582">
      <w:pPr>
        <w:pStyle w:val="ListParagraph"/>
        <w:spacing w:after="200" w:line="360" w:lineRule="auto"/>
        <w:ind w:left="360"/>
      </w:pPr>
    </w:p>
    <w:p w:rsidR="00297902" w:rsidRPr="004A7582" w:rsidRDefault="005D6A21"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 DUR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×DUR</m:t>
          </m:r>
        </m:oMath>
      </m:oMathPara>
    </w:p>
    <w:p w:rsidR="004A7582" w:rsidRDefault="004A7582" w:rsidP="004A7582">
      <w:pPr>
        <w:pStyle w:val="ListParagraph"/>
        <w:spacing w:after="200" w:line="360" w:lineRule="auto"/>
        <w:ind w:left="360"/>
      </w:pPr>
    </w:p>
    <w:p w:rsidR="004A7582" w:rsidRDefault="00987ADC" w:rsidP="00297902">
      <w:pPr>
        <w:pStyle w:val="ListParagraph"/>
        <w:numPr>
          <w:ilvl w:val="0"/>
          <w:numId w:val="202"/>
        </w:numPr>
        <w:spacing w:after="200" w:line="360" w:lineRule="auto"/>
      </w:pPr>
      <w:r>
        <w:rPr>
          <w:u w:val="single"/>
        </w:rPr>
        <w:t>Portfolio Gross/Net Notional/NPV</w:t>
      </w:r>
      <w:r>
        <w:t>: The following quantities are defined for each portfolio:</w:t>
      </w:r>
    </w:p>
    <w:p w:rsidR="004A7582" w:rsidRDefault="004A7582" w:rsidP="004A7582">
      <w:pPr>
        <w:pStyle w:val="ListParagraph"/>
        <w:spacing w:after="200" w:line="360" w:lineRule="auto"/>
        <w:ind w:left="360"/>
        <w:rPr>
          <w:u w:val="single"/>
        </w:rPr>
      </w:pPr>
    </w:p>
    <w:p w:rsidR="004A7582" w:rsidRDefault="005D6A21"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e>
          </m:nary>
        </m:oMath>
      </m:oMathPara>
    </w:p>
    <w:p w:rsidR="004A7582" w:rsidRDefault="004A7582" w:rsidP="004A7582">
      <w:pPr>
        <w:pStyle w:val="ListParagraph"/>
        <w:spacing w:after="200" w:line="360" w:lineRule="auto"/>
        <w:ind w:left="360"/>
      </w:pPr>
    </w:p>
    <w:p w:rsidR="004A7582" w:rsidRDefault="005D6A21"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oMath>
      </m:oMathPara>
    </w:p>
    <w:p w:rsidR="004A7582" w:rsidRDefault="004A7582" w:rsidP="004A7582">
      <w:pPr>
        <w:pStyle w:val="ListParagraph"/>
        <w:spacing w:after="200" w:line="360" w:lineRule="auto"/>
        <w:ind w:left="360"/>
      </w:pPr>
    </w:p>
    <w:p w:rsidR="004A7582" w:rsidRDefault="00987ADC" w:rsidP="004A7582">
      <w:pPr>
        <w:pStyle w:val="ListParagraph"/>
        <w:spacing w:after="200" w:line="360" w:lineRule="auto"/>
        <w:ind w:left="360"/>
      </w:pPr>
      <w:r>
        <w:t>and</w:t>
      </w:r>
    </w:p>
    <w:p w:rsidR="004A7582" w:rsidRDefault="004A7582" w:rsidP="004A7582">
      <w:pPr>
        <w:pStyle w:val="ListParagraph"/>
        <w:spacing w:after="200" w:line="360" w:lineRule="auto"/>
        <w:ind w:left="360"/>
      </w:pPr>
    </w:p>
    <w:p w:rsidR="004A7582" w:rsidRDefault="005D6A21"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P, ABS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oMath>
      </m:oMathPara>
    </w:p>
    <w:p w:rsidR="004A7582" w:rsidRDefault="004A7582" w:rsidP="004A7582">
      <w:pPr>
        <w:pStyle w:val="ListParagraph"/>
        <w:spacing w:after="200" w:line="360" w:lineRule="auto"/>
        <w:ind w:left="360"/>
      </w:pPr>
    </w:p>
    <w:p w:rsidR="00987ADC" w:rsidRDefault="00987ADC" w:rsidP="004A7582">
      <w:pPr>
        <w:pStyle w:val="ListParagraph"/>
        <w:spacing w:after="200" w:line="360" w:lineRule="auto"/>
        <w:ind w:left="360"/>
      </w:pPr>
      <w:r>
        <w:t xml:space="preserve">where </w:t>
      </w:r>
      <m:oMath>
        <m:r>
          <w:rPr>
            <w:rFonts w:ascii="Cambria Math" w:hAnsi="Cambria Math"/>
          </w:rPr>
          <m:t>i</m:t>
        </m:r>
      </m:oMath>
      <w:r>
        <w:t xml:space="preserve"> is the summation over all the trades in the portfolio. So </w:t>
      </w:r>
      <m:oMath>
        <m:sSub>
          <m:sSubPr>
            <m:ctrlPr>
              <w:rPr>
                <w:rFonts w:ascii="Cambria Math" w:hAnsi="Cambria Math"/>
                <w:i/>
              </w:rPr>
            </m:ctrlPr>
          </m:sSubPr>
          <m:e>
            <m:r>
              <w:rPr>
                <w:rFonts w:ascii="Cambria Math" w:hAnsi="Cambria Math"/>
              </w:rPr>
              <m:t>N</m:t>
            </m:r>
          </m:e>
          <m:sub>
            <m:r>
              <w:rPr>
                <w:rFonts w:ascii="Cambria Math" w:hAnsi="Cambria Math"/>
              </w:rPr>
              <m:t>P</m:t>
            </m:r>
          </m:sub>
        </m:sSub>
      </m:oMath>
      <w:r>
        <w:t xml:space="preserve"> is the total notional of the portfolio,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t xml:space="preserve"> is the net NPV of the portfolio, and </w:t>
      </w:r>
      <m:oMath>
        <m:sSub>
          <m:sSubPr>
            <m:ctrlPr>
              <w:rPr>
                <w:rFonts w:ascii="Cambria Math" w:hAnsi="Cambria Math"/>
                <w:i/>
              </w:rPr>
            </m:ctrlPr>
          </m:sSubPr>
          <m:e>
            <m:r>
              <w:rPr>
                <w:rFonts w:ascii="Cambria Math" w:hAnsi="Cambria Math"/>
              </w:rPr>
              <m:t>V</m:t>
            </m:r>
          </m:e>
          <m:sub>
            <m:r>
              <w:rPr>
                <w:rFonts w:ascii="Cambria Math" w:hAnsi="Cambria Math"/>
              </w:rPr>
              <m:t>P, ABS</m:t>
            </m:r>
          </m:sub>
        </m:sSub>
      </m:oMath>
      <w:r>
        <w:t xml:space="preserve"> is the gross NPV of the portfolio.</w:t>
      </w:r>
    </w:p>
    <w:p w:rsidR="00FB5734" w:rsidRDefault="00987ADC" w:rsidP="00297902">
      <w:pPr>
        <w:pStyle w:val="ListParagraph"/>
        <w:numPr>
          <w:ilvl w:val="0"/>
          <w:numId w:val="202"/>
        </w:numPr>
        <w:spacing w:after="200" w:line="360" w:lineRule="auto"/>
      </w:pPr>
      <w:r>
        <w:rPr>
          <w:u w:val="single"/>
        </w:rPr>
        <w:t>Portfolio Gross and Net Delta</w:t>
      </w:r>
      <w:r w:rsidRPr="00987ADC">
        <w:t>:</w:t>
      </w:r>
      <w:r>
        <w:t xml:space="preserve"> The net and gross delta risk of each portfolio </w:t>
      </w:r>
      <m:oMath>
        <m:sSub>
          <m:sSubPr>
            <m:ctrlPr>
              <w:rPr>
                <w:rFonts w:ascii="Cambria Math" w:hAnsi="Cambria Math"/>
                <w:i/>
              </w:rPr>
            </m:ctrlPr>
          </m:sSubPr>
          <m:e>
            <m:r>
              <w:rPr>
                <w:rFonts w:ascii="Cambria Math" w:hAnsi="Cambria Math"/>
              </w:rPr>
              <m:t>D</m:t>
            </m:r>
          </m:e>
          <m:sub>
            <m:r>
              <w:rPr>
                <w:rFonts w:ascii="Cambria Math" w:hAnsi="Cambria Math"/>
              </w:rPr>
              <m:t>P</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P, ABS</m:t>
            </m:r>
          </m:sub>
        </m:sSub>
      </m:oMath>
      <w:r>
        <w:t xml:space="preserve"> are defined as</w:t>
      </w:r>
    </w:p>
    <w:p w:rsidR="00FB5734" w:rsidRDefault="00FB5734" w:rsidP="00FB5734">
      <w:pPr>
        <w:pStyle w:val="ListParagraph"/>
        <w:spacing w:after="200" w:line="360" w:lineRule="auto"/>
        <w:ind w:left="360"/>
        <w:rPr>
          <w:u w:val="single"/>
        </w:rPr>
      </w:pPr>
    </w:p>
    <w:p w:rsidR="00FB5734" w:rsidRDefault="005D6A21" w:rsidP="00FB5734">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m:t>
                  </m:r>
                </m:e>
                <m:sub>
                  <m:r>
                    <w:rPr>
                      <w:rFonts w:ascii="Cambria Math" w:hAnsi="Cambria Math"/>
                    </w:rPr>
                    <m:t>i</m:t>
                  </m:r>
                </m:sub>
              </m:sSub>
            </m:e>
          </m:nary>
        </m:oMath>
      </m:oMathPara>
    </w:p>
    <w:p w:rsidR="00FB5734" w:rsidRDefault="00FB5734" w:rsidP="00FB5734">
      <w:pPr>
        <w:pStyle w:val="ListParagraph"/>
        <w:spacing w:after="200" w:line="360" w:lineRule="auto"/>
        <w:ind w:left="360"/>
      </w:pPr>
    </w:p>
    <w:p w:rsidR="00FB5734" w:rsidRDefault="00987ADC" w:rsidP="00FB5734">
      <w:pPr>
        <w:pStyle w:val="ListParagraph"/>
        <w:spacing w:after="200" w:line="360" w:lineRule="auto"/>
        <w:ind w:left="360"/>
      </w:pPr>
      <w:r>
        <w:t>and</w:t>
      </w:r>
    </w:p>
    <w:p w:rsidR="00FB5734" w:rsidRDefault="00FB5734" w:rsidP="00FB5734">
      <w:pPr>
        <w:pStyle w:val="ListParagraph"/>
        <w:spacing w:after="200" w:line="360" w:lineRule="auto"/>
        <w:ind w:left="360"/>
      </w:pPr>
    </w:p>
    <w:p w:rsidR="00987ADC" w:rsidRPr="00FB5734" w:rsidRDefault="005D6A21" w:rsidP="00FB5734">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P, ABS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e>
          </m:nary>
        </m:oMath>
      </m:oMathPara>
    </w:p>
    <w:p w:rsidR="00FB5734" w:rsidRDefault="00FB5734" w:rsidP="00FB5734">
      <w:pPr>
        <w:pStyle w:val="ListParagraph"/>
        <w:spacing w:after="200" w:line="360" w:lineRule="auto"/>
        <w:ind w:left="360"/>
      </w:pPr>
    </w:p>
    <w:p w:rsidR="00FB5734" w:rsidRDefault="00987ADC" w:rsidP="00297902">
      <w:pPr>
        <w:pStyle w:val="ListParagraph"/>
        <w:numPr>
          <w:ilvl w:val="0"/>
          <w:numId w:val="202"/>
        </w:numPr>
        <w:spacing w:after="200" w:line="360" w:lineRule="auto"/>
      </w:pPr>
      <w:r>
        <w:rPr>
          <w:u w:val="single"/>
        </w:rPr>
        <w:t>Correlated/Uncorrelated Aggregated Portfolio Duration</w:t>
      </w:r>
      <w:r>
        <w:t xml:space="preserve">: The portfolio time to maturity weighted delta risk </w:t>
      </w:r>
      <m:oMath>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oMath>
      <w:r>
        <w:t xml:space="preserve"> and the duration weighted delta risk (if the duration can be defined for all the underlying trades) </w:t>
      </w:r>
      <m:oMath>
        <m:sSub>
          <m:sSubPr>
            <m:ctrlPr>
              <w:rPr>
                <w:rFonts w:ascii="Cambria Math" w:hAnsi="Cambria Math"/>
                <w:i/>
              </w:rPr>
            </m:ctrlPr>
          </m:sSubPr>
          <m:e>
            <m:r>
              <w:rPr>
                <w:rFonts w:ascii="Cambria Math" w:hAnsi="Cambria Math"/>
              </w:rPr>
              <m:t>D</m:t>
            </m:r>
          </m:e>
          <m:sub>
            <m:r>
              <w:rPr>
                <w:rFonts w:ascii="Cambria Math" w:hAnsi="Cambria Math"/>
              </w:rPr>
              <m:t>P, DUR</m:t>
            </m:r>
          </m:sub>
        </m:sSub>
      </m:oMath>
      <w:r>
        <w:t xml:space="preserve"> are calculated by</w:t>
      </w:r>
    </w:p>
    <w:p w:rsidR="00FB5734" w:rsidRDefault="00FB5734" w:rsidP="00FB5734">
      <w:pPr>
        <w:pStyle w:val="ListParagraph"/>
        <w:spacing w:after="200" w:line="360" w:lineRule="auto"/>
        <w:ind w:left="360"/>
        <w:rPr>
          <w:u w:val="single"/>
        </w:rPr>
      </w:pPr>
    </w:p>
    <w:p w:rsidR="00FB5734" w:rsidRDefault="005D6A21"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0-CORR</m:t>
              </m:r>
            </m:sup>
          </m:sSup>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2</m:t>
                      </m:r>
                    </m:sup>
                  </m:sSup>
                </m:e>
              </m:nary>
            </m:e>
          </m:rad>
        </m:oMath>
      </m:oMathPara>
    </w:p>
    <w:p w:rsidR="00FB5734" w:rsidRDefault="00FB5734" w:rsidP="00FB5734">
      <w:pPr>
        <w:pStyle w:val="ListParagraph"/>
        <w:spacing w:after="200" w:line="360" w:lineRule="auto"/>
        <w:ind w:left="360"/>
      </w:pPr>
    </w:p>
    <w:p w:rsidR="00FB5734" w:rsidRDefault="005D6A21"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0-CORR</m:t>
              </m:r>
            </m:sup>
          </m:sSup>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i, DUR</m:t>
                          </m:r>
                        </m:sub>
                      </m:sSub>
                    </m:e>
                    <m:sup>
                      <m:r>
                        <w:rPr>
                          <w:rFonts w:ascii="Cambria Math" w:hAnsi="Cambria Math"/>
                        </w:rPr>
                        <m:t>2</m:t>
                      </m:r>
                    </m:sup>
                  </m:sSup>
                </m:e>
              </m:nary>
            </m:e>
          </m:rad>
        </m:oMath>
      </m:oMathPara>
    </w:p>
    <w:p w:rsidR="00FB5734" w:rsidRDefault="00FB5734" w:rsidP="00FB5734">
      <w:pPr>
        <w:pStyle w:val="ListParagraph"/>
        <w:spacing w:after="200" w:line="360" w:lineRule="auto"/>
        <w:ind w:left="360"/>
      </w:pPr>
    </w:p>
    <w:p w:rsidR="00FB5734" w:rsidRDefault="00987ADC" w:rsidP="00FB5734">
      <w:pPr>
        <w:pStyle w:val="ListParagraph"/>
        <w:spacing w:after="200" w:line="360" w:lineRule="auto"/>
        <w:ind w:left="360"/>
      </w:pPr>
      <w:r>
        <w:t xml:space="preserve">if the pair-wise correlation between the risk factors of the underlying trades is assumed </w:t>
      </w:r>
      <w:r w:rsidR="00320925">
        <w:t>to be zero, or</w:t>
      </w:r>
    </w:p>
    <w:p w:rsidR="00FB5734" w:rsidRDefault="00FB5734" w:rsidP="00FB5734">
      <w:pPr>
        <w:pStyle w:val="ListParagraph"/>
        <w:spacing w:after="200" w:line="360" w:lineRule="auto"/>
        <w:ind w:left="360"/>
      </w:pPr>
    </w:p>
    <w:p w:rsidR="00FB5734" w:rsidRDefault="005D6A21"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1-CORR</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e>
              </m:d>
            </m:e>
          </m:nary>
        </m:oMath>
      </m:oMathPara>
    </w:p>
    <w:p w:rsidR="00FB5734" w:rsidRDefault="00FB5734" w:rsidP="00FB5734">
      <w:pPr>
        <w:pStyle w:val="ListParagraph"/>
        <w:spacing w:after="200" w:line="360" w:lineRule="auto"/>
        <w:ind w:left="360"/>
      </w:pPr>
    </w:p>
    <w:p w:rsidR="00FB5734" w:rsidRDefault="005D6A21"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1-CORR</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 DUR</m:t>
                      </m:r>
                    </m:sub>
                  </m:sSub>
                </m:e>
              </m:d>
            </m:e>
          </m:nary>
        </m:oMath>
      </m:oMathPara>
    </w:p>
    <w:p w:rsidR="00FB5734" w:rsidRDefault="00FB5734" w:rsidP="00FB5734">
      <w:pPr>
        <w:pStyle w:val="ListParagraph"/>
        <w:spacing w:after="200" w:line="360" w:lineRule="auto"/>
        <w:ind w:left="360"/>
      </w:pPr>
    </w:p>
    <w:p w:rsidR="00987ADC" w:rsidRDefault="00320925" w:rsidP="00FB5734">
      <w:pPr>
        <w:pStyle w:val="ListParagraph"/>
        <w:spacing w:after="200" w:line="360" w:lineRule="auto"/>
        <w:ind w:left="360"/>
      </w:pPr>
      <w:r>
        <w:t>if the pair-wise correlation is assumed to be one.</w:t>
      </w:r>
    </w:p>
    <w:p w:rsidR="00FB5734" w:rsidRDefault="00320925" w:rsidP="00297902">
      <w:pPr>
        <w:pStyle w:val="ListParagraph"/>
        <w:numPr>
          <w:ilvl w:val="0"/>
          <w:numId w:val="202"/>
        </w:numPr>
        <w:spacing w:after="200" w:line="360" w:lineRule="auto"/>
      </w:pPr>
      <w:r>
        <w:rPr>
          <w:u w:val="single"/>
        </w:rPr>
        <w:t>Unmodeled Error Portfolio Materiality Metric</w:t>
      </w:r>
      <w:r w:rsidRPr="00320925">
        <w:t>:</w:t>
      </w:r>
      <w:r>
        <w:t xml:space="preserve"> The error corresponding to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materiality metric per asset class is defined as the ratio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materiality metric between the unmodeled portfolio and the modeled portfolio</w:t>
      </w:r>
    </w:p>
    <w:p w:rsidR="00FB5734" w:rsidRDefault="00FB5734" w:rsidP="00FB5734">
      <w:pPr>
        <w:pStyle w:val="ListParagraph"/>
        <w:spacing w:after="200" w:line="360" w:lineRule="auto"/>
        <w:ind w:left="360"/>
        <w:rPr>
          <w:u w:val="single"/>
        </w:rPr>
      </w:pPr>
    </w:p>
    <w:p w:rsidR="00FB5734" w:rsidRDefault="005D6A21"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j</m:t>
                  </m:r>
                </m:sub>
              </m:sSub>
            </m:e>
            <m:sup>
              <m:r>
                <w:rPr>
                  <w:rFonts w:ascii="Cambria Math" w:hAnsi="Cambria Math"/>
                </w:rPr>
                <m:t>UN-MODEL</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MM</m:t>
                      </m:r>
                    </m:e>
                    <m:sub>
                      <m:r>
                        <w:rPr>
                          <w:rFonts w:ascii="Cambria Math" w:hAnsi="Cambria Math"/>
                        </w:rPr>
                        <m:t>p, j</m:t>
                      </m:r>
                    </m:sub>
                  </m:sSub>
                </m:e>
                <m:sup>
                  <m:r>
                    <w:rPr>
                      <w:rFonts w:ascii="Cambria Math" w:hAnsi="Cambria Math"/>
                    </w:rPr>
                    <m:t>UN-MODEL</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MM</m:t>
                      </m:r>
                    </m:e>
                    <m:sub>
                      <m:r>
                        <w:rPr>
                          <w:rFonts w:ascii="Cambria Math" w:hAnsi="Cambria Math"/>
                        </w:rPr>
                        <m:t>p, j</m:t>
                      </m:r>
                    </m:sub>
                  </m:sSub>
                </m:e>
                <m:sup>
                  <m:r>
                    <w:rPr>
                      <w:rFonts w:ascii="Cambria Math" w:hAnsi="Cambria Math"/>
                    </w:rPr>
                    <m:t>MODEL</m:t>
                  </m:r>
                </m:sup>
              </m:sSup>
            </m:den>
          </m:f>
        </m:oMath>
      </m:oMathPara>
    </w:p>
    <w:p w:rsidR="00FB5734" w:rsidRDefault="00FB5734" w:rsidP="00FB5734">
      <w:pPr>
        <w:pStyle w:val="ListParagraph"/>
        <w:spacing w:after="200" w:line="360" w:lineRule="auto"/>
        <w:ind w:left="360"/>
      </w:pPr>
    </w:p>
    <w:p w:rsidR="00FB5734" w:rsidRDefault="00320925" w:rsidP="00FB5734">
      <w:pPr>
        <w:pStyle w:val="ListParagraph"/>
        <w:spacing w:after="200" w:line="360" w:lineRule="auto"/>
        <w:ind w:left="360"/>
      </w:pPr>
      <w:r>
        <w:t xml:space="preserve">with </w:t>
      </w:r>
      <m:oMath>
        <m:sSub>
          <m:sSubPr>
            <m:ctrlPr>
              <w:rPr>
                <w:rFonts w:ascii="Cambria Math" w:hAnsi="Cambria Math"/>
                <w:i/>
              </w:rPr>
            </m:ctrlPr>
          </m:sSubPr>
          <m:e>
            <m:r>
              <w:rPr>
                <w:rFonts w:ascii="Cambria Math" w:hAnsi="Cambria Math"/>
              </w:rPr>
              <m:t>MM</m:t>
            </m:r>
          </m:e>
          <m:sub>
            <m:r>
              <w:rPr>
                <w:rFonts w:ascii="Cambria Math" w:hAnsi="Cambria Math"/>
              </w:rPr>
              <m:t>p, j</m:t>
            </m:r>
          </m:sub>
        </m:sSub>
      </m:oMath>
      <w:r>
        <w:t xml:space="preserve"> in</w:t>
      </w:r>
    </w:p>
    <w:p w:rsidR="00FB5734" w:rsidRDefault="00FB5734" w:rsidP="00FB5734">
      <w:pPr>
        <w:pStyle w:val="ListParagraph"/>
        <w:spacing w:after="200" w:line="360" w:lineRule="auto"/>
        <w:ind w:left="360"/>
      </w:pPr>
    </w:p>
    <w:p w:rsidR="00320925" w:rsidRPr="00FB5734" w:rsidRDefault="005D6A21" w:rsidP="00FB5734">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 ABS</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 ABS</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1-CORR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1-CORR</m:t>
                  </m:r>
                </m:sup>
              </m:sSup>
            </m:e>
          </m:d>
        </m:oMath>
      </m:oMathPara>
    </w:p>
    <w:p w:rsidR="00FB5734" w:rsidRDefault="00FB5734" w:rsidP="00FB5734">
      <w:pPr>
        <w:pStyle w:val="ListParagraph"/>
        <w:spacing w:after="200" w:line="360" w:lineRule="auto"/>
        <w:ind w:left="360"/>
      </w:pPr>
    </w:p>
    <w:p w:rsidR="00FB5734" w:rsidRDefault="00321B81" w:rsidP="00297902">
      <w:pPr>
        <w:pStyle w:val="ListParagraph"/>
        <w:numPr>
          <w:ilvl w:val="0"/>
          <w:numId w:val="202"/>
        </w:numPr>
        <w:spacing w:after="200" w:line="360" w:lineRule="auto"/>
      </w:pPr>
      <w:r>
        <w:rPr>
          <w:u w:val="single"/>
        </w:rPr>
        <w:t>Effective Unmodeled Error Materiality Metric</w:t>
      </w:r>
      <w:r>
        <w:t>: The error corresponding to the entire asset class is defined as</w:t>
      </w:r>
    </w:p>
    <w:p w:rsidR="00FB5734" w:rsidRDefault="00FB5734" w:rsidP="00FB5734">
      <w:pPr>
        <w:pStyle w:val="ListParagraph"/>
        <w:spacing w:after="200" w:line="360" w:lineRule="auto"/>
        <w:ind w:left="360"/>
        <w:rPr>
          <w:u w:val="single"/>
        </w:rPr>
      </w:pPr>
    </w:p>
    <w:p w:rsidR="00FB5734" w:rsidRDefault="005D6A21" w:rsidP="00FB573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UN-MODEL</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j</m:t>
                </m:r>
              </m:e>
            </m:mr>
          </m:m>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j</m:t>
                  </m:r>
                </m:sub>
              </m:sSub>
            </m:e>
            <m:sup>
              <m:r>
                <w:rPr>
                  <w:rFonts w:ascii="Cambria Math" w:hAnsi="Cambria Math"/>
                </w:rPr>
                <m:t>UN-MODEL</m:t>
              </m:r>
            </m:sup>
          </m:sSup>
        </m:oMath>
      </m:oMathPara>
    </w:p>
    <w:p w:rsidR="00FB5734" w:rsidRDefault="00FB5734" w:rsidP="00FB5734">
      <w:pPr>
        <w:pStyle w:val="ListParagraph"/>
        <w:spacing w:after="200" w:line="360" w:lineRule="auto"/>
        <w:ind w:left="360"/>
      </w:pPr>
    </w:p>
    <w:p w:rsidR="00FB5734" w:rsidRDefault="00321B81" w:rsidP="00FB5734">
      <w:pPr>
        <w:pStyle w:val="ListParagraph"/>
        <w:spacing w:after="200" w:line="360" w:lineRule="auto"/>
        <w:ind w:left="360"/>
      </w:pPr>
      <w:r>
        <w:t xml:space="preserve">with running </w:t>
      </w:r>
      <w:r w:rsidR="0073023B">
        <w:t>over all materiality metrics in</w:t>
      </w:r>
    </w:p>
    <w:p w:rsidR="00FB5734" w:rsidRDefault="00FB5734" w:rsidP="00FB5734">
      <w:pPr>
        <w:pStyle w:val="ListParagraph"/>
        <w:spacing w:after="200" w:line="360" w:lineRule="auto"/>
        <w:ind w:left="360"/>
      </w:pPr>
    </w:p>
    <w:p w:rsidR="00320925" w:rsidRPr="00FB5734" w:rsidRDefault="005D6A21" w:rsidP="00FB5734">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 ABS</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 ABS</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1-CORR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1-CORR</m:t>
                  </m:r>
                </m:sup>
              </m:sSup>
            </m:e>
          </m:d>
        </m:oMath>
      </m:oMathPara>
    </w:p>
    <w:p w:rsidR="00FB5734" w:rsidRDefault="00FB5734" w:rsidP="00FB5734">
      <w:pPr>
        <w:pStyle w:val="ListParagraph"/>
        <w:spacing w:after="200" w:line="360" w:lineRule="auto"/>
        <w:ind w:left="360"/>
      </w:pPr>
    </w:p>
    <w:p w:rsidR="00FB5734" w:rsidRDefault="0073023B" w:rsidP="00297902">
      <w:pPr>
        <w:pStyle w:val="ListParagraph"/>
        <w:numPr>
          <w:ilvl w:val="0"/>
          <w:numId w:val="202"/>
        </w:numPr>
        <w:spacing w:after="200" w:line="360" w:lineRule="auto"/>
      </w:pPr>
      <w:r>
        <w:rPr>
          <w:u w:val="single"/>
        </w:rPr>
        <w:t>Portfolio Unmodeled Materiality Metric Threshold</w:t>
      </w:r>
      <w:r>
        <w:t>: The unmodeled or failed trades are considered immaterial if</w:t>
      </w:r>
    </w:p>
    <w:p w:rsidR="00FB5734" w:rsidRDefault="00FB5734" w:rsidP="00FB5734">
      <w:pPr>
        <w:pStyle w:val="ListParagraph"/>
        <w:spacing w:after="200" w:line="360" w:lineRule="auto"/>
        <w:ind w:left="360"/>
        <w:rPr>
          <w:u w:val="single"/>
        </w:rPr>
      </w:pPr>
    </w:p>
    <w:p w:rsidR="0073023B" w:rsidRPr="00FB5734" w:rsidRDefault="005D6A21" w:rsidP="00FB573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UN-MODEL</m:t>
              </m:r>
            </m:sup>
          </m:sSup>
          <m:r>
            <w:rPr>
              <w:rFonts w:ascii="Cambria Math" w:hAnsi="Cambria Math"/>
            </w:rPr>
            <m:t>≥5%</m:t>
          </m:r>
        </m:oMath>
      </m:oMathPara>
    </w:p>
    <w:p w:rsidR="00FB5734" w:rsidRDefault="00FB5734" w:rsidP="00FB5734">
      <w:pPr>
        <w:pStyle w:val="ListParagraph"/>
        <w:spacing w:after="200" w:line="360" w:lineRule="auto"/>
        <w:ind w:left="360"/>
      </w:pPr>
    </w:p>
    <w:p w:rsidR="0073023B" w:rsidRDefault="0073023B" w:rsidP="00297902">
      <w:pPr>
        <w:pStyle w:val="ListParagraph"/>
        <w:numPr>
          <w:ilvl w:val="0"/>
          <w:numId w:val="202"/>
        </w:numPr>
        <w:spacing w:after="200" w:line="360" w:lineRule="auto"/>
      </w:pPr>
      <w:r>
        <w:rPr>
          <w:u w:val="single"/>
        </w:rPr>
        <w:t>FX/Equity/Commodity Delta Risk</w:t>
      </w:r>
      <w:r>
        <w:t>: For FX, equity, and commodity trades, the delta risk is the USD equivalent delta risk of the derivatives trade with respect to each of the relevant underlying risk factors.</w:t>
      </w:r>
    </w:p>
    <w:p w:rsidR="0073023B" w:rsidRDefault="0073023B" w:rsidP="00297902">
      <w:pPr>
        <w:pStyle w:val="ListParagraph"/>
        <w:numPr>
          <w:ilvl w:val="0"/>
          <w:numId w:val="202"/>
        </w:numPr>
        <w:spacing w:after="200" w:line="360" w:lineRule="auto"/>
      </w:pPr>
      <w:r>
        <w:rPr>
          <w:u w:val="single"/>
        </w:rPr>
        <w:t>Delta Risk for Credit Trades</w:t>
      </w:r>
      <w:r w:rsidRPr="0073023B">
        <w:t>:</w:t>
      </w:r>
      <w:r>
        <w:t xml:space="preserve"> For credit trades DRIP uses USD equivalent CS01 as the delta risk.</w:t>
      </w:r>
    </w:p>
    <w:p w:rsidR="005A1843" w:rsidRDefault="005A1843" w:rsidP="00297902">
      <w:pPr>
        <w:pStyle w:val="ListParagraph"/>
        <w:numPr>
          <w:ilvl w:val="0"/>
          <w:numId w:val="202"/>
        </w:numPr>
        <w:spacing w:after="200" w:line="360" w:lineRule="auto"/>
      </w:pPr>
      <w:r>
        <w:rPr>
          <w:u w:val="single"/>
        </w:rPr>
        <w:t>Single/Cross Currency Rates Trades</w:t>
      </w:r>
      <w:r w:rsidRPr="005A1843">
        <w:t>:</w:t>
      </w:r>
      <w:r>
        <w:t xml:space="preserve"> For single currency rates trades DRIP uses the USD equivalent IR01 or MM01 as the delta risk, and for cross currency (XCCY) IR trades, DRIP uses USD equivalent FX delta as the delta risk.</w:t>
      </w:r>
    </w:p>
    <w:p w:rsidR="005A1843" w:rsidRDefault="005A1843" w:rsidP="00297902">
      <w:pPr>
        <w:pStyle w:val="ListParagraph"/>
        <w:numPr>
          <w:ilvl w:val="0"/>
          <w:numId w:val="202"/>
        </w:numPr>
        <w:spacing w:after="200" w:line="360" w:lineRule="auto"/>
      </w:pPr>
      <w:r>
        <w:rPr>
          <w:u w:val="single"/>
        </w:rPr>
        <w:t>Delta Risk for the Basket Trades</w:t>
      </w:r>
      <w:r w:rsidRPr="005A1843">
        <w:t>:</w:t>
      </w:r>
      <w:r>
        <w:t xml:space="preserve"> For basket trades, DRIP uses the parallel delta risk computed by bumping all the relevant risk factors simultaneously.</w:t>
      </w:r>
    </w:p>
    <w:p w:rsidR="005A1843" w:rsidRDefault="005A1843" w:rsidP="00297902">
      <w:pPr>
        <w:pStyle w:val="ListParagraph"/>
        <w:numPr>
          <w:ilvl w:val="0"/>
          <w:numId w:val="202"/>
        </w:numPr>
        <w:spacing w:after="200" w:line="360" w:lineRule="auto"/>
      </w:pPr>
      <w:r>
        <w:rPr>
          <w:u w:val="single"/>
        </w:rPr>
        <w:t>Criteria Based Unmodeled Trades Aggregation</w:t>
      </w:r>
      <w:r w:rsidRPr="005A1843">
        <w:t>:</w:t>
      </w:r>
      <w:r>
        <w:t xml:space="preserve"> Similar methodology can be optionally applied to analyze the materiality of exposures or CVA per counter party (per netting or collateral group to be more precise) due to unmodeled or failed trades.</w:t>
      </w:r>
    </w:p>
    <w:p w:rsidR="00EE3A11" w:rsidRDefault="00EE3A11" w:rsidP="00EE3A11">
      <w:pPr>
        <w:spacing w:after="200" w:line="360" w:lineRule="auto"/>
      </w:pPr>
    </w:p>
    <w:p w:rsidR="00EE3A11" w:rsidRDefault="00EE3A11" w:rsidP="00EE3A11">
      <w:pPr>
        <w:spacing w:after="200" w:line="360" w:lineRule="auto"/>
      </w:pPr>
    </w:p>
    <w:p w:rsidR="00EE3A11" w:rsidRPr="00EE3A11" w:rsidRDefault="00EE3A11" w:rsidP="00EE3A11">
      <w:pPr>
        <w:spacing w:after="200" w:line="360" w:lineRule="auto"/>
        <w:rPr>
          <w:b/>
          <w:sz w:val="28"/>
          <w:szCs w:val="28"/>
        </w:rPr>
      </w:pPr>
      <w:r w:rsidRPr="00EE3A11">
        <w:rPr>
          <w:b/>
          <w:sz w:val="28"/>
          <w:szCs w:val="28"/>
        </w:rPr>
        <w:t>Materiality Analysis Based on P&amp;L</w:t>
      </w:r>
    </w:p>
    <w:p w:rsidR="00EE3A11" w:rsidRDefault="00EE3A11" w:rsidP="00EE3A11">
      <w:pPr>
        <w:spacing w:after="200" w:line="360" w:lineRule="auto"/>
      </w:pPr>
    </w:p>
    <w:p w:rsidR="00EE3A11" w:rsidRDefault="00EE3A11" w:rsidP="00EE3A11">
      <w:pPr>
        <w:pStyle w:val="ListParagraph"/>
        <w:numPr>
          <w:ilvl w:val="0"/>
          <w:numId w:val="203"/>
        </w:numPr>
        <w:spacing w:after="200" w:line="360" w:lineRule="auto"/>
      </w:pPr>
      <w:r w:rsidRPr="00EE3A11">
        <w:rPr>
          <w:u w:val="single"/>
        </w:rPr>
        <w:t>Causes of Unstable Trade Valuations</w:t>
      </w:r>
      <w:r>
        <w:t>: In some cases numerical inaccuracies such as Monte Carlo noises may cause unstable valuations, risks/Greeks, and/or poor P&amp;L explanations.</w:t>
      </w:r>
    </w:p>
    <w:p w:rsidR="00EE3A11" w:rsidRDefault="00EE3A11" w:rsidP="00EE3A11">
      <w:pPr>
        <w:pStyle w:val="ListParagraph"/>
        <w:numPr>
          <w:ilvl w:val="0"/>
          <w:numId w:val="203"/>
        </w:numPr>
        <w:spacing w:after="200" w:line="360" w:lineRule="auto"/>
      </w:pPr>
      <w:r>
        <w:rPr>
          <w:u w:val="single"/>
        </w:rPr>
        <w:t>Verifying Origins of Numerical Inaccuracies</w:t>
      </w:r>
      <w:r w:rsidRPr="00EE3A11">
        <w:t>:</w:t>
      </w:r>
      <w:r>
        <w:t xml:space="preserve"> The first step is to confirm that such instabilities are dominated by numerical inaccuracies, and not by other fundamental model deficiencies, by demonstrating that:</w:t>
      </w:r>
    </w:p>
    <w:p w:rsidR="00EE3A11" w:rsidRDefault="00EE3A11" w:rsidP="00EE3A11">
      <w:pPr>
        <w:pStyle w:val="ListParagraph"/>
        <w:numPr>
          <w:ilvl w:val="1"/>
          <w:numId w:val="203"/>
        </w:numPr>
        <w:spacing w:after="200" w:line="360" w:lineRule="auto"/>
      </w:pPr>
      <w:r>
        <w:t>Either the instability or the error is within two standard deviations of the Monte Carlo error</w:t>
      </w:r>
    </w:p>
    <w:p w:rsidR="00EE3A11" w:rsidRDefault="00EE3A11" w:rsidP="00EE3A11">
      <w:pPr>
        <w:pStyle w:val="ListParagraph"/>
        <w:numPr>
          <w:ilvl w:val="1"/>
          <w:numId w:val="203"/>
        </w:numPr>
        <w:spacing w:after="200" w:line="360" w:lineRule="auto"/>
      </w:pPr>
      <w:r>
        <w:t>Or a significantly improved stability with refined numerical parameters, such as more Monte Carlo paths.</w:t>
      </w:r>
    </w:p>
    <w:p w:rsidR="00EE3A11" w:rsidRDefault="00EE3A11" w:rsidP="00EE3A11">
      <w:pPr>
        <w:pStyle w:val="ListParagraph"/>
        <w:numPr>
          <w:ilvl w:val="0"/>
          <w:numId w:val="203"/>
        </w:numPr>
        <w:spacing w:after="200" w:line="360" w:lineRule="auto"/>
      </w:pPr>
      <w:r>
        <w:rPr>
          <w:u w:val="single"/>
        </w:rPr>
        <w:t>Materiality Impact on Net CVA</w:t>
      </w:r>
      <w:r>
        <w:t>: After this the materiality of the net CVA (CVA + DVA) P&amp;L and the unexplained P&amp;L impact for the entire trading books needs to be evaluated.</w:t>
      </w:r>
    </w:p>
    <w:p w:rsidR="00EE3A11" w:rsidRDefault="00EE3A11" w:rsidP="00EE3A11">
      <w:pPr>
        <w:pStyle w:val="ListParagraph"/>
        <w:numPr>
          <w:ilvl w:val="0"/>
          <w:numId w:val="203"/>
        </w:numPr>
        <w:spacing w:after="200" w:line="360" w:lineRule="auto"/>
      </w:pPr>
      <w:r>
        <w:rPr>
          <w:u w:val="single"/>
        </w:rPr>
        <w:t>Breach of the Materiality Threshold</w:t>
      </w:r>
      <w:r w:rsidRPr="00EE3A11">
        <w:t>:</w:t>
      </w:r>
      <w:r>
        <w:t xml:space="preserve"> If these P&amp;L’s or the unexplained P&amp;L’s are less than the threshold outlined in typical contingent group credit policies and controls, they are considered to be immaterial.</w:t>
      </w:r>
    </w:p>
    <w:p w:rsidR="00EE3A11" w:rsidRDefault="00EE3A11" w:rsidP="00EE3A11">
      <w:pPr>
        <w:pStyle w:val="ListParagraph"/>
        <w:numPr>
          <w:ilvl w:val="0"/>
          <w:numId w:val="203"/>
        </w:numPr>
        <w:spacing w:after="200" w:line="360" w:lineRule="auto"/>
      </w:pPr>
      <w:r>
        <w:rPr>
          <w:u w:val="single"/>
        </w:rPr>
        <w:t>Periodic Monitoring to Verify Immateriality</w:t>
      </w:r>
      <w:r w:rsidRPr="00EE3A11">
        <w:t>:</w:t>
      </w:r>
      <w:r>
        <w:t xml:space="preserve"> No further actions need to be taken except for periodic monitoring to ensure that they remain immaterial going forward. </w:t>
      </w:r>
      <w:r w:rsidR="00547C78">
        <w:t>The main motivation for not using more Monte Carlo simulation paths is computational performance and efficiency.</w:t>
      </w:r>
    </w:p>
    <w:p w:rsidR="00547C78" w:rsidRDefault="00547C78" w:rsidP="00547C78">
      <w:pPr>
        <w:spacing w:after="200" w:line="360" w:lineRule="auto"/>
      </w:pPr>
    </w:p>
    <w:p w:rsidR="00547C78" w:rsidRDefault="00547C78" w:rsidP="00547C78">
      <w:pPr>
        <w:spacing w:after="200" w:line="360" w:lineRule="auto"/>
      </w:pPr>
    </w:p>
    <w:p w:rsidR="00547C78" w:rsidRPr="000848DA" w:rsidRDefault="00547C78" w:rsidP="00547C78">
      <w:pPr>
        <w:spacing w:after="200" w:line="360" w:lineRule="auto"/>
        <w:rPr>
          <w:b/>
          <w:sz w:val="28"/>
          <w:szCs w:val="28"/>
        </w:rPr>
      </w:pPr>
      <w:r w:rsidRPr="000848DA">
        <w:rPr>
          <w:b/>
          <w:sz w:val="28"/>
          <w:szCs w:val="28"/>
        </w:rPr>
        <w:t>CVA/DVA Testing</w:t>
      </w:r>
    </w:p>
    <w:p w:rsidR="00623380" w:rsidRDefault="00623380" w:rsidP="00547C78">
      <w:pPr>
        <w:spacing w:after="200" w:line="360" w:lineRule="auto"/>
      </w:pPr>
    </w:p>
    <w:p w:rsidR="00BA04DE" w:rsidRDefault="00623380" w:rsidP="000848DA">
      <w:pPr>
        <w:pStyle w:val="ListParagraph"/>
        <w:numPr>
          <w:ilvl w:val="0"/>
          <w:numId w:val="204"/>
        </w:numPr>
        <w:spacing w:after="200" w:line="360" w:lineRule="auto"/>
      </w:pPr>
      <w:r w:rsidRPr="000848DA">
        <w:rPr>
          <w:u w:val="single"/>
        </w:rPr>
        <w:t>CP/Bank/Market Zero Correlation</w:t>
      </w:r>
      <w:r>
        <w:t>: For the special case of zero correlation among the counter party and the bank credit spreads and the underlying market (that is without wrong-way or right-way risks) for selected counter parties or trades the model CVA and DVA are tested using</w:t>
      </w:r>
    </w:p>
    <w:p w:rsidR="00BA04DE" w:rsidRDefault="00BA04DE" w:rsidP="00BA04DE">
      <w:pPr>
        <w:pStyle w:val="ListParagraph"/>
        <w:spacing w:after="200" w:line="360" w:lineRule="auto"/>
        <w:ind w:left="360"/>
        <w:rPr>
          <w:u w:val="single"/>
        </w:rPr>
      </w:pPr>
    </w:p>
    <w:p w:rsidR="00BA04DE" w:rsidRDefault="005D6A21" w:rsidP="00BA04DE">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 t</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e>
          </m:nary>
        </m:oMath>
      </m:oMathPara>
    </w:p>
    <w:p w:rsidR="00BA04DE" w:rsidRDefault="00BA04DE" w:rsidP="00BA04DE">
      <w:pPr>
        <w:pStyle w:val="ListParagraph"/>
        <w:spacing w:after="200" w:line="360" w:lineRule="auto"/>
        <w:ind w:left="360"/>
      </w:pPr>
    </w:p>
    <w:p w:rsidR="00BA04DE" w:rsidRDefault="00BA04DE" w:rsidP="00BA04DE">
      <w:pPr>
        <w:pStyle w:val="ListParagraph"/>
        <w:spacing w:after="200" w:line="360" w:lineRule="auto"/>
        <w:ind w:left="360"/>
      </w:pPr>
      <w:r>
        <w:t>and</w:t>
      </w:r>
    </w:p>
    <w:p w:rsidR="00BA04DE" w:rsidRDefault="00BA04DE" w:rsidP="00BA04DE">
      <w:pPr>
        <w:pStyle w:val="ListParagraph"/>
        <w:spacing w:after="200" w:line="360" w:lineRule="auto"/>
        <w:ind w:left="360"/>
      </w:pPr>
    </w:p>
    <w:p w:rsidR="00BA04DE" w:rsidRDefault="005D6A21" w:rsidP="00BA04DE">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 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oMath>
      </m:oMathPara>
    </w:p>
    <w:p w:rsidR="00BA04DE" w:rsidRDefault="00BA04DE" w:rsidP="00BA04DE">
      <w:pPr>
        <w:pStyle w:val="ListParagraph"/>
        <w:spacing w:after="200" w:line="360" w:lineRule="auto"/>
        <w:ind w:left="360"/>
      </w:pPr>
    </w:p>
    <w:p w:rsidR="00623380" w:rsidRDefault="00623380" w:rsidP="00BA04DE">
      <w:pPr>
        <w:pStyle w:val="ListParagraph"/>
        <w:spacing w:after="200" w:line="360" w:lineRule="auto"/>
        <w:ind w:left="360"/>
      </w:pPr>
      <w:r>
        <w:t>based on the spot date’s bank and counter party hazard curves.</w:t>
      </w:r>
    </w:p>
    <w:p w:rsidR="000848DA" w:rsidRDefault="000848DA" w:rsidP="000848DA">
      <w:pPr>
        <w:pStyle w:val="ListParagraph"/>
        <w:numPr>
          <w:ilvl w:val="0"/>
          <w:numId w:val="204"/>
        </w:numPr>
        <w:spacing w:after="200" w:line="360" w:lineRule="auto"/>
      </w:pPr>
      <w:r>
        <w:rPr>
          <w:u w:val="single"/>
        </w:rPr>
        <w:t>Selected Trades Tested for Correlation</w:t>
      </w:r>
      <w:r w:rsidRPr="000848DA">
        <w:t>:</w:t>
      </w:r>
      <w:r>
        <w:t xml:space="preserve"> For the special case of non-zero correlation trades (that is with some wrong-way or right-way risks), for selected counter parties or trades, the model CVA and the DVA smoothness with respect to the correlation is tested. Also tested are the model CVA and DVA against the convexity adjustment and CCDA (contingent CDS), if available.</w:t>
      </w:r>
    </w:p>
    <w:p w:rsidR="000848DA" w:rsidRDefault="000848DA" w:rsidP="000848DA">
      <w:pPr>
        <w:pStyle w:val="ListParagraph"/>
        <w:numPr>
          <w:ilvl w:val="0"/>
          <w:numId w:val="204"/>
        </w:numPr>
        <w:spacing w:after="200" w:line="360" w:lineRule="auto"/>
      </w:pPr>
      <w:r>
        <w:rPr>
          <w:u w:val="single"/>
        </w:rPr>
        <w:t>Smoothness Test for MPoR XVA</w:t>
      </w:r>
      <w:r w:rsidRPr="000848DA">
        <w:t>:</w:t>
      </w:r>
      <w:r>
        <w:t xml:space="preserve"> In addition to all other smoothness tests, DRIP further performs smoothness tests for collateralized/MPoR CVA and DVA with respect to the collateral thresholds, IA, MTA, and default window size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td</m:t>
            </m:r>
          </m:sub>
        </m:sSub>
      </m:oMath>
      <w:r>
        <w:t xml:space="preserve"> as defined before.</w:t>
      </w:r>
    </w:p>
    <w:p w:rsidR="00BA04DE" w:rsidRDefault="000848DA" w:rsidP="000848DA">
      <w:pPr>
        <w:pStyle w:val="ListParagraph"/>
        <w:numPr>
          <w:ilvl w:val="0"/>
          <w:numId w:val="204"/>
        </w:numPr>
        <w:spacing w:after="200" w:line="360" w:lineRule="auto"/>
      </w:pPr>
      <w:r>
        <w:rPr>
          <w:u w:val="single"/>
        </w:rPr>
        <w:t>CVA/DVA Error Impact Thresholds</w:t>
      </w:r>
      <w:r w:rsidRPr="000848DA">
        <w:t>:</w:t>
      </w:r>
      <w:r>
        <w:t xml:space="preserve"> For various approximations, DRIP requires that the error impact on CVA be</w:t>
      </w:r>
    </w:p>
    <w:p w:rsidR="00BA04DE" w:rsidRDefault="00BA04DE" w:rsidP="00BA04DE">
      <w:pPr>
        <w:pStyle w:val="ListParagraph"/>
        <w:spacing w:after="200" w:line="360" w:lineRule="auto"/>
        <w:ind w:left="360"/>
        <w:rPr>
          <w:u w:val="single"/>
        </w:rPr>
      </w:pPr>
    </w:p>
    <w:p w:rsidR="00BA04DE" w:rsidRDefault="000848DA" w:rsidP="00BA04DE">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CP, CS01</m:t>
              </m:r>
            </m:sub>
          </m:sSub>
        </m:oMath>
      </m:oMathPara>
    </w:p>
    <w:p w:rsidR="00BA04DE" w:rsidRDefault="00BA04DE" w:rsidP="00BA04DE">
      <w:pPr>
        <w:pStyle w:val="ListParagraph"/>
        <w:spacing w:after="200" w:line="360" w:lineRule="auto"/>
        <w:ind w:left="360"/>
      </w:pPr>
    </w:p>
    <w:p w:rsidR="00BA04DE" w:rsidRDefault="000848DA" w:rsidP="00BA04DE">
      <w:pPr>
        <w:pStyle w:val="ListParagraph"/>
        <w:spacing w:after="200" w:line="360" w:lineRule="auto"/>
        <w:ind w:left="360"/>
      </w:pPr>
      <w:r>
        <w:t>and separately in DVA it be</w:t>
      </w:r>
    </w:p>
    <w:p w:rsidR="00BA04DE" w:rsidRDefault="00BA04DE" w:rsidP="00BA04DE">
      <w:pPr>
        <w:pStyle w:val="ListParagraph"/>
        <w:spacing w:after="200" w:line="360" w:lineRule="auto"/>
        <w:ind w:left="360"/>
      </w:pPr>
    </w:p>
    <w:p w:rsidR="00BA04DE" w:rsidRDefault="000848DA" w:rsidP="00BA04DE">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BANK, CS01</m:t>
              </m:r>
            </m:sub>
          </m:sSub>
        </m:oMath>
      </m:oMathPara>
    </w:p>
    <w:p w:rsidR="00BA04DE" w:rsidRDefault="00BA04DE" w:rsidP="00BA04DE">
      <w:pPr>
        <w:pStyle w:val="ListParagraph"/>
        <w:spacing w:after="200" w:line="360" w:lineRule="auto"/>
        <w:ind w:left="360"/>
      </w:pPr>
    </w:p>
    <w:p w:rsidR="000848DA" w:rsidRDefault="000848DA" w:rsidP="00BA04DE">
      <w:pPr>
        <w:pStyle w:val="ListParagraph"/>
        <w:spacing w:after="200" w:line="360" w:lineRule="auto"/>
        <w:ind w:left="360"/>
      </w:pPr>
      <w:r>
        <w:t>unless the conservative measure is used.</w:t>
      </w:r>
    </w:p>
    <w:p w:rsidR="00BA04DE" w:rsidRDefault="00BA04DE" w:rsidP="000848DA">
      <w:pPr>
        <w:pStyle w:val="ListParagraph"/>
        <w:numPr>
          <w:ilvl w:val="0"/>
          <w:numId w:val="204"/>
        </w:numPr>
        <w:spacing w:after="200" w:line="360" w:lineRule="auto"/>
      </w:pPr>
      <w:r>
        <w:rPr>
          <w:u w:val="single"/>
        </w:rPr>
        <w:t>Application of the Materiality Criterion</w:t>
      </w:r>
      <w:r w:rsidRPr="00BA04DE">
        <w:t>:</w:t>
      </w:r>
      <w:r>
        <w:t xml:space="preserve"> The above list of materiality criteria applies.</w:t>
      </w:r>
    </w:p>
    <w:p w:rsidR="00BA04DE" w:rsidRDefault="00BA04DE" w:rsidP="00BA04DE">
      <w:pPr>
        <w:spacing w:after="200" w:line="360" w:lineRule="auto"/>
      </w:pPr>
    </w:p>
    <w:p w:rsidR="00BA04DE" w:rsidRDefault="00BA04DE" w:rsidP="00BA04DE">
      <w:pPr>
        <w:spacing w:after="200" w:line="360" w:lineRule="auto"/>
      </w:pPr>
    </w:p>
    <w:p w:rsidR="00BA04DE" w:rsidRPr="00BA04DE" w:rsidRDefault="00BA04DE" w:rsidP="00BA04DE">
      <w:pPr>
        <w:spacing w:after="200" w:line="360" w:lineRule="auto"/>
        <w:rPr>
          <w:b/>
          <w:sz w:val="28"/>
          <w:szCs w:val="28"/>
        </w:rPr>
      </w:pPr>
      <w:r w:rsidRPr="00BA04DE">
        <w:rPr>
          <w:b/>
          <w:sz w:val="28"/>
          <w:szCs w:val="28"/>
        </w:rPr>
        <w:t>Stress/CCAR Testing</w:t>
      </w:r>
    </w:p>
    <w:p w:rsidR="00BA04DE" w:rsidRDefault="00BA04DE" w:rsidP="00BA04DE">
      <w:pPr>
        <w:spacing w:after="200" w:line="360" w:lineRule="auto"/>
      </w:pPr>
    </w:p>
    <w:p w:rsidR="00BA04DE" w:rsidRDefault="00BA04DE" w:rsidP="00BA04DE">
      <w:pPr>
        <w:pStyle w:val="ListParagraph"/>
        <w:numPr>
          <w:ilvl w:val="0"/>
          <w:numId w:val="205"/>
        </w:numPr>
        <w:spacing w:after="200" w:line="360" w:lineRule="auto"/>
      </w:pPr>
      <w:r w:rsidRPr="00BA04DE">
        <w:rPr>
          <w:u w:val="single"/>
        </w:rPr>
        <w:t>General Stress Testing – Smoothness Runs</w:t>
      </w:r>
      <w:r>
        <w:t>: For general stress testing further smoothness testing can be performed as a function of various bump sizes for each of the important market data and model parameters for the following: CVA PV (for selected trades at the trade level), CVA and DVA (for selected counter parties at the counter party level).</w:t>
      </w:r>
    </w:p>
    <w:p w:rsidR="0010438C" w:rsidRDefault="00BA04DE" w:rsidP="00BA04DE">
      <w:pPr>
        <w:pStyle w:val="ListParagraph"/>
        <w:numPr>
          <w:ilvl w:val="0"/>
          <w:numId w:val="205"/>
        </w:numPr>
        <w:spacing w:after="200" w:line="360" w:lineRule="auto"/>
      </w:pPr>
      <w:r>
        <w:rPr>
          <w:u w:val="single"/>
        </w:rPr>
        <w:t>CCAR Testing - CVA PV Runs</w:t>
      </w:r>
      <w:r w:rsidRPr="00BA04DE">
        <w:t>:</w:t>
      </w:r>
      <w:r>
        <w:t xml:space="preserve"> For CCAR testing one can perform the above CVA-PV-Underlying-PV test under each of the CCAR scenarios for selected underlying trades and selected counter party portfolios in scope for CVA, and define the dollar error between the CVA PV and the underlying PV under the CCAR scenario as</w:t>
      </w:r>
    </w:p>
    <w:p w:rsidR="0010438C" w:rsidRDefault="0010438C" w:rsidP="0010438C">
      <w:pPr>
        <w:pStyle w:val="ListParagraph"/>
        <w:spacing w:after="200" w:line="360" w:lineRule="auto"/>
        <w:ind w:left="360"/>
        <w:rPr>
          <w:u w:val="single"/>
        </w:rPr>
      </w:pPr>
    </w:p>
    <w:p w:rsidR="0010438C" w:rsidRDefault="005D6A21" w:rsidP="0010438C">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 CCAR</m:t>
                  </m:r>
                </m:sub>
              </m:sSub>
              <m:r>
                <w:rPr>
                  <w:rFonts w:ascii="Cambria Math" w:hAnsi="Cambria Math"/>
                </w:rPr>
                <m:t>-C-</m:t>
              </m:r>
              <m:sSub>
                <m:sSubPr>
                  <m:ctrlPr>
                    <w:rPr>
                      <w:rFonts w:ascii="Cambria Math" w:hAnsi="Cambria Math"/>
                      <w:i/>
                    </w:rPr>
                  </m:ctrlPr>
                </m:sSubPr>
                <m:e>
                  <m:r>
                    <w:rPr>
                      <w:rFonts w:ascii="Cambria Math" w:hAnsi="Cambria Math"/>
                    </w:rPr>
                    <m:t>PV</m:t>
                  </m:r>
                </m:e>
                <m:sub>
                  <m:r>
                    <w:rPr>
                      <w:rFonts w:ascii="Cambria Math" w:hAnsi="Cambria Math"/>
                    </w:rPr>
                    <m:t>UND, CCAR</m:t>
                  </m:r>
                </m:sub>
              </m:sSub>
            </m:e>
          </m:d>
        </m:oMath>
      </m:oMathPara>
    </w:p>
    <w:p w:rsidR="0010438C" w:rsidRDefault="0010438C" w:rsidP="0010438C">
      <w:pPr>
        <w:pStyle w:val="ListParagraph"/>
        <w:spacing w:after="200" w:line="360" w:lineRule="auto"/>
        <w:ind w:left="360"/>
      </w:pPr>
    </w:p>
    <w:p w:rsidR="00BA04DE" w:rsidRDefault="00BA04DE" w:rsidP="0010438C">
      <w:pPr>
        <w:pStyle w:val="ListParagraph"/>
        <w:spacing w:after="200" w:line="360" w:lineRule="auto"/>
        <w:ind w:left="360"/>
      </w:pPr>
      <w:r>
        <w:t xml:space="preserve">where </w:t>
      </w:r>
      <m:oMath>
        <m:r>
          <w:rPr>
            <w:rFonts w:ascii="Cambria Math" w:hAnsi="Cambria Math"/>
          </w:rPr>
          <m:t>C</m:t>
        </m:r>
      </m:oMath>
      <w:r>
        <w:t xml:space="preserve"> is the time-0 cash flow of the trade or of the counter party portfolio under the CCAR scenario if </w:t>
      </w:r>
      <m:oMath>
        <m:sSub>
          <m:sSubPr>
            <m:ctrlPr>
              <w:rPr>
                <w:rFonts w:ascii="Cambria Math" w:hAnsi="Cambria Math"/>
                <w:i/>
              </w:rPr>
            </m:ctrlPr>
          </m:sSubPr>
          <m:e>
            <m:r>
              <w:rPr>
                <w:rFonts w:ascii="Cambria Math" w:hAnsi="Cambria Math"/>
              </w:rPr>
              <m:t>PV</m:t>
            </m:r>
          </m:e>
          <m:sub>
            <m:r>
              <w:rPr>
                <w:rFonts w:ascii="Cambria Math" w:hAnsi="Cambria Math"/>
              </w:rPr>
              <m:t>CVA, CCAR</m:t>
            </m:r>
          </m:sub>
        </m:sSub>
      </m:oMath>
      <w:r>
        <w:t xml:space="preserve"> is configured to include this cash flow. Otherwise </w:t>
      </w:r>
      <m:oMath>
        <m:r>
          <w:rPr>
            <w:rFonts w:ascii="Cambria Math" w:hAnsi="Cambria Math"/>
          </w:rPr>
          <m:t>C</m:t>
        </m:r>
      </m:oMath>
      <w:r>
        <w:t xml:space="preserve"> is set to zero.</w:t>
      </w:r>
    </w:p>
    <w:p w:rsidR="0010438C" w:rsidRDefault="00DC349E" w:rsidP="00BA04DE">
      <w:pPr>
        <w:pStyle w:val="ListParagraph"/>
        <w:numPr>
          <w:ilvl w:val="0"/>
          <w:numId w:val="205"/>
        </w:numPr>
        <w:spacing w:after="200" w:line="360" w:lineRule="auto"/>
      </w:pPr>
      <w:r>
        <w:rPr>
          <w:u w:val="single"/>
        </w:rPr>
        <w:t>CCAR Testing - Relative Error Threshold</w:t>
      </w:r>
      <w:r w:rsidRPr="00DC349E">
        <w:t>:</w:t>
      </w:r>
      <w:r>
        <w:t xml:space="preserve"> One can further define</w:t>
      </w:r>
    </w:p>
    <w:p w:rsidR="0010438C" w:rsidRDefault="0010438C" w:rsidP="0010438C">
      <w:pPr>
        <w:pStyle w:val="ListParagraph"/>
        <w:spacing w:after="200" w:line="360" w:lineRule="auto"/>
        <w:ind w:left="360"/>
        <w:rPr>
          <w:u w:val="single"/>
        </w:rPr>
      </w:pPr>
    </w:p>
    <w:p w:rsidR="00DC349E" w:rsidRPr="0010438C" w:rsidRDefault="00DC349E" w:rsidP="0010438C">
      <w:pPr>
        <w:pStyle w:val="ListParagraph"/>
        <w:spacing w:after="200" w:line="360" w:lineRule="auto"/>
        <w:ind w:left="360"/>
      </w:pPr>
      <m:oMathPara>
        <m:oMath>
          <m:r>
            <w:rPr>
              <w:rFonts w:ascii="Cambria Math" w:hAnsi="Cambria Math"/>
            </w:rPr>
            <m:t>e=</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NOT</m:t>
              </m:r>
            </m:den>
          </m:f>
        </m:oMath>
      </m:oMathPara>
    </w:p>
    <w:p w:rsidR="0010438C" w:rsidRDefault="0010438C" w:rsidP="0010438C">
      <w:pPr>
        <w:pStyle w:val="ListParagraph"/>
        <w:spacing w:after="200" w:line="360" w:lineRule="auto"/>
        <w:ind w:left="360"/>
      </w:pPr>
    </w:p>
    <w:p w:rsidR="0010438C" w:rsidRDefault="00507F3D" w:rsidP="00BA04DE">
      <w:pPr>
        <w:pStyle w:val="ListParagraph"/>
        <w:numPr>
          <w:ilvl w:val="0"/>
          <w:numId w:val="205"/>
        </w:numPr>
        <w:spacing w:after="200" w:line="360" w:lineRule="auto"/>
      </w:pPr>
      <w:r>
        <w:rPr>
          <w:u w:val="single"/>
        </w:rPr>
        <w:t>CCAR Testing</w:t>
      </w:r>
      <w:r w:rsidR="00486D0C">
        <w:rPr>
          <w:u w:val="single"/>
        </w:rPr>
        <w:t xml:space="preserve"> -</w:t>
      </w:r>
      <w:r>
        <w:rPr>
          <w:u w:val="single"/>
        </w:rPr>
        <w:t xml:space="preserve"> Dollar Notional Threshold</w:t>
      </w:r>
      <w:r>
        <w:t>: DRIP requires that</w:t>
      </w:r>
    </w:p>
    <w:p w:rsidR="0010438C" w:rsidRDefault="0010438C" w:rsidP="0010438C">
      <w:pPr>
        <w:pStyle w:val="ListParagraph"/>
        <w:spacing w:after="200" w:line="360" w:lineRule="auto"/>
        <w:ind w:left="360"/>
        <w:rPr>
          <w:u w:val="single"/>
        </w:rPr>
      </w:pPr>
    </w:p>
    <w:p w:rsidR="0010438C" w:rsidRDefault="00507F3D" w:rsidP="0010438C">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m:t>
              </m:r>
            </m:sub>
          </m:sSub>
        </m:oMath>
      </m:oMathPara>
    </w:p>
    <w:p w:rsidR="0010438C" w:rsidRDefault="0010438C" w:rsidP="0010438C">
      <w:pPr>
        <w:pStyle w:val="ListParagraph"/>
        <w:spacing w:after="200" w:line="360" w:lineRule="auto"/>
        <w:ind w:left="360"/>
      </w:pPr>
    </w:p>
    <w:p w:rsidR="00507F3D" w:rsidRDefault="00507F3D" w:rsidP="0010438C">
      <w:pPr>
        <w:pStyle w:val="ListParagraph"/>
        <w:spacing w:after="200" w:line="360" w:lineRule="auto"/>
        <w:ind w:left="360"/>
      </w:pPr>
      <w:r>
        <w:t xml:space="preserve">where </w:t>
      </w:r>
      <m:oMath>
        <m:r>
          <w:rPr>
            <w:rFonts w:ascii="Cambria Math" w:hAnsi="Cambria Math"/>
          </w:rPr>
          <m:t>NOT</m:t>
        </m:r>
      </m:oMath>
      <w:r>
        <w:t xml:space="preserve"> is the trade dollar notional (for trade-level testing) or the total gross trade dollar notional (for the counter party level testing). The above list of materiality applies.</w:t>
      </w:r>
    </w:p>
    <w:p w:rsidR="0010438C" w:rsidRDefault="00507F3D" w:rsidP="00BA04DE">
      <w:pPr>
        <w:pStyle w:val="ListParagraph"/>
        <w:numPr>
          <w:ilvl w:val="0"/>
          <w:numId w:val="205"/>
        </w:numPr>
        <w:spacing w:after="200" w:line="360" w:lineRule="auto"/>
      </w:pPr>
      <w:r>
        <w:rPr>
          <w:u w:val="single"/>
        </w:rPr>
        <w:lastRenderedPageBreak/>
        <w:t>General Stress CVA PV Testing</w:t>
      </w:r>
      <w:r w:rsidRPr="00507F3D">
        <w:t>:</w:t>
      </w:r>
      <w:r>
        <w:t xml:space="preserve"> For the general stress testing, in addition to the smoothness testing, one can perform the CVA-PV-underlying-PV test</w:t>
      </w:r>
      <w:r w:rsidR="00486D0C">
        <w:t xml:space="preserve"> under various pre-defined scenarios (typically with stress on a single risk factor at a time) and define the dollar error between the CVA PV (</w:t>
      </w:r>
      <m:oMath>
        <m:sSub>
          <m:sSubPr>
            <m:ctrlPr>
              <w:rPr>
                <w:rFonts w:ascii="Cambria Math" w:hAnsi="Cambria Math"/>
                <w:i/>
              </w:rPr>
            </m:ctrlPr>
          </m:sSubPr>
          <m:e>
            <m:r>
              <w:rPr>
                <w:rFonts w:ascii="Cambria Math" w:hAnsi="Cambria Math"/>
              </w:rPr>
              <m:t>PV</m:t>
            </m:r>
          </m:e>
          <m:sub>
            <m:r>
              <w:rPr>
                <w:rFonts w:ascii="Cambria Math" w:hAnsi="Cambria Math"/>
              </w:rPr>
              <m:t>CVA, STRESS</m:t>
            </m:r>
          </m:sub>
        </m:sSub>
      </m:oMath>
      <w:r w:rsidR="00486D0C">
        <w:t>) and the underlying PV (</w:t>
      </w:r>
      <m:oMath>
        <m:sSub>
          <m:sSubPr>
            <m:ctrlPr>
              <w:rPr>
                <w:rFonts w:ascii="Cambria Math" w:hAnsi="Cambria Math"/>
                <w:i/>
              </w:rPr>
            </m:ctrlPr>
          </m:sSubPr>
          <m:e>
            <m:r>
              <w:rPr>
                <w:rFonts w:ascii="Cambria Math" w:hAnsi="Cambria Math"/>
              </w:rPr>
              <m:t>PV</m:t>
            </m:r>
          </m:e>
          <m:sub>
            <m:r>
              <w:rPr>
                <w:rFonts w:ascii="Cambria Math" w:hAnsi="Cambria Math"/>
              </w:rPr>
              <m:t>UND, STRESS</m:t>
            </m:r>
          </m:sub>
        </m:sSub>
      </m:oMath>
      <w:r w:rsidR="00486D0C">
        <w:t>) under the stress scenario as</w:t>
      </w:r>
    </w:p>
    <w:p w:rsidR="0010438C" w:rsidRDefault="0010438C" w:rsidP="0010438C">
      <w:pPr>
        <w:pStyle w:val="ListParagraph"/>
        <w:spacing w:after="200" w:line="360" w:lineRule="auto"/>
        <w:ind w:left="360"/>
        <w:rPr>
          <w:u w:val="single"/>
        </w:rPr>
      </w:pPr>
    </w:p>
    <w:p w:rsidR="0010438C" w:rsidRDefault="005D6A21" w:rsidP="0010438C">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 STRESS</m:t>
                  </m:r>
                </m:sub>
              </m:sSub>
              <m:r>
                <w:rPr>
                  <w:rFonts w:ascii="Cambria Math" w:hAnsi="Cambria Math"/>
                </w:rPr>
                <m:t>-C-</m:t>
              </m:r>
              <m:sSub>
                <m:sSubPr>
                  <m:ctrlPr>
                    <w:rPr>
                      <w:rFonts w:ascii="Cambria Math" w:hAnsi="Cambria Math"/>
                      <w:i/>
                    </w:rPr>
                  </m:ctrlPr>
                </m:sSubPr>
                <m:e>
                  <m:r>
                    <w:rPr>
                      <w:rFonts w:ascii="Cambria Math" w:hAnsi="Cambria Math"/>
                    </w:rPr>
                    <m:t>PV</m:t>
                  </m:r>
                </m:e>
                <m:sub>
                  <m:r>
                    <w:rPr>
                      <w:rFonts w:ascii="Cambria Math" w:hAnsi="Cambria Math"/>
                    </w:rPr>
                    <m:t>UND, STRESS</m:t>
                  </m:r>
                </m:sub>
              </m:sSub>
            </m:e>
          </m:d>
        </m:oMath>
      </m:oMathPara>
    </w:p>
    <w:p w:rsidR="0010438C" w:rsidRDefault="0010438C" w:rsidP="0010438C">
      <w:pPr>
        <w:pStyle w:val="ListParagraph"/>
        <w:spacing w:after="200" w:line="360" w:lineRule="auto"/>
        <w:ind w:left="360"/>
      </w:pPr>
    </w:p>
    <w:p w:rsidR="00507F3D" w:rsidRDefault="00486D0C" w:rsidP="0010438C">
      <w:pPr>
        <w:pStyle w:val="ListParagraph"/>
        <w:spacing w:after="200" w:line="360" w:lineRule="auto"/>
        <w:ind w:left="360"/>
      </w:pPr>
      <w:r>
        <w:t xml:space="preserve">where </w:t>
      </w:r>
      <m:oMath>
        <m:r>
          <w:rPr>
            <w:rFonts w:ascii="Cambria Math" w:hAnsi="Cambria Math"/>
          </w:rPr>
          <m:t>C</m:t>
        </m:r>
      </m:oMath>
      <w:r>
        <w:t xml:space="preserve"> is the time-0 cash flow of the trade under the CCAR scenario if </w:t>
      </w:r>
      <m:oMath>
        <m:sSub>
          <m:sSubPr>
            <m:ctrlPr>
              <w:rPr>
                <w:rFonts w:ascii="Cambria Math" w:hAnsi="Cambria Math"/>
                <w:i/>
              </w:rPr>
            </m:ctrlPr>
          </m:sSubPr>
          <m:e>
            <m:r>
              <w:rPr>
                <w:rFonts w:ascii="Cambria Math" w:hAnsi="Cambria Math"/>
              </w:rPr>
              <m:t>PV</m:t>
            </m:r>
          </m:e>
          <m:sub>
            <m:r>
              <w:rPr>
                <w:rFonts w:ascii="Cambria Math" w:hAnsi="Cambria Math"/>
              </w:rPr>
              <m:t>CVA, STRESS</m:t>
            </m:r>
          </m:sub>
        </m:sSub>
      </m:oMath>
      <w:r>
        <w:t xml:space="preserve"> is configured to include the cash flow. Otherwise </w:t>
      </w:r>
      <m:oMath>
        <m:r>
          <w:rPr>
            <w:rFonts w:ascii="Cambria Math" w:hAnsi="Cambria Math"/>
          </w:rPr>
          <m:t>C</m:t>
        </m:r>
      </m:oMath>
      <w:r>
        <w:t xml:space="preserve"> is set to zero.</w:t>
      </w:r>
    </w:p>
    <w:p w:rsidR="0010438C" w:rsidRDefault="00486D0C" w:rsidP="00486D0C">
      <w:pPr>
        <w:pStyle w:val="ListParagraph"/>
        <w:numPr>
          <w:ilvl w:val="0"/>
          <w:numId w:val="205"/>
        </w:numPr>
        <w:spacing w:after="200" w:line="360" w:lineRule="auto"/>
      </w:pPr>
      <w:r>
        <w:rPr>
          <w:u w:val="single"/>
        </w:rPr>
        <w:t>General Testing - Relative Error Threshold</w:t>
      </w:r>
      <w:r w:rsidRPr="00DC349E">
        <w:t>:</w:t>
      </w:r>
      <w:r>
        <w:t xml:space="preserve"> One can further define</w:t>
      </w:r>
    </w:p>
    <w:p w:rsidR="0010438C" w:rsidRDefault="0010438C" w:rsidP="0010438C">
      <w:pPr>
        <w:pStyle w:val="ListParagraph"/>
        <w:spacing w:after="200" w:line="360" w:lineRule="auto"/>
        <w:ind w:left="360"/>
        <w:rPr>
          <w:u w:val="single"/>
        </w:rPr>
      </w:pPr>
    </w:p>
    <w:p w:rsidR="00486D0C" w:rsidRPr="0010438C" w:rsidRDefault="00486D0C" w:rsidP="0010438C">
      <w:pPr>
        <w:pStyle w:val="ListParagraph"/>
        <w:spacing w:after="200" w:line="360" w:lineRule="auto"/>
        <w:ind w:left="360"/>
      </w:pPr>
      <m:oMathPara>
        <m:oMath>
          <m:r>
            <w:rPr>
              <w:rFonts w:ascii="Cambria Math" w:hAnsi="Cambria Math"/>
            </w:rPr>
            <m:t>e=</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NOT</m:t>
              </m:r>
            </m:den>
          </m:f>
        </m:oMath>
      </m:oMathPara>
    </w:p>
    <w:p w:rsidR="0010438C" w:rsidRDefault="0010438C" w:rsidP="0010438C">
      <w:pPr>
        <w:pStyle w:val="ListParagraph"/>
        <w:spacing w:after="200" w:line="360" w:lineRule="auto"/>
        <w:ind w:left="360"/>
      </w:pPr>
    </w:p>
    <w:p w:rsidR="0010438C" w:rsidRDefault="00486D0C" w:rsidP="00486D0C">
      <w:pPr>
        <w:pStyle w:val="ListParagraph"/>
        <w:numPr>
          <w:ilvl w:val="0"/>
          <w:numId w:val="205"/>
        </w:numPr>
        <w:spacing w:after="200" w:line="360" w:lineRule="auto"/>
      </w:pPr>
      <w:r>
        <w:rPr>
          <w:u w:val="single"/>
        </w:rPr>
        <w:t>General Testing - Dollar Notional Threshold</w:t>
      </w:r>
      <w:r>
        <w:t>: DRIP requires that</w:t>
      </w:r>
    </w:p>
    <w:p w:rsidR="0010438C" w:rsidRDefault="0010438C" w:rsidP="0010438C">
      <w:pPr>
        <w:pStyle w:val="ListParagraph"/>
        <w:spacing w:after="200" w:line="360" w:lineRule="auto"/>
        <w:ind w:left="360"/>
        <w:rPr>
          <w:u w:val="single"/>
        </w:rPr>
      </w:pPr>
    </w:p>
    <w:p w:rsidR="0010438C" w:rsidRDefault="00486D0C" w:rsidP="0010438C">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m:t>
              </m:r>
            </m:sub>
          </m:sSub>
        </m:oMath>
      </m:oMathPara>
    </w:p>
    <w:p w:rsidR="0010438C" w:rsidRDefault="0010438C" w:rsidP="0010438C">
      <w:pPr>
        <w:pStyle w:val="ListParagraph"/>
        <w:spacing w:after="200" w:line="360" w:lineRule="auto"/>
        <w:ind w:left="360"/>
      </w:pPr>
    </w:p>
    <w:p w:rsidR="00486D0C" w:rsidRDefault="00486D0C" w:rsidP="0010438C">
      <w:pPr>
        <w:pStyle w:val="ListParagraph"/>
        <w:spacing w:after="200" w:line="360" w:lineRule="auto"/>
        <w:ind w:left="360"/>
      </w:pPr>
      <w:r>
        <w:t xml:space="preserve">where </w:t>
      </w:r>
      <m:oMath>
        <m:r>
          <w:rPr>
            <w:rFonts w:ascii="Cambria Math" w:hAnsi="Cambria Math"/>
          </w:rPr>
          <m:t>NOT</m:t>
        </m:r>
      </m:oMath>
      <w:r>
        <w:t xml:space="preserve"> is the trade dollar notional (for trade-level testing) or the total gross trade dollar notional (for the counter party level testing). The above list of materiality applies.</w:t>
      </w:r>
    </w:p>
    <w:p w:rsidR="00B23FB5" w:rsidRDefault="00B23FB5" w:rsidP="00486D0C">
      <w:pPr>
        <w:pStyle w:val="ListParagraph"/>
        <w:numPr>
          <w:ilvl w:val="0"/>
          <w:numId w:val="205"/>
        </w:numPr>
        <w:spacing w:after="200" w:line="360" w:lineRule="auto"/>
      </w:pPr>
      <w:r>
        <w:rPr>
          <w:u w:val="single"/>
        </w:rPr>
        <w:t>Thresholds for Full Test Suite</w:t>
      </w:r>
      <w:r w:rsidRPr="00B23FB5">
        <w:t>:</w:t>
      </w:r>
      <w:r>
        <w:t xml:space="preserve"> Optionally all of the above test are performed under the stress and the CCAR scenarios, but with error thresholds doubled under CCAR-like scenarios. The above list of materiality criteria applies.</w:t>
      </w:r>
    </w:p>
    <w:p w:rsidR="00B23FB5" w:rsidRDefault="00B23FB5" w:rsidP="00B23FB5">
      <w:pPr>
        <w:spacing w:after="200" w:line="360" w:lineRule="auto"/>
      </w:pPr>
    </w:p>
    <w:p w:rsidR="00B23FB5" w:rsidRDefault="00B23FB5" w:rsidP="00B23FB5">
      <w:pPr>
        <w:spacing w:after="200" w:line="360" w:lineRule="auto"/>
      </w:pPr>
    </w:p>
    <w:p w:rsidR="00B23FB5" w:rsidRPr="00B23FB5" w:rsidRDefault="00B23FB5" w:rsidP="00B23FB5">
      <w:pPr>
        <w:spacing w:after="200" w:line="360" w:lineRule="auto"/>
        <w:rPr>
          <w:b/>
          <w:sz w:val="28"/>
          <w:szCs w:val="28"/>
        </w:rPr>
      </w:pPr>
      <w:r w:rsidRPr="00B23FB5">
        <w:rPr>
          <w:b/>
          <w:sz w:val="28"/>
          <w:szCs w:val="28"/>
        </w:rPr>
        <w:t>Back Testing</w:t>
      </w:r>
    </w:p>
    <w:p w:rsidR="00B23FB5" w:rsidRDefault="00B23FB5" w:rsidP="00B23FB5">
      <w:pPr>
        <w:spacing w:after="200" w:line="360" w:lineRule="auto"/>
      </w:pPr>
    </w:p>
    <w:p w:rsidR="00B23FB5" w:rsidRDefault="00B23FB5" w:rsidP="00B23FB5">
      <w:pPr>
        <w:pStyle w:val="ListParagraph"/>
        <w:numPr>
          <w:ilvl w:val="0"/>
          <w:numId w:val="206"/>
        </w:numPr>
        <w:spacing w:after="200" w:line="360" w:lineRule="auto"/>
      </w:pPr>
      <w:r w:rsidRPr="00B23FB5">
        <w:rPr>
          <w:u w:val="single"/>
        </w:rPr>
        <w:lastRenderedPageBreak/>
        <w:t>Definition of Model Back Testing</w:t>
      </w:r>
      <w:r>
        <w:t>: Model back testing refers to comparing the model’s output against the realized values, which is also referred to as the historical time series.</w:t>
      </w:r>
    </w:p>
    <w:p w:rsidR="00B23FB5" w:rsidRDefault="0010438C" w:rsidP="00B23FB5">
      <w:pPr>
        <w:pStyle w:val="ListParagraph"/>
        <w:numPr>
          <w:ilvl w:val="0"/>
          <w:numId w:val="206"/>
        </w:numPr>
        <w:spacing w:after="200" w:line="360" w:lineRule="auto"/>
      </w:pPr>
      <w:r>
        <w:rPr>
          <w:u w:val="single"/>
        </w:rPr>
        <w:t>Statistical Approach to Back Testing</w:t>
      </w:r>
      <w:r w:rsidRPr="0010438C">
        <w:t>:</w:t>
      </w:r>
      <w:r>
        <w:t xml:space="preserve"> Model back-testing uses a statistical method to reach a conclusion as to whether the model should be rejected under a given confidence level. The statistical method can be based on either a quantile or a distribution.</w:t>
      </w:r>
    </w:p>
    <w:p w:rsidR="0010438C" w:rsidRDefault="0010438C" w:rsidP="00B23FB5">
      <w:pPr>
        <w:pStyle w:val="ListParagraph"/>
        <w:numPr>
          <w:ilvl w:val="0"/>
          <w:numId w:val="206"/>
        </w:numPr>
        <w:spacing w:after="200" w:line="360" w:lineRule="auto"/>
      </w:pPr>
      <w:r>
        <w:rPr>
          <w:u w:val="single"/>
        </w:rPr>
        <w:t>Quantile</w:t>
      </w:r>
      <w:r w:rsidR="00BE7C40">
        <w:rPr>
          <w:u w:val="single"/>
        </w:rPr>
        <w:t>-</w:t>
      </w:r>
      <w:r>
        <w:rPr>
          <w:u w:val="single"/>
        </w:rPr>
        <w:t>Based Model Back Testing</w:t>
      </w:r>
      <w:r w:rsidRPr="0010438C">
        <w:t>:</w:t>
      </w:r>
      <w:r>
        <w:t xml:space="preserve"> The quantile based back testing method involves essentially counting the number of exceptions over a test time window. As such the quantile based back testing method id simple to implement and easy to analyze but does not provide distributional detail.</w:t>
      </w:r>
    </w:p>
    <w:p w:rsidR="00BE7C40" w:rsidRDefault="00BE7C40" w:rsidP="00B23FB5">
      <w:pPr>
        <w:pStyle w:val="ListParagraph"/>
        <w:numPr>
          <w:ilvl w:val="0"/>
          <w:numId w:val="206"/>
        </w:numPr>
        <w:spacing w:after="200" w:line="360" w:lineRule="auto"/>
      </w:pPr>
      <w:r>
        <w:rPr>
          <w:u w:val="single"/>
        </w:rPr>
        <w:t>Applying Quantile-Based Back Testing</w:t>
      </w:r>
      <w:r w:rsidRPr="00BE7C40">
        <w:t>:</w:t>
      </w:r>
      <w:r>
        <w:t xml:space="preserve"> The quantile based back testing has been the standard methodology for VaR back testing. This methodology can be directly applied to PFE back testing due to the mathematical similarity between VaR and PFE. For EPE ever part of the exposure distribution is important.</w:t>
      </w:r>
    </w:p>
    <w:p w:rsidR="00BE7C40" w:rsidRDefault="00BE7C40" w:rsidP="00B23FB5">
      <w:pPr>
        <w:pStyle w:val="ListParagraph"/>
        <w:numPr>
          <w:ilvl w:val="0"/>
          <w:numId w:val="206"/>
        </w:numPr>
        <w:spacing w:after="200" w:line="360" w:lineRule="auto"/>
      </w:pPr>
      <w:r>
        <w:rPr>
          <w:u w:val="single"/>
        </w:rPr>
        <w:t>Distribution Based Model Back Testing</w:t>
      </w:r>
      <w:r w:rsidRPr="00BE7C40">
        <w:t>:</w:t>
      </w:r>
      <w:r>
        <w:t xml:space="preserve"> A distribution based method for exposure back testing, while more powerful, is also more complicated, both in theory development and system implementation.</w:t>
      </w:r>
    </w:p>
    <w:p w:rsidR="00BE7C40" w:rsidRDefault="00BE7C40" w:rsidP="00B23FB5">
      <w:pPr>
        <w:pStyle w:val="ListParagraph"/>
        <w:numPr>
          <w:ilvl w:val="0"/>
          <w:numId w:val="206"/>
        </w:numPr>
        <w:spacing w:after="200" w:line="360" w:lineRule="auto"/>
      </w:pPr>
      <w:r>
        <w:rPr>
          <w:u w:val="single"/>
        </w:rPr>
        <w:t>Back Testing the Exposure Models</w:t>
      </w:r>
      <w:r w:rsidRPr="00BE7C40">
        <w:t>:</w:t>
      </w:r>
      <w:r>
        <w:t xml:space="preserve"> For CVA the exposure models may be subject to back testing to ensure that the exposure model used to calculate the CVA is sound. Initially DRIP will use the quantile based method for exposure back testing.</w:t>
      </w:r>
    </w:p>
    <w:p w:rsidR="00BE7C40" w:rsidRDefault="00BE7C40" w:rsidP="00B23FB5">
      <w:pPr>
        <w:pStyle w:val="ListParagraph"/>
        <w:numPr>
          <w:ilvl w:val="0"/>
          <w:numId w:val="206"/>
        </w:numPr>
        <w:spacing w:after="200" w:line="360" w:lineRule="auto"/>
      </w:pPr>
      <w:r>
        <w:rPr>
          <w:u w:val="single"/>
        </w:rPr>
        <w:t>Static Hypothetical Portfolios - Back Testing</w:t>
      </w:r>
      <w:r w:rsidRPr="00BE7C40">
        <w:t>:</w:t>
      </w:r>
      <w:r>
        <w:t xml:space="preserve"> Back testing should be conducted on both real counter party portfolios as well as hypothetical portfolios. Static hypothetical portfolios avoid the issue of portfolio change that actual portfolios are likely to encounter, as well as enable tailored back testing to identify whether a particular type of instrument is modeled correctly.</w:t>
      </w:r>
    </w:p>
    <w:p w:rsidR="005C78A5" w:rsidRDefault="005C78A5" w:rsidP="00B23FB5">
      <w:pPr>
        <w:pStyle w:val="ListParagraph"/>
        <w:numPr>
          <w:ilvl w:val="0"/>
          <w:numId w:val="206"/>
        </w:numPr>
        <w:spacing w:after="200" w:line="360" w:lineRule="auto"/>
      </w:pPr>
      <w:r>
        <w:rPr>
          <w:u w:val="single"/>
        </w:rPr>
        <w:t>Static Hypothetical Portfolios - Extended Testing</w:t>
      </w:r>
      <w:r w:rsidRPr="005C78A5">
        <w:t>:</w:t>
      </w:r>
      <w:r>
        <w:t xml:space="preserve"> In addition the use of static hypothetical portfolios is an effective way to meaningfully test the predictive abilities of exposure models over long time horizons.</w:t>
      </w:r>
    </w:p>
    <w:p w:rsidR="005C78A5" w:rsidRDefault="005C78A5" w:rsidP="00B23FB5">
      <w:pPr>
        <w:pStyle w:val="ListParagraph"/>
        <w:numPr>
          <w:ilvl w:val="0"/>
          <w:numId w:val="206"/>
        </w:numPr>
        <w:spacing w:after="200" w:line="360" w:lineRule="auto"/>
      </w:pPr>
      <w:r>
        <w:rPr>
          <w:u w:val="single"/>
        </w:rPr>
        <w:t>Back Testing on Real Portfolios</w:t>
      </w:r>
      <w:r w:rsidRPr="005C78A5">
        <w:t>:</w:t>
      </w:r>
      <w:r>
        <w:t xml:space="preserve"> Back testing on real counter party portfolios evaluates the model performance on actual counter party exposures taking into account portfolio changes over time.</w:t>
      </w:r>
    </w:p>
    <w:p w:rsidR="005C78A5" w:rsidRDefault="005C78A5" w:rsidP="00B23FB5">
      <w:pPr>
        <w:pStyle w:val="ListParagraph"/>
        <w:numPr>
          <w:ilvl w:val="0"/>
          <w:numId w:val="206"/>
        </w:numPr>
        <w:spacing w:after="200" w:line="360" w:lineRule="auto"/>
      </w:pPr>
      <w:r>
        <w:rPr>
          <w:u w:val="single"/>
        </w:rPr>
        <w:lastRenderedPageBreak/>
        <w:t>Testing Single Trades and Portfolios</w:t>
      </w:r>
      <w:r w:rsidRPr="005C78A5">
        <w:t>:</w:t>
      </w:r>
      <w:r>
        <w:t xml:space="preserve"> </w:t>
      </w:r>
      <w:r w:rsidR="00241F92">
        <w:t>Note that hypothetical portfolio back testing includes back testing on single trades, and portfolio back testing includes both collateralized and uncollateralized portfolios.</w:t>
      </w:r>
    </w:p>
    <w:p w:rsidR="00241F92" w:rsidRDefault="00241F92" w:rsidP="00B23FB5">
      <w:pPr>
        <w:pStyle w:val="ListParagraph"/>
        <w:numPr>
          <w:ilvl w:val="0"/>
          <w:numId w:val="206"/>
        </w:numPr>
        <w:spacing w:after="200" w:line="360" w:lineRule="auto"/>
      </w:pPr>
      <w:r>
        <w:rPr>
          <w:u w:val="single"/>
        </w:rPr>
        <w:t>Historical Basis behind Back Testing</w:t>
      </w:r>
      <w:r w:rsidRPr="00241F92">
        <w:t>:</w:t>
      </w:r>
      <w:r>
        <w:t xml:space="preserve"> Back testing in general (except for some special cases such as simplified back testing) will be performed after the models have been released into production, when enough data has been accumulated</w:t>
      </w:r>
      <w:r w:rsidR="009A755B">
        <w:t>.</w:t>
      </w:r>
    </w:p>
    <w:p w:rsidR="005A4A34" w:rsidRDefault="005A4A34" w:rsidP="005A4A34">
      <w:pPr>
        <w:spacing w:after="200" w:line="360" w:lineRule="auto"/>
      </w:pPr>
    </w:p>
    <w:p w:rsidR="005A4A34" w:rsidRDefault="005A4A34" w:rsidP="005A4A34">
      <w:pPr>
        <w:spacing w:after="200" w:line="360" w:lineRule="auto"/>
      </w:pPr>
    </w:p>
    <w:p w:rsidR="005A4A34" w:rsidRPr="005A4A34" w:rsidRDefault="005A4A34" w:rsidP="005A4A34">
      <w:pPr>
        <w:spacing w:after="200" w:line="360" w:lineRule="auto"/>
        <w:rPr>
          <w:b/>
          <w:sz w:val="28"/>
          <w:szCs w:val="28"/>
        </w:rPr>
      </w:pPr>
      <w:r w:rsidRPr="005A4A34">
        <w:rPr>
          <w:b/>
          <w:sz w:val="28"/>
          <w:szCs w:val="28"/>
        </w:rPr>
        <w:t>Quantile Based Exposure Testing</w:t>
      </w:r>
    </w:p>
    <w:p w:rsidR="005A4A34" w:rsidRDefault="005A4A34" w:rsidP="005A4A34">
      <w:pPr>
        <w:spacing w:after="200" w:line="360" w:lineRule="auto"/>
      </w:pPr>
    </w:p>
    <w:p w:rsidR="005A4A34" w:rsidRDefault="005A4A34" w:rsidP="005A4A34">
      <w:pPr>
        <w:pStyle w:val="ListParagraph"/>
        <w:numPr>
          <w:ilvl w:val="0"/>
          <w:numId w:val="207"/>
        </w:numPr>
        <w:spacing w:after="200" w:line="360" w:lineRule="auto"/>
      </w:pPr>
      <w:r w:rsidRPr="005A4A34">
        <w:rPr>
          <w:u w:val="single"/>
        </w:rPr>
        <w:t>Selecting the Test Time Window</w:t>
      </w:r>
      <w:r>
        <w:t xml:space="preserve">: Quantile based back testing involves the following tests. First a test window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containing </w:t>
      </w:r>
      <m:oMath>
        <m:r>
          <w:rPr>
            <w:rFonts w:ascii="Cambria Math" w:hAnsi="Cambria Math"/>
          </w:rPr>
          <m:t>N</m:t>
        </m:r>
      </m:oMath>
      <w:r>
        <w:t xml:space="preserve"> time nodes is selected.</w:t>
      </w:r>
    </w:p>
    <w:p w:rsidR="005A4A34" w:rsidRDefault="005A4A34" w:rsidP="005A4A34">
      <w:pPr>
        <w:pStyle w:val="ListParagraph"/>
        <w:numPr>
          <w:ilvl w:val="0"/>
          <w:numId w:val="207"/>
        </w:numPr>
        <w:spacing w:after="200" w:line="360" w:lineRule="auto"/>
      </w:pPr>
      <w:r>
        <w:rPr>
          <w:u w:val="single"/>
        </w:rPr>
        <w:t>Risk Horizon and Confidence Level</w:t>
      </w:r>
      <w:r w:rsidRPr="005A4A34">
        <w:t>:</w:t>
      </w:r>
      <w:r>
        <w:t xml:space="preserve"> A risk horizon </w:t>
      </w:r>
      <m:oMath>
        <m:r>
          <w:rPr>
            <w:rFonts w:ascii="Cambria Math" w:hAnsi="Cambria Math"/>
          </w:rPr>
          <m:t>h</m:t>
        </m:r>
      </m:oMath>
      <w:r>
        <w:t xml:space="preserve"> and a confidence level </w:t>
      </w:r>
      <m:oMath>
        <m:r>
          <w:rPr>
            <w:rFonts w:ascii="Cambria Math" w:hAnsi="Cambria Math"/>
          </w:rPr>
          <m:t>CL</m:t>
        </m:r>
      </m:oMath>
      <w:r>
        <w:t xml:space="preserve"> are selected.</w:t>
      </w:r>
    </w:p>
    <w:p w:rsidR="00D00E05" w:rsidRDefault="005A4A34" w:rsidP="005A4A34">
      <w:pPr>
        <w:pStyle w:val="ListParagraph"/>
        <w:numPr>
          <w:ilvl w:val="0"/>
          <w:numId w:val="207"/>
        </w:numPr>
        <w:spacing w:after="200" w:line="360" w:lineRule="auto"/>
      </w:pPr>
      <w:r>
        <w:rPr>
          <w:u w:val="single"/>
        </w:rPr>
        <w:t>Identification of the Observation Window</w:t>
      </w:r>
      <w:r w:rsidRPr="005A4A34">
        <w:t>:</w:t>
      </w:r>
      <w:r>
        <w:t xml:space="preserve"> Given the test window and the horizon, the observation window is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with</w:t>
      </w:r>
    </w:p>
    <w:p w:rsidR="00D00E05" w:rsidRDefault="00D00E05" w:rsidP="00D00E05">
      <w:pPr>
        <w:pStyle w:val="ListParagraph"/>
        <w:spacing w:after="200" w:line="360" w:lineRule="auto"/>
        <w:ind w:left="360"/>
        <w:rPr>
          <w:u w:val="single"/>
        </w:rPr>
      </w:pPr>
    </w:p>
    <w:p w:rsidR="00D00E05" w:rsidRDefault="005D6A21" w:rsidP="00D00E05">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m:oMathPara>
    </w:p>
    <w:p w:rsidR="00D00E05" w:rsidRDefault="00D00E05" w:rsidP="00D00E05">
      <w:pPr>
        <w:pStyle w:val="ListParagraph"/>
        <w:spacing w:after="200" w:line="360" w:lineRule="auto"/>
        <w:ind w:left="360"/>
      </w:pPr>
    </w:p>
    <w:p w:rsidR="00D00E05" w:rsidRDefault="004E7E92" w:rsidP="00D00E05">
      <w:pPr>
        <w:pStyle w:val="ListParagraph"/>
        <w:spacing w:after="200" w:line="360" w:lineRule="auto"/>
        <w:ind w:left="360"/>
      </w:pPr>
      <m:oMathPara>
        <m:oMath>
          <m:r>
            <w:rPr>
              <w:rFonts w:ascii="Cambria Math" w:hAnsi="Cambria Math"/>
            </w:rPr>
            <m:t>k=1, ⋯, N</m:t>
          </m:r>
        </m:oMath>
      </m:oMathPara>
    </w:p>
    <w:p w:rsidR="00D00E05" w:rsidRDefault="00D00E05" w:rsidP="00D00E05">
      <w:pPr>
        <w:pStyle w:val="ListParagraph"/>
        <w:spacing w:after="200" w:line="360" w:lineRule="auto"/>
        <w:ind w:left="360"/>
      </w:pPr>
    </w:p>
    <w:p w:rsidR="00D00E05" w:rsidRDefault="005A4A34" w:rsidP="00D00E05">
      <w:pPr>
        <w:pStyle w:val="ListParagraph"/>
        <w:spacing w:after="200" w:line="360" w:lineRule="auto"/>
        <w:ind w:left="360"/>
      </w:pPr>
      <w:r>
        <w:t>containing observations of the portfolio value</w:t>
      </w:r>
    </w:p>
    <w:p w:rsidR="00D00E05" w:rsidRDefault="00D00E05" w:rsidP="00D00E05">
      <w:pPr>
        <w:pStyle w:val="ListParagraph"/>
        <w:spacing w:after="200" w:line="360" w:lineRule="auto"/>
        <w:ind w:left="360"/>
      </w:pPr>
    </w:p>
    <w:p w:rsidR="00D00E05" w:rsidRDefault="005D6A21" w:rsidP="00D00E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D00E05" w:rsidRDefault="00D00E05" w:rsidP="00D00E05">
      <w:pPr>
        <w:pStyle w:val="ListParagraph"/>
        <w:spacing w:after="200" w:line="360" w:lineRule="auto"/>
        <w:ind w:left="360"/>
      </w:pPr>
    </w:p>
    <w:p w:rsidR="005A4A34" w:rsidRDefault="005A4A34" w:rsidP="00D00E05">
      <w:pPr>
        <w:pStyle w:val="ListParagraph"/>
        <w:spacing w:after="200" w:line="360" w:lineRule="auto"/>
        <w:ind w:left="360"/>
      </w:pPr>
      <w:r>
        <w:t>the realized portfolio value, as well as the collateral value if applicable.</w:t>
      </w:r>
    </w:p>
    <w:p w:rsidR="004E7E92" w:rsidRDefault="004E7E92" w:rsidP="005A4A34">
      <w:pPr>
        <w:pStyle w:val="ListParagraph"/>
        <w:numPr>
          <w:ilvl w:val="0"/>
          <w:numId w:val="207"/>
        </w:numPr>
        <w:spacing w:after="200" w:line="360" w:lineRule="auto"/>
      </w:pPr>
      <w:r>
        <w:rPr>
          <w:u w:val="single"/>
        </w:rPr>
        <w:t>PFE at the Observation Node</w:t>
      </w:r>
      <w:r w:rsidRPr="004E7E92">
        <w:t>:</w:t>
      </w:r>
      <w:r>
        <w:t xml:space="preserve"> The PFE value at the observation 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 </w:t>
      </w:r>
      <m:oMath>
        <m:sSub>
          <m:sSubPr>
            <m:ctrlPr>
              <w:rPr>
                <w:rFonts w:ascii="Cambria Math" w:hAnsi="Cambria Math"/>
                <w:i/>
              </w:rPr>
            </m:ctrlPr>
          </m:sSubPr>
          <m:e>
            <m:r>
              <w:rPr>
                <w:rFonts w:ascii="Cambria Math" w:hAnsi="Cambria Math"/>
              </w:rPr>
              <m:t>PFE</m:t>
            </m:r>
          </m:e>
          <m:sub>
            <m:r>
              <w:rPr>
                <w:rFonts w:ascii="Cambria Math" w:hAnsi="Cambria Math"/>
              </w:rPr>
              <m:t>k</m:t>
            </m:r>
          </m:sub>
        </m:sSub>
      </m:oMath>
      <w:r>
        <w:t xml:space="preserve"> – is the </w:t>
      </w:r>
      <m:oMath>
        <m:r>
          <w:rPr>
            <w:rFonts w:ascii="Cambria Math" w:hAnsi="Cambria Math"/>
          </w:rPr>
          <m:t>CL</m:t>
        </m:r>
      </m:oMath>
      <w:r>
        <w:t xml:space="preserve"> percentile of the model distribution of the portfolio value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conditional on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w:t>
      </w:r>
      <m:oMath>
        <m:r>
          <w:rPr>
            <w:rFonts w:ascii="Cambria Math" w:hAnsi="Cambria Math"/>
          </w:rPr>
          <m:t>PFE</m:t>
        </m:r>
      </m:oMath>
      <w:r>
        <w:t xml:space="preserve"> is floored at </w:t>
      </w:r>
      <m:oMath>
        <m:r>
          <w:rPr>
            <w:rFonts w:ascii="Cambria Math" w:hAnsi="Cambria Math"/>
          </w:rPr>
          <m:t>0</m:t>
        </m:r>
      </m:oMath>
      <w:r>
        <w:t>.</w:t>
      </w:r>
    </w:p>
    <w:p w:rsidR="00D00E05" w:rsidRDefault="004E7E92" w:rsidP="005A4A34">
      <w:pPr>
        <w:pStyle w:val="ListParagraph"/>
        <w:numPr>
          <w:ilvl w:val="0"/>
          <w:numId w:val="207"/>
        </w:numPr>
        <w:spacing w:after="200" w:line="360" w:lineRule="auto"/>
      </w:pPr>
      <w:r>
        <w:rPr>
          <w:u w:val="single"/>
        </w:rPr>
        <w:lastRenderedPageBreak/>
        <w:t>Running Counter of the Exceptions</w:t>
      </w:r>
      <w:r w:rsidRPr="004E7E92">
        <w:t>:</w:t>
      </w:r>
      <w:r>
        <w:t xml:space="preserve"> If</w:t>
      </w:r>
    </w:p>
    <w:p w:rsidR="00D00E05" w:rsidRDefault="00D00E05" w:rsidP="00D00E05">
      <w:pPr>
        <w:pStyle w:val="ListParagraph"/>
        <w:spacing w:after="200" w:line="360" w:lineRule="auto"/>
        <w:ind w:left="360"/>
        <w:rPr>
          <w:u w:val="single"/>
        </w:rPr>
      </w:pPr>
    </w:p>
    <w:p w:rsidR="00D00E05" w:rsidRDefault="005D6A21" w:rsidP="00D00E05">
      <w:pPr>
        <w:pStyle w:val="ListParagraph"/>
        <w:spacing w:after="200" w:line="360" w:lineRule="auto"/>
        <w:ind w:left="360"/>
      </w:pPr>
      <m:oMathPara>
        <m:oMath>
          <m:sSub>
            <m:sSubPr>
              <m:ctrlPr>
                <w:rPr>
                  <w:rFonts w:ascii="Cambria Math" w:hAnsi="Cambria Math"/>
                  <w:i/>
                </w:rPr>
              </m:ctrlPr>
            </m:sSubPr>
            <m:e>
              <m:r>
                <w:rPr>
                  <w:rFonts w:ascii="Cambria Math" w:hAnsi="Cambria Math"/>
                </w:rPr>
                <m:t>PFE</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V</m:t>
              </m:r>
            </m:e>
            <m:sub>
              <m:r>
                <w:rPr>
                  <w:rFonts w:ascii="Cambria Math" w:hAnsi="Cambria Math"/>
                </w:rPr>
                <m:t>k</m:t>
              </m:r>
            </m:sub>
          </m:sSub>
        </m:oMath>
      </m:oMathPara>
    </w:p>
    <w:p w:rsidR="00D00E05" w:rsidRDefault="00D00E05" w:rsidP="00D00E05">
      <w:pPr>
        <w:pStyle w:val="ListParagraph"/>
        <w:spacing w:after="200" w:line="360" w:lineRule="auto"/>
        <w:ind w:left="360"/>
      </w:pPr>
    </w:p>
    <w:p w:rsidR="004E7E92" w:rsidRDefault="004E7E92" w:rsidP="00D00E05">
      <w:pPr>
        <w:pStyle w:val="ListParagraph"/>
        <w:spacing w:after="200" w:line="360" w:lineRule="auto"/>
        <w:ind w:left="360"/>
      </w:pPr>
      <w:r>
        <w:t>it is counted as an exception.</w:t>
      </w:r>
    </w:p>
    <w:p w:rsidR="00D00E05" w:rsidRDefault="00A320F3" w:rsidP="005A4A34">
      <w:pPr>
        <w:pStyle w:val="ListParagraph"/>
        <w:numPr>
          <w:ilvl w:val="0"/>
          <w:numId w:val="207"/>
        </w:numPr>
        <w:spacing w:after="200" w:line="360" w:lineRule="auto"/>
      </w:pPr>
      <w:r>
        <w:rPr>
          <w:u w:val="single"/>
        </w:rPr>
        <w:t>Threshold Breach of the Exception</w:t>
      </w:r>
      <w:r w:rsidRPr="00A320F3">
        <w:t>:</w:t>
      </w:r>
      <w:r>
        <w:t xml:space="preserve"> The final three steps above are repeated for</w:t>
      </w:r>
    </w:p>
    <w:p w:rsidR="00D00E05" w:rsidRDefault="00D00E05" w:rsidP="00D00E05">
      <w:pPr>
        <w:pStyle w:val="ListParagraph"/>
        <w:spacing w:after="200" w:line="360" w:lineRule="auto"/>
        <w:ind w:left="360"/>
        <w:rPr>
          <w:u w:val="single"/>
        </w:rPr>
      </w:pPr>
    </w:p>
    <w:p w:rsidR="00D00E05" w:rsidRDefault="00A320F3" w:rsidP="00D00E05">
      <w:pPr>
        <w:pStyle w:val="ListParagraph"/>
        <w:spacing w:after="200" w:line="360" w:lineRule="auto"/>
        <w:ind w:left="360"/>
      </w:pPr>
      <m:oMathPara>
        <m:oMath>
          <m:r>
            <w:rPr>
              <w:rFonts w:ascii="Cambria Math" w:hAnsi="Cambria Math"/>
            </w:rPr>
            <m:t>k=1, ⋯, N</m:t>
          </m:r>
        </m:oMath>
      </m:oMathPara>
    </w:p>
    <w:p w:rsidR="00D00E05" w:rsidRDefault="00D00E05" w:rsidP="00D00E05">
      <w:pPr>
        <w:pStyle w:val="ListParagraph"/>
        <w:spacing w:after="200" w:line="360" w:lineRule="auto"/>
        <w:ind w:left="360"/>
      </w:pPr>
    </w:p>
    <w:p w:rsidR="00D00E05" w:rsidRDefault="00A320F3" w:rsidP="00D00E05">
      <w:pPr>
        <w:pStyle w:val="ListParagraph"/>
        <w:spacing w:after="200" w:line="360" w:lineRule="auto"/>
        <w:ind w:left="360"/>
      </w:pPr>
      <w:r>
        <w:t xml:space="preserve">to obtain the total number of exceptions </w:t>
      </w:r>
      <m:oMath>
        <m:r>
          <w:rPr>
            <w:rFonts w:ascii="Cambria Math" w:hAnsi="Cambria Math"/>
          </w:rPr>
          <m:t>M</m:t>
        </m:r>
      </m:oMath>
      <w:r>
        <w:t>. If</w:t>
      </w:r>
    </w:p>
    <w:p w:rsidR="00D00E05" w:rsidRDefault="00D00E05" w:rsidP="00D00E05">
      <w:pPr>
        <w:pStyle w:val="ListParagraph"/>
        <w:spacing w:after="200" w:line="360" w:lineRule="auto"/>
        <w:ind w:left="360"/>
      </w:pPr>
    </w:p>
    <w:p w:rsidR="00D00E05" w:rsidRDefault="00A320F3" w:rsidP="00D00E05">
      <w:pPr>
        <w:pStyle w:val="ListParagraph"/>
        <w:spacing w:after="200" w:line="360" w:lineRule="auto"/>
        <w:ind w:left="360"/>
      </w:pPr>
      <m:oMathPara>
        <m:oMath>
          <m:r>
            <w:rPr>
              <w:rFonts w:ascii="Cambria Math" w:hAnsi="Cambria Math"/>
            </w:rPr>
            <m:t>M&lt;</m:t>
          </m:r>
          <m:sSub>
            <m:sSubPr>
              <m:ctrlPr>
                <w:rPr>
                  <w:rFonts w:ascii="Cambria Math" w:hAnsi="Cambria Math"/>
                  <w:i/>
                </w:rPr>
              </m:ctrlPr>
            </m:sSubPr>
            <m:e>
              <m:r>
                <w:rPr>
                  <w:rFonts w:ascii="Cambria Math" w:hAnsi="Cambria Math"/>
                </w:rPr>
                <m:t>Th</m:t>
              </m:r>
            </m:e>
            <m:sub>
              <m:r>
                <w:rPr>
                  <w:rFonts w:ascii="Cambria Math" w:hAnsi="Cambria Math"/>
                </w:rPr>
                <m:t>CL</m:t>
              </m:r>
            </m:sub>
          </m:sSub>
        </m:oMath>
      </m:oMathPara>
    </w:p>
    <w:p w:rsidR="00D00E05" w:rsidRDefault="00D00E05" w:rsidP="00D00E05">
      <w:pPr>
        <w:pStyle w:val="ListParagraph"/>
        <w:spacing w:after="200" w:line="360" w:lineRule="auto"/>
        <w:ind w:left="360"/>
      </w:pPr>
    </w:p>
    <w:p w:rsidR="00A320F3" w:rsidRDefault="00A320F3" w:rsidP="00D00E05">
      <w:pPr>
        <w:pStyle w:val="ListParagraph"/>
        <w:spacing w:after="200" w:line="360" w:lineRule="auto"/>
        <w:ind w:left="360"/>
      </w:pPr>
      <w:r>
        <w:t xml:space="preserve">the model is deemed to have passed at </w:t>
      </w:r>
      <m:oMath>
        <m:r>
          <w:rPr>
            <w:rFonts w:ascii="Cambria Math" w:hAnsi="Cambria Math"/>
          </w:rPr>
          <m:t>CL</m:t>
        </m:r>
      </m:oMath>
      <w:r>
        <w:t xml:space="preserve">; otherwise the test is deemed to have failed. </w:t>
      </w:r>
      <m:oMath>
        <m:sSub>
          <m:sSubPr>
            <m:ctrlPr>
              <w:rPr>
                <w:rFonts w:ascii="Cambria Math" w:hAnsi="Cambria Math"/>
                <w:i/>
              </w:rPr>
            </m:ctrlPr>
          </m:sSubPr>
          <m:e>
            <m:r>
              <w:rPr>
                <w:rFonts w:ascii="Cambria Math" w:hAnsi="Cambria Math"/>
              </w:rPr>
              <m:t>Th</m:t>
            </m:r>
          </m:e>
          <m:sub>
            <m:r>
              <w:rPr>
                <w:rFonts w:ascii="Cambria Math" w:hAnsi="Cambria Math"/>
              </w:rPr>
              <m:t>CL</m:t>
            </m:r>
          </m:sub>
        </m:sSub>
      </m:oMath>
      <w:r>
        <w:t xml:space="preserve"> is the critical number corresponding to </w:t>
      </w:r>
      <m:oMath>
        <m:r>
          <w:rPr>
            <w:rFonts w:ascii="Cambria Math" w:hAnsi="Cambria Math"/>
          </w:rPr>
          <m:t>CL</m:t>
        </m:r>
      </m:oMath>
      <w:r>
        <w:t xml:space="preserve">. The number of exceptions must not exceed </w:t>
      </w:r>
      <m:oMath>
        <m:sSub>
          <m:sSubPr>
            <m:ctrlPr>
              <w:rPr>
                <w:rFonts w:ascii="Cambria Math" w:hAnsi="Cambria Math"/>
                <w:i/>
              </w:rPr>
            </m:ctrlPr>
          </m:sSubPr>
          <m:e>
            <m:r>
              <w:rPr>
                <w:rFonts w:ascii="Cambria Math" w:hAnsi="Cambria Math"/>
              </w:rPr>
              <m:t>Th</m:t>
            </m:r>
          </m:e>
          <m:sub>
            <m:r>
              <w:rPr>
                <w:rFonts w:ascii="Cambria Math" w:hAnsi="Cambria Math"/>
              </w:rPr>
              <m:t>CL</m:t>
            </m:r>
          </m:sub>
        </m:sSub>
      </m:oMath>
      <w:r>
        <w:t xml:space="preserve"> in order for the test to be deemed a pass.</w:t>
      </w:r>
    </w:p>
    <w:p w:rsidR="00A320F3" w:rsidRDefault="00A320F3" w:rsidP="005A4A34">
      <w:pPr>
        <w:pStyle w:val="ListParagraph"/>
        <w:numPr>
          <w:ilvl w:val="0"/>
          <w:numId w:val="207"/>
        </w:numPr>
        <w:spacing w:after="200" w:line="360" w:lineRule="auto"/>
      </w:pPr>
      <w:r>
        <w:rPr>
          <w:u w:val="single"/>
        </w:rPr>
        <w:t>Testing across Multiple Quantile Thresholds</w:t>
      </w:r>
      <w:r w:rsidRPr="00A320F3">
        <w:t>:</w:t>
      </w:r>
      <w:r>
        <w:t xml:space="preserve"> For the purpose of EPE back testing, </w:t>
      </w:r>
      <w:r w:rsidR="00D00E05">
        <w:t xml:space="preserve">the above quantile based back testing can be repeated for a number of </w:t>
      </w:r>
      <m:oMath>
        <m:r>
          <w:rPr>
            <w:rFonts w:ascii="Cambria Math" w:hAnsi="Cambria Math"/>
          </w:rPr>
          <m:t>CL</m:t>
        </m:r>
      </m:oMath>
      <w:r w:rsidR="00D00E05">
        <w:t xml:space="preserve"> as back testing on the quantile model function of the portfolio value distribution provides a more detailed picture of the closeness between the model distribution and the realizations.</w:t>
      </w:r>
    </w:p>
    <w:p w:rsidR="00EC3D8C" w:rsidRDefault="00EC3D8C" w:rsidP="00C83F45">
      <w:pPr>
        <w:spacing w:after="200" w:line="360" w:lineRule="auto"/>
      </w:pPr>
    </w:p>
    <w:p w:rsidR="00431BF8" w:rsidRDefault="00431BF8" w:rsidP="00C83F45">
      <w:pPr>
        <w:spacing w:after="200" w:line="360" w:lineRule="auto"/>
      </w:pPr>
    </w:p>
    <w:p w:rsidR="00431BF8" w:rsidRDefault="00431BF8" w:rsidP="00C83F45">
      <w:pPr>
        <w:spacing w:after="200" w:line="360" w:lineRule="auto"/>
      </w:pPr>
    </w:p>
    <w:p w:rsidR="00431BF8" w:rsidRPr="00431BF8" w:rsidRDefault="00431BF8" w:rsidP="00C83F45">
      <w:pPr>
        <w:spacing w:after="200" w:line="360" w:lineRule="auto"/>
        <w:rPr>
          <w:b/>
          <w:sz w:val="28"/>
          <w:szCs w:val="28"/>
        </w:rPr>
      </w:pPr>
      <w:r w:rsidRPr="00431BF8">
        <w:rPr>
          <w:b/>
          <w:sz w:val="28"/>
          <w:szCs w:val="28"/>
        </w:rPr>
        <w:t>Simplified Back Testing</w:t>
      </w:r>
    </w:p>
    <w:p w:rsidR="00431BF8" w:rsidRDefault="00431BF8" w:rsidP="00C83F45">
      <w:pPr>
        <w:spacing w:after="200" w:line="360" w:lineRule="auto"/>
      </w:pPr>
    </w:p>
    <w:p w:rsidR="00431BF8" w:rsidRDefault="00431BF8" w:rsidP="00431BF8">
      <w:pPr>
        <w:pStyle w:val="ListParagraph"/>
        <w:numPr>
          <w:ilvl w:val="0"/>
          <w:numId w:val="208"/>
        </w:numPr>
        <w:spacing w:after="200" w:line="360" w:lineRule="auto"/>
      </w:pPr>
      <w:r w:rsidRPr="00431BF8">
        <w:rPr>
          <w:u w:val="single"/>
        </w:rPr>
        <w:lastRenderedPageBreak/>
        <w:t>Variance Tally across Simulation Runs</w:t>
      </w:r>
      <w:r>
        <w:t>: The essence of simplified back testing is to compare the model produced future NPV variance, expected positive exposure, or tail distribution against historical NPV variance for a given trade, or a given portfolio of trades.</w:t>
      </w:r>
    </w:p>
    <w:p w:rsidR="00431BF8" w:rsidRDefault="00431BF8" w:rsidP="00431BF8">
      <w:pPr>
        <w:pStyle w:val="ListParagraph"/>
        <w:numPr>
          <w:ilvl w:val="0"/>
          <w:numId w:val="208"/>
        </w:numPr>
        <w:spacing w:after="200" w:line="360" w:lineRule="auto"/>
      </w:pPr>
      <w:r>
        <w:rPr>
          <w:u w:val="single"/>
        </w:rPr>
        <w:t>Model vs. Realized NPV Distribution</w:t>
      </w:r>
      <w:r w:rsidRPr="00431BF8">
        <w:t>:</w:t>
      </w:r>
      <w:r>
        <w:t xml:space="preserve"> if the model produced future NPV variance is greater than (or comparable to) the historical NPV variance, then it is a favorable indication that the model does not under-estimate the historical volatility.</w:t>
      </w:r>
    </w:p>
    <w:p w:rsidR="00431BF8" w:rsidRDefault="00431BF8" w:rsidP="00431BF8">
      <w:pPr>
        <w:pStyle w:val="ListParagraph"/>
        <w:numPr>
          <w:ilvl w:val="0"/>
          <w:numId w:val="208"/>
        </w:numPr>
        <w:spacing w:after="200" w:line="360" w:lineRule="auto"/>
      </w:pPr>
      <w:r>
        <w:rPr>
          <w:u w:val="single"/>
        </w:rPr>
        <w:t>Example - Basel Based Proxy Pricer</w:t>
      </w:r>
      <w:r w:rsidRPr="00431BF8">
        <w:t>:</w:t>
      </w:r>
      <w:r>
        <w:t xml:space="preserve"> The following section describes how to perform simplified back-testing of the Basel notional conversion factor based proxy pricer.</w:t>
      </w:r>
    </w:p>
    <w:p w:rsidR="00224CFB" w:rsidRDefault="00431BF8" w:rsidP="00431BF8">
      <w:pPr>
        <w:pStyle w:val="ListParagraph"/>
        <w:numPr>
          <w:ilvl w:val="0"/>
          <w:numId w:val="208"/>
        </w:numPr>
        <w:spacing w:after="200" w:line="360" w:lineRule="auto"/>
      </w:pPr>
      <w:r>
        <w:rPr>
          <w:u w:val="single"/>
        </w:rPr>
        <w:t>Collateralized EPE using Black Model</w:t>
      </w:r>
      <w:r w:rsidRPr="00431BF8">
        <w:t>:</w:t>
      </w:r>
      <w:r>
        <w:t xml:space="preserve"> First the EPE of a collateralized trade is calculated using the Black normal model. For a linear trade dependent upon one dominant risk factor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the delta risk approximation is provided from</w:t>
      </w:r>
    </w:p>
    <w:p w:rsidR="00224CFB" w:rsidRDefault="00224CFB" w:rsidP="00224CFB">
      <w:pPr>
        <w:pStyle w:val="ListParagraph"/>
        <w:spacing w:after="200" w:line="360" w:lineRule="auto"/>
        <w:ind w:left="360"/>
        <w:rPr>
          <w:u w:val="single"/>
        </w:rPr>
      </w:pPr>
    </w:p>
    <w:p w:rsidR="00431BF8" w:rsidRPr="00224CFB" w:rsidRDefault="005D6A21" w:rsidP="00224CFB">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224CFB" w:rsidRDefault="00224CFB" w:rsidP="00224CFB">
      <w:pPr>
        <w:pStyle w:val="ListParagraph"/>
        <w:spacing w:after="200" w:line="360" w:lineRule="auto"/>
        <w:ind w:left="360"/>
      </w:pPr>
    </w:p>
    <w:p w:rsidR="00224CFB" w:rsidRDefault="006435BE" w:rsidP="00431BF8">
      <w:pPr>
        <w:pStyle w:val="ListParagraph"/>
        <w:numPr>
          <w:ilvl w:val="0"/>
          <w:numId w:val="208"/>
        </w:numPr>
        <w:spacing w:after="200" w:line="360" w:lineRule="auto"/>
      </w:pPr>
      <w:r>
        <w:rPr>
          <w:u w:val="single"/>
        </w:rPr>
        <w:t>Expression for the Black EPE</w:t>
      </w:r>
      <w:r>
        <w:t>: Thus in calculation one has</w:t>
      </w:r>
    </w:p>
    <w:p w:rsidR="00224CFB" w:rsidRDefault="00224CFB" w:rsidP="00224CFB">
      <w:pPr>
        <w:pStyle w:val="ListParagraph"/>
        <w:spacing w:after="200" w:line="360" w:lineRule="auto"/>
        <w:ind w:left="360"/>
        <w:rPr>
          <w:u w:val="single"/>
        </w:rPr>
      </w:pPr>
    </w:p>
    <w:p w:rsidR="00224CFB" w:rsidRDefault="005D6A21"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0</m:t>
                      </m:r>
                    </m:e>
                  </m:d>
                </m:e>
              </m:func>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0</m:t>
                      </m:r>
                    </m:e>
                  </m:d>
                </m:e>
              </m:fun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σ</m:t>
              </m:r>
              <m:rad>
                <m:radPr>
                  <m:degHide m:val="1"/>
                  <m:ctrlPr>
                    <w:rPr>
                      <w:rFonts w:ascii="Cambria Math" w:hAnsi="Cambria Math"/>
                      <w:i/>
                    </w:rPr>
                  </m:ctrlPr>
                </m:radPr>
                <m:deg/>
                <m:e>
                  <m:r>
                    <w:rPr>
                      <w:rFonts w:ascii="Cambria Math" w:hAnsi="Cambria Math"/>
                    </w:rPr>
                    <m:t>t</m:t>
                  </m:r>
                </m:e>
              </m:rad>
            </m:num>
            <m:den>
              <m:rad>
                <m:radPr>
                  <m:degHide m:val="1"/>
                  <m:ctrlPr>
                    <w:rPr>
                      <w:rFonts w:ascii="Cambria Math" w:hAnsi="Cambria Math"/>
                      <w:i/>
                    </w:rPr>
                  </m:ctrlPr>
                </m:radPr>
                <m:deg/>
                <m:e>
                  <m:r>
                    <w:rPr>
                      <w:rFonts w:ascii="Cambria Math" w:hAnsi="Cambria Math"/>
                    </w:rPr>
                    <m:t>2π</m:t>
                  </m:r>
                </m:e>
              </m:rad>
            </m:den>
          </m:f>
        </m:oMath>
      </m:oMathPara>
    </w:p>
    <w:p w:rsidR="00224CFB" w:rsidRDefault="00224CFB" w:rsidP="00224CFB">
      <w:pPr>
        <w:pStyle w:val="ListParagraph"/>
        <w:spacing w:after="200" w:line="360" w:lineRule="auto"/>
        <w:ind w:left="360"/>
      </w:pPr>
    </w:p>
    <w:p w:rsidR="006435BE" w:rsidRDefault="006435BE" w:rsidP="00224CF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is the dollar notional at time-0, </w:t>
      </w:r>
      <m:oMath>
        <m:r>
          <w:rPr>
            <w:rFonts w:ascii="Cambria Math" w:hAnsi="Cambria Math"/>
          </w:rPr>
          <m:t>σ</m:t>
        </m:r>
      </m:oMath>
      <w:r>
        <w:t xml:space="preserve"> is the historical volatility of the trade value normalized by the notional,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t xml:space="preserve"> is the standard Brownian motion in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t>.</w:t>
      </w:r>
    </w:p>
    <w:p w:rsidR="00B82F71" w:rsidRDefault="00B82F71" w:rsidP="00431BF8">
      <w:pPr>
        <w:pStyle w:val="ListParagraph"/>
        <w:numPr>
          <w:ilvl w:val="0"/>
          <w:numId w:val="208"/>
        </w:numPr>
        <w:spacing w:after="200" w:line="360" w:lineRule="auto"/>
      </w:pPr>
      <w:r>
        <w:rPr>
          <w:u w:val="single"/>
        </w:rPr>
        <w:t>Accommodating the Duration Shortening Effects</w:t>
      </w:r>
      <w:r>
        <w:t>: It needs to be mentioned here that the duration shortening effect needs to be considered for swap-like trades</w:t>
      </w:r>
      <w:r w:rsidR="00224CFB">
        <w:t xml:space="preserve"> </w:t>
      </w:r>
      <w:r>
        <w:t>(with periodic payments and zero clean price right before its final maturity) and for Asian-like trades (volatility decreases with time and is minimal close to the trade maturity since trade NPV largely depends on fixings).</w:t>
      </w:r>
    </w:p>
    <w:p w:rsidR="00224CFB" w:rsidRDefault="00B82F71" w:rsidP="00431BF8">
      <w:pPr>
        <w:pStyle w:val="ListParagraph"/>
        <w:numPr>
          <w:ilvl w:val="0"/>
          <w:numId w:val="208"/>
        </w:numPr>
        <w:spacing w:after="200" w:line="360" w:lineRule="auto"/>
      </w:pPr>
      <w:r>
        <w:rPr>
          <w:u w:val="single"/>
        </w:rPr>
        <w:lastRenderedPageBreak/>
        <w:t>Historical Volatility with Duration Shortening</w:t>
      </w:r>
      <w:r w:rsidRPr="00B82F71">
        <w:t>:</w:t>
      </w:r>
      <w:r>
        <w:t xml:space="preserve"> Considering duration shortening the historical volatility for 1Y duration is calculated by</w:t>
      </w:r>
    </w:p>
    <w:p w:rsidR="00224CFB" w:rsidRDefault="00224CFB" w:rsidP="00224CFB">
      <w:pPr>
        <w:pStyle w:val="ListParagraph"/>
        <w:spacing w:after="200" w:line="360" w:lineRule="auto"/>
        <w:ind w:left="360"/>
        <w:rPr>
          <w:u w:val="single"/>
        </w:rPr>
      </w:pPr>
    </w:p>
    <w:p w:rsidR="00224CFB" w:rsidRDefault="00B82F71" w:rsidP="00224CFB">
      <w:pPr>
        <w:pStyle w:val="ListParagraph"/>
        <w:spacing w:after="200"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f>
            <m:fPr>
              <m:ctrlPr>
                <w:rPr>
                  <w:rFonts w:ascii="Cambria Math" w:hAnsi="Cambria Math"/>
                  <w:i/>
                </w:rPr>
              </m:ctrlPr>
            </m:fPr>
            <m:num>
              <m:r>
                <w:rPr>
                  <w:rFonts w:ascii="Cambria Math" w:hAnsi="Cambria Math"/>
                </w:rPr>
                <m:t>Std</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den>
                  </m:f>
                </m:e>
              </m:d>
            </m:num>
            <m:den>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rad>
            </m:den>
          </m:f>
        </m:oMath>
      </m:oMathPara>
    </w:p>
    <w:p w:rsidR="00224CFB" w:rsidRDefault="00224CFB" w:rsidP="00224CFB">
      <w:pPr>
        <w:pStyle w:val="ListParagraph"/>
        <w:spacing w:after="200" w:line="360" w:lineRule="auto"/>
        <w:ind w:left="360"/>
      </w:pPr>
    </w:p>
    <w:p w:rsidR="00B82F71" w:rsidRDefault="00B82F71" w:rsidP="00224CFB">
      <w:pPr>
        <w:pStyle w:val="ListParagraph"/>
        <w:spacing w:after="200" w:line="360" w:lineRule="auto"/>
        <w:ind w:left="360"/>
      </w:pPr>
      <w:r>
        <w:t xml:space="preserve">where </w:t>
      </w:r>
      <m:oMath>
        <m:r>
          <w:rPr>
            <w:rFonts w:ascii="Cambria Math" w:hAnsi="Cambria Math"/>
          </w:rPr>
          <m:t>T</m:t>
        </m:r>
      </m:oMath>
      <w:r>
        <w:t xml:space="preserve"> is the maturity and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time-0.</w:t>
      </w:r>
    </w:p>
    <w:p w:rsidR="00224CFB" w:rsidRDefault="00B82F71" w:rsidP="00431BF8">
      <w:pPr>
        <w:pStyle w:val="ListParagraph"/>
        <w:numPr>
          <w:ilvl w:val="0"/>
          <w:numId w:val="208"/>
        </w:numPr>
        <w:spacing w:after="200" w:line="360" w:lineRule="auto"/>
      </w:pPr>
      <w:r>
        <w:rPr>
          <w:u w:val="single"/>
        </w:rPr>
        <w:t>Trade NPV/Notional Time Series</w:t>
      </w:r>
      <w:r w:rsidRPr="00B82F71">
        <w:t>:</w:t>
      </w:r>
      <w:r>
        <w:t xml:space="preserve"> For a trade with two historical time series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d>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d>
      </m:oMath>
      <w:r>
        <w:t xml:space="preserve"> (</w:t>
      </w:r>
      <m:oMath>
        <m:r>
          <w:rPr>
            <w:rFonts w:ascii="Cambria Math" w:hAnsi="Cambria Math"/>
          </w:rPr>
          <m:t>V</m:t>
        </m:r>
      </m:oMath>
      <w:r>
        <w:t xml:space="preserve"> is for NPV and </w:t>
      </w:r>
      <m:oMath>
        <m:r>
          <w:rPr>
            <w:rFonts w:ascii="Cambria Math" w:hAnsi="Cambria Math"/>
          </w:rPr>
          <m:t>N</m:t>
        </m:r>
      </m:oMath>
      <w:r>
        <w:t xml:space="preserve"> is for notional) one defines</w:t>
      </w:r>
    </w:p>
    <w:p w:rsidR="00224CFB" w:rsidRDefault="00224CFB" w:rsidP="00224CFB">
      <w:pPr>
        <w:pStyle w:val="ListParagraph"/>
        <w:spacing w:after="200" w:line="360" w:lineRule="auto"/>
        <w:ind w:left="360"/>
        <w:rPr>
          <w:u w:val="single"/>
        </w:rPr>
      </w:pPr>
    </w:p>
    <w:p w:rsidR="00224CFB" w:rsidRDefault="00351301" w:rsidP="00224CFB">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den>
          </m:f>
        </m:oMath>
      </m:oMathPara>
    </w:p>
    <w:p w:rsidR="00224CFB" w:rsidRDefault="00224CFB" w:rsidP="00224CFB">
      <w:pPr>
        <w:pStyle w:val="ListParagraph"/>
        <w:spacing w:after="200" w:line="360" w:lineRule="auto"/>
        <w:ind w:left="360"/>
      </w:pPr>
    </w:p>
    <w:p w:rsidR="00B82F71" w:rsidRDefault="00B82F71" w:rsidP="00224CFB">
      <w:pPr>
        <w:pStyle w:val="ListParagraph"/>
        <w:spacing w:after="200" w:line="360" w:lineRule="auto"/>
        <w:ind w:left="360"/>
      </w:pPr>
      <w:r>
        <w:t xml:space="preserve">to calculate the standard deviation of the time series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den>
            </m:f>
          </m:e>
        </m:d>
      </m:oMath>
      <w:r>
        <w:t>.</w:t>
      </w:r>
    </w:p>
    <w:p w:rsidR="00224CFB" w:rsidRDefault="00E32219" w:rsidP="00431BF8">
      <w:pPr>
        <w:pStyle w:val="ListParagraph"/>
        <w:numPr>
          <w:ilvl w:val="0"/>
          <w:numId w:val="208"/>
        </w:numPr>
        <w:spacing w:after="200" w:line="360" w:lineRule="auto"/>
      </w:pPr>
      <w:r>
        <w:rPr>
          <w:u w:val="single"/>
        </w:rPr>
        <w:t>Time Scaling of the Volatility Estimate</w:t>
      </w:r>
      <w:r w:rsidRPr="00E32219">
        <w:t>:</w:t>
      </w:r>
      <w:r>
        <w:t xml:space="preserve"> It is then annualized by multiplying by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rad>
          </m:den>
        </m:f>
      </m:oMath>
      <w:r>
        <w:t xml:space="preserve"> where</w:t>
      </w:r>
    </w:p>
    <w:p w:rsidR="00224CFB" w:rsidRDefault="00224CFB" w:rsidP="00224CFB">
      <w:pPr>
        <w:pStyle w:val="ListParagraph"/>
        <w:spacing w:after="200" w:line="360" w:lineRule="auto"/>
        <w:ind w:left="360"/>
        <w:rPr>
          <w:u w:val="single"/>
        </w:rPr>
      </w:pPr>
    </w:p>
    <w:p w:rsidR="00224CFB" w:rsidRDefault="00E32219" w:rsidP="00224CFB">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oMath>
      </m:oMathPara>
    </w:p>
    <w:p w:rsidR="00224CFB" w:rsidRDefault="00224CFB" w:rsidP="00224CFB">
      <w:pPr>
        <w:pStyle w:val="ListParagraph"/>
        <w:spacing w:after="200" w:line="360" w:lineRule="auto"/>
        <w:ind w:left="360"/>
      </w:pPr>
    </w:p>
    <w:p w:rsidR="00E32219" w:rsidRDefault="00E32219" w:rsidP="00224CFB">
      <w:pPr>
        <w:pStyle w:val="ListParagraph"/>
        <w:spacing w:after="200" w:line="360" w:lineRule="auto"/>
        <w:ind w:left="360"/>
      </w:pPr>
      <w:r>
        <w:t xml:space="preserve">In calculation the time </w:t>
      </w:r>
      <m:oMath>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presented in terms of years.</w:t>
      </w:r>
    </w:p>
    <w:p w:rsidR="00224CFB" w:rsidRDefault="00E32219" w:rsidP="00431BF8">
      <w:pPr>
        <w:pStyle w:val="ListParagraph"/>
        <w:numPr>
          <w:ilvl w:val="0"/>
          <w:numId w:val="208"/>
        </w:numPr>
        <w:spacing w:after="200" w:line="360" w:lineRule="auto"/>
      </w:pPr>
      <w:r>
        <w:rPr>
          <w:u w:val="single"/>
        </w:rPr>
        <w:t>Non-duration Shortened Volatility Estimate</w:t>
      </w:r>
      <w:r w:rsidRPr="00E32219">
        <w:t>:</w:t>
      </w:r>
      <w:r>
        <w:t xml:space="preserve"> For other trades </w:t>
      </w:r>
      <m:oMath>
        <m:r>
          <w:rPr>
            <w:rFonts w:ascii="Cambria Math" w:hAnsi="Cambria Math"/>
          </w:rPr>
          <m:t>σ</m:t>
        </m:r>
      </m:oMath>
      <w:r>
        <w:t xml:space="preserve"> is calculated using</w:t>
      </w:r>
    </w:p>
    <w:p w:rsidR="00224CFB" w:rsidRDefault="00224CFB" w:rsidP="00224CFB">
      <w:pPr>
        <w:pStyle w:val="ListParagraph"/>
        <w:spacing w:after="200" w:line="360" w:lineRule="auto"/>
        <w:ind w:left="360"/>
        <w:rPr>
          <w:u w:val="single"/>
        </w:rPr>
      </w:pPr>
    </w:p>
    <w:p w:rsidR="00E32219" w:rsidRPr="00224CFB" w:rsidRDefault="00E32219" w:rsidP="00224CFB">
      <w:pPr>
        <w:pStyle w:val="ListParagraph"/>
        <w:spacing w:after="200" w:line="360" w:lineRule="auto"/>
        <w:ind w:left="360"/>
      </w:pPr>
      <m:oMathPara>
        <m:oMath>
          <m:r>
            <w:rPr>
              <w:rFonts w:ascii="Cambria Math" w:hAnsi="Cambria Math"/>
            </w:rPr>
            <m:t>σ=</m:t>
          </m:r>
          <m:f>
            <m:fPr>
              <m:ctrlPr>
                <w:rPr>
                  <w:rFonts w:ascii="Cambria Math" w:hAnsi="Cambria Math"/>
                  <w:i/>
                </w:rPr>
              </m:ctrlPr>
            </m:fPr>
            <m:num>
              <m:r>
                <w:rPr>
                  <w:rFonts w:ascii="Cambria Math" w:hAnsi="Cambria Math"/>
                </w:rPr>
                <m:t>Std</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d>
            </m:num>
            <m:den>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rad>
            </m:den>
          </m:f>
        </m:oMath>
      </m:oMathPara>
    </w:p>
    <w:p w:rsidR="00224CFB" w:rsidRDefault="00224CFB" w:rsidP="00224CFB">
      <w:pPr>
        <w:pStyle w:val="ListParagraph"/>
        <w:spacing w:after="200" w:line="360" w:lineRule="auto"/>
        <w:ind w:left="360"/>
      </w:pPr>
    </w:p>
    <w:p w:rsidR="00224CFB" w:rsidRDefault="00E32219" w:rsidP="00431BF8">
      <w:pPr>
        <w:pStyle w:val="ListParagraph"/>
        <w:numPr>
          <w:ilvl w:val="0"/>
          <w:numId w:val="208"/>
        </w:numPr>
        <w:spacing w:after="200" w:line="360" w:lineRule="auto"/>
      </w:pPr>
      <w:r>
        <w:rPr>
          <w:u w:val="single"/>
        </w:rPr>
        <w:t>EPE of an Uncollateralized Trade</w:t>
      </w:r>
      <w:r>
        <w:t>: Similarly the EPE of an uncollateralized trade can be calculated (ignoring the cash flow effects) using the Black Normal model by</w:t>
      </w:r>
    </w:p>
    <w:p w:rsidR="00224CFB" w:rsidRDefault="00224CFB" w:rsidP="00224CFB">
      <w:pPr>
        <w:pStyle w:val="ListParagraph"/>
        <w:spacing w:after="200" w:line="360" w:lineRule="auto"/>
        <w:ind w:left="360"/>
        <w:rPr>
          <w:u w:val="single"/>
        </w:rPr>
      </w:pPr>
    </w:p>
    <w:p w:rsidR="00224CFB" w:rsidRDefault="005D6A21"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DRIFT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0</m:t>
                      </m:r>
                    </m:e>
                  </m:d>
                </m:e>
              </m:func>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r>
                        <w:rPr>
                          <w:rFonts w:ascii="Cambria Math" w:hAnsi="Cambria Math"/>
                        </w:rPr>
                        <m:t>+μ∆t+σ∆</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0</m:t>
                      </m:r>
                    </m:e>
                  </m:d>
                </m:e>
              </m:func>
            </m:e>
          </m:d>
        </m:oMath>
      </m:oMathPara>
    </w:p>
    <w:p w:rsidR="00224CFB" w:rsidRDefault="00224CFB" w:rsidP="00224CFB">
      <w:pPr>
        <w:pStyle w:val="ListParagraph"/>
        <w:spacing w:after="200" w:line="360" w:lineRule="auto"/>
        <w:ind w:left="360"/>
      </w:pPr>
    </w:p>
    <w:p w:rsidR="00E32219" w:rsidRDefault="00E32219" w:rsidP="00224CF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is the delta risk of the corresponding time </w:t>
      </w:r>
      <m:oMath>
        <m:r>
          <w:rPr>
            <w:rFonts w:ascii="Cambria Math" w:hAnsi="Cambria Math"/>
          </w:rPr>
          <m:t>t</m:t>
        </m:r>
      </m:oMath>
      <w:r>
        <w:t xml:space="preserve"> of the forward starting trade,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t xml:space="preserve"> is the standard Brownian motion in </w:t>
      </w:r>
      <m:oMath>
        <m:d>
          <m:dPr>
            <m:begChr m:val="["/>
            <m:endChr m:val="]"/>
            <m:ctrlPr>
              <w:rPr>
                <w:rFonts w:ascii="Cambria Math" w:hAnsi="Cambria Math"/>
                <w:i/>
              </w:rPr>
            </m:ctrlPr>
          </m:dPr>
          <m:e>
            <m:r>
              <w:rPr>
                <w:rFonts w:ascii="Cambria Math" w:hAnsi="Cambria Math"/>
              </w:rPr>
              <m:t>0, t</m:t>
            </m:r>
          </m:e>
        </m:d>
      </m:oMath>
      <w:r>
        <w:t>.</w:t>
      </w:r>
    </w:p>
    <w:p w:rsidR="003906AB" w:rsidRDefault="003906AB" w:rsidP="00431BF8">
      <w:pPr>
        <w:pStyle w:val="ListParagraph"/>
        <w:numPr>
          <w:ilvl w:val="0"/>
          <w:numId w:val="208"/>
        </w:numPr>
        <w:spacing w:after="200" w:line="360" w:lineRule="auto"/>
      </w:pPr>
      <w:r>
        <w:rPr>
          <w:u w:val="single"/>
        </w:rPr>
        <w:t>Regression Estimate of the Drift</w:t>
      </w:r>
      <w:r w:rsidRPr="003906AB">
        <w:t>:</w:t>
      </w:r>
      <w:r>
        <w:t xml:space="preserve"> The drift </w:t>
      </w:r>
      <m:oMath>
        <m:r>
          <w:rPr>
            <w:rFonts w:ascii="Cambria Math" w:hAnsi="Cambria Math"/>
          </w:rPr>
          <m:t>μ</m:t>
        </m:r>
      </m:oMath>
      <w:r>
        <w:t xml:space="preserve"> is obtained by performing a linear regression analysis of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den>
            </m:f>
          </m:e>
        </m:d>
      </m:oMath>
      <w:r>
        <w:t xml:space="preserve"> vs.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It is the slope of the regression function.</w:t>
      </w:r>
    </w:p>
    <w:p w:rsidR="003906AB" w:rsidRDefault="003906AB" w:rsidP="00431BF8">
      <w:pPr>
        <w:pStyle w:val="ListParagraph"/>
        <w:numPr>
          <w:ilvl w:val="0"/>
          <w:numId w:val="208"/>
        </w:numPr>
        <w:spacing w:after="200" w:line="360" w:lineRule="auto"/>
      </w:pPr>
      <w:r>
        <w:rPr>
          <w:u w:val="single"/>
        </w:rPr>
        <w:t>EPE for the Proxy Pricer</w:t>
      </w:r>
      <w:r w:rsidRPr="003906AB">
        <w:t>:</w:t>
      </w:r>
      <w:r>
        <w:t xml:space="preserve"> The EPE is next calculated using the proxy pricer.</w:t>
      </w:r>
    </w:p>
    <w:p w:rsidR="00224CFB" w:rsidRDefault="00365C6C" w:rsidP="00431BF8">
      <w:pPr>
        <w:pStyle w:val="ListParagraph"/>
        <w:numPr>
          <w:ilvl w:val="0"/>
          <w:numId w:val="208"/>
        </w:numPr>
        <w:spacing w:after="200" w:line="360" w:lineRule="auto"/>
      </w:pPr>
      <w:r>
        <w:rPr>
          <w:u w:val="single"/>
        </w:rPr>
        <w:t>Collateralized Trade Proxy Pricer EPE</w:t>
      </w:r>
      <w:r w:rsidRPr="00365C6C">
        <w:t>:</w:t>
      </w:r>
      <w:r>
        <w:t xml:space="preserve"> For collateralized trades one uses</w:t>
      </w:r>
    </w:p>
    <w:p w:rsidR="00224CFB" w:rsidRDefault="00224CFB" w:rsidP="00224CFB">
      <w:pPr>
        <w:pStyle w:val="ListParagraph"/>
        <w:spacing w:after="200" w:line="360" w:lineRule="auto"/>
        <w:ind w:left="360"/>
        <w:rPr>
          <w:u w:val="single"/>
        </w:rPr>
      </w:pPr>
    </w:p>
    <w:p w:rsidR="00224CFB" w:rsidRDefault="005D6A21"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td</m:t>
                                  </m:r>
                                </m:sub>
                              </m:sSub>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 0</m:t>
                      </m:r>
                    </m:e>
                  </m:d>
                </m:e>
              </m:func>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0</m:t>
                              </m:r>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 0</m:t>
                      </m:r>
                    </m:e>
                  </m:d>
                </m:e>
              </m:func>
            </m:e>
          </m:d>
        </m:oMath>
      </m:oMathPara>
    </w:p>
    <w:p w:rsidR="00224CFB" w:rsidRDefault="00224CFB" w:rsidP="00224CFB">
      <w:pPr>
        <w:pStyle w:val="ListParagraph"/>
        <w:spacing w:after="200" w:line="360" w:lineRule="auto"/>
        <w:ind w:left="360"/>
      </w:pPr>
    </w:p>
    <w:p w:rsidR="00365C6C" w:rsidRDefault="00365C6C" w:rsidP="00224CFB">
      <w:pPr>
        <w:pStyle w:val="ListParagraph"/>
        <w:spacing w:after="200" w:line="360" w:lineRule="auto"/>
        <w:ind w:left="360"/>
      </w:pPr>
      <w:r>
        <w:t xml:space="preserve">where </w:t>
      </w:r>
      <m:oMath>
        <m:r>
          <w:rPr>
            <w:rFonts w:ascii="Cambria Math" w:hAnsi="Cambria Math"/>
          </w:rPr>
          <m:t>α</m:t>
        </m:r>
      </m:oMath>
      <w:r>
        <w:t xml:space="preserve"> by default is set to </w:t>
      </w:r>
      <m:oMath>
        <m:r>
          <w:rPr>
            <w:rFonts w:ascii="Cambria Math" w:hAnsi="Cambria Math"/>
          </w:rPr>
          <m:t>1.0</m:t>
        </m:r>
      </m:oMath>
      <w:r>
        <w:t xml:space="preserve"> and </w:t>
      </w:r>
      <m:oMath>
        <m:r>
          <w:rPr>
            <w:rFonts w:ascii="Cambria Math" w:hAnsi="Cambria Math"/>
          </w:rPr>
          <m:t>k</m:t>
        </m:r>
      </m:oMath>
      <w:r>
        <w:t xml:space="preserve"> is set to </w:t>
      </w:r>
      <m:oMath>
        <m:r>
          <w:rPr>
            <w:rFonts w:ascii="Cambria Math" w:hAnsi="Cambria Math"/>
          </w:rPr>
          <m:t>15%</m:t>
        </m:r>
      </m:oMath>
      <w:r>
        <w:t>.</w:t>
      </w:r>
    </w:p>
    <w:p w:rsidR="00224CFB" w:rsidRDefault="009C31EA" w:rsidP="00431BF8">
      <w:pPr>
        <w:pStyle w:val="ListParagraph"/>
        <w:numPr>
          <w:ilvl w:val="0"/>
          <w:numId w:val="208"/>
        </w:numPr>
        <w:spacing w:after="200" w:line="360" w:lineRule="auto"/>
      </w:pPr>
      <w:r>
        <w:rPr>
          <w:u w:val="single"/>
        </w:rPr>
        <w:t>Uncollateralized Trade Proxy Pricer EPE</w:t>
      </w:r>
      <w:r w:rsidRPr="009C31EA">
        <w:t>:</w:t>
      </w:r>
      <w:r>
        <w:t xml:space="preserve"> For uncollateralized trades one uses</w:t>
      </w:r>
    </w:p>
    <w:p w:rsidR="00224CFB" w:rsidRDefault="00224CFB" w:rsidP="00224CFB">
      <w:pPr>
        <w:pStyle w:val="ListParagraph"/>
        <w:spacing w:after="200" w:line="360" w:lineRule="auto"/>
        <w:ind w:left="360"/>
        <w:rPr>
          <w:u w:val="single"/>
        </w:rPr>
      </w:pPr>
    </w:p>
    <w:p w:rsidR="009C31EA" w:rsidRPr="00224CFB" w:rsidRDefault="005D6A21"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td</m:t>
                                  </m:r>
                                </m:sub>
                              </m:sSub>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0</m:t>
                      </m:r>
                    </m:e>
                  </m:d>
                </m:e>
              </m:func>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0</m:t>
                              </m:r>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0</m:t>
                      </m:r>
                    </m:e>
                  </m:d>
                </m:e>
              </m:func>
            </m:e>
          </m:d>
        </m:oMath>
      </m:oMathPara>
    </w:p>
    <w:p w:rsidR="00224CFB" w:rsidRDefault="00224CFB" w:rsidP="00224CFB">
      <w:pPr>
        <w:pStyle w:val="ListParagraph"/>
        <w:spacing w:after="200" w:line="360" w:lineRule="auto"/>
        <w:ind w:left="360"/>
      </w:pPr>
    </w:p>
    <w:p w:rsidR="009C31EA" w:rsidRDefault="009C31EA" w:rsidP="00431BF8">
      <w:pPr>
        <w:pStyle w:val="ListParagraph"/>
        <w:numPr>
          <w:ilvl w:val="0"/>
          <w:numId w:val="208"/>
        </w:numPr>
        <w:spacing w:after="200" w:line="360" w:lineRule="auto"/>
      </w:pPr>
      <w:r>
        <w:rPr>
          <w:u w:val="single"/>
        </w:rPr>
        <w:t>Proxy Pricer vs Black EPE</w:t>
      </w:r>
      <w:r>
        <w:t>: If the EPE calculated by the proxy pricer is larger than the EPE calculated by the Black Normal model, the simplified back testing is deemed to have passed. Otherwise further analysis is needed before one can conclude that the proxy pricer model under-estimates historical volatility.</w:t>
      </w:r>
    </w:p>
    <w:p w:rsidR="00A6688C" w:rsidRDefault="00A6688C" w:rsidP="00C83F45">
      <w:pPr>
        <w:spacing w:after="200" w:line="360" w:lineRule="auto"/>
      </w:pPr>
    </w:p>
    <w:p w:rsidR="00431BF8" w:rsidRDefault="00431BF8" w:rsidP="00C83F45">
      <w:pPr>
        <w:spacing w:after="200" w:line="360" w:lineRule="auto"/>
      </w:pPr>
    </w:p>
    <w:p w:rsidR="00C83F45" w:rsidRPr="00C83F45" w:rsidRDefault="00C83F45" w:rsidP="00C83F45">
      <w:pPr>
        <w:spacing w:after="200" w:line="360" w:lineRule="auto"/>
        <w:rPr>
          <w:b/>
          <w:sz w:val="28"/>
        </w:rPr>
      </w:pPr>
      <w:r w:rsidRPr="00C83F45">
        <w:rPr>
          <w:b/>
          <w:sz w:val="28"/>
        </w:rPr>
        <w:t>References</w:t>
      </w:r>
    </w:p>
    <w:p w:rsidR="00C83F45" w:rsidRDefault="00C83F45" w:rsidP="00C83F45">
      <w:pPr>
        <w:spacing w:after="200" w:line="360" w:lineRule="auto"/>
      </w:pPr>
    </w:p>
    <w:p w:rsidR="00C83F45" w:rsidRDefault="00C83F45" w:rsidP="00D83552">
      <w:pPr>
        <w:pStyle w:val="ListParagraph"/>
        <w:numPr>
          <w:ilvl w:val="0"/>
          <w:numId w:val="167"/>
        </w:numPr>
        <w:spacing w:after="200" w:line="360" w:lineRule="auto"/>
      </w:pPr>
      <w:r>
        <w:t>Bank for International Settlements (20</w:t>
      </w:r>
      <w:r w:rsidR="009F11EF">
        <w:t>05</w:t>
      </w:r>
      <w:r>
        <w:t xml:space="preserve">): </w:t>
      </w:r>
      <w:hyperlink r:id="rId31" w:history="1">
        <w:r w:rsidR="00153307" w:rsidRPr="00153307">
          <w:rPr>
            <w:rStyle w:val="Hyperlink"/>
          </w:rPr>
          <w:t>Application of Basel II to Trading Activities and the Treatment of the Double Default Effects</w:t>
        </w:r>
      </w:hyperlink>
    </w:p>
    <w:p w:rsidR="009F11EF" w:rsidRDefault="009F11EF" w:rsidP="00D83552">
      <w:pPr>
        <w:pStyle w:val="ListParagraph"/>
        <w:numPr>
          <w:ilvl w:val="0"/>
          <w:numId w:val="167"/>
        </w:numPr>
        <w:spacing w:after="200" w:line="360" w:lineRule="auto"/>
      </w:pPr>
      <w:r>
        <w:t xml:space="preserve">Bank for International Settlements (2014): </w:t>
      </w:r>
      <w:hyperlink r:id="rId32" w:history="1">
        <w:r w:rsidRPr="00153307">
          <w:rPr>
            <w:rStyle w:val="Hyperlink"/>
          </w:rPr>
          <w:t>The Application of Basel II to Trading Activities and the Treatment of Double De</w:t>
        </w:r>
        <w:r w:rsidR="00153307" w:rsidRPr="00153307">
          <w:rPr>
            <w:rStyle w:val="Hyperlink"/>
          </w:rPr>
          <w:t>fault Effects</w:t>
        </w:r>
      </w:hyperlink>
    </w:p>
    <w:p w:rsidR="00B975E6" w:rsidRDefault="00B975E6" w:rsidP="00D83552">
      <w:pPr>
        <w:pStyle w:val="ListParagraph"/>
        <w:numPr>
          <w:ilvl w:val="0"/>
          <w:numId w:val="167"/>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A37BDE" w:rsidRDefault="00A37BDE" w:rsidP="00D83552">
      <w:pPr>
        <w:pStyle w:val="ListParagraph"/>
        <w:numPr>
          <w:ilvl w:val="0"/>
          <w:numId w:val="167"/>
        </w:numPr>
        <w:spacing w:after="200" w:line="360" w:lineRule="auto"/>
      </w:pPr>
      <w:r>
        <w:t xml:space="preserve">Federal Register (2013): Rules and Regulations </w:t>
      </w:r>
      <w:r>
        <w:rPr>
          <w:b/>
        </w:rPr>
        <w:t>78 (198)</w:t>
      </w:r>
      <w:r>
        <w:t>.</w:t>
      </w:r>
    </w:p>
    <w:p w:rsidR="00D16802" w:rsidRPr="00E1147C" w:rsidRDefault="00D16802" w:rsidP="00D83552">
      <w:pPr>
        <w:pStyle w:val="ListParagraph"/>
        <w:numPr>
          <w:ilvl w:val="0"/>
          <w:numId w:val="167"/>
        </w:numPr>
        <w:spacing w:after="200" w:line="360" w:lineRule="auto"/>
        <w:rPr>
          <w:rStyle w:val="Hyperlink"/>
          <w:color w:val="auto"/>
          <w:u w:val="none"/>
        </w:rPr>
      </w:pPr>
      <w:r>
        <w:t xml:space="preserve">ISDA (2017): </w:t>
      </w:r>
      <w:hyperlink r:id="rId33" w:history="1">
        <w:r w:rsidRPr="00153307">
          <w:rPr>
            <w:rStyle w:val="Hyperlink"/>
          </w:rPr>
          <w:t>ISDA Standard Initial Margin Model (SI</w:t>
        </w:r>
        <w:r w:rsidR="00153307" w:rsidRPr="00153307">
          <w:rPr>
            <w:rStyle w:val="Hyperlink"/>
          </w:rPr>
          <w:t>MM) for Non-cleared Derivatives</w:t>
        </w:r>
      </w:hyperlink>
    </w:p>
    <w:p w:rsidR="00E1147C" w:rsidRDefault="00E1147C" w:rsidP="00D83552">
      <w:pPr>
        <w:pStyle w:val="ListParagraph"/>
        <w:numPr>
          <w:ilvl w:val="0"/>
          <w:numId w:val="167"/>
        </w:numPr>
        <w:spacing w:after="200" w:line="360" w:lineRule="auto"/>
      </w:pPr>
      <w:r>
        <w:t xml:space="preserve">Mercurio, F., and M. Li (2015): Jumping with Default: Wrong-Way Modeling for the CVA </w:t>
      </w:r>
      <w:r>
        <w:rPr>
          <w:i/>
        </w:rPr>
        <w:t>Risk</w:t>
      </w:r>
      <w:r>
        <w:t xml:space="preserve"> </w:t>
      </w:r>
      <w:r>
        <w:rPr>
          <w:b/>
        </w:rPr>
        <w:t>26 (11)</w:t>
      </w:r>
      <w:r>
        <w:t xml:space="preserve"> 58-63.</w:t>
      </w:r>
    </w:p>
    <w:p w:rsidR="00E1147C" w:rsidRDefault="00E1147C" w:rsidP="00D83552">
      <w:pPr>
        <w:pStyle w:val="ListParagraph"/>
        <w:numPr>
          <w:ilvl w:val="0"/>
          <w:numId w:val="167"/>
        </w:numPr>
        <w:spacing w:after="200" w:line="360" w:lineRule="auto"/>
      </w:pPr>
      <w:r>
        <w:t xml:space="preserve">Li, M. and F. Mercurio (2015): </w:t>
      </w:r>
      <w:hyperlink r:id="rId34" w:history="1">
        <w:r w:rsidRPr="00E1147C">
          <w:rPr>
            <w:rStyle w:val="Hyperlink"/>
          </w:rPr>
          <w:t>Jumping with Default: Wrong-Way Modeling for the CVA</w:t>
        </w:r>
      </w:hyperlink>
      <w:r>
        <w:t xml:space="preserve"> </w:t>
      </w:r>
      <w:r>
        <w:rPr>
          <w:b/>
        </w:rPr>
        <w:t>eSSRN</w:t>
      </w:r>
      <w:r>
        <w:t>.</w:t>
      </w:r>
    </w:p>
    <w:p w:rsidR="00AC71BE" w:rsidRDefault="00AC71BE" w:rsidP="00D83552">
      <w:pPr>
        <w:pStyle w:val="ListParagraph"/>
        <w:numPr>
          <w:ilvl w:val="0"/>
          <w:numId w:val="167"/>
        </w:numPr>
        <w:spacing w:after="160" w:line="360" w:lineRule="auto"/>
      </w:pPr>
      <w:r>
        <w:t xml:space="preserve">Y. Tang, and B. Li (2007): </w:t>
      </w:r>
      <w:r>
        <w:rPr>
          <w:i/>
        </w:rPr>
        <w:t xml:space="preserve">Quantitative Analysis, Derivatives Modeling, and Trading Strategies in the Presence of Counterparty Credit Risk for the Fixed-Income Market </w:t>
      </w:r>
      <w:r w:rsidRPr="00095C5F">
        <w:t>1</w:t>
      </w:r>
      <w:r w:rsidRPr="00095C5F">
        <w:rPr>
          <w:vertAlign w:val="superscript"/>
        </w:rPr>
        <w:t>st</w:t>
      </w:r>
      <w:r w:rsidRPr="00095C5F">
        <w:t xml:space="preserve"> Edition</w:t>
      </w:r>
      <w:r>
        <w:t xml:space="preserve"> </w:t>
      </w:r>
      <w:r>
        <w:rPr>
          <w:b/>
        </w:rPr>
        <w:t>World Scientific Publishing</w:t>
      </w:r>
      <w:r>
        <w:t xml:space="preserve"> Singapore.</w:t>
      </w:r>
    </w:p>
    <w:p w:rsidR="008F462D" w:rsidRPr="00DE10B2" w:rsidRDefault="008F462D" w:rsidP="008F462D">
      <w:pPr>
        <w:spacing w:after="200" w:line="360" w:lineRule="auto"/>
      </w:pPr>
      <w:r>
        <w:rPr>
          <w:b/>
        </w:rPr>
        <w:br w:type="page"/>
      </w:r>
    </w:p>
    <w:p w:rsidR="00F83992" w:rsidRPr="008F462D" w:rsidRDefault="00F83992" w:rsidP="00F83992">
      <w:pPr>
        <w:spacing w:after="160" w:line="360" w:lineRule="auto"/>
      </w:pPr>
    </w:p>
    <w:p w:rsidR="00F83992" w:rsidRPr="00F83992" w:rsidRDefault="00F83992" w:rsidP="00F83992">
      <w:pPr>
        <w:spacing w:after="160" w:line="360" w:lineRule="auto"/>
        <w:jc w:val="center"/>
        <w:rPr>
          <w:b/>
          <w:sz w:val="32"/>
          <w:szCs w:val="32"/>
        </w:rPr>
      </w:pPr>
      <w:r w:rsidRPr="00F83992">
        <w:rPr>
          <w:b/>
          <w:sz w:val="32"/>
          <w:szCs w:val="32"/>
        </w:rPr>
        <w:t>Exposure Aggregation and XVA Calculation in Cross-Asset Model</w:t>
      </w:r>
    </w:p>
    <w:p w:rsidR="00F83992" w:rsidRDefault="00F83992" w:rsidP="00F83992">
      <w:pPr>
        <w:spacing w:after="160" w:line="360" w:lineRule="auto"/>
      </w:pPr>
    </w:p>
    <w:p w:rsidR="00F83992" w:rsidRDefault="00F83992" w:rsidP="00F83992">
      <w:pPr>
        <w:spacing w:after="160" w:line="360" w:lineRule="auto"/>
      </w:pPr>
    </w:p>
    <w:p w:rsidR="00F83992" w:rsidRPr="00F83992" w:rsidRDefault="00F83992" w:rsidP="00F83992">
      <w:pPr>
        <w:spacing w:after="160" w:line="360" w:lineRule="auto"/>
        <w:rPr>
          <w:b/>
          <w:sz w:val="28"/>
          <w:szCs w:val="28"/>
        </w:rPr>
      </w:pPr>
      <w:r w:rsidRPr="00F83992">
        <w:rPr>
          <w:b/>
          <w:sz w:val="28"/>
          <w:szCs w:val="28"/>
        </w:rPr>
        <w:t>Introduction</w:t>
      </w:r>
    </w:p>
    <w:p w:rsidR="00F83992" w:rsidRDefault="00F83992" w:rsidP="00F83992">
      <w:pPr>
        <w:spacing w:after="160" w:line="360" w:lineRule="auto"/>
      </w:pPr>
    </w:p>
    <w:p w:rsidR="00F83992" w:rsidRDefault="00F83992" w:rsidP="00D83552">
      <w:pPr>
        <w:pStyle w:val="ListParagraph"/>
        <w:numPr>
          <w:ilvl w:val="0"/>
          <w:numId w:val="91"/>
        </w:numPr>
        <w:spacing w:after="160" w:line="360" w:lineRule="auto"/>
      </w:pPr>
      <w:r w:rsidRPr="00F83992">
        <w:rPr>
          <w:u w:val="single"/>
        </w:rPr>
        <w:t>Exposure Aggregation/XVA Calculation Methodology</w:t>
      </w:r>
      <w:r>
        <w:t>: This section presents a general methodology for exposure aggregation and XVA calculation in the cross-asset CVA model framework.</w:t>
      </w:r>
    </w:p>
    <w:p w:rsidR="00F83992" w:rsidRDefault="00F83992" w:rsidP="00D83552">
      <w:pPr>
        <w:pStyle w:val="ListParagraph"/>
        <w:numPr>
          <w:ilvl w:val="0"/>
          <w:numId w:val="91"/>
        </w:numPr>
        <w:spacing w:after="160" w:line="360" w:lineRule="auto"/>
      </w:pPr>
      <w:r>
        <w:rPr>
          <w:u w:val="single"/>
        </w:rPr>
        <w:t>Cross Asset Counter Party Model</w:t>
      </w:r>
      <w:r w:rsidRPr="00F83992">
        <w:t>:</w:t>
      </w:r>
      <w:r>
        <w:t xml:space="preserve"> The cross-asset counter-party model prices X valuation adjustment (XVA) including credit valuation adjustment (CVA) and debt valuation adjustment (DVA) for multi-asset portfolios.</w:t>
      </w:r>
    </w:p>
    <w:p w:rsidR="00CA12B3" w:rsidRDefault="00CA12B3" w:rsidP="00D83552">
      <w:pPr>
        <w:pStyle w:val="ListParagraph"/>
        <w:numPr>
          <w:ilvl w:val="0"/>
          <w:numId w:val="91"/>
        </w:numPr>
        <w:spacing w:after="160" w:line="360" w:lineRule="auto"/>
      </w:pPr>
      <w:r>
        <w:rPr>
          <w:u w:val="single"/>
        </w:rPr>
        <w:t>Multi Stage Monte Carlo Simulations</w:t>
      </w:r>
      <w:r w:rsidRPr="00CA12B3">
        <w:t>:</w:t>
      </w:r>
      <w:r>
        <w:t xml:space="preserve"> The model is based on the Monte-Carlo simulation in five stages.</w:t>
      </w:r>
    </w:p>
    <w:p w:rsidR="00CA12B3" w:rsidRDefault="00CA12B3" w:rsidP="00D83552">
      <w:pPr>
        <w:pStyle w:val="ListParagraph"/>
        <w:numPr>
          <w:ilvl w:val="1"/>
          <w:numId w:val="91"/>
        </w:numPr>
        <w:spacing w:after="160" w:line="360" w:lineRule="auto"/>
      </w:pPr>
      <w:r>
        <w:t>Centralized Random Number Generation</w:t>
      </w:r>
    </w:p>
    <w:p w:rsidR="00CA12B3" w:rsidRDefault="00CA12B3" w:rsidP="00D83552">
      <w:pPr>
        <w:pStyle w:val="ListParagraph"/>
        <w:numPr>
          <w:ilvl w:val="1"/>
          <w:numId w:val="91"/>
        </w:numPr>
        <w:spacing w:after="160" w:line="360" w:lineRule="auto"/>
      </w:pPr>
      <w:r>
        <w:t>Market Data Simulation</w:t>
      </w:r>
    </w:p>
    <w:p w:rsidR="00CA12B3" w:rsidRDefault="00CA12B3" w:rsidP="00D83552">
      <w:pPr>
        <w:pStyle w:val="ListParagraph"/>
        <w:numPr>
          <w:ilvl w:val="1"/>
          <w:numId w:val="91"/>
        </w:numPr>
        <w:spacing w:after="160" w:line="360" w:lineRule="auto"/>
      </w:pPr>
      <w:r>
        <w:t>Trade Valuation</w:t>
      </w:r>
    </w:p>
    <w:p w:rsidR="00CA12B3" w:rsidRDefault="00CA12B3" w:rsidP="00D83552">
      <w:pPr>
        <w:pStyle w:val="ListParagraph"/>
        <w:numPr>
          <w:ilvl w:val="1"/>
          <w:numId w:val="91"/>
        </w:numPr>
        <w:spacing w:after="160" w:line="360" w:lineRule="auto"/>
      </w:pPr>
      <w:r>
        <w:t>Counter Party Level Aggregation</w:t>
      </w:r>
    </w:p>
    <w:p w:rsidR="00CA12B3" w:rsidRDefault="00CA12B3" w:rsidP="00D83552">
      <w:pPr>
        <w:pStyle w:val="ListParagraph"/>
        <w:numPr>
          <w:ilvl w:val="1"/>
          <w:numId w:val="91"/>
        </w:numPr>
        <w:spacing w:after="160" w:line="360" w:lineRule="auto"/>
      </w:pPr>
      <w:r>
        <w:t>XVA Calculation</w:t>
      </w:r>
    </w:p>
    <w:p w:rsidR="00CA12B3" w:rsidRDefault="00CA12B3" w:rsidP="00D83552">
      <w:pPr>
        <w:pStyle w:val="ListParagraph"/>
        <w:numPr>
          <w:ilvl w:val="0"/>
          <w:numId w:val="91"/>
        </w:numPr>
        <w:spacing w:after="160" w:line="360" w:lineRule="auto"/>
      </w:pPr>
      <w:r w:rsidRPr="00CA12B3">
        <w:rPr>
          <w:u w:val="single"/>
        </w:rPr>
        <w:t>Centralized Random Number Market Scenarios</w:t>
      </w:r>
      <w:r>
        <w:t>: The centralized random number generator generates all the random numbers for all the risk factors. The future market scenarios are generated for each model for each product category.</w:t>
      </w:r>
    </w:p>
    <w:p w:rsidR="00CA12B3" w:rsidRDefault="00CA12B3" w:rsidP="00D83552">
      <w:pPr>
        <w:pStyle w:val="ListParagraph"/>
        <w:numPr>
          <w:ilvl w:val="0"/>
          <w:numId w:val="91"/>
        </w:numPr>
        <w:spacing w:after="160" w:line="360" w:lineRule="auto"/>
      </w:pPr>
      <w:r>
        <w:rPr>
          <w:u w:val="single"/>
        </w:rPr>
        <w:t>Calculation of the Future Exposures</w:t>
      </w:r>
      <w:r w:rsidRPr="00CA12B3">
        <w:t>:</w:t>
      </w:r>
      <w:r>
        <w:t xml:space="preserve"> The trade values for the future time points are computed for the simulated market scenarios for the specific model in each category. The future exposure of the portfolio is aggregated from the trade level, and the probabilities of default are calculated from the hazard curves.</w:t>
      </w:r>
    </w:p>
    <w:p w:rsidR="00CA12B3" w:rsidRDefault="00CA12B3" w:rsidP="00D83552">
      <w:pPr>
        <w:pStyle w:val="ListParagraph"/>
        <w:numPr>
          <w:ilvl w:val="0"/>
          <w:numId w:val="91"/>
        </w:numPr>
        <w:spacing w:after="160" w:line="360" w:lineRule="auto"/>
      </w:pPr>
      <w:r>
        <w:rPr>
          <w:u w:val="single"/>
        </w:rPr>
        <w:lastRenderedPageBreak/>
        <w:t>Comprehensive Estimation of CVA/DVA</w:t>
      </w:r>
      <w:r w:rsidRPr="00CA12B3">
        <w:t>:</w:t>
      </w:r>
      <w:r>
        <w:t xml:space="preserve"> The CVA and the DVA can then be calculated from the expected future exposures, the probabilities of default, and the recovery rates. This model systematically handles wrong-way and right-way risks, cross-asset correlations, and cross-asset integration.</w:t>
      </w:r>
    </w:p>
    <w:p w:rsidR="00CA12B3" w:rsidRDefault="00CA12B3" w:rsidP="00D83552">
      <w:pPr>
        <w:pStyle w:val="ListParagraph"/>
        <w:numPr>
          <w:ilvl w:val="0"/>
          <w:numId w:val="91"/>
        </w:numPr>
        <w:spacing w:after="160" w:line="360" w:lineRule="auto"/>
      </w:pPr>
      <w:r>
        <w:rPr>
          <w:u w:val="single"/>
        </w:rPr>
        <w:t>Chapter Motivation, Scope, and Purpose</w:t>
      </w:r>
      <w:r w:rsidRPr="00CA12B3">
        <w:t>:</w:t>
      </w:r>
      <w:r>
        <w:t xml:space="preserve"> The general description of the cross-asset model can be found in a previous chapter. This chapter will present the methodology for future exposure aggregation and XVA calculation, specifically.</w:t>
      </w:r>
    </w:p>
    <w:p w:rsidR="00CA12B3" w:rsidRDefault="00CA12B3" w:rsidP="00CA12B3">
      <w:pPr>
        <w:spacing w:after="160" w:line="360" w:lineRule="auto"/>
      </w:pPr>
    </w:p>
    <w:p w:rsidR="00CA12B3" w:rsidRDefault="00CA12B3" w:rsidP="00CA12B3">
      <w:pPr>
        <w:spacing w:after="160" w:line="360" w:lineRule="auto"/>
      </w:pPr>
    </w:p>
    <w:p w:rsidR="00CA12B3" w:rsidRPr="000524F8" w:rsidRDefault="00CA12B3" w:rsidP="00CA12B3">
      <w:pPr>
        <w:spacing w:after="160" w:line="360" w:lineRule="auto"/>
        <w:rPr>
          <w:b/>
          <w:sz w:val="28"/>
          <w:szCs w:val="28"/>
        </w:rPr>
      </w:pPr>
      <w:r w:rsidRPr="000524F8">
        <w:rPr>
          <w:b/>
          <w:sz w:val="28"/>
          <w:szCs w:val="28"/>
        </w:rPr>
        <w:t>Netting and Aggregation</w:t>
      </w:r>
    </w:p>
    <w:p w:rsidR="00CA12B3" w:rsidRDefault="00CA12B3" w:rsidP="00CA12B3">
      <w:pPr>
        <w:spacing w:after="160" w:line="360" w:lineRule="auto"/>
      </w:pPr>
    </w:p>
    <w:p w:rsidR="00CA12B3" w:rsidRDefault="000524F8" w:rsidP="00D83552">
      <w:pPr>
        <w:pStyle w:val="ListParagraph"/>
        <w:numPr>
          <w:ilvl w:val="0"/>
          <w:numId w:val="92"/>
        </w:numPr>
        <w:spacing w:after="160" w:line="360" w:lineRule="auto"/>
      </w:pPr>
      <w:r w:rsidRPr="000524F8">
        <w:rPr>
          <w:u w:val="single"/>
        </w:rPr>
        <w:t>Netting Group vs. Collateral Group – Definition</w:t>
      </w:r>
      <w:r>
        <w:t>: In general, a counter party could contain multiple netting groups, and a netting group could contain multiple collateral groups. The collateral group contains clauses such as threshold, eligible collateral, and minimum transfer amount.</w:t>
      </w:r>
    </w:p>
    <w:p w:rsidR="000524F8" w:rsidRDefault="000524F8" w:rsidP="00D83552">
      <w:pPr>
        <w:pStyle w:val="ListParagraph"/>
        <w:numPr>
          <w:ilvl w:val="0"/>
          <w:numId w:val="92"/>
        </w:numPr>
        <w:spacing w:after="160" w:line="360" w:lineRule="auto"/>
      </w:pPr>
      <w:r>
        <w:rPr>
          <w:u w:val="single"/>
        </w:rPr>
        <w:t>Definition of the Uncollateralized Groups</w:t>
      </w:r>
      <w:r w:rsidRPr="000524F8">
        <w:t>:</w:t>
      </w:r>
      <w:r>
        <w:t xml:space="preserve"> The trades not covered by any collateralized group are called uncollateralized, or equivalently, belong to a special collateral group whose collateral amount is always zero.</w:t>
      </w:r>
    </w:p>
    <w:p w:rsidR="000524F8" w:rsidRDefault="000524F8" w:rsidP="00D83552">
      <w:pPr>
        <w:pStyle w:val="ListParagraph"/>
        <w:numPr>
          <w:ilvl w:val="0"/>
          <w:numId w:val="92"/>
        </w:numPr>
        <w:spacing w:after="160" w:line="360" w:lineRule="auto"/>
      </w:pPr>
      <w:r>
        <w:rPr>
          <w:u w:val="single"/>
        </w:rPr>
        <w:t>Contractually Specified Allowed Netting Types</w:t>
      </w:r>
      <w:r w:rsidRPr="000524F8">
        <w:t>:</w:t>
      </w:r>
      <w:r>
        <w:t xml:space="preserve"> Most agreements allow netting such that receivables and payables offset each other in the calculation of the exposure. This feature is called contractual netting. Other agreements disallow netting, and are called contractual non-netting. For contractual non-netting, each trade is treated as a netting group with a single trade. There is usually no collateral for contractual non-netting.</w:t>
      </w:r>
    </w:p>
    <w:p w:rsidR="000524F8" w:rsidRDefault="00866F93" w:rsidP="00D83552">
      <w:pPr>
        <w:pStyle w:val="ListParagraph"/>
        <w:numPr>
          <w:ilvl w:val="0"/>
          <w:numId w:val="92"/>
        </w:numPr>
        <w:spacing w:after="160" w:line="360" w:lineRule="auto"/>
      </w:pPr>
      <w:r w:rsidRPr="00BC350B">
        <w:rPr>
          <w:u w:val="single"/>
        </w:rPr>
        <w:t>Treatment of Non-enforceable Contractual Netting</w:t>
      </w:r>
      <w:r>
        <w:t xml:space="preserve">: In contractual netting, under some circumstances (for example, </w:t>
      </w:r>
      <w:r w:rsidR="00BC350B">
        <w:t>if the counter-party is domiciled in emerging markets), the netting is deemed non-enforceable, and no netting is applied in the calculation of the positive exposure. However, in the case of negative exposure, netting is always applied.</w:t>
      </w:r>
    </w:p>
    <w:p w:rsidR="00BC350B" w:rsidRDefault="00BC350B" w:rsidP="00D83552">
      <w:pPr>
        <w:pStyle w:val="ListParagraph"/>
        <w:numPr>
          <w:ilvl w:val="0"/>
          <w:numId w:val="92"/>
        </w:numPr>
        <w:spacing w:after="160" w:line="360" w:lineRule="auto"/>
      </w:pPr>
      <w:r w:rsidRPr="00BC350B">
        <w:rPr>
          <w:u w:val="single"/>
        </w:rPr>
        <w:lastRenderedPageBreak/>
        <w:t>Co</w:t>
      </w:r>
      <w:r>
        <w:rPr>
          <w:u w:val="single"/>
        </w:rPr>
        <w:t>n</w:t>
      </w:r>
      <w:r w:rsidRPr="00BC350B">
        <w:rPr>
          <w:u w:val="single"/>
        </w:rPr>
        <w:t>tractual Non-Netting Negative Exposures</w:t>
      </w:r>
      <w:r>
        <w:t>: For contractual non-netting counter-parties, for the purpose of being conservative, currently netting is applied in the calculation of negative exposures. This will be re-visited in the future.</w:t>
      </w:r>
    </w:p>
    <w:p w:rsidR="00BC350B" w:rsidRDefault="00BC350B" w:rsidP="00D83552">
      <w:pPr>
        <w:pStyle w:val="ListParagraph"/>
        <w:numPr>
          <w:ilvl w:val="0"/>
          <w:numId w:val="92"/>
        </w:numPr>
        <w:spacing w:after="160" w:line="360" w:lineRule="auto"/>
      </w:pPr>
      <w:r>
        <w:rPr>
          <w:u w:val="single"/>
        </w:rPr>
        <w:t>Cross Collateral Group Collateral Amount Calculation</w:t>
      </w:r>
      <w:r w:rsidRPr="00BC350B">
        <w:t>:</w:t>
      </w:r>
      <w:r>
        <w:t xml:space="preserve"> To calculate the exposure at the counter-party level, first the collateral amount for each collateral group is calculated, based on the values of all the trades within the collateral group and the CSA.</w:t>
      </w:r>
    </w:p>
    <w:p w:rsidR="00BC350B" w:rsidRDefault="00BC350B" w:rsidP="00D83552">
      <w:pPr>
        <w:pStyle w:val="ListParagraph"/>
        <w:numPr>
          <w:ilvl w:val="0"/>
          <w:numId w:val="92"/>
        </w:numPr>
        <w:spacing w:after="160" w:line="360" w:lineRule="auto"/>
      </w:pPr>
      <w:r>
        <w:rPr>
          <w:u w:val="single"/>
        </w:rPr>
        <w:t>Cross Netting Group Exposure Aggregation</w:t>
      </w:r>
      <w:r w:rsidRPr="00BC350B">
        <w:t>:</w:t>
      </w:r>
      <w:r>
        <w:t xml:space="preserve"> Then the exposure on the netting group level is calculated depending on the contractual netting and the netting enforceability. No netting is allowed across netting groups. In other words, each netting group should be treated similar to an individual counter-party. The results will be used to price the XVA in the next stage.</w:t>
      </w:r>
    </w:p>
    <w:p w:rsidR="00AC5375" w:rsidRDefault="00BC350B" w:rsidP="00D83552">
      <w:pPr>
        <w:pStyle w:val="ListParagraph"/>
        <w:numPr>
          <w:ilvl w:val="0"/>
          <w:numId w:val="92"/>
        </w:numPr>
        <w:spacing w:after="160" w:line="360" w:lineRule="auto"/>
      </w:pPr>
      <w:r>
        <w:rPr>
          <w:u w:val="single"/>
        </w:rPr>
        <w:t>Value across Collateral/Netting Groups</w:t>
      </w:r>
      <w:r w:rsidRPr="00BC350B">
        <w:t>:</w:t>
      </w:r>
      <w:r>
        <w:t xml:space="preserve"> Let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and</w:t>
      </w:r>
    </w:p>
    <w:p w:rsidR="00AC5375" w:rsidRDefault="00AC5375" w:rsidP="00AC5375">
      <w:pPr>
        <w:pStyle w:val="ListParagraph"/>
        <w:spacing w:after="160" w:line="360" w:lineRule="auto"/>
        <w:ind w:left="360"/>
        <w:rPr>
          <w:u w:val="single"/>
        </w:rPr>
      </w:pPr>
    </w:p>
    <w:p w:rsidR="00AC5375" w:rsidRDefault="005D6A21"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CPTY</m:t>
              </m:r>
            </m:sub>
          </m:sSub>
          <m:r>
            <w:rPr>
              <w:rFonts w:ascii="Cambria Math" w:hAnsi="Cambria Math"/>
            </w:rPr>
            <m:t>&gt;0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r>
        <w:t>and</w:t>
      </w:r>
    </w:p>
    <w:p w:rsidR="00AC5375" w:rsidRDefault="00AC5375" w:rsidP="00AC5375">
      <w:pPr>
        <w:pStyle w:val="ListParagraph"/>
        <w:spacing w:after="160" w:line="360" w:lineRule="auto"/>
        <w:ind w:left="360"/>
      </w:pPr>
    </w:p>
    <w:p w:rsidR="00AC5375" w:rsidRDefault="005D6A21"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BANK</m:t>
              </m:r>
            </m:sub>
          </m:sSub>
          <m:r>
            <w:rPr>
              <w:rFonts w:ascii="Cambria Math" w:hAnsi="Cambria Math"/>
            </w:rPr>
            <m:t>&lt;0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r>
        <w:t>be the effective</w:t>
      </w:r>
      <w:r w:rsidR="004719DA">
        <w:t xml:space="preserve"> collateral</w:t>
      </w:r>
      <w:r>
        <w:t xml:space="preserve"> thresholds for the counter-party and the bank, respectively.</w:t>
      </w:r>
      <w:r w:rsidR="004719DA">
        <w:t xml:space="preserve"> Then to total portfolio value at time </w:t>
      </w:r>
      <m:oMath>
        <m:r>
          <w:rPr>
            <w:rFonts w:ascii="Cambria Math" w:hAnsi="Cambria Math"/>
          </w:rPr>
          <m:t>t</m:t>
        </m:r>
      </m:oMath>
      <w:r w:rsidR="004719DA">
        <w:t xml:space="preserve"> in the netting group is</w:t>
      </w:r>
    </w:p>
    <w:p w:rsidR="00AC5375" w:rsidRDefault="00AC5375" w:rsidP="00AC5375">
      <w:pPr>
        <w:pStyle w:val="ListParagraph"/>
        <w:spacing w:after="160" w:line="360" w:lineRule="auto"/>
        <w:ind w:left="360"/>
      </w:pPr>
    </w:p>
    <w:p w:rsidR="00BC350B" w:rsidRPr="00AC5375" w:rsidRDefault="004719DA" w:rsidP="00AC5375">
      <w:pPr>
        <w:pStyle w:val="ListParagraph"/>
        <w:spacing w:after="16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ED51E8" w:rsidP="00D83552">
      <w:pPr>
        <w:pStyle w:val="ListParagraph"/>
        <w:numPr>
          <w:ilvl w:val="0"/>
          <w:numId w:val="92"/>
        </w:numPr>
        <w:spacing w:after="160" w:line="360" w:lineRule="auto"/>
      </w:pPr>
      <w:r>
        <w:rPr>
          <w:u w:val="single"/>
        </w:rPr>
        <w:t>Margin Period Collateral Amount Estimation</w:t>
      </w:r>
      <w:r>
        <w:t xml:space="preserve">: The collateral amount from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used for calculating the collateralized portfolio exposure at time </w:t>
      </w:r>
      <m:oMath>
        <m:r>
          <w:rPr>
            <w:rFonts w:ascii="Cambria Math" w:hAnsi="Cambria Math"/>
          </w:rPr>
          <m:t>t</m:t>
        </m:r>
      </m:oMath>
      <w:r>
        <w:t xml:space="preserve"> is calculated at time </w:t>
      </w:r>
      <m:oMath>
        <m:r>
          <w:rPr>
            <w:rFonts w:ascii="Cambria Math" w:hAnsi="Cambria Math"/>
          </w:rPr>
          <m:t>t-δ</m:t>
        </m:r>
      </m:oMath>
      <w:r>
        <w:t xml:space="preserve"> where </w:t>
      </w:r>
      <m:oMath>
        <m:r>
          <w:rPr>
            <w:rFonts w:ascii="Cambria Math" w:hAnsi="Cambria Math"/>
          </w:rPr>
          <m:t>δ</m:t>
        </m:r>
      </m:oMath>
      <w:r>
        <w:t xml:space="preserve"> is the default window with a default value of </w:t>
      </w:r>
      <m:oMath>
        <m:r>
          <w:rPr>
            <w:rFonts w:ascii="Cambria Math" w:hAnsi="Cambria Math"/>
          </w:rPr>
          <m:t>14</m:t>
        </m:r>
      </m:oMath>
      <w:r>
        <w:t xml:space="preserve"> calendar days.</w:t>
      </w:r>
    </w:p>
    <w:p w:rsidR="00AC5375" w:rsidRDefault="00AC5375" w:rsidP="00AC5375">
      <w:pPr>
        <w:pStyle w:val="ListParagraph"/>
        <w:spacing w:after="160" w:line="360" w:lineRule="auto"/>
        <w:ind w:left="360"/>
        <w:rPr>
          <w:u w:val="single"/>
        </w:rPr>
      </w:pPr>
    </w:p>
    <w:p w:rsidR="00ED51E8" w:rsidRPr="00AC5375" w:rsidRDefault="005D6A21"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CPTY</m:t>
                          </m:r>
                        </m:sub>
                      </m:sSub>
                    </m:e>
                  </m:d>
                </m:e>
                <m:sup>
                  <m:r>
                    <w:rPr>
                      <w:rFonts w:ascii="Cambria Math" w:hAnsi="Cambria Math"/>
                    </w:rPr>
                    <m:t>+</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BAN</m:t>
                          </m:r>
                          <m:r>
                            <w:rPr>
                              <w:rFonts w:ascii="Cambria Math" w:hAnsi="Cambria Math"/>
                            </w:rPr>
                            <m:t>K</m:t>
                          </m:r>
                        </m:sub>
                      </m:sSub>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FF0D1E" w:rsidP="00D83552">
      <w:pPr>
        <w:pStyle w:val="ListParagraph"/>
        <w:numPr>
          <w:ilvl w:val="0"/>
          <w:numId w:val="92"/>
        </w:numPr>
        <w:spacing w:after="160" w:line="360" w:lineRule="auto"/>
      </w:pPr>
      <w:r>
        <w:rPr>
          <w:u w:val="single"/>
        </w:rPr>
        <w:t>Explicitly Specified “Current Collateral Balance”</w:t>
      </w:r>
      <w:r>
        <w:t>: When the collateral date is before or on the valuation date, i.e.,</w:t>
      </w:r>
    </w:p>
    <w:p w:rsidR="00AC5375" w:rsidRDefault="00AC5375" w:rsidP="00AC5375">
      <w:pPr>
        <w:pStyle w:val="ListParagraph"/>
        <w:spacing w:after="160" w:line="360" w:lineRule="auto"/>
        <w:ind w:left="360"/>
        <w:rPr>
          <w:u w:val="single"/>
        </w:rPr>
      </w:pPr>
    </w:p>
    <w:p w:rsidR="00AC5375" w:rsidRDefault="00FF0D1E" w:rsidP="00AC5375">
      <w:pPr>
        <w:pStyle w:val="ListParagraph"/>
        <w:spacing w:after="160" w:line="360" w:lineRule="auto"/>
        <w:ind w:left="360"/>
      </w:pPr>
      <m:oMathPara>
        <m:oMath>
          <m:r>
            <w:rPr>
              <w:rFonts w:ascii="Cambria Math" w:hAnsi="Cambria Math"/>
            </w:rPr>
            <m:t>t-δ≤</m:t>
          </m:r>
          <m:sSub>
            <m:sSubPr>
              <m:ctrlPr>
                <w:rPr>
                  <w:rFonts w:ascii="Cambria Math" w:hAnsi="Cambria Math"/>
                  <w:i/>
                </w:rPr>
              </m:ctrlPr>
            </m:sSubPr>
            <m:e>
              <m:r>
                <w:rPr>
                  <w:rFonts w:ascii="Cambria Math" w:hAnsi="Cambria Math"/>
                </w:rPr>
                <m:t>T</m:t>
              </m:r>
            </m:e>
            <m:sub>
              <m:r>
                <w:rPr>
                  <w:rFonts w:ascii="Cambria Math" w:hAnsi="Cambria Math"/>
                </w:rPr>
                <m:t>VAL</m:t>
              </m:r>
            </m:sub>
          </m:sSub>
        </m:oMath>
      </m:oMathPara>
    </w:p>
    <w:p w:rsidR="00AC5375" w:rsidRDefault="00AC5375" w:rsidP="00AC5375">
      <w:pPr>
        <w:pStyle w:val="ListParagraph"/>
        <w:spacing w:after="160" w:line="360" w:lineRule="auto"/>
        <w:ind w:left="360"/>
      </w:pPr>
    </w:p>
    <w:p w:rsidR="00FF0D1E" w:rsidRDefault="00FF0D1E" w:rsidP="00AC5375">
      <w:pPr>
        <w:pStyle w:val="ListParagraph"/>
        <w:spacing w:after="160" w:line="360" w:lineRule="auto"/>
        <w:ind w:left="360"/>
      </w:pPr>
      <w:r>
        <w:t xml:space="preserve">and optional input – the “Current Collateral Balance” – can be used (this is the collateral balance at time </w:t>
      </w:r>
      <m:oMath>
        <m:r>
          <w:rPr>
            <w:rFonts w:ascii="Cambria Math" w:hAnsi="Cambria Math"/>
          </w:rPr>
          <m:t>0</m:t>
        </m:r>
      </m:oMath>
      <w:r>
        <w:t xml:space="preserve">). If this input is present, it will be used directly instead of calculating the time </w:t>
      </w:r>
      <m:oMath>
        <m:r>
          <w:rPr>
            <w:rFonts w:ascii="Cambria Math" w:hAnsi="Cambria Math"/>
          </w:rPr>
          <m:t>0</m:t>
        </m:r>
      </m:oMath>
      <w:r>
        <w:t xml:space="preserve"> collateral as shown above.</w:t>
      </w:r>
    </w:p>
    <w:p w:rsidR="00AC5375" w:rsidRDefault="00FF0D1E" w:rsidP="00D83552">
      <w:pPr>
        <w:pStyle w:val="ListParagraph"/>
        <w:numPr>
          <w:ilvl w:val="0"/>
          <w:numId w:val="92"/>
        </w:numPr>
        <w:spacing w:after="160" w:line="360" w:lineRule="auto"/>
      </w:pPr>
      <w:r>
        <w:rPr>
          <w:u w:val="single"/>
        </w:rPr>
        <w:t>Cash Flow Adjusted Collateralized Portfolio</w:t>
      </w:r>
      <w:r w:rsidRPr="00FF0D1E">
        <w:t>:</w:t>
      </w:r>
      <w:r>
        <w:t xml:space="preserve"> Then the collateralized portfolio amount including the cash-flow in the netting group at time </w:t>
      </w:r>
      <m:oMath>
        <m:r>
          <w:rPr>
            <w:rFonts w:ascii="Cambria Math" w:hAnsi="Cambria Math"/>
          </w:rPr>
          <m:t>t</m:t>
        </m:r>
      </m:oMath>
      <w:r>
        <w:t xml:space="preserve"> is</w:t>
      </w:r>
    </w:p>
    <w:p w:rsidR="00AC5375" w:rsidRDefault="00AC5375" w:rsidP="00AC5375">
      <w:pPr>
        <w:pStyle w:val="ListParagraph"/>
        <w:spacing w:after="160" w:line="360" w:lineRule="auto"/>
        <w:ind w:left="360"/>
        <w:rPr>
          <w:u w:val="single"/>
        </w:rPr>
      </w:pPr>
    </w:p>
    <w:p w:rsidR="00AC5375" w:rsidRDefault="005D6A21"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oMath>
      </m:oMathPara>
    </w:p>
    <w:p w:rsidR="00AC5375" w:rsidRDefault="00AC5375" w:rsidP="00AC5375">
      <w:pPr>
        <w:pStyle w:val="ListParagraph"/>
        <w:spacing w:after="160" w:line="360" w:lineRule="auto"/>
        <w:ind w:left="360"/>
      </w:pPr>
    </w:p>
    <w:p w:rsidR="00FF0D1E" w:rsidRDefault="00CB6000" w:rsidP="00AC5375">
      <w:pPr>
        <w:pStyle w:val="ListParagraph"/>
        <w:spacing w:after="160" w:line="360" w:lineRule="auto"/>
        <w:ind w:left="360"/>
      </w:pPr>
      <w:r>
        <w:t xml:space="preserve">Here the cash flow </w:t>
      </w:r>
      <m:oMath>
        <m:r>
          <w:rPr>
            <w:rFonts w:ascii="Cambria Math" w:hAnsi="Cambria Math"/>
          </w:rPr>
          <m:t>CF</m:t>
        </m:r>
        <m:d>
          <m:dPr>
            <m:ctrlPr>
              <w:rPr>
                <w:rFonts w:ascii="Cambria Math" w:hAnsi="Cambria Math"/>
                <w:i/>
              </w:rPr>
            </m:ctrlPr>
          </m:dPr>
          <m:e>
            <m:r>
              <w:rPr>
                <w:rFonts w:ascii="Cambria Math" w:hAnsi="Cambria Math"/>
              </w:rPr>
              <m:t>t</m:t>
            </m:r>
          </m:e>
        </m:d>
      </m:oMath>
      <w:r>
        <w:t xml:space="preserve"> is the cash flow in the time window </w:t>
      </w:r>
      <m:oMath>
        <m:d>
          <m:dPr>
            <m:endChr m:val=""/>
            <m:ctrlPr>
              <w:rPr>
                <w:rFonts w:ascii="Cambria Math" w:hAnsi="Cambria Math"/>
                <w:i/>
              </w:rPr>
            </m:ctrlPr>
          </m:dPr>
          <m:e>
            <m:r>
              <w:rPr>
                <w:rFonts w:ascii="Cambria Math" w:hAnsi="Cambria Math"/>
              </w:rPr>
              <m:t>t-δ</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inclusive of the payment at </w:t>
      </w:r>
      <m:oMath>
        <m:r>
          <w:rPr>
            <w:rFonts w:ascii="Cambria Math" w:hAnsi="Cambria Math"/>
          </w:rPr>
          <m:t>t</m:t>
        </m:r>
      </m:oMath>
      <w:r>
        <w:t xml:space="preserve"> and exclusive of the payment at </w:t>
      </w:r>
      <m:oMath>
        <m:r>
          <w:rPr>
            <w:rFonts w:ascii="Cambria Math" w:hAnsi="Cambria Math"/>
          </w:rPr>
          <m:t>t-δ</m:t>
        </m:r>
      </m:oMath>
    </w:p>
    <w:p w:rsidR="00AC5375" w:rsidRDefault="00CB6000" w:rsidP="00D83552">
      <w:pPr>
        <w:pStyle w:val="ListParagraph"/>
        <w:numPr>
          <w:ilvl w:val="0"/>
          <w:numId w:val="92"/>
        </w:numPr>
        <w:spacing w:after="160" w:line="360" w:lineRule="auto"/>
      </w:pPr>
      <w:r>
        <w:rPr>
          <w:u w:val="single"/>
        </w:rPr>
        <w:t>Contractual Netting Positive/Negative Exposures</w:t>
      </w:r>
      <w:r>
        <w:t>: For contractual netting, when netting is enforceable, the collateralized positive exposure and the negative exposure for the netting group is</w:t>
      </w:r>
    </w:p>
    <w:p w:rsidR="00AC5375" w:rsidRDefault="00AC5375" w:rsidP="00AC5375">
      <w:pPr>
        <w:pStyle w:val="ListParagraph"/>
        <w:spacing w:after="160" w:line="360" w:lineRule="auto"/>
        <w:ind w:left="360"/>
        <w:rPr>
          <w:u w:val="single"/>
        </w:rPr>
      </w:pPr>
    </w:p>
    <w:p w:rsidR="00AC5375" w:rsidRPr="00AC5375" w:rsidRDefault="002E5B03" w:rsidP="00AC5375">
      <w:pPr>
        <w:pStyle w:val="ListParagraph"/>
        <w:spacing w:after="160" w:line="360" w:lineRule="auto"/>
        <w:ind w:left="360"/>
      </w:pPr>
      <m:oMathPara>
        <m:oMath>
          <m:r>
            <w:rPr>
              <w:rFonts w:ascii="Cambria Math" w:hAnsi="Cambria Math"/>
            </w:rPr>
            <m:t>ColPositiveExp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CB6000" w:rsidRPr="00AC5375" w:rsidRDefault="002E5B03" w:rsidP="00AC5375">
      <w:pPr>
        <w:pStyle w:val="ListParagraph"/>
        <w:spacing w:after="160" w:line="360" w:lineRule="auto"/>
        <w:ind w:left="360"/>
      </w:pPr>
      <m:oMathPara>
        <m:oMath>
          <m:r>
            <w:rPr>
              <w:rFonts w:ascii="Cambria Math" w:hAnsi="Cambria Math"/>
            </w:rPr>
            <w:lastRenderedPageBreak/>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2E5B03" w:rsidP="00D83552">
      <w:pPr>
        <w:pStyle w:val="ListParagraph"/>
        <w:numPr>
          <w:ilvl w:val="0"/>
          <w:numId w:val="92"/>
        </w:numPr>
        <w:spacing w:after="160" w:line="360" w:lineRule="auto"/>
      </w:pPr>
      <w:r>
        <w:rPr>
          <w:u w:val="single"/>
        </w:rPr>
        <w:t>Contractual Unenforceable Netting Positive Exposure</w:t>
      </w:r>
      <w:r>
        <w:t>: When the netting is not enforceable, the collateralized positive exposure is calculated as</w:t>
      </w:r>
    </w:p>
    <w:p w:rsidR="00AC5375" w:rsidRDefault="00AC5375" w:rsidP="00AC5375">
      <w:pPr>
        <w:pStyle w:val="ListParagraph"/>
        <w:spacing w:after="160" w:line="360" w:lineRule="auto"/>
        <w:ind w:left="360"/>
        <w:rPr>
          <w:u w:val="single"/>
        </w:rPr>
      </w:pPr>
    </w:p>
    <w:p w:rsidR="002E5B03" w:rsidRPr="00AC5375" w:rsidRDefault="002E5B03" w:rsidP="00AC5375">
      <w:pPr>
        <w:pStyle w:val="ListParagraph"/>
        <w:spacing w:after="160" w:line="360" w:lineRule="auto"/>
        <w:ind w:left="360"/>
      </w:pPr>
      <m:oMathPara>
        <m:oMath>
          <m:r>
            <w:rPr>
              <w:rFonts w:ascii="Cambria Math" w:hAnsi="Cambria Math"/>
            </w:rPr>
            <m:t>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m:t>
                                          </m:r>
                                          <m:r>
                                            <w:rPr>
                                              <w:rFonts w:ascii="Cambria Math" w:hAnsi="Cambria Math"/>
                                            </w:rPr>
                                            <m:t>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e>
              </m:d>
            </m:e>
          </m:nary>
        </m:oMath>
      </m:oMathPara>
    </w:p>
    <w:p w:rsidR="00AC5375" w:rsidRDefault="00AC5375" w:rsidP="00AC5375">
      <w:pPr>
        <w:pStyle w:val="ListParagraph"/>
        <w:spacing w:after="160" w:line="360" w:lineRule="auto"/>
        <w:ind w:left="360"/>
      </w:pPr>
    </w:p>
    <w:p w:rsidR="00AC5375" w:rsidRDefault="002E5B03" w:rsidP="00D83552">
      <w:pPr>
        <w:pStyle w:val="ListParagraph"/>
        <w:numPr>
          <w:ilvl w:val="0"/>
          <w:numId w:val="92"/>
        </w:numPr>
        <w:spacing w:after="160" w:line="360" w:lineRule="auto"/>
      </w:pPr>
      <w:r>
        <w:rPr>
          <w:u w:val="single"/>
        </w:rPr>
        <w:t>Contractual Unenforceable Netting Negative Exposure</w:t>
      </w:r>
      <w:r>
        <w:t>: The collateralized negative exposure is still calculated as before, i.e.,</w:t>
      </w:r>
    </w:p>
    <w:p w:rsidR="00AC5375" w:rsidRDefault="00AC5375" w:rsidP="00AC5375">
      <w:pPr>
        <w:pStyle w:val="ListParagraph"/>
        <w:spacing w:after="160" w:line="360" w:lineRule="auto"/>
        <w:ind w:left="360"/>
        <w:rPr>
          <w:u w:val="single"/>
        </w:rPr>
      </w:pPr>
    </w:p>
    <w:p w:rsidR="002E5B03" w:rsidRPr="00AC5375" w:rsidRDefault="007B4B06"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9B4E7B" w:rsidP="00D83552">
      <w:pPr>
        <w:pStyle w:val="ListParagraph"/>
        <w:numPr>
          <w:ilvl w:val="0"/>
          <w:numId w:val="92"/>
        </w:numPr>
        <w:spacing w:after="160" w:line="360" w:lineRule="auto"/>
      </w:pPr>
      <w:r>
        <w:rPr>
          <w:u w:val="single"/>
        </w:rPr>
        <w:t>Contractual Non Netting Uncollateralized Exposures</w:t>
      </w:r>
      <w:r w:rsidRPr="009B4E7B">
        <w:t>:</w:t>
      </w:r>
      <w:r>
        <w:t xml:space="preserve"> For contractual non-netting, there is no collateral, and the positive and the negative exposures become</w:t>
      </w:r>
    </w:p>
    <w:p w:rsidR="00AC5375" w:rsidRDefault="00AC5375" w:rsidP="00AC5375">
      <w:pPr>
        <w:pStyle w:val="ListParagraph"/>
        <w:spacing w:after="160" w:line="360" w:lineRule="auto"/>
        <w:ind w:left="360"/>
        <w:rPr>
          <w:u w:val="single"/>
        </w:rPr>
      </w:pPr>
    </w:p>
    <w:p w:rsidR="00AC5375" w:rsidRDefault="009B4E7B" w:rsidP="00AC5375">
      <w:pPr>
        <w:pStyle w:val="ListParagraph"/>
        <w:spacing w:after="160" w:line="360" w:lineRule="auto"/>
        <w:ind w:left="360"/>
      </w:pPr>
      <m:oMathPara>
        <m:oMath>
          <m:r>
            <w:rPr>
              <w:rFonts w:ascii="Cambria Math" w:hAnsi="Cambria Math"/>
            </w:rPr>
            <m:t>UncolPositiveExp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9B4E7B" w:rsidRPr="00AC5375" w:rsidRDefault="009B4E7B" w:rsidP="00AC5375">
      <w:pPr>
        <w:pStyle w:val="ListParagraph"/>
        <w:spacing w:after="160" w:line="360" w:lineRule="auto"/>
        <w:ind w:left="360"/>
      </w:pPr>
      <m:oMathPara>
        <m:oMath>
          <m:r>
            <w:rPr>
              <w:rFonts w:ascii="Cambria Math" w:hAnsi="Cambria Math"/>
            </w:rPr>
            <m:t>UncolNegativeExp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9B4E7B" w:rsidP="00D83552">
      <w:pPr>
        <w:pStyle w:val="ListParagraph"/>
        <w:numPr>
          <w:ilvl w:val="0"/>
          <w:numId w:val="92"/>
        </w:numPr>
        <w:spacing w:after="160" w:line="360" w:lineRule="auto"/>
      </w:pPr>
      <w:r>
        <w:rPr>
          <w:u w:val="single"/>
        </w:rPr>
        <w:lastRenderedPageBreak/>
        <w:t>Collateralized Aggregation across Netting Groups</w:t>
      </w:r>
      <w:r>
        <w:t>: Finally, if a counter-party has multiple netting groups, then the collateralized positive exposure and the negative exposure for the counter-party are simply a summation across all the netting groups.</w:t>
      </w:r>
    </w:p>
    <w:p w:rsidR="00AC5375" w:rsidRDefault="00AC5375" w:rsidP="00AC5375">
      <w:pPr>
        <w:pStyle w:val="ListParagraph"/>
        <w:spacing w:after="160" w:line="360" w:lineRule="auto"/>
        <w:ind w:left="360"/>
        <w:rPr>
          <w:u w:val="single"/>
        </w:rPr>
      </w:pPr>
    </w:p>
    <w:p w:rsidR="00AC5375" w:rsidRDefault="005D6A21"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ColPositiveExp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ColPositiveExp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9B4E7B" w:rsidRPr="00AC5375" w:rsidRDefault="005D6A21"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ColNegativeExp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ColNegativeExp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920613" w:rsidP="00D83552">
      <w:pPr>
        <w:pStyle w:val="ListParagraph"/>
        <w:numPr>
          <w:ilvl w:val="0"/>
          <w:numId w:val="92"/>
        </w:numPr>
        <w:spacing w:after="160" w:line="360" w:lineRule="auto"/>
      </w:pPr>
      <w:r>
        <w:rPr>
          <w:u w:val="single"/>
        </w:rPr>
        <w:t>Uncollateralized Aggregation across Netting Groups</w:t>
      </w:r>
      <w:r>
        <w:t>: For uncollateralized exposures, the above formulas hold true, except that the collateral amounts are set to zero;</w:t>
      </w:r>
    </w:p>
    <w:p w:rsidR="00AC5375" w:rsidRDefault="00AC5375" w:rsidP="00AC5375">
      <w:pPr>
        <w:pStyle w:val="ListParagraph"/>
        <w:spacing w:after="160" w:line="360" w:lineRule="auto"/>
        <w:ind w:left="360"/>
        <w:rPr>
          <w:u w:val="single"/>
        </w:rPr>
      </w:pPr>
    </w:p>
    <w:p w:rsidR="00AC5375" w:rsidRDefault="005D6A21"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AC5375" w:rsidRDefault="00AC5375" w:rsidP="00AC5375">
      <w:pPr>
        <w:pStyle w:val="ListParagraph"/>
        <w:spacing w:after="160" w:line="360" w:lineRule="auto"/>
        <w:ind w:left="360"/>
      </w:pPr>
    </w:p>
    <w:p w:rsidR="00920613" w:rsidRDefault="00920613" w:rsidP="00AC5375">
      <w:pPr>
        <w:pStyle w:val="ListParagraph"/>
        <w:spacing w:after="160" w:line="360" w:lineRule="auto"/>
        <w:ind w:left="360"/>
      </w:pPr>
      <w:r>
        <w:t>After the netting set aggregation, six aggregated measures at each time and in each path are sown in the table below.</w:t>
      </w:r>
    </w:p>
    <w:p w:rsidR="00920613" w:rsidRDefault="00920613" w:rsidP="00D83552">
      <w:pPr>
        <w:pStyle w:val="ListParagraph"/>
        <w:numPr>
          <w:ilvl w:val="0"/>
          <w:numId w:val="92"/>
        </w:numPr>
        <w:spacing w:after="160" w:line="360" w:lineRule="auto"/>
      </w:pPr>
      <w:r>
        <w:rPr>
          <w:u w:val="single"/>
        </w:rPr>
        <w:t>Exposure Related Time/Path Measures</w:t>
      </w:r>
      <w:r w:rsidRPr="00920613">
        <w:t>:</w:t>
      </w:r>
      <w:r>
        <w:t xml:space="preserve"> </w:t>
      </w:r>
    </w:p>
    <w:tbl>
      <w:tblPr>
        <w:tblStyle w:val="TableGrid"/>
        <w:tblW w:w="0" w:type="auto"/>
        <w:tblLook w:val="04A0" w:firstRow="1" w:lastRow="0" w:firstColumn="1" w:lastColumn="0" w:noHBand="0" w:noVBand="1"/>
      </w:tblPr>
      <w:tblGrid>
        <w:gridCol w:w="738"/>
        <w:gridCol w:w="2610"/>
        <w:gridCol w:w="6228"/>
      </w:tblGrid>
      <w:tr w:rsidR="00920613" w:rsidTr="00920613">
        <w:tc>
          <w:tcPr>
            <w:tcW w:w="738" w:type="dxa"/>
            <w:vAlign w:val="center"/>
          </w:tcPr>
          <w:p w:rsidR="00920613" w:rsidRPr="00920613" w:rsidRDefault="00920613" w:rsidP="00920613">
            <w:pPr>
              <w:spacing w:after="160" w:line="360" w:lineRule="auto"/>
              <w:jc w:val="center"/>
              <w:rPr>
                <w:b/>
              </w:rPr>
            </w:pPr>
            <w:r>
              <w:rPr>
                <w:b/>
              </w:rPr>
              <w:t>#</w:t>
            </w:r>
          </w:p>
        </w:tc>
        <w:tc>
          <w:tcPr>
            <w:tcW w:w="2610" w:type="dxa"/>
            <w:vAlign w:val="center"/>
          </w:tcPr>
          <w:p w:rsidR="00920613" w:rsidRPr="00920613" w:rsidRDefault="00920613" w:rsidP="00920613">
            <w:pPr>
              <w:spacing w:after="160" w:line="360" w:lineRule="auto"/>
              <w:jc w:val="center"/>
              <w:rPr>
                <w:b/>
              </w:rPr>
            </w:pPr>
            <w:r>
              <w:rPr>
                <w:b/>
              </w:rPr>
              <w:t>Measure</w:t>
            </w:r>
          </w:p>
        </w:tc>
        <w:tc>
          <w:tcPr>
            <w:tcW w:w="6228" w:type="dxa"/>
            <w:vAlign w:val="center"/>
          </w:tcPr>
          <w:p w:rsidR="00920613" w:rsidRPr="00920613" w:rsidRDefault="00920613" w:rsidP="00920613">
            <w:pPr>
              <w:spacing w:after="160" w:line="360" w:lineRule="auto"/>
              <w:jc w:val="center"/>
              <w:rPr>
                <w:b/>
              </w:rPr>
            </w:pPr>
            <w:r>
              <w:rPr>
                <w:b/>
              </w:rPr>
              <w:t>Description</w:t>
            </w:r>
          </w:p>
        </w:tc>
      </w:tr>
      <w:tr w:rsidR="00920613" w:rsidTr="00920613">
        <w:tc>
          <w:tcPr>
            <w:tcW w:w="738" w:type="dxa"/>
            <w:vAlign w:val="center"/>
          </w:tcPr>
          <w:p w:rsidR="00920613" w:rsidRDefault="00920613" w:rsidP="00920613">
            <w:pPr>
              <w:spacing w:after="160" w:line="360" w:lineRule="auto"/>
              <w:jc w:val="center"/>
            </w:pPr>
            <w:r>
              <w:t>1</w:t>
            </w:r>
          </w:p>
        </w:tc>
        <w:tc>
          <w:tcPr>
            <w:tcW w:w="2610" w:type="dxa"/>
            <w:vAlign w:val="center"/>
          </w:tcPr>
          <w:p w:rsidR="00920613" w:rsidRDefault="00920613" w:rsidP="00920613">
            <w:pPr>
              <w:spacing w:after="160" w:line="360" w:lineRule="auto"/>
              <w:jc w:val="center"/>
            </w:pPr>
            <w:r>
              <w:t>Positive Exposure</w:t>
            </w:r>
          </w:p>
        </w:tc>
        <w:tc>
          <w:tcPr>
            <w:tcW w:w="6228" w:type="dxa"/>
            <w:vAlign w:val="center"/>
          </w:tcPr>
          <w:p w:rsidR="00920613" w:rsidRDefault="00920613" w:rsidP="00920613">
            <w:pPr>
              <w:spacing w:after="160" w:line="360" w:lineRule="auto"/>
              <w:jc w:val="center"/>
            </w:pPr>
            <w:r>
              <w:t>Positive Exposures of a Portfolio</w:t>
            </w:r>
          </w:p>
        </w:tc>
      </w:tr>
      <w:tr w:rsidR="00920613" w:rsidTr="00920613">
        <w:tc>
          <w:tcPr>
            <w:tcW w:w="738" w:type="dxa"/>
            <w:vAlign w:val="center"/>
          </w:tcPr>
          <w:p w:rsidR="00920613" w:rsidRDefault="00920613" w:rsidP="00920613">
            <w:pPr>
              <w:spacing w:after="160" w:line="360" w:lineRule="auto"/>
              <w:jc w:val="center"/>
            </w:pPr>
            <w:r>
              <w:t>2</w:t>
            </w:r>
          </w:p>
        </w:tc>
        <w:tc>
          <w:tcPr>
            <w:tcW w:w="2610" w:type="dxa"/>
            <w:vAlign w:val="center"/>
          </w:tcPr>
          <w:p w:rsidR="00920613" w:rsidRDefault="00920613" w:rsidP="00920613">
            <w:pPr>
              <w:spacing w:after="160" w:line="360" w:lineRule="auto"/>
              <w:jc w:val="center"/>
            </w:pPr>
            <w:r>
              <w:t>Collateralized Positive Exposure</w:t>
            </w:r>
          </w:p>
        </w:tc>
        <w:tc>
          <w:tcPr>
            <w:tcW w:w="6228" w:type="dxa"/>
            <w:vAlign w:val="center"/>
          </w:tcPr>
          <w:p w:rsidR="00920613" w:rsidRDefault="00920613" w:rsidP="00920613">
            <w:pPr>
              <w:spacing w:after="160" w:line="360" w:lineRule="auto"/>
              <w:jc w:val="center"/>
            </w:pPr>
            <w:r>
              <w:t>Positive Exposures of a Collateralized Portfolio</w:t>
            </w:r>
          </w:p>
        </w:tc>
      </w:tr>
      <w:tr w:rsidR="00920613" w:rsidTr="00920613">
        <w:tc>
          <w:tcPr>
            <w:tcW w:w="738" w:type="dxa"/>
            <w:vAlign w:val="center"/>
          </w:tcPr>
          <w:p w:rsidR="00920613" w:rsidRDefault="00920613" w:rsidP="00920613">
            <w:pPr>
              <w:spacing w:after="160" w:line="360" w:lineRule="auto"/>
              <w:jc w:val="center"/>
            </w:pPr>
            <w:r>
              <w:t>3</w:t>
            </w:r>
          </w:p>
        </w:tc>
        <w:tc>
          <w:tcPr>
            <w:tcW w:w="2610" w:type="dxa"/>
            <w:vAlign w:val="center"/>
          </w:tcPr>
          <w:p w:rsidR="00920613" w:rsidRDefault="00920613" w:rsidP="00920613">
            <w:pPr>
              <w:spacing w:after="160" w:line="360" w:lineRule="auto"/>
              <w:jc w:val="center"/>
            </w:pPr>
            <w:r>
              <w:t>Negative Exposure</w:t>
            </w:r>
          </w:p>
        </w:tc>
        <w:tc>
          <w:tcPr>
            <w:tcW w:w="6228" w:type="dxa"/>
            <w:vAlign w:val="center"/>
          </w:tcPr>
          <w:p w:rsidR="00920613" w:rsidRDefault="00920613" w:rsidP="00C84E86">
            <w:pPr>
              <w:spacing w:after="160" w:line="360" w:lineRule="auto"/>
              <w:jc w:val="center"/>
            </w:pPr>
            <w:r>
              <w:t>Negative Exposures of a Portfolio</w:t>
            </w:r>
          </w:p>
        </w:tc>
      </w:tr>
      <w:tr w:rsidR="00920613" w:rsidTr="00920613">
        <w:tc>
          <w:tcPr>
            <w:tcW w:w="738" w:type="dxa"/>
            <w:vAlign w:val="center"/>
          </w:tcPr>
          <w:p w:rsidR="00920613" w:rsidRDefault="00920613" w:rsidP="00920613">
            <w:pPr>
              <w:spacing w:after="160" w:line="360" w:lineRule="auto"/>
              <w:jc w:val="center"/>
            </w:pPr>
            <w:r>
              <w:t>4</w:t>
            </w:r>
          </w:p>
        </w:tc>
        <w:tc>
          <w:tcPr>
            <w:tcW w:w="2610" w:type="dxa"/>
            <w:vAlign w:val="center"/>
          </w:tcPr>
          <w:p w:rsidR="00920613" w:rsidRDefault="00920613" w:rsidP="00920613">
            <w:pPr>
              <w:spacing w:after="160" w:line="360" w:lineRule="auto"/>
              <w:jc w:val="center"/>
            </w:pPr>
            <w:r>
              <w:t>Collateralized Negative Exposure</w:t>
            </w:r>
          </w:p>
        </w:tc>
        <w:tc>
          <w:tcPr>
            <w:tcW w:w="6228" w:type="dxa"/>
            <w:vAlign w:val="center"/>
          </w:tcPr>
          <w:p w:rsidR="00920613" w:rsidRDefault="00920613" w:rsidP="00C84E86">
            <w:pPr>
              <w:spacing w:after="160" w:line="360" w:lineRule="auto"/>
              <w:jc w:val="center"/>
            </w:pPr>
            <w:r>
              <w:t>Negative Exposures of a Collateralized Portfolio</w:t>
            </w:r>
          </w:p>
        </w:tc>
      </w:tr>
      <w:tr w:rsidR="00920613" w:rsidTr="00920613">
        <w:tc>
          <w:tcPr>
            <w:tcW w:w="738" w:type="dxa"/>
            <w:vAlign w:val="center"/>
          </w:tcPr>
          <w:p w:rsidR="00920613" w:rsidRDefault="00920613" w:rsidP="00920613">
            <w:pPr>
              <w:spacing w:after="160" w:line="360" w:lineRule="auto"/>
              <w:jc w:val="center"/>
            </w:pPr>
            <w:r>
              <w:t>5</w:t>
            </w:r>
          </w:p>
        </w:tc>
        <w:tc>
          <w:tcPr>
            <w:tcW w:w="2610" w:type="dxa"/>
            <w:vAlign w:val="center"/>
          </w:tcPr>
          <w:p w:rsidR="00920613" w:rsidRDefault="00920613" w:rsidP="00920613">
            <w:pPr>
              <w:spacing w:after="160" w:line="360" w:lineRule="auto"/>
              <w:jc w:val="center"/>
            </w:pPr>
            <w:r>
              <w:t>Collateral Amount</w:t>
            </w:r>
          </w:p>
        </w:tc>
        <w:tc>
          <w:tcPr>
            <w:tcW w:w="6228" w:type="dxa"/>
            <w:vAlign w:val="center"/>
          </w:tcPr>
          <w:p w:rsidR="00920613" w:rsidRDefault="00920613" w:rsidP="00920613">
            <w:pPr>
              <w:spacing w:after="160" w:line="360" w:lineRule="auto"/>
              <w:jc w:val="center"/>
            </w:pPr>
            <w:r>
              <w:t>Collateral Amounts</w:t>
            </w:r>
          </w:p>
        </w:tc>
      </w:tr>
      <w:tr w:rsidR="00920613" w:rsidTr="00920613">
        <w:tc>
          <w:tcPr>
            <w:tcW w:w="738" w:type="dxa"/>
            <w:vAlign w:val="center"/>
          </w:tcPr>
          <w:p w:rsidR="00920613" w:rsidRDefault="00920613" w:rsidP="00920613">
            <w:pPr>
              <w:spacing w:after="160" w:line="360" w:lineRule="auto"/>
              <w:jc w:val="center"/>
            </w:pPr>
            <w:r>
              <w:t>6</w:t>
            </w:r>
          </w:p>
        </w:tc>
        <w:tc>
          <w:tcPr>
            <w:tcW w:w="2610" w:type="dxa"/>
            <w:vAlign w:val="center"/>
          </w:tcPr>
          <w:p w:rsidR="00920613" w:rsidRDefault="00920613" w:rsidP="00920613">
            <w:pPr>
              <w:spacing w:after="160" w:line="360" w:lineRule="auto"/>
              <w:jc w:val="center"/>
            </w:pPr>
            <w:r>
              <w:t>Cash Flow</w:t>
            </w:r>
          </w:p>
        </w:tc>
        <w:tc>
          <w:tcPr>
            <w:tcW w:w="6228" w:type="dxa"/>
            <w:vAlign w:val="center"/>
          </w:tcPr>
          <w:p w:rsidR="00920613" w:rsidRDefault="00920613" w:rsidP="00920613">
            <w:pPr>
              <w:spacing w:after="160" w:line="360" w:lineRule="auto"/>
              <w:jc w:val="center"/>
            </w:pPr>
            <w:r>
              <w:t>Cash Flow Amounts</w:t>
            </w:r>
          </w:p>
        </w:tc>
      </w:tr>
    </w:tbl>
    <w:p w:rsidR="00920613" w:rsidRDefault="00920613" w:rsidP="00920613">
      <w:pPr>
        <w:spacing w:after="160" w:line="360" w:lineRule="auto"/>
      </w:pPr>
    </w:p>
    <w:p w:rsidR="00486537" w:rsidRDefault="00486537" w:rsidP="00D83552">
      <w:pPr>
        <w:pStyle w:val="ListParagraph"/>
        <w:numPr>
          <w:ilvl w:val="0"/>
          <w:numId w:val="92"/>
        </w:numPr>
        <w:spacing w:after="160" w:line="360" w:lineRule="auto"/>
      </w:pPr>
      <w:r>
        <w:rPr>
          <w:u w:val="single"/>
        </w:rPr>
        <w:t>Aggregator Inputs - Counter Party Information</w:t>
      </w:r>
      <w:r w:rsidRPr="00920613">
        <w:t>:</w:t>
      </w:r>
      <w:r>
        <w:t xml:space="preserve"> Counter Party Reference Data including netting groups, collateral groups, threshold, minimum transfer amount, independent amount, current collateral balance, contractual netting flag, netting enforceability flag, and trade ID in each collateral group.</w:t>
      </w:r>
    </w:p>
    <w:p w:rsidR="00486537" w:rsidRDefault="00486537" w:rsidP="00D83552">
      <w:pPr>
        <w:pStyle w:val="ListParagraph"/>
        <w:numPr>
          <w:ilvl w:val="0"/>
          <w:numId w:val="92"/>
        </w:numPr>
        <w:spacing w:after="160" w:line="360" w:lineRule="auto"/>
      </w:pPr>
      <w:r>
        <w:rPr>
          <w:u w:val="single"/>
        </w:rPr>
        <w:t>Aggregator Inputs - Default Window Settings</w:t>
      </w:r>
      <w:r w:rsidRPr="00486537">
        <w:t>:</w:t>
      </w:r>
    </w:p>
    <w:p w:rsidR="00486537" w:rsidRDefault="00486537" w:rsidP="00D83552">
      <w:pPr>
        <w:pStyle w:val="ListParagraph"/>
        <w:numPr>
          <w:ilvl w:val="1"/>
          <w:numId w:val="92"/>
        </w:numPr>
        <w:spacing w:after="160" w:line="360" w:lineRule="auto"/>
      </w:pPr>
      <w:r>
        <w:t>Counter Party Default Window =&gt; The counter-party’s default window. 2 weeks as a default value (default is 14.0)</w:t>
      </w:r>
    </w:p>
    <w:p w:rsidR="00486537" w:rsidRDefault="00486537" w:rsidP="00D83552">
      <w:pPr>
        <w:pStyle w:val="ListParagraph"/>
        <w:numPr>
          <w:ilvl w:val="1"/>
          <w:numId w:val="92"/>
        </w:numPr>
        <w:spacing w:after="160" w:line="360" w:lineRule="auto"/>
      </w:pPr>
      <w:r>
        <w:t>Bank Default Window =&gt; The bank’s default window. The default window is used as an indicator only to trigger the counter party window == the bank default window.</w:t>
      </w:r>
    </w:p>
    <w:p w:rsidR="00486537" w:rsidRDefault="00486537" w:rsidP="00D83552">
      <w:pPr>
        <w:pStyle w:val="ListParagraph"/>
        <w:numPr>
          <w:ilvl w:val="0"/>
          <w:numId w:val="92"/>
        </w:numPr>
        <w:spacing w:after="160" w:line="360" w:lineRule="auto"/>
      </w:pPr>
      <w:r w:rsidRPr="00486537">
        <w:rPr>
          <w:u w:val="single"/>
        </w:rPr>
        <w:t>Aggregator Inputs MPoR Estimation Settings</w:t>
      </w:r>
      <w:r>
        <w:t>:</w:t>
      </w:r>
    </w:p>
    <w:p w:rsidR="00486537" w:rsidRDefault="00486537" w:rsidP="00D83552">
      <w:pPr>
        <w:pStyle w:val="ListParagraph"/>
        <w:numPr>
          <w:ilvl w:val="1"/>
          <w:numId w:val="92"/>
        </w:numPr>
        <w:spacing w:after="160" w:line="360" w:lineRule="auto"/>
      </w:pPr>
      <w:r>
        <w:t>Margin Period =&gt; Margin Call Frequency; Daily Margin as Default Value; Default is 1.0</w:t>
      </w:r>
    </w:p>
    <w:p w:rsidR="00486537" w:rsidRDefault="00486537" w:rsidP="00D83552">
      <w:pPr>
        <w:pStyle w:val="ListParagraph"/>
        <w:numPr>
          <w:ilvl w:val="1"/>
          <w:numId w:val="92"/>
        </w:numPr>
        <w:spacing w:after="160" w:line="360" w:lineRule="auto"/>
      </w:pPr>
      <w:r>
        <w:t>MPoRInterpType =&gt; Portfolio Value Interpolation Type when calculating MPoR. Valid values currently are: LINEAR, SQRT_T, and BBRIDGE. BBRIDGE is set as default.</w:t>
      </w:r>
    </w:p>
    <w:p w:rsidR="00486537" w:rsidRDefault="00486537" w:rsidP="00486537">
      <w:pPr>
        <w:spacing w:after="160" w:line="360" w:lineRule="auto"/>
      </w:pPr>
    </w:p>
    <w:p w:rsidR="00486537" w:rsidRDefault="00486537" w:rsidP="00486537">
      <w:pPr>
        <w:spacing w:after="160" w:line="360" w:lineRule="auto"/>
      </w:pPr>
    </w:p>
    <w:p w:rsidR="00486537" w:rsidRPr="00AC5375" w:rsidRDefault="00486537" w:rsidP="00486537">
      <w:pPr>
        <w:spacing w:after="160" w:line="360" w:lineRule="auto"/>
        <w:rPr>
          <w:b/>
          <w:sz w:val="28"/>
          <w:szCs w:val="28"/>
        </w:rPr>
      </w:pPr>
      <w:r w:rsidRPr="00AC5375">
        <w:rPr>
          <w:b/>
          <w:sz w:val="28"/>
          <w:szCs w:val="28"/>
        </w:rPr>
        <w:t>Aggregation for Trades Priced in Proxy Models</w:t>
      </w:r>
    </w:p>
    <w:p w:rsidR="00486537" w:rsidRDefault="00486537" w:rsidP="00486537">
      <w:pPr>
        <w:spacing w:after="160" w:line="360" w:lineRule="auto"/>
      </w:pPr>
    </w:p>
    <w:p w:rsidR="00486537" w:rsidRDefault="00486537" w:rsidP="00D83552">
      <w:pPr>
        <w:pStyle w:val="ListParagraph"/>
        <w:numPr>
          <w:ilvl w:val="0"/>
          <w:numId w:val="93"/>
        </w:numPr>
        <w:spacing w:after="160" w:line="360" w:lineRule="auto"/>
      </w:pPr>
      <w:r w:rsidRPr="00AC5375">
        <w:rPr>
          <w:u w:val="single"/>
        </w:rPr>
        <w:t>User-Specified Netting/Collateral Configuration</w:t>
      </w:r>
      <w:r>
        <w:t xml:space="preserve">: </w:t>
      </w:r>
      <w:r w:rsidR="00AC5375">
        <w:t>For trades priced from proxy models, one can use different aggregation methods. This example starts with 12 trades in one netting group and across two collateral groups as shown in the table below.</w:t>
      </w:r>
    </w:p>
    <w:tbl>
      <w:tblPr>
        <w:tblStyle w:val="TableGrid"/>
        <w:tblW w:w="0" w:type="auto"/>
        <w:tblLook w:val="04A0" w:firstRow="1" w:lastRow="0" w:firstColumn="1" w:lastColumn="0" w:noHBand="0" w:noVBand="1"/>
      </w:tblPr>
      <w:tblGrid>
        <w:gridCol w:w="1278"/>
        <w:gridCol w:w="2250"/>
        <w:gridCol w:w="2880"/>
        <w:gridCol w:w="3168"/>
      </w:tblGrid>
      <w:tr w:rsidR="00AC5375" w:rsidTr="00AC5375">
        <w:tc>
          <w:tcPr>
            <w:tcW w:w="1278" w:type="dxa"/>
            <w:vAlign w:val="center"/>
          </w:tcPr>
          <w:p w:rsidR="00AC5375" w:rsidRPr="00AC5375" w:rsidRDefault="00AC5375" w:rsidP="00AC5375">
            <w:pPr>
              <w:spacing w:after="160" w:line="360" w:lineRule="auto"/>
              <w:jc w:val="center"/>
              <w:rPr>
                <w:b/>
              </w:rPr>
            </w:pPr>
            <w:r>
              <w:rPr>
                <w:b/>
              </w:rPr>
              <w:t>Trade ID</w:t>
            </w:r>
          </w:p>
        </w:tc>
        <w:tc>
          <w:tcPr>
            <w:tcW w:w="2250" w:type="dxa"/>
            <w:vAlign w:val="center"/>
          </w:tcPr>
          <w:p w:rsidR="00AC5375" w:rsidRPr="00AC5375" w:rsidRDefault="00AC5375" w:rsidP="00AC5375">
            <w:pPr>
              <w:spacing w:after="160" w:line="360" w:lineRule="auto"/>
              <w:jc w:val="center"/>
              <w:rPr>
                <w:b/>
              </w:rPr>
            </w:pPr>
            <w:r>
              <w:rPr>
                <w:b/>
              </w:rPr>
              <w:t>Collateral Group</w:t>
            </w:r>
          </w:p>
        </w:tc>
        <w:tc>
          <w:tcPr>
            <w:tcW w:w="2880" w:type="dxa"/>
            <w:vAlign w:val="center"/>
          </w:tcPr>
          <w:p w:rsidR="00AC5375" w:rsidRPr="00AC5375" w:rsidRDefault="00AC5375" w:rsidP="00AC5375">
            <w:pPr>
              <w:spacing w:after="160" w:line="360" w:lineRule="auto"/>
              <w:jc w:val="center"/>
              <w:rPr>
                <w:b/>
              </w:rPr>
            </w:pPr>
            <w:r>
              <w:rPr>
                <w:b/>
              </w:rPr>
              <w:t>Aggregation Type</w:t>
            </w:r>
          </w:p>
        </w:tc>
        <w:tc>
          <w:tcPr>
            <w:tcW w:w="3168" w:type="dxa"/>
            <w:vAlign w:val="center"/>
          </w:tcPr>
          <w:p w:rsidR="00AC5375" w:rsidRPr="00AC5375" w:rsidRDefault="00AC5375" w:rsidP="00AC5375">
            <w:pPr>
              <w:spacing w:after="160" w:line="360" w:lineRule="auto"/>
              <w:jc w:val="center"/>
              <w:rPr>
                <w:b/>
              </w:rPr>
            </w:pPr>
            <w:r>
              <w:rPr>
                <w:b/>
              </w:rPr>
              <w:t>Netting Group (User Specified)</w:t>
            </w:r>
          </w:p>
        </w:tc>
      </w:tr>
      <w:tr w:rsidR="00AC5375" w:rsidTr="00AC5375">
        <w:tc>
          <w:tcPr>
            <w:tcW w:w="1278" w:type="dxa"/>
            <w:vAlign w:val="center"/>
          </w:tcPr>
          <w:p w:rsidR="00AC5375" w:rsidRDefault="00AC5375" w:rsidP="00AC5375">
            <w:pPr>
              <w:spacing w:after="160" w:line="360" w:lineRule="auto"/>
              <w:jc w:val="center"/>
            </w:pPr>
            <w:r>
              <w:t>1</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lastRenderedPageBreak/>
              <w:t>2</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3</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4</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5</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6</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7</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8</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9</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10</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11</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12</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bl>
    <w:p w:rsidR="00AC5375" w:rsidRDefault="00AC5375" w:rsidP="00AC5375">
      <w:pPr>
        <w:spacing w:after="160" w:line="360" w:lineRule="auto"/>
      </w:pPr>
    </w:p>
    <w:p w:rsidR="008A18B1" w:rsidRDefault="008A18B1" w:rsidP="00D83552">
      <w:pPr>
        <w:pStyle w:val="ListParagraph"/>
        <w:numPr>
          <w:ilvl w:val="0"/>
          <w:numId w:val="93"/>
        </w:numPr>
        <w:spacing w:after="160" w:line="360" w:lineRule="auto"/>
      </w:pPr>
      <w:r>
        <w:rPr>
          <w:u w:val="single"/>
        </w:rPr>
        <w:t>Method #1 – Netting/Collateral Groups</w:t>
      </w:r>
      <w:r>
        <w:t>: This section considers three proposals to handle trades with proxy models. The first method is to separate each trade with a proxy aggregation type into a final netting group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8A18B1">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lastRenderedPageBreak/>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6</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7</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8</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9</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D83552">
      <w:pPr>
        <w:pStyle w:val="ListParagraph"/>
        <w:numPr>
          <w:ilvl w:val="0"/>
          <w:numId w:val="93"/>
        </w:numPr>
        <w:spacing w:after="160" w:line="360" w:lineRule="auto"/>
      </w:pPr>
      <w:r>
        <w:rPr>
          <w:u w:val="single"/>
        </w:rPr>
        <w:t>Method #2 – Netting/Collateral Groups</w:t>
      </w:r>
      <w:r>
        <w:t>: The second method is to group trades with different aggregation types in each collateral group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lastRenderedPageBreak/>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D83552">
      <w:pPr>
        <w:pStyle w:val="ListParagraph"/>
        <w:numPr>
          <w:ilvl w:val="0"/>
          <w:numId w:val="93"/>
        </w:numPr>
        <w:spacing w:after="160" w:line="360" w:lineRule="auto"/>
      </w:pPr>
      <w:r>
        <w:rPr>
          <w:u w:val="single"/>
        </w:rPr>
        <w:t>Method #3 – Netting/Collateral Groups</w:t>
      </w:r>
      <w:r>
        <w:t>: The third method is to group trades with different aggregation types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C84E86" w:rsidRDefault="00C84E86" w:rsidP="00F83992">
      <w:pPr>
        <w:spacing w:after="160" w:line="360" w:lineRule="auto"/>
      </w:pPr>
    </w:p>
    <w:p w:rsidR="00C84E86" w:rsidRPr="00E176E4" w:rsidRDefault="00C84E86" w:rsidP="00F83992">
      <w:pPr>
        <w:spacing w:after="160" w:line="360" w:lineRule="auto"/>
        <w:rPr>
          <w:b/>
          <w:sz w:val="28"/>
          <w:szCs w:val="28"/>
        </w:rPr>
      </w:pPr>
      <w:r w:rsidRPr="00E176E4">
        <w:rPr>
          <w:b/>
          <w:sz w:val="28"/>
          <w:szCs w:val="28"/>
        </w:rPr>
        <w:t>Three Point</w:t>
      </w:r>
      <w:r w:rsidR="00E176E4" w:rsidRPr="00E176E4">
        <w:rPr>
          <w:b/>
          <w:sz w:val="28"/>
          <w:szCs w:val="28"/>
        </w:rPr>
        <w:t>s</w:t>
      </w:r>
      <w:r w:rsidRPr="00E176E4">
        <w:rPr>
          <w:b/>
          <w:sz w:val="28"/>
          <w:szCs w:val="28"/>
        </w:rPr>
        <w:t xml:space="preserve"> Brownian Bridge Interpolation</w:t>
      </w:r>
    </w:p>
    <w:p w:rsidR="00C84E86" w:rsidRDefault="00C84E86" w:rsidP="00F83992">
      <w:pPr>
        <w:spacing w:after="160" w:line="360" w:lineRule="auto"/>
      </w:pPr>
    </w:p>
    <w:p w:rsidR="00C84E86" w:rsidRDefault="00C84E86" w:rsidP="00D83552">
      <w:pPr>
        <w:pStyle w:val="ListParagraph"/>
        <w:numPr>
          <w:ilvl w:val="0"/>
          <w:numId w:val="94"/>
        </w:numPr>
        <w:spacing w:after="160" w:line="360" w:lineRule="auto"/>
      </w:pPr>
      <w:r w:rsidRPr="00E176E4">
        <w:rPr>
          <w:u w:val="single"/>
        </w:rPr>
        <w:t>Intermediate Broken Date Exposure Calculation</w:t>
      </w:r>
      <w:r>
        <w:t>: When calculating the margin period of risk, on each exposure date, one needs to find</w:t>
      </w:r>
      <w:r w:rsidR="00E176E4">
        <w:t xml:space="preserve"> a trade value </w:t>
      </w:r>
      <m:oMath>
        <m:r>
          <w:rPr>
            <w:rFonts w:ascii="Cambria Math" w:hAnsi="Cambria Math"/>
          </w:rPr>
          <m:t>δ</m:t>
        </m:r>
      </m:oMath>
      <w:r w:rsidR="00E176E4">
        <w:t xml:space="preserve"> days before the exposure date, where </w:t>
      </w:r>
      <m:oMath>
        <m:r>
          <w:rPr>
            <w:rFonts w:ascii="Cambria Math" w:hAnsi="Cambria Math"/>
          </w:rPr>
          <m:t>δ</m:t>
        </m:r>
      </m:oMath>
      <w:r w:rsidR="00E176E4">
        <w:t xml:space="preserve"> is the default window with a default value of </w:t>
      </w:r>
      <m:oMath>
        <m:r>
          <w:rPr>
            <w:rFonts w:ascii="Cambria Math" w:hAnsi="Cambria Math"/>
          </w:rPr>
          <m:t>14</m:t>
        </m:r>
      </m:oMath>
      <w:r w:rsidR="00E176E4">
        <w:t xml:space="preserve"> calendar days.</w:t>
      </w:r>
    </w:p>
    <w:p w:rsidR="00E176E4" w:rsidRDefault="00E176E4" w:rsidP="00D83552">
      <w:pPr>
        <w:pStyle w:val="ListParagraph"/>
        <w:numPr>
          <w:ilvl w:val="0"/>
          <w:numId w:val="94"/>
        </w:numPr>
        <w:spacing w:after="160" w:line="360" w:lineRule="auto"/>
      </w:pPr>
      <w:r>
        <w:rPr>
          <w:u w:val="single"/>
        </w:rPr>
        <w:t>Brownian Bridge Based Exposure Interpolation</w:t>
      </w:r>
      <w:r w:rsidRPr="00E176E4">
        <w:t>:</w:t>
      </w:r>
      <w:r>
        <w:t xml:space="preserve"> The trade value on that date may not be available from simulation. In this case on needs an interpolation method to interpolate the trade values from the neighboring simulation dates. This chapter uses the three point Brownian Bridge method – it is described as follows.</w:t>
      </w:r>
    </w:p>
    <w:p w:rsidR="00E37E86" w:rsidRDefault="00042BF8" w:rsidP="00D83552">
      <w:pPr>
        <w:pStyle w:val="ListParagraph"/>
        <w:numPr>
          <w:ilvl w:val="0"/>
          <w:numId w:val="94"/>
        </w:numPr>
        <w:spacing w:after="160" w:line="360" w:lineRule="auto"/>
      </w:pPr>
      <w:r>
        <w:rPr>
          <w:u w:val="single"/>
        </w:rPr>
        <w:t>Brownian Bridge - The Grid Points</w:t>
      </w:r>
      <w:r w:rsidRPr="00042BF8">
        <w:t>:</w:t>
      </w:r>
      <w:r>
        <w:t xml:space="preserve"> Given the values on three dates </w:t>
      </w:r>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e>
            </m:d>
          </m:e>
        </m:d>
      </m:oMath>
      <w:r w:rsidR="000F3195">
        <w:t xml:space="preserve"> the intention is to interpolate the value on date </w:t>
      </w:r>
      <m:oMath>
        <m:r>
          <w:rPr>
            <w:rFonts w:ascii="Cambria Math" w:hAnsi="Cambria Math"/>
          </w:rPr>
          <m:t>t</m:t>
        </m:r>
      </m:oMath>
      <w:r w:rsidR="000F3195">
        <w:t xml:space="preserve"> such that</w:t>
      </w:r>
    </w:p>
    <w:p w:rsidR="00E37E86" w:rsidRDefault="00E37E86" w:rsidP="00E37E86">
      <w:pPr>
        <w:pStyle w:val="ListParagraph"/>
        <w:spacing w:after="160" w:line="360" w:lineRule="auto"/>
        <w:ind w:left="360"/>
        <w:rPr>
          <w:u w:val="single"/>
        </w:rPr>
      </w:pPr>
    </w:p>
    <w:p w:rsidR="00E37E86" w:rsidRDefault="005D6A21"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E37E86" w:rsidRDefault="00E37E86" w:rsidP="00E37E86">
      <w:pPr>
        <w:pStyle w:val="ListParagraph"/>
        <w:spacing w:after="160" w:line="360" w:lineRule="auto"/>
        <w:ind w:left="360"/>
      </w:pPr>
    </w:p>
    <w:p w:rsidR="00E37E86" w:rsidRDefault="000F3195" w:rsidP="00E37E86">
      <w:pPr>
        <w:pStyle w:val="ListParagraph"/>
        <w:spacing w:after="160" w:line="360" w:lineRule="auto"/>
        <w:ind w:left="360"/>
      </w:pPr>
      <w:r>
        <w:t>The trade value is assumed to follow the Brownian motion</w:t>
      </w:r>
    </w:p>
    <w:p w:rsidR="00E37E86" w:rsidRDefault="00E37E86" w:rsidP="00E37E86">
      <w:pPr>
        <w:pStyle w:val="ListParagraph"/>
        <w:spacing w:after="160" w:line="360" w:lineRule="auto"/>
        <w:ind w:left="360"/>
      </w:pPr>
    </w:p>
    <w:p w:rsidR="00042BF8" w:rsidRPr="00E37E86" w:rsidRDefault="000F3195" w:rsidP="00E37E86">
      <w:pPr>
        <w:pStyle w:val="ListParagraph"/>
        <w:spacing w:after="16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E37E86" w:rsidRDefault="00E37E86" w:rsidP="00E37E86">
      <w:pPr>
        <w:pStyle w:val="ListParagraph"/>
        <w:spacing w:after="160" w:line="360" w:lineRule="auto"/>
        <w:ind w:left="360"/>
      </w:pPr>
    </w:p>
    <w:p w:rsidR="00E37E86" w:rsidRDefault="000F3195" w:rsidP="00D83552">
      <w:pPr>
        <w:pStyle w:val="ListParagraph"/>
        <w:numPr>
          <w:ilvl w:val="0"/>
          <w:numId w:val="94"/>
        </w:numPr>
        <w:spacing w:after="160" w:line="360" w:lineRule="auto"/>
      </w:pPr>
      <w:r>
        <w:rPr>
          <w:u w:val="single"/>
        </w:rPr>
        <w:t>Normally Distributed Brownian Bridge Factor</w:t>
      </w:r>
      <w:r>
        <w:t xml:space="preserve">: According to the Brownian Bridge interpolation in the interval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e>
        </m:d>
      </m:oMath>
    </w:p>
    <w:p w:rsidR="00E37E86" w:rsidRDefault="00E37E86" w:rsidP="00E37E86">
      <w:pPr>
        <w:pStyle w:val="ListParagraph"/>
        <w:spacing w:after="160" w:line="360" w:lineRule="auto"/>
        <w:ind w:left="360"/>
        <w:rPr>
          <w:u w:val="single"/>
        </w:rPr>
      </w:pPr>
    </w:p>
    <w:p w:rsidR="00E37E86" w:rsidRDefault="005D6A21"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e>
                  </m:d>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Default="00E37E86" w:rsidP="00E37E86">
      <w:pPr>
        <w:pStyle w:val="ListParagraph"/>
        <w:spacing w:after="160" w:line="360" w:lineRule="auto"/>
        <w:ind w:left="360"/>
      </w:pPr>
    </w:p>
    <w:p w:rsidR="000F3195" w:rsidRDefault="000F3195" w:rsidP="00E37E86">
      <w:pPr>
        <w:pStyle w:val="ListParagraph"/>
        <w:spacing w:after="160" w:line="360" w:lineRule="auto"/>
        <w:ind w:left="360"/>
      </w:pPr>
      <w:r>
        <w:t xml:space="preserve">where </w:t>
      </w:r>
      <m:oMath>
        <m:r>
          <w:rPr>
            <w:rFonts w:ascii="Cambria Math" w:hAnsi="Cambria Math"/>
          </w:rPr>
          <m:t>v</m:t>
        </m:r>
      </m:oMath>
      <w:r>
        <w:t xml:space="preserve"> is a Brownian Bridge factor from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w:p>
    <w:p w:rsidR="00E37E86" w:rsidRDefault="000F3195" w:rsidP="00D83552">
      <w:pPr>
        <w:pStyle w:val="ListParagraph"/>
        <w:numPr>
          <w:ilvl w:val="0"/>
          <w:numId w:val="94"/>
        </w:numPr>
        <w:spacing w:after="160" w:line="360" w:lineRule="auto"/>
      </w:pPr>
      <m:oMath>
        <m:r>
          <w:rPr>
            <w:rFonts w:ascii="Cambria Math" w:hAnsi="Cambria Math"/>
            <w:u w:val="single"/>
          </w:rPr>
          <m:t>v</m:t>
        </m:r>
      </m:oMath>
      <w:r>
        <w:rPr>
          <w:u w:val="single"/>
        </w:rPr>
        <w:t xml:space="preserve"> Chosen to satisfy </w:t>
      </w:r>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2</m:t>
            </m:r>
          </m:sub>
        </m:sSub>
      </m:oMath>
      <w:r>
        <w:t>:</w:t>
      </w:r>
      <w:r w:rsidR="00E37E86">
        <w:t xml:space="preserve"> One chooses </w:t>
      </w:r>
      <m:oMath>
        <m:r>
          <w:rPr>
            <w:rFonts w:ascii="Cambria Math" w:hAnsi="Cambria Math"/>
          </w:rPr>
          <m:t>v</m:t>
        </m:r>
      </m:oMath>
      <w:r w:rsidR="00E37E86">
        <w:t xml:space="preserve"> so that the interpolation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matches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Namely,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is</w:t>
      </w:r>
    </w:p>
    <w:p w:rsidR="00E37E86" w:rsidRPr="00E37E86" w:rsidRDefault="00E37E86" w:rsidP="00E37E86">
      <w:pPr>
        <w:pStyle w:val="ListParagraph"/>
        <w:spacing w:after="160" w:line="360" w:lineRule="auto"/>
        <w:ind w:left="360"/>
        <w:rPr>
          <w:u w:val="single"/>
        </w:rPr>
      </w:pPr>
    </w:p>
    <w:p w:rsidR="000F3195" w:rsidRPr="00E37E86" w:rsidRDefault="005D6A21"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Pr="00E37E86" w:rsidRDefault="00E37E86" w:rsidP="00E37E86">
      <w:pPr>
        <w:pStyle w:val="ListParagraph"/>
        <w:spacing w:after="160" w:line="360" w:lineRule="auto"/>
        <w:ind w:left="360"/>
      </w:pPr>
    </w:p>
    <w:p w:rsidR="00E37E86" w:rsidRDefault="00E37E86" w:rsidP="00D83552">
      <w:pPr>
        <w:pStyle w:val="ListParagraph"/>
        <w:numPr>
          <w:ilvl w:val="0"/>
          <w:numId w:val="94"/>
        </w:numPr>
        <w:spacing w:after="160" w:line="360" w:lineRule="auto"/>
      </w:pPr>
      <w:r w:rsidRPr="00E37E86">
        <w:rPr>
          <w:u w:val="single"/>
        </w:rPr>
        <w:t>Estimation of the Brownian Bridge Factor</w:t>
      </w:r>
      <w:r>
        <w:t xml:space="preserve">: Therefore </w:t>
      </w:r>
      <m:oMath>
        <m:r>
          <w:rPr>
            <w:rFonts w:ascii="Cambria Math" w:hAnsi="Cambria Math"/>
          </w:rPr>
          <m:t>v</m:t>
        </m:r>
      </m:oMath>
      <w:r>
        <w:t xml:space="preserve"> is determined as</w:t>
      </w:r>
    </w:p>
    <w:p w:rsidR="00E37E86" w:rsidRDefault="00E37E86" w:rsidP="00E37E86">
      <w:pPr>
        <w:pStyle w:val="ListParagraph"/>
        <w:spacing w:after="160" w:line="360" w:lineRule="auto"/>
        <w:ind w:left="360"/>
        <w:rPr>
          <w:u w:val="single"/>
        </w:rPr>
      </w:pPr>
    </w:p>
    <w:p w:rsidR="00E37E86" w:rsidRDefault="00E37E86" w:rsidP="00E37E86">
      <w:pPr>
        <w:pStyle w:val="ListParagraph"/>
        <w:spacing w:after="160" w:line="360" w:lineRule="auto"/>
        <w:ind w:left="360"/>
      </w:pPr>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en>
              </m:f>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e>
          </m:d>
        </m:oMath>
      </m:oMathPara>
    </w:p>
    <w:p w:rsidR="00E37E86" w:rsidRDefault="00E37E86" w:rsidP="00E37E86">
      <w:pPr>
        <w:spacing w:after="160" w:line="360" w:lineRule="auto"/>
      </w:pPr>
    </w:p>
    <w:p w:rsidR="00E37E86" w:rsidRDefault="00E37E86" w:rsidP="00E37E86">
      <w:pPr>
        <w:spacing w:after="160" w:line="360" w:lineRule="auto"/>
      </w:pPr>
    </w:p>
    <w:p w:rsidR="00E37E86" w:rsidRPr="00E37E86" w:rsidRDefault="00E37E86" w:rsidP="00E37E86">
      <w:pPr>
        <w:spacing w:after="160" w:line="360" w:lineRule="auto"/>
        <w:rPr>
          <w:b/>
          <w:sz w:val="28"/>
          <w:szCs w:val="28"/>
        </w:rPr>
      </w:pPr>
      <w:r w:rsidRPr="00E37E86">
        <w:rPr>
          <w:b/>
          <w:sz w:val="28"/>
          <w:szCs w:val="28"/>
        </w:rPr>
        <w:t>XVA Calculation</w:t>
      </w:r>
    </w:p>
    <w:p w:rsidR="00E37E86" w:rsidRDefault="00E37E86" w:rsidP="00E37E86">
      <w:pPr>
        <w:spacing w:after="160" w:line="360" w:lineRule="auto"/>
      </w:pPr>
    </w:p>
    <w:p w:rsidR="00E37E86" w:rsidRDefault="00E37E86" w:rsidP="00D83552">
      <w:pPr>
        <w:pStyle w:val="ListParagraph"/>
        <w:numPr>
          <w:ilvl w:val="0"/>
          <w:numId w:val="95"/>
        </w:numPr>
        <w:spacing w:after="160" w:line="360" w:lineRule="auto"/>
      </w:pPr>
      <w:r w:rsidRPr="00E37E86">
        <w:rPr>
          <w:u w:val="single"/>
        </w:rPr>
        <w:t>Aggregation over Counter-party Trades</w:t>
      </w:r>
      <w:r>
        <w:t>: Given the result of the aggregation, one has the counter-party level trade values at each time point and in each path. The next step is to proceed to calculate the XVA’s.</w:t>
      </w:r>
    </w:p>
    <w:p w:rsidR="007D6420" w:rsidRDefault="007D6420" w:rsidP="00D83552">
      <w:pPr>
        <w:pStyle w:val="ListParagraph"/>
        <w:numPr>
          <w:ilvl w:val="0"/>
          <w:numId w:val="95"/>
        </w:numPr>
        <w:spacing w:after="160" w:line="360" w:lineRule="auto"/>
      </w:pPr>
      <w:r>
        <w:rPr>
          <w:u w:val="single"/>
        </w:rPr>
        <w:t>Counter-Party/Bank Default Dates</w:t>
      </w:r>
      <w:r w:rsidRPr="007D6420">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be the credit dates, where the first date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valuation date. </w:t>
      </w:r>
      <m:oMath>
        <m:sSub>
          <m:sSubPr>
            <m:ctrlPr>
              <w:rPr>
                <w:rFonts w:ascii="Cambria Math" w:hAnsi="Cambria Math"/>
                <w:i/>
              </w:rPr>
            </m:ctrlPr>
          </m:sSubPr>
          <m:e>
            <m:r>
              <w:rPr>
                <w:rFonts w:ascii="Cambria Math" w:hAnsi="Cambria Math"/>
              </w:rPr>
              <m:t>τ</m:t>
            </m:r>
          </m:e>
          <m:sub>
            <m:r>
              <w:rPr>
                <w:rFonts w:ascii="Cambria Math" w:hAnsi="Cambria Math"/>
              </w:rPr>
              <m:t>CPTY</m:t>
            </m:r>
          </m:sub>
        </m:sSub>
      </m:oMath>
      <w:r w:rsidR="00C947AF">
        <w:t xml:space="preserve"> and </w:t>
      </w:r>
      <m:oMath>
        <m:sSub>
          <m:sSubPr>
            <m:ctrlPr>
              <w:rPr>
                <w:rFonts w:ascii="Cambria Math" w:hAnsi="Cambria Math"/>
                <w:i/>
              </w:rPr>
            </m:ctrlPr>
          </m:sSubPr>
          <m:e>
            <m:r>
              <w:rPr>
                <w:rFonts w:ascii="Cambria Math" w:hAnsi="Cambria Math"/>
              </w:rPr>
              <m:t>τ</m:t>
            </m:r>
          </m:e>
          <m:sub>
            <m:r>
              <w:rPr>
                <w:rFonts w:ascii="Cambria Math" w:hAnsi="Cambria Math"/>
              </w:rPr>
              <m:t>BANK</m:t>
            </m:r>
          </m:sub>
        </m:sSub>
      </m:oMath>
      <w:r w:rsidR="00C947AF">
        <w:t xml:space="preserve"> are the default dates for the counter-party and the bank, respectively.</w:t>
      </w:r>
    </w:p>
    <w:p w:rsidR="00C947AF" w:rsidRDefault="00C947AF" w:rsidP="00D83552">
      <w:pPr>
        <w:pStyle w:val="ListParagraph"/>
        <w:numPr>
          <w:ilvl w:val="0"/>
          <w:numId w:val="95"/>
        </w:numPr>
        <w:spacing w:after="160" w:line="360" w:lineRule="auto"/>
      </w:pPr>
      <w:r>
        <w:rPr>
          <w:u w:val="single"/>
        </w:rPr>
        <w:t>Collateralized Expected Positive/Negative Exposures</w:t>
      </w:r>
      <w:r w:rsidRPr="00C947AF">
        <w:t>:</w:t>
      </w:r>
      <w:r>
        <w:t xml:space="preserve"> Let </w:t>
      </w:r>
      <m:oMath>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and </w:t>
      </w:r>
      <m:oMath>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collateralized expected positive exposure and the collateralized expected negative exposure respectively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discount factor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167B52" w:rsidRDefault="00C947AF" w:rsidP="00D83552">
      <w:pPr>
        <w:pStyle w:val="ListParagraph"/>
        <w:numPr>
          <w:ilvl w:val="0"/>
          <w:numId w:val="95"/>
        </w:numPr>
        <w:spacing w:after="160" w:line="360" w:lineRule="auto"/>
      </w:pPr>
      <w:r>
        <w:rPr>
          <w:u w:val="single"/>
        </w:rPr>
        <w:t>CVA from Collateralized Positive Exposure</w:t>
      </w:r>
      <w:r w:rsidRPr="00C947AF">
        <w:t>:</w:t>
      </w:r>
      <w:r>
        <w:t xml:space="preserve"> The CVA is then calculated as</w:t>
      </w:r>
    </w:p>
    <w:p w:rsidR="00167B52" w:rsidRDefault="00167B52" w:rsidP="00167B52">
      <w:pPr>
        <w:pStyle w:val="ListParagraph"/>
        <w:spacing w:after="160" w:line="360" w:lineRule="auto"/>
        <w:ind w:left="360"/>
        <w:rPr>
          <w:u w:val="single"/>
        </w:rPr>
      </w:pPr>
    </w:p>
    <w:p w:rsidR="00C947AF" w:rsidRPr="00167B52" w:rsidRDefault="00C947AF" w:rsidP="00167B52">
      <w:pPr>
        <w:pStyle w:val="ListParagraph"/>
        <w:spacing w:after="16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w∙Col</m:t>
                      </m:r>
                      <m:r>
                        <w:rPr>
                          <w:rFonts w:ascii="Cambria Math" w:hAnsi="Cambria Math"/>
                        </w:rPr>
                        <m:t>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167B52" w:rsidRDefault="00A90A15" w:rsidP="00D83552">
      <w:pPr>
        <w:pStyle w:val="ListParagraph"/>
        <w:numPr>
          <w:ilvl w:val="0"/>
          <w:numId w:val="95"/>
        </w:numPr>
        <w:spacing w:after="160" w:line="360" w:lineRule="auto"/>
      </w:pPr>
      <w:r>
        <w:rPr>
          <w:u w:val="single"/>
        </w:rPr>
        <w:lastRenderedPageBreak/>
        <w:t>DVA from Collateralized Positive Exposure</w:t>
      </w:r>
      <w:r w:rsidRPr="00C947AF">
        <w:t>:</w:t>
      </w:r>
      <w:r>
        <w:t xml:space="preserve"> The DVA is calculated as</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w∙Col</m:t>
                      </m:r>
                      <m:r>
                        <w:rPr>
                          <w:rFonts w:ascii="Cambria Math" w:hAnsi="Cambria Math"/>
                        </w:rPr>
                        <m:t>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A90A15" w:rsidRDefault="00A90A15" w:rsidP="00D83552">
      <w:pPr>
        <w:pStyle w:val="ListParagraph"/>
        <w:numPr>
          <w:ilvl w:val="0"/>
          <w:numId w:val="95"/>
        </w:numPr>
        <w:spacing w:after="160" w:line="360" w:lineRule="auto"/>
      </w:pPr>
      <w:r w:rsidRPr="00A90A15">
        <w:rPr>
          <w:u w:val="single"/>
        </w:rPr>
        <w:t>Bank/Counter-Party Recovery Maps</w:t>
      </w:r>
      <w:r>
        <w:t xml:space="preserve">: </w:t>
      </w:r>
      <m:oMath>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m:t>
            </m:r>
          </m:e>
        </m:d>
      </m:oMath>
      <w:r>
        <w:t xml:space="preserve"> are the recovery mapping functions for the counter-party and the bank, respectively.</w:t>
      </w:r>
    </w:p>
    <w:p w:rsidR="00A90A15" w:rsidRDefault="00A90A15" w:rsidP="00D83552">
      <w:pPr>
        <w:pStyle w:val="ListParagraph"/>
        <w:numPr>
          <w:ilvl w:val="0"/>
          <w:numId w:val="95"/>
        </w:numPr>
        <w:spacing w:after="160" w:line="360" w:lineRule="auto"/>
      </w:pPr>
      <w:r>
        <w:rPr>
          <w:u w:val="single"/>
        </w:rPr>
        <w:t>Exposure Weights over Period Vertexes</w:t>
      </w:r>
      <w:r w:rsidRPr="00A90A15">
        <w:t>:</w:t>
      </w:r>
      <w:r>
        <w:t xml:space="preserve"> </w:t>
      </w:r>
      <m:oMath>
        <m:r>
          <w:rPr>
            <w:rFonts w:ascii="Cambria Math" w:hAnsi="Cambria Math"/>
          </w:rPr>
          <m:t>w</m:t>
        </m:r>
      </m:oMath>
      <w:r>
        <w:t xml:space="preserve"> is the weight of the period end exposure – default value being </w:t>
      </w:r>
      <m:oMath>
        <m:r>
          <w:rPr>
            <w:rFonts w:ascii="Cambria Math" w:hAnsi="Cambria Math"/>
          </w:rPr>
          <m:t>0.5</m:t>
        </m:r>
      </m:oMath>
      <w:r>
        <w:t>, which indicates that the CVA/DVA is calculates using the average exposure between the beginning and the end of each period.</w:t>
      </w:r>
    </w:p>
    <w:p w:rsidR="00167B52" w:rsidRDefault="00A90A15" w:rsidP="00D83552">
      <w:pPr>
        <w:pStyle w:val="ListParagraph"/>
        <w:numPr>
          <w:ilvl w:val="0"/>
          <w:numId w:val="95"/>
        </w:numPr>
        <w:spacing w:after="160" w:line="360" w:lineRule="auto"/>
      </w:pPr>
      <w:r>
        <w:rPr>
          <w:u w:val="single"/>
        </w:rPr>
        <w:t>Bank/Counter-Party Default Distribution</w:t>
      </w:r>
      <w:r w:rsidRPr="00A90A15">
        <w:t>:</w:t>
      </w:r>
      <w:r>
        <w:t xml:space="preserve"> The distribution of defaults can be inferred from a hazard curve easily. The “discount factors” calculated from the hazard curves are just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 given by</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≤τ&lt;</m:t>
              </m:r>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m:oMathPara>
    </w:p>
    <w:p w:rsidR="00167B52" w:rsidRDefault="00167B52" w:rsidP="00167B52">
      <w:pPr>
        <w:pStyle w:val="ListParagraph"/>
        <w:spacing w:after="160" w:line="360" w:lineRule="auto"/>
        <w:ind w:left="360"/>
      </w:pPr>
    </w:p>
    <w:p w:rsidR="00A90A15" w:rsidRDefault="00A90A15" w:rsidP="00D83552">
      <w:pPr>
        <w:pStyle w:val="ListParagraph"/>
        <w:numPr>
          <w:ilvl w:val="0"/>
          <w:numId w:val="95"/>
        </w:numPr>
        <w:spacing w:after="160" w:line="360" w:lineRule="auto"/>
      </w:pPr>
      <w:r>
        <w:rPr>
          <w:u w:val="single"/>
        </w:rPr>
        <w:t>Portfolio Trajectory Period Vertex Measures</w:t>
      </w:r>
      <w:r>
        <w:t>: In addition to the CVA/DVA calculations, several other summary measures may be computed, as shown in the table below.</w:t>
      </w:r>
    </w:p>
    <w:tbl>
      <w:tblPr>
        <w:tblStyle w:val="TableGrid"/>
        <w:tblW w:w="0" w:type="auto"/>
        <w:tblLook w:val="04A0" w:firstRow="1" w:lastRow="0" w:firstColumn="1" w:lastColumn="0" w:noHBand="0" w:noVBand="1"/>
      </w:tblPr>
      <w:tblGrid>
        <w:gridCol w:w="738"/>
        <w:gridCol w:w="3600"/>
        <w:gridCol w:w="5238"/>
      </w:tblGrid>
      <w:tr w:rsidR="002C0F71" w:rsidTr="002C0F71">
        <w:tc>
          <w:tcPr>
            <w:tcW w:w="738" w:type="dxa"/>
            <w:vAlign w:val="center"/>
          </w:tcPr>
          <w:p w:rsidR="002C0F71" w:rsidRPr="002C0F71" w:rsidRDefault="002C0F71" w:rsidP="002C0F71">
            <w:pPr>
              <w:spacing w:after="160" w:line="360" w:lineRule="auto"/>
              <w:jc w:val="center"/>
              <w:rPr>
                <w:b/>
              </w:rPr>
            </w:pPr>
            <w:r>
              <w:rPr>
                <w:b/>
              </w:rPr>
              <w:t>#</w:t>
            </w:r>
          </w:p>
        </w:tc>
        <w:tc>
          <w:tcPr>
            <w:tcW w:w="3600" w:type="dxa"/>
            <w:vAlign w:val="center"/>
          </w:tcPr>
          <w:p w:rsidR="002C0F71" w:rsidRPr="002C0F71" w:rsidRDefault="002C0F71" w:rsidP="002C0F71">
            <w:pPr>
              <w:spacing w:after="160" w:line="360" w:lineRule="auto"/>
              <w:jc w:val="center"/>
              <w:rPr>
                <w:b/>
              </w:rPr>
            </w:pPr>
            <w:r>
              <w:rPr>
                <w:b/>
              </w:rPr>
              <w:t>Measure</w:t>
            </w:r>
          </w:p>
        </w:tc>
        <w:tc>
          <w:tcPr>
            <w:tcW w:w="5238" w:type="dxa"/>
            <w:vAlign w:val="center"/>
          </w:tcPr>
          <w:p w:rsidR="002C0F71" w:rsidRPr="002C0F71" w:rsidRDefault="002C0F71" w:rsidP="002C0F71">
            <w:pPr>
              <w:spacing w:after="160" w:line="360" w:lineRule="auto"/>
              <w:jc w:val="center"/>
              <w:rPr>
                <w:b/>
              </w:rPr>
            </w:pPr>
            <w:r>
              <w:rPr>
                <w:b/>
              </w:rPr>
              <w:t>Description</w:t>
            </w:r>
          </w:p>
        </w:tc>
      </w:tr>
      <w:tr w:rsidR="002C0F71" w:rsidTr="002C0F71">
        <w:tc>
          <w:tcPr>
            <w:tcW w:w="738" w:type="dxa"/>
            <w:vAlign w:val="center"/>
          </w:tcPr>
          <w:p w:rsidR="002C0F71" w:rsidRDefault="002C0F71" w:rsidP="002C0F71">
            <w:pPr>
              <w:spacing w:after="160" w:line="360" w:lineRule="auto"/>
              <w:jc w:val="center"/>
            </w:pPr>
            <w:r>
              <w:t>1</w:t>
            </w:r>
          </w:p>
        </w:tc>
        <w:tc>
          <w:tcPr>
            <w:tcW w:w="3600" w:type="dxa"/>
            <w:vAlign w:val="center"/>
          </w:tcPr>
          <w:p w:rsidR="002C0F71" w:rsidRDefault="002C0F71" w:rsidP="002C0F71">
            <w:pPr>
              <w:spacing w:after="160" w:line="360" w:lineRule="auto"/>
              <w:jc w:val="center"/>
            </w:pPr>
            <w:r>
              <w:t>CVA + DVA</w:t>
            </w:r>
          </w:p>
        </w:tc>
        <w:tc>
          <w:tcPr>
            <w:tcW w:w="5238" w:type="dxa"/>
            <w:vAlign w:val="center"/>
          </w:tcPr>
          <w:p w:rsidR="002C0F71" w:rsidRDefault="002C0F71" w:rsidP="002C0F71">
            <w:pPr>
              <w:spacing w:after="160" w:line="360" w:lineRule="auto"/>
              <w:jc w:val="center"/>
            </w:pPr>
            <w:r>
              <w:t>NPV</w:t>
            </w:r>
          </w:p>
        </w:tc>
      </w:tr>
      <w:tr w:rsidR="002C0F71" w:rsidTr="002C0F71">
        <w:tc>
          <w:tcPr>
            <w:tcW w:w="738" w:type="dxa"/>
            <w:vAlign w:val="center"/>
          </w:tcPr>
          <w:p w:rsidR="002C0F71" w:rsidRDefault="002C0F71" w:rsidP="002C0F71">
            <w:pPr>
              <w:spacing w:after="160" w:line="360" w:lineRule="auto"/>
              <w:jc w:val="center"/>
            </w:pPr>
            <w:r>
              <w:t>2</w:t>
            </w:r>
          </w:p>
        </w:tc>
        <w:tc>
          <w:tcPr>
            <w:tcW w:w="3600" w:type="dxa"/>
            <w:vAlign w:val="center"/>
          </w:tcPr>
          <w:p w:rsidR="002C0F71" w:rsidRDefault="002C0F71" w:rsidP="002C0F71">
            <w:pPr>
              <w:spacing w:after="160" w:line="360" w:lineRule="auto"/>
              <w:jc w:val="center"/>
            </w:pPr>
            <w:r>
              <w:t>CVA</w:t>
            </w:r>
          </w:p>
        </w:tc>
        <w:tc>
          <w:tcPr>
            <w:tcW w:w="5238" w:type="dxa"/>
            <w:vAlign w:val="center"/>
          </w:tcPr>
          <w:p w:rsidR="002C0F71" w:rsidRDefault="002C0F71" w:rsidP="002C0F71">
            <w:pPr>
              <w:spacing w:after="160" w:line="360" w:lineRule="auto"/>
              <w:jc w:val="center"/>
            </w:pPr>
            <w:r>
              <w:t>CVA</w:t>
            </w:r>
          </w:p>
        </w:tc>
      </w:tr>
      <w:tr w:rsidR="002C0F71" w:rsidTr="002C0F71">
        <w:tc>
          <w:tcPr>
            <w:tcW w:w="738" w:type="dxa"/>
            <w:vAlign w:val="center"/>
          </w:tcPr>
          <w:p w:rsidR="002C0F71" w:rsidRDefault="002C0F71" w:rsidP="002C0F71">
            <w:pPr>
              <w:spacing w:after="160" w:line="360" w:lineRule="auto"/>
              <w:jc w:val="center"/>
            </w:pPr>
            <w:r>
              <w:t>3</w:t>
            </w:r>
          </w:p>
        </w:tc>
        <w:tc>
          <w:tcPr>
            <w:tcW w:w="3600" w:type="dxa"/>
            <w:vAlign w:val="center"/>
          </w:tcPr>
          <w:p w:rsidR="002C0F71" w:rsidRDefault="002C0F71" w:rsidP="002C0F71">
            <w:pPr>
              <w:spacing w:after="160" w:line="360" w:lineRule="auto"/>
              <w:jc w:val="center"/>
            </w:pPr>
            <w:r>
              <w:t>DVA</w:t>
            </w:r>
          </w:p>
        </w:tc>
        <w:tc>
          <w:tcPr>
            <w:tcW w:w="5238" w:type="dxa"/>
            <w:vAlign w:val="center"/>
          </w:tcPr>
          <w:p w:rsidR="002C0F71" w:rsidRDefault="002C0F71" w:rsidP="002C0F71">
            <w:pPr>
              <w:spacing w:after="160" w:line="360" w:lineRule="auto"/>
              <w:jc w:val="center"/>
            </w:pPr>
            <w:r>
              <w:t>DVA</w:t>
            </w:r>
          </w:p>
        </w:tc>
      </w:tr>
      <w:tr w:rsidR="002C0F71" w:rsidTr="002C0F71">
        <w:tc>
          <w:tcPr>
            <w:tcW w:w="738" w:type="dxa"/>
            <w:vAlign w:val="center"/>
          </w:tcPr>
          <w:p w:rsidR="002C0F71" w:rsidRDefault="002C0F71" w:rsidP="002C0F71">
            <w:pPr>
              <w:spacing w:after="160" w:line="360" w:lineRule="auto"/>
              <w:jc w:val="center"/>
            </w:pPr>
            <w:r>
              <w:t>4</w:t>
            </w:r>
          </w:p>
        </w:tc>
        <w:tc>
          <w:tcPr>
            <w:tcW w:w="3600" w:type="dxa"/>
            <w:vAlign w:val="center"/>
          </w:tcPr>
          <w:p w:rsidR="002C0F71" w:rsidRDefault="002C0F71" w:rsidP="002C0F71">
            <w:pPr>
              <w:spacing w:after="160" w:line="360" w:lineRule="auto"/>
              <w:jc w:val="center"/>
            </w:pPr>
            <w:r>
              <w:t>Portfolio Value (MC)</w:t>
            </w:r>
          </w:p>
        </w:tc>
        <w:tc>
          <w:tcPr>
            <w:tcW w:w="5238" w:type="dxa"/>
            <w:vAlign w:val="center"/>
          </w:tcPr>
          <w:p w:rsidR="002C0F71" w:rsidRDefault="002C0F71" w:rsidP="002C0F71">
            <w:pPr>
              <w:spacing w:after="160" w:line="360" w:lineRule="auto"/>
              <w:jc w:val="center"/>
            </w:pPr>
            <w:r>
              <w:t>Portfolio Value from Monte Carlo</w:t>
            </w:r>
          </w:p>
        </w:tc>
      </w:tr>
      <w:tr w:rsidR="002C0F71" w:rsidTr="002C0F71">
        <w:tc>
          <w:tcPr>
            <w:tcW w:w="738" w:type="dxa"/>
            <w:vAlign w:val="center"/>
          </w:tcPr>
          <w:p w:rsidR="002C0F71" w:rsidRDefault="002C0F71" w:rsidP="002C0F71">
            <w:pPr>
              <w:spacing w:after="160" w:line="360" w:lineRule="auto"/>
              <w:jc w:val="center"/>
            </w:pPr>
            <w:r>
              <w:t>5</w:t>
            </w:r>
          </w:p>
        </w:tc>
        <w:tc>
          <w:tcPr>
            <w:tcW w:w="3600" w:type="dxa"/>
            <w:vAlign w:val="center"/>
          </w:tcPr>
          <w:p w:rsidR="002C0F71" w:rsidRDefault="002C0F71" w:rsidP="002C0F71">
            <w:pPr>
              <w:spacing w:after="160" w:line="360" w:lineRule="auto"/>
              <w:jc w:val="center"/>
            </w:pPr>
            <w:r>
              <w:t>CVA + DVA MC Error</w:t>
            </w:r>
          </w:p>
        </w:tc>
        <w:tc>
          <w:tcPr>
            <w:tcW w:w="5238" w:type="dxa"/>
            <w:vAlign w:val="center"/>
          </w:tcPr>
          <w:p w:rsidR="002C0F71" w:rsidRDefault="002C0F71" w:rsidP="002C0F71">
            <w:pPr>
              <w:spacing w:after="160" w:line="360" w:lineRule="auto"/>
              <w:jc w:val="center"/>
            </w:pPr>
            <w:r>
              <w:t>NPV MC Error</w:t>
            </w:r>
          </w:p>
        </w:tc>
      </w:tr>
      <w:tr w:rsidR="002C0F71" w:rsidTr="002C0F71">
        <w:tc>
          <w:tcPr>
            <w:tcW w:w="738" w:type="dxa"/>
            <w:vAlign w:val="center"/>
          </w:tcPr>
          <w:p w:rsidR="002C0F71" w:rsidRDefault="002C0F71" w:rsidP="002C0F71">
            <w:pPr>
              <w:spacing w:after="160" w:line="360" w:lineRule="auto"/>
              <w:jc w:val="center"/>
            </w:pPr>
            <w:r>
              <w:lastRenderedPageBreak/>
              <w:t>6</w:t>
            </w:r>
          </w:p>
        </w:tc>
        <w:tc>
          <w:tcPr>
            <w:tcW w:w="3600" w:type="dxa"/>
            <w:vAlign w:val="center"/>
          </w:tcPr>
          <w:p w:rsidR="002C0F71" w:rsidRDefault="002C0F71" w:rsidP="002C0F71">
            <w:pPr>
              <w:spacing w:after="160" w:line="360" w:lineRule="auto"/>
              <w:jc w:val="center"/>
            </w:pPr>
            <w:r>
              <w:t>CVA MC Error</w:t>
            </w:r>
          </w:p>
        </w:tc>
        <w:tc>
          <w:tcPr>
            <w:tcW w:w="5238" w:type="dxa"/>
            <w:vAlign w:val="center"/>
          </w:tcPr>
          <w:p w:rsidR="002C0F71" w:rsidRDefault="002C0F71" w:rsidP="002C0F71">
            <w:pPr>
              <w:spacing w:after="160" w:line="360" w:lineRule="auto"/>
              <w:jc w:val="center"/>
            </w:pPr>
            <w:r>
              <w:t>CVA MC Error</w:t>
            </w:r>
          </w:p>
        </w:tc>
      </w:tr>
      <w:tr w:rsidR="002C0F71" w:rsidTr="002C0F71">
        <w:tc>
          <w:tcPr>
            <w:tcW w:w="738" w:type="dxa"/>
            <w:vAlign w:val="center"/>
          </w:tcPr>
          <w:p w:rsidR="002C0F71" w:rsidRDefault="002C0F71" w:rsidP="002C0F71">
            <w:pPr>
              <w:spacing w:after="160" w:line="360" w:lineRule="auto"/>
              <w:jc w:val="center"/>
            </w:pPr>
            <w:r>
              <w:t>7</w:t>
            </w:r>
          </w:p>
        </w:tc>
        <w:tc>
          <w:tcPr>
            <w:tcW w:w="3600" w:type="dxa"/>
            <w:vAlign w:val="center"/>
          </w:tcPr>
          <w:p w:rsidR="002C0F71" w:rsidRDefault="002C0F71" w:rsidP="002C0F71">
            <w:pPr>
              <w:spacing w:after="160" w:line="360" w:lineRule="auto"/>
              <w:jc w:val="center"/>
            </w:pPr>
            <w:r>
              <w:t>DVA MC Error</w:t>
            </w:r>
          </w:p>
        </w:tc>
        <w:tc>
          <w:tcPr>
            <w:tcW w:w="5238" w:type="dxa"/>
            <w:vAlign w:val="center"/>
          </w:tcPr>
          <w:p w:rsidR="002C0F71" w:rsidRDefault="002C0F71" w:rsidP="002C0F71">
            <w:pPr>
              <w:spacing w:after="160" w:line="360" w:lineRule="auto"/>
              <w:jc w:val="center"/>
            </w:pPr>
            <w:r>
              <w:t>DVA MC Error</w:t>
            </w:r>
          </w:p>
        </w:tc>
      </w:tr>
      <w:tr w:rsidR="002C0F71" w:rsidTr="002C0F71">
        <w:tc>
          <w:tcPr>
            <w:tcW w:w="738" w:type="dxa"/>
            <w:vAlign w:val="center"/>
          </w:tcPr>
          <w:p w:rsidR="002C0F71" w:rsidRDefault="002C0F71" w:rsidP="002C0F71">
            <w:pPr>
              <w:spacing w:after="160" w:line="360" w:lineRule="auto"/>
              <w:jc w:val="center"/>
            </w:pPr>
            <w:r>
              <w:t>8</w:t>
            </w:r>
          </w:p>
        </w:tc>
        <w:tc>
          <w:tcPr>
            <w:tcW w:w="3600" w:type="dxa"/>
            <w:vAlign w:val="center"/>
          </w:tcPr>
          <w:p w:rsidR="002C0F71" w:rsidRDefault="002C0F71" w:rsidP="002C0F71">
            <w:pPr>
              <w:spacing w:after="160" w:line="360" w:lineRule="auto"/>
              <w:jc w:val="center"/>
            </w:pPr>
            <w:r>
              <w:t>MaxPosPFE</w:t>
            </w:r>
          </w:p>
        </w:tc>
        <w:tc>
          <w:tcPr>
            <w:tcW w:w="5238" w:type="dxa"/>
            <w:vAlign w:val="center"/>
          </w:tcPr>
          <w:p w:rsidR="002C0F71" w:rsidRDefault="002C0F71" w:rsidP="002C0F71">
            <w:pPr>
              <w:spacing w:after="160" w:line="360" w:lineRule="auto"/>
              <w:jc w:val="center"/>
            </w:pPr>
            <w:r>
              <w:t>Maximum Positive PFE</w:t>
            </w:r>
          </w:p>
        </w:tc>
      </w:tr>
      <w:tr w:rsidR="002C0F71" w:rsidTr="002C0F71">
        <w:tc>
          <w:tcPr>
            <w:tcW w:w="738" w:type="dxa"/>
            <w:vAlign w:val="center"/>
          </w:tcPr>
          <w:p w:rsidR="002C0F71" w:rsidRDefault="002C0F71" w:rsidP="002C0F71">
            <w:pPr>
              <w:spacing w:after="160" w:line="360" w:lineRule="auto"/>
              <w:jc w:val="center"/>
            </w:pPr>
            <w:r>
              <w:t>9</w:t>
            </w:r>
          </w:p>
        </w:tc>
        <w:tc>
          <w:tcPr>
            <w:tcW w:w="3600" w:type="dxa"/>
            <w:vAlign w:val="center"/>
          </w:tcPr>
          <w:p w:rsidR="002C0F71" w:rsidRDefault="002C0F71" w:rsidP="002C0F71">
            <w:pPr>
              <w:spacing w:after="160" w:line="360" w:lineRule="auto"/>
              <w:jc w:val="center"/>
            </w:pPr>
            <w:r>
              <w:t>AvgPosPFE</w:t>
            </w:r>
          </w:p>
        </w:tc>
        <w:tc>
          <w:tcPr>
            <w:tcW w:w="5238" w:type="dxa"/>
            <w:vAlign w:val="center"/>
          </w:tcPr>
          <w:p w:rsidR="002C0F71" w:rsidRDefault="002C0F71" w:rsidP="002C0F71">
            <w:pPr>
              <w:spacing w:after="160" w:line="360" w:lineRule="auto"/>
              <w:jc w:val="center"/>
            </w:pPr>
            <w:r>
              <w:t>Average Positive PFE</w:t>
            </w:r>
          </w:p>
        </w:tc>
      </w:tr>
      <w:tr w:rsidR="002C0F71" w:rsidTr="002C0F71">
        <w:tc>
          <w:tcPr>
            <w:tcW w:w="738" w:type="dxa"/>
            <w:vAlign w:val="center"/>
          </w:tcPr>
          <w:p w:rsidR="002C0F71" w:rsidRDefault="002C0F71" w:rsidP="002C0F71">
            <w:pPr>
              <w:spacing w:after="160" w:line="360" w:lineRule="auto"/>
              <w:jc w:val="center"/>
            </w:pPr>
            <w:r>
              <w:t>10</w:t>
            </w:r>
          </w:p>
        </w:tc>
        <w:tc>
          <w:tcPr>
            <w:tcW w:w="3600" w:type="dxa"/>
            <w:vAlign w:val="center"/>
          </w:tcPr>
          <w:p w:rsidR="002C0F71" w:rsidRDefault="002C0F71" w:rsidP="002C0F71">
            <w:pPr>
              <w:spacing w:after="160" w:line="360" w:lineRule="auto"/>
              <w:jc w:val="center"/>
            </w:pPr>
            <w:r>
              <w:t>MaxNegPFE</w:t>
            </w:r>
          </w:p>
        </w:tc>
        <w:tc>
          <w:tcPr>
            <w:tcW w:w="5238" w:type="dxa"/>
            <w:vAlign w:val="center"/>
          </w:tcPr>
          <w:p w:rsidR="002C0F71" w:rsidRDefault="002C0F71" w:rsidP="002C0F71">
            <w:pPr>
              <w:spacing w:after="160" w:line="360" w:lineRule="auto"/>
              <w:jc w:val="center"/>
            </w:pPr>
            <w:r>
              <w:t>Maximum Negative PFE</w:t>
            </w:r>
          </w:p>
        </w:tc>
      </w:tr>
      <w:tr w:rsidR="002C0F71" w:rsidTr="002C0F71">
        <w:tc>
          <w:tcPr>
            <w:tcW w:w="738" w:type="dxa"/>
            <w:vAlign w:val="center"/>
          </w:tcPr>
          <w:p w:rsidR="002C0F71" w:rsidRDefault="002C0F71" w:rsidP="002C0F71">
            <w:pPr>
              <w:spacing w:after="160" w:line="360" w:lineRule="auto"/>
              <w:jc w:val="center"/>
            </w:pPr>
            <w:r>
              <w:t>11</w:t>
            </w:r>
          </w:p>
        </w:tc>
        <w:tc>
          <w:tcPr>
            <w:tcW w:w="3600" w:type="dxa"/>
            <w:vAlign w:val="center"/>
          </w:tcPr>
          <w:p w:rsidR="002C0F71" w:rsidRDefault="002C0F71" w:rsidP="002C0F71">
            <w:pPr>
              <w:spacing w:after="160" w:line="360" w:lineRule="auto"/>
              <w:jc w:val="center"/>
            </w:pPr>
            <w:r>
              <w:t>AvgNegPFE</w:t>
            </w:r>
          </w:p>
        </w:tc>
        <w:tc>
          <w:tcPr>
            <w:tcW w:w="5238" w:type="dxa"/>
            <w:vAlign w:val="center"/>
          </w:tcPr>
          <w:p w:rsidR="002C0F71" w:rsidRDefault="002C0F71" w:rsidP="002C0F71">
            <w:pPr>
              <w:spacing w:after="160" w:line="360" w:lineRule="auto"/>
              <w:jc w:val="center"/>
            </w:pPr>
            <w:r>
              <w:t>Average Negative PFE</w:t>
            </w:r>
          </w:p>
        </w:tc>
      </w:tr>
      <w:tr w:rsidR="002C0F71" w:rsidTr="002C0F71">
        <w:tc>
          <w:tcPr>
            <w:tcW w:w="738" w:type="dxa"/>
            <w:vAlign w:val="center"/>
          </w:tcPr>
          <w:p w:rsidR="002C0F71" w:rsidRDefault="002C0F71" w:rsidP="002C0F71">
            <w:pPr>
              <w:spacing w:after="160" w:line="360" w:lineRule="auto"/>
              <w:jc w:val="center"/>
            </w:pPr>
            <w:r>
              <w:t>12</w:t>
            </w:r>
          </w:p>
        </w:tc>
        <w:tc>
          <w:tcPr>
            <w:tcW w:w="3600" w:type="dxa"/>
            <w:vAlign w:val="center"/>
          </w:tcPr>
          <w:p w:rsidR="002C0F71" w:rsidRDefault="002C0F71" w:rsidP="002C0F71">
            <w:pPr>
              <w:spacing w:after="160" w:line="360" w:lineRule="auto"/>
              <w:jc w:val="center"/>
            </w:pPr>
            <w:r>
              <w:t>AEPE</w:t>
            </w:r>
          </w:p>
        </w:tc>
        <w:tc>
          <w:tcPr>
            <w:tcW w:w="5238" w:type="dxa"/>
            <w:vAlign w:val="center"/>
          </w:tcPr>
          <w:p w:rsidR="002C0F71" w:rsidRDefault="002C0F71" w:rsidP="002C0F71">
            <w:pPr>
              <w:spacing w:after="160" w:line="360" w:lineRule="auto"/>
              <w:jc w:val="center"/>
            </w:pPr>
            <w:r>
              <w:t>Average Expected Positive Exposure</w:t>
            </w:r>
          </w:p>
        </w:tc>
      </w:tr>
      <w:tr w:rsidR="002C0F71" w:rsidTr="002C0F71">
        <w:tc>
          <w:tcPr>
            <w:tcW w:w="738" w:type="dxa"/>
            <w:vAlign w:val="center"/>
          </w:tcPr>
          <w:p w:rsidR="002C0F71" w:rsidRDefault="002C0F71" w:rsidP="002C0F71">
            <w:pPr>
              <w:spacing w:after="160" w:line="360" w:lineRule="auto"/>
              <w:jc w:val="center"/>
            </w:pPr>
            <w:r>
              <w:t>13</w:t>
            </w:r>
          </w:p>
        </w:tc>
        <w:tc>
          <w:tcPr>
            <w:tcW w:w="3600" w:type="dxa"/>
            <w:vAlign w:val="center"/>
          </w:tcPr>
          <w:p w:rsidR="002C0F71" w:rsidRDefault="002C0F71" w:rsidP="002C0F71">
            <w:pPr>
              <w:spacing w:after="160" w:line="360" w:lineRule="auto"/>
              <w:jc w:val="center"/>
            </w:pPr>
            <w:r>
              <w:t>AEPE MC Error</w:t>
            </w:r>
          </w:p>
        </w:tc>
        <w:tc>
          <w:tcPr>
            <w:tcW w:w="5238" w:type="dxa"/>
            <w:vAlign w:val="center"/>
          </w:tcPr>
          <w:p w:rsidR="002C0F71" w:rsidRDefault="002C0F71" w:rsidP="002C0F71">
            <w:pPr>
              <w:spacing w:after="160" w:line="360" w:lineRule="auto"/>
              <w:jc w:val="center"/>
            </w:pPr>
            <w:r>
              <w:t>AEPE MC Error</w:t>
            </w:r>
          </w:p>
        </w:tc>
      </w:tr>
      <w:tr w:rsidR="002C0F71" w:rsidTr="002C0F71">
        <w:tc>
          <w:tcPr>
            <w:tcW w:w="738" w:type="dxa"/>
            <w:vAlign w:val="center"/>
          </w:tcPr>
          <w:p w:rsidR="002C0F71" w:rsidRDefault="002C0F71" w:rsidP="002C0F71">
            <w:pPr>
              <w:spacing w:after="160" w:line="360" w:lineRule="auto"/>
              <w:jc w:val="center"/>
            </w:pPr>
            <w:r>
              <w:t>14</w:t>
            </w:r>
          </w:p>
        </w:tc>
        <w:tc>
          <w:tcPr>
            <w:tcW w:w="3600" w:type="dxa"/>
            <w:vAlign w:val="center"/>
          </w:tcPr>
          <w:p w:rsidR="002C0F71" w:rsidRDefault="002C0F71" w:rsidP="002C0F71">
            <w:pPr>
              <w:spacing w:after="160" w:line="360" w:lineRule="auto"/>
              <w:jc w:val="center"/>
            </w:pPr>
            <w:r>
              <w:t>AENE</w:t>
            </w:r>
          </w:p>
        </w:tc>
        <w:tc>
          <w:tcPr>
            <w:tcW w:w="5238" w:type="dxa"/>
            <w:vAlign w:val="center"/>
          </w:tcPr>
          <w:p w:rsidR="002C0F71" w:rsidRDefault="002C0F71" w:rsidP="002C0F71">
            <w:pPr>
              <w:spacing w:after="160" w:line="360" w:lineRule="auto"/>
              <w:jc w:val="center"/>
            </w:pPr>
            <w:r>
              <w:t>Average Expected Negative Exposure</w:t>
            </w:r>
          </w:p>
        </w:tc>
      </w:tr>
      <w:tr w:rsidR="002C0F71" w:rsidTr="002C0F71">
        <w:tc>
          <w:tcPr>
            <w:tcW w:w="738" w:type="dxa"/>
            <w:vAlign w:val="center"/>
          </w:tcPr>
          <w:p w:rsidR="002C0F71" w:rsidRDefault="002C0F71" w:rsidP="002C0F71">
            <w:pPr>
              <w:spacing w:after="160" w:line="360" w:lineRule="auto"/>
              <w:jc w:val="center"/>
            </w:pPr>
            <w:r>
              <w:t>15</w:t>
            </w:r>
          </w:p>
        </w:tc>
        <w:tc>
          <w:tcPr>
            <w:tcW w:w="3600" w:type="dxa"/>
            <w:vAlign w:val="center"/>
          </w:tcPr>
          <w:p w:rsidR="002C0F71" w:rsidRDefault="002C0F71" w:rsidP="002C0F71">
            <w:pPr>
              <w:spacing w:after="160" w:line="360" w:lineRule="auto"/>
              <w:jc w:val="center"/>
            </w:pPr>
            <w:r>
              <w:t>AENE MC Error</w:t>
            </w:r>
          </w:p>
        </w:tc>
        <w:tc>
          <w:tcPr>
            <w:tcW w:w="5238" w:type="dxa"/>
            <w:vAlign w:val="center"/>
          </w:tcPr>
          <w:p w:rsidR="002C0F71" w:rsidRDefault="002C0F71" w:rsidP="002C0F71">
            <w:pPr>
              <w:spacing w:after="160" w:line="360" w:lineRule="auto"/>
              <w:jc w:val="center"/>
            </w:pPr>
            <w:r>
              <w:t>AENE MC Error</w:t>
            </w:r>
          </w:p>
        </w:tc>
      </w:tr>
      <w:tr w:rsidR="002C0F71" w:rsidTr="002C0F71">
        <w:tc>
          <w:tcPr>
            <w:tcW w:w="738" w:type="dxa"/>
            <w:vAlign w:val="center"/>
          </w:tcPr>
          <w:p w:rsidR="002C0F71" w:rsidRDefault="002C0F71" w:rsidP="002C0F71">
            <w:pPr>
              <w:spacing w:after="160" w:line="360" w:lineRule="auto"/>
              <w:jc w:val="center"/>
            </w:pPr>
            <w:r>
              <w:t>16</w:t>
            </w:r>
          </w:p>
        </w:tc>
        <w:tc>
          <w:tcPr>
            <w:tcW w:w="3600" w:type="dxa"/>
            <w:vAlign w:val="center"/>
          </w:tcPr>
          <w:p w:rsidR="002C0F71" w:rsidRDefault="002C0F71" w:rsidP="002C0F71">
            <w:pPr>
              <w:spacing w:after="160" w:line="360" w:lineRule="auto"/>
              <w:jc w:val="center"/>
            </w:pPr>
            <w:r>
              <w:t>Col AEPE</w:t>
            </w:r>
          </w:p>
        </w:tc>
        <w:tc>
          <w:tcPr>
            <w:tcW w:w="5238" w:type="dxa"/>
            <w:vAlign w:val="center"/>
          </w:tcPr>
          <w:p w:rsidR="002C0F71" w:rsidRDefault="002C0F71" w:rsidP="002C0F71">
            <w:pPr>
              <w:spacing w:after="160" w:line="360" w:lineRule="auto"/>
              <w:jc w:val="center"/>
            </w:pPr>
            <w:r>
              <w:t>Collateralized AEPE</w:t>
            </w:r>
          </w:p>
        </w:tc>
      </w:tr>
      <w:tr w:rsidR="002C0F71" w:rsidTr="002C0F71">
        <w:tc>
          <w:tcPr>
            <w:tcW w:w="738" w:type="dxa"/>
            <w:vAlign w:val="center"/>
          </w:tcPr>
          <w:p w:rsidR="002C0F71" w:rsidRDefault="002C0F71" w:rsidP="002C0F71">
            <w:pPr>
              <w:spacing w:after="160" w:line="360" w:lineRule="auto"/>
              <w:jc w:val="center"/>
            </w:pPr>
            <w:r>
              <w:t>17</w:t>
            </w:r>
          </w:p>
        </w:tc>
        <w:tc>
          <w:tcPr>
            <w:tcW w:w="3600" w:type="dxa"/>
            <w:vAlign w:val="center"/>
          </w:tcPr>
          <w:p w:rsidR="002C0F71" w:rsidRDefault="002C0F71" w:rsidP="002C0F71">
            <w:pPr>
              <w:spacing w:after="160" w:line="360" w:lineRule="auto"/>
              <w:jc w:val="center"/>
            </w:pPr>
            <w:r>
              <w:t>Col AEPE MC Error</w:t>
            </w:r>
          </w:p>
        </w:tc>
        <w:tc>
          <w:tcPr>
            <w:tcW w:w="5238" w:type="dxa"/>
            <w:vAlign w:val="center"/>
          </w:tcPr>
          <w:p w:rsidR="002C0F71" w:rsidRDefault="002C0F71" w:rsidP="002C0F71">
            <w:pPr>
              <w:spacing w:after="160" w:line="360" w:lineRule="auto"/>
              <w:jc w:val="center"/>
            </w:pPr>
            <w:r>
              <w:t>Collateralized AEPE MC Error</w:t>
            </w:r>
          </w:p>
        </w:tc>
      </w:tr>
      <w:tr w:rsidR="002C0F71" w:rsidTr="002C0F71">
        <w:tc>
          <w:tcPr>
            <w:tcW w:w="738" w:type="dxa"/>
            <w:vAlign w:val="center"/>
          </w:tcPr>
          <w:p w:rsidR="002C0F71" w:rsidRDefault="002C0F71" w:rsidP="002C0F71">
            <w:pPr>
              <w:spacing w:after="160" w:line="360" w:lineRule="auto"/>
              <w:jc w:val="center"/>
            </w:pPr>
            <w:r>
              <w:t>18</w:t>
            </w:r>
          </w:p>
        </w:tc>
        <w:tc>
          <w:tcPr>
            <w:tcW w:w="3600" w:type="dxa"/>
            <w:vAlign w:val="center"/>
          </w:tcPr>
          <w:p w:rsidR="002C0F71" w:rsidRDefault="002C0F71" w:rsidP="008F462D">
            <w:pPr>
              <w:spacing w:after="160" w:line="360" w:lineRule="auto"/>
              <w:jc w:val="center"/>
            </w:pPr>
            <w:r>
              <w:t>Col AENE</w:t>
            </w:r>
          </w:p>
        </w:tc>
        <w:tc>
          <w:tcPr>
            <w:tcW w:w="5238" w:type="dxa"/>
            <w:vAlign w:val="center"/>
          </w:tcPr>
          <w:p w:rsidR="002C0F71" w:rsidRDefault="002C0F71" w:rsidP="002C0F71">
            <w:pPr>
              <w:spacing w:after="160" w:line="360" w:lineRule="auto"/>
              <w:jc w:val="center"/>
            </w:pPr>
            <w:r>
              <w:t>Collateralized AENE</w:t>
            </w:r>
          </w:p>
        </w:tc>
      </w:tr>
      <w:tr w:rsidR="002C0F71" w:rsidTr="002C0F71">
        <w:tc>
          <w:tcPr>
            <w:tcW w:w="738" w:type="dxa"/>
            <w:vAlign w:val="center"/>
          </w:tcPr>
          <w:p w:rsidR="002C0F71" w:rsidRDefault="002C0F71" w:rsidP="002C0F71">
            <w:pPr>
              <w:spacing w:after="160" w:line="360" w:lineRule="auto"/>
              <w:jc w:val="center"/>
            </w:pPr>
            <w:r>
              <w:t>19</w:t>
            </w:r>
          </w:p>
        </w:tc>
        <w:tc>
          <w:tcPr>
            <w:tcW w:w="3600" w:type="dxa"/>
            <w:vAlign w:val="center"/>
          </w:tcPr>
          <w:p w:rsidR="002C0F71" w:rsidRDefault="002C0F71" w:rsidP="002C0F71">
            <w:pPr>
              <w:spacing w:after="160" w:line="360" w:lineRule="auto"/>
              <w:jc w:val="center"/>
            </w:pPr>
            <w:r>
              <w:t>Col AENE MC Error</w:t>
            </w:r>
          </w:p>
        </w:tc>
        <w:tc>
          <w:tcPr>
            <w:tcW w:w="5238" w:type="dxa"/>
            <w:vAlign w:val="center"/>
          </w:tcPr>
          <w:p w:rsidR="002C0F71" w:rsidRDefault="002C0F71" w:rsidP="008F462D">
            <w:pPr>
              <w:spacing w:after="160" w:line="360" w:lineRule="auto"/>
              <w:jc w:val="center"/>
            </w:pPr>
            <w:r>
              <w:t>Collateralized AENE MC Error</w:t>
            </w:r>
          </w:p>
        </w:tc>
      </w:tr>
      <w:tr w:rsidR="002C0F71" w:rsidTr="002C0F71">
        <w:tc>
          <w:tcPr>
            <w:tcW w:w="738" w:type="dxa"/>
            <w:vAlign w:val="center"/>
          </w:tcPr>
          <w:p w:rsidR="002C0F71" w:rsidRDefault="002C0F71" w:rsidP="002C0F71">
            <w:pPr>
              <w:spacing w:after="160" w:line="360" w:lineRule="auto"/>
              <w:jc w:val="center"/>
            </w:pPr>
            <w:r>
              <w:t>20</w:t>
            </w:r>
          </w:p>
        </w:tc>
        <w:tc>
          <w:tcPr>
            <w:tcW w:w="3600" w:type="dxa"/>
            <w:vAlign w:val="center"/>
          </w:tcPr>
          <w:p w:rsidR="002C0F71" w:rsidRDefault="002C0F71" w:rsidP="002C0F71">
            <w:pPr>
              <w:spacing w:after="160" w:line="360" w:lineRule="auto"/>
              <w:jc w:val="center"/>
            </w:pPr>
            <w:r>
              <w:t>DTZ</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-NPV</m:t>
                </m:r>
              </m:oMath>
            </m:oMathPara>
          </w:p>
        </w:tc>
      </w:tr>
      <w:tr w:rsidR="002C0F71" w:rsidTr="002C0F71">
        <w:tc>
          <w:tcPr>
            <w:tcW w:w="738" w:type="dxa"/>
            <w:vAlign w:val="center"/>
          </w:tcPr>
          <w:p w:rsidR="002C0F71" w:rsidRDefault="002C0F71" w:rsidP="002C0F71">
            <w:pPr>
              <w:spacing w:after="160" w:line="360" w:lineRule="auto"/>
              <w:jc w:val="center"/>
            </w:pPr>
            <w:r>
              <w:t>21</w:t>
            </w:r>
          </w:p>
        </w:tc>
        <w:tc>
          <w:tcPr>
            <w:tcW w:w="3600" w:type="dxa"/>
            <w:vAlign w:val="center"/>
          </w:tcPr>
          <w:p w:rsidR="002C0F71" w:rsidRDefault="002C0F71" w:rsidP="002C0F71">
            <w:pPr>
              <w:spacing w:after="160" w:line="360" w:lineRule="auto"/>
              <w:jc w:val="center"/>
            </w:pPr>
            <w:r>
              <w:t>DTR</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m:t>
                </m:r>
                <m:d>
                  <m:dPr>
                    <m:ctrlPr>
                      <w:rPr>
                        <w:rFonts w:ascii="Cambria Math" w:hAnsi="Cambria Math"/>
                        <w:i/>
                      </w:rPr>
                    </m:ctrlPr>
                  </m:dPr>
                  <m:e>
                    <m:r>
                      <w:rPr>
                        <w:rFonts w:ascii="Cambria Math" w:hAnsi="Cambria Math"/>
                      </w:rPr>
                      <m:t>1-RR</m:t>
                    </m:r>
                  </m:e>
                </m:d>
                <m:r>
                  <w:rPr>
                    <w:rFonts w:ascii="Cambria Math" w:hAnsi="Cambria Math"/>
                  </w:rPr>
                  <m:t>×NPV</m:t>
                </m:r>
              </m:oMath>
            </m:oMathPara>
          </w:p>
        </w:tc>
      </w:tr>
    </w:tbl>
    <w:p w:rsidR="002C0F71" w:rsidRDefault="002C0F71" w:rsidP="002C0F71">
      <w:pPr>
        <w:spacing w:after="160" w:line="360" w:lineRule="auto"/>
      </w:pPr>
    </w:p>
    <w:p w:rsidR="002C0F71" w:rsidRDefault="002C0F71" w:rsidP="00D83552">
      <w:pPr>
        <w:pStyle w:val="ListParagraph"/>
        <w:numPr>
          <w:ilvl w:val="0"/>
          <w:numId w:val="95"/>
        </w:numPr>
        <w:spacing w:after="160" w:line="360" w:lineRule="auto"/>
      </w:pPr>
      <w:r>
        <w:rPr>
          <w:u w:val="single"/>
        </w:rPr>
        <w:t>Portfolio Trajectory Period Edge Measures</w:t>
      </w:r>
      <w:r>
        <w:t>: For each time period the CVA/DVA are computed and the following measures are stored.</w:t>
      </w:r>
    </w:p>
    <w:p w:rsidR="002C0F71" w:rsidRDefault="007E15A6" w:rsidP="00D83552">
      <w:pPr>
        <w:pStyle w:val="ListParagraph"/>
        <w:numPr>
          <w:ilvl w:val="1"/>
          <w:numId w:val="95"/>
        </w:numPr>
        <w:spacing w:after="160" w:line="360" w:lineRule="auto"/>
      </w:pPr>
      <w:r>
        <w:t>Vertex Start</w:t>
      </w:r>
    </w:p>
    <w:p w:rsidR="007E15A6" w:rsidRDefault="007E15A6" w:rsidP="00D83552">
      <w:pPr>
        <w:pStyle w:val="ListParagraph"/>
        <w:numPr>
          <w:ilvl w:val="1"/>
          <w:numId w:val="95"/>
        </w:numPr>
        <w:spacing w:after="160" w:line="360" w:lineRule="auto"/>
      </w:pPr>
      <w:r>
        <w:t>Vertex End</w:t>
      </w:r>
    </w:p>
    <w:p w:rsidR="007E15A6" w:rsidRDefault="007E15A6" w:rsidP="00D83552">
      <w:pPr>
        <w:pStyle w:val="ListParagraph"/>
        <w:numPr>
          <w:ilvl w:val="1"/>
          <w:numId w:val="95"/>
        </w:numPr>
        <w:spacing w:after="160" w:line="360" w:lineRule="auto"/>
      </w:pPr>
      <w:r>
        <w:t>Vertex Unconditional Counter Party Default Probabilities</w:t>
      </w:r>
    </w:p>
    <w:p w:rsidR="007E15A6" w:rsidRDefault="007E15A6" w:rsidP="00D83552">
      <w:pPr>
        <w:pStyle w:val="ListParagraph"/>
        <w:numPr>
          <w:ilvl w:val="1"/>
          <w:numId w:val="95"/>
        </w:numPr>
        <w:spacing w:after="160" w:line="360" w:lineRule="auto"/>
      </w:pPr>
      <w:r>
        <w:lastRenderedPageBreak/>
        <w:t>Vertex Counter Party Default Probabilities Conditional on Bank Survival</w:t>
      </w:r>
    </w:p>
    <w:p w:rsidR="007E15A6" w:rsidRDefault="007E15A6" w:rsidP="00D83552">
      <w:pPr>
        <w:pStyle w:val="ListParagraph"/>
        <w:numPr>
          <w:ilvl w:val="1"/>
          <w:numId w:val="95"/>
        </w:numPr>
        <w:spacing w:after="160" w:line="360" w:lineRule="auto"/>
      </w:pPr>
      <w:r>
        <w:t>Edge CVA</w:t>
      </w:r>
    </w:p>
    <w:p w:rsidR="007E15A6" w:rsidRDefault="007E15A6" w:rsidP="00D83552">
      <w:pPr>
        <w:pStyle w:val="ListParagraph"/>
        <w:numPr>
          <w:ilvl w:val="1"/>
          <w:numId w:val="95"/>
        </w:numPr>
        <w:spacing w:after="160" w:line="360" w:lineRule="auto"/>
      </w:pPr>
      <w:r>
        <w:t>Vertex Positive Exposures</w:t>
      </w:r>
    </w:p>
    <w:p w:rsidR="007E15A6" w:rsidRDefault="007E15A6" w:rsidP="00D83552">
      <w:pPr>
        <w:pStyle w:val="ListParagraph"/>
        <w:numPr>
          <w:ilvl w:val="1"/>
          <w:numId w:val="95"/>
        </w:numPr>
        <w:spacing w:after="160" w:line="360" w:lineRule="auto"/>
      </w:pPr>
      <w:r>
        <w:t>Vertex Discount Factors</w:t>
      </w:r>
    </w:p>
    <w:p w:rsidR="007E15A6" w:rsidRDefault="007E15A6" w:rsidP="00D83552">
      <w:pPr>
        <w:pStyle w:val="ListParagraph"/>
        <w:numPr>
          <w:ilvl w:val="1"/>
          <w:numId w:val="95"/>
        </w:numPr>
        <w:spacing w:after="160" w:line="360" w:lineRule="auto"/>
      </w:pPr>
      <w:r>
        <w:t>Vertex Counter Party Recovery Rate</w:t>
      </w:r>
    </w:p>
    <w:p w:rsidR="007E15A6" w:rsidRDefault="007E15A6" w:rsidP="00D83552">
      <w:pPr>
        <w:pStyle w:val="ListParagraph"/>
        <w:numPr>
          <w:ilvl w:val="1"/>
          <w:numId w:val="95"/>
        </w:numPr>
        <w:spacing w:after="160" w:line="360" w:lineRule="auto"/>
      </w:pPr>
      <w:r>
        <w:t>Vertex Unconditional Bank Default Probabilities</w:t>
      </w:r>
    </w:p>
    <w:p w:rsidR="007E15A6" w:rsidRDefault="007E15A6" w:rsidP="00D83552">
      <w:pPr>
        <w:pStyle w:val="ListParagraph"/>
        <w:numPr>
          <w:ilvl w:val="1"/>
          <w:numId w:val="95"/>
        </w:numPr>
        <w:spacing w:after="160" w:line="360" w:lineRule="auto"/>
      </w:pPr>
      <w:r>
        <w:t>Vertex Bank Default Probabilities Conditional on Counter Party Survival</w:t>
      </w:r>
    </w:p>
    <w:p w:rsidR="007E15A6" w:rsidRDefault="007E15A6" w:rsidP="00D83552">
      <w:pPr>
        <w:pStyle w:val="ListParagraph"/>
        <w:numPr>
          <w:ilvl w:val="1"/>
          <w:numId w:val="95"/>
        </w:numPr>
        <w:spacing w:after="160" w:line="360" w:lineRule="auto"/>
      </w:pPr>
      <w:r>
        <w:t>Edge DVA</w:t>
      </w:r>
    </w:p>
    <w:p w:rsidR="007E15A6" w:rsidRDefault="007E15A6" w:rsidP="00D83552">
      <w:pPr>
        <w:pStyle w:val="ListParagraph"/>
        <w:numPr>
          <w:ilvl w:val="1"/>
          <w:numId w:val="95"/>
        </w:numPr>
        <w:spacing w:after="160" w:line="360" w:lineRule="auto"/>
      </w:pPr>
      <w:r>
        <w:t xml:space="preserve">Vertex </w:t>
      </w:r>
      <w:r w:rsidR="00516F4F">
        <w:t>Negative</w:t>
      </w:r>
      <w:r>
        <w:t xml:space="preserve"> Exposures</w:t>
      </w:r>
    </w:p>
    <w:p w:rsidR="007E15A6" w:rsidRDefault="007E15A6" w:rsidP="00D83552">
      <w:pPr>
        <w:pStyle w:val="ListParagraph"/>
        <w:numPr>
          <w:ilvl w:val="1"/>
          <w:numId w:val="95"/>
        </w:numPr>
        <w:spacing w:after="160" w:line="360" w:lineRule="auto"/>
      </w:pPr>
      <w:r>
        <w:t xml:space="preserve">Vertex </w:t>
      </w:r>
      <w:r w:rsidR="00516F4F">
        <w:t>Bank</w:t>
      </w:r>
      <w:r>
        <w:t xml:space="preserve"> Recovery Rate</w:t>
      </w:r>
    </w:p>
    <w:p w:rsidR="00516F4F" w:rsidRDefault="00516F4F" w:rsidP="00D83552">
      <w:pPr>
        <w:pStyle w:val="ListParagraph"/>
        <w:numPr>
          <w:ilvl w:val="1"/>
          <w:numId w:val="95"/>
        </w:numPr>
        <w:spacing w:after="160" w:line="360" w:lineRule="auto"/>
      </w:pPr>
      <w:r>
        <w:t>Vertex Positive PFE</w:t>
      </w:r>
    </w:p>
    <w:p w:rsidR="00516F4F" w:rsidRDefault="00516F4F" w:rsidP="00D83552">
      <w:pPr>
        <w:pStyle w:val="ListParagraph"/>
        <w:numPr>
          <w:ilvl w:val="1"/>
          <w:numId w:val="95"/>
        </w:numPr>
        <w:spacing w:after="160" w:line="360" w:lineRule="auto"/>
      </w:pPr>
      <w:r>
        <w:t>Vertex Negative PFE</w:t>
      </w:r>
    </w:p>
    <w:p w:rsidR="00516F4F" w:rsidRDefault="00516F4F" w:rsidP="00D83552">
      <w:pPr>
        <w:pStyle w:val="ListParagraph"/>
        <w:numPr>
          <w:ilvl w:val="1"/>
          <w:numId w:val="95"/>
        </w:numPr>
        <w:spacing w:after="160" w:line="360" w:lineRule="auto"/>
      </w:pPr>
      <w:r>
        <w:t>Vertex Collateralized EPE</w:t>
      </w:r>
    </w:p>
    <w:p w:rsidR="00516F4F" w:rsidRDefault="00516F4F" w:rsidP="00D83552">
      <w:pPr>
        <w:pStyle w:val="ListParagraph"/>
        <w:numPr>
          <w:ilvl w:val="1"/>
          <w:numId w:val="95"/>
        </w:numPr>
        <w:spacing w:after="160" w:line="360" w:lineRule="auto"/>
      </w:pPr>
      <w:r>
        <w:t>Vertex Collateralized ENE</w:t>
      </w:r>
    </w:p>
    <w:p w:rsidR="00516F4F" w:rsidRDefault="00516F4F" w:rsidP="00D83552">
      <w:pPr>
        <w:pStyle w:val="ListParagraph"/>
        <w:numPr>
          <w:ilvl w:val="1"/>
          <w:numId w:val="95"/>
        </w:numPr>
        <w:spacing w:after="160" w:line="360" w:lineRule="auto"/>
      </w:pPr>
      <w:r>
        <w:t>Vertex Collateral</w:t>
      </w:r>
    </w:p>
    <w:p w:rsidR="00516F4F" w:rsidRDefault="00516F4F" w:rsidP="00D83552">
      <w:pPr>
        <w:pStyle w:val="ListParagraph"/>
        <w:numPr>
          <w:ilvl w:val="1"/>
          <w:numId w:val="95"/>
        </w:numPr>
        <w:spacing w:after="160" w:line="360" w:lineRule="auto"/>
      </w:pPr>
      <w:r>
        <w:t>Vertex Positive Collateral</w:t>
      </w:r>
    </w:p>
    <w:p w:rsidR="00516F4F" w:rsidRDefault="00516F4F" w:rsidP="00D83552">
      <w:pPr>
        <w:pStyle w:val="ListParagraph"/>
        <w:numPr>
          <w:ilvl w:val="1"/>
          <w:numId w:val="95"/>
        </w:numPr>
        <w:spacing w:after="160" w:line="360" w:lineRule="auto"/>
      </w:pPr>
      <w:r>
        <w:t>Vertex Negative Collateral</w:t>
      </w:r>
    </w:p>
    <w:p w:rsidR="00516F4F" w:rsidRDefault="00516F4F" w:rsidP="00D83552">
      <w:pPr>
        <w:pStyle w:val="ListParagraph"/>
        <w:numPr>
          <w:ilvl w:val="1"/>
          <w:numId w:val="95"/>
        </w:numPr>
        <w:spacing w:after="160" w:line="360" w:lineRule="auto"/>
      </w:pPr>
      <w:r>
        <w:t>Vertex Cash Flows</w:t>
      </w:r>
    </w:p>
    <w:p w:rsidR="00516F4F" w:rsidRDefault="00516F4F" w:rsidP="00D83552">
      <w:pPr>
        <w:pStyle w:val="ListParagraph"/>
        <w:numPr>
          <w:ilvl w:val="1"/>
          <w:numId w:val="95"/>
        </w:numPr>
        <w:spacing w:after="160" w:line="360" w:lineRule="auto"/>
      </w:pPr>
      <w:r>
        <w:t>Vertex Positive Cash Flow</w:t>
      </w:r>
    </w:p>
    <w:p w:rsidR="00516F4F" w:rsidRDefault="00516F4F" w:rsidP="00D83552">
      <w:pPr>
        <w:pStyle w:val="ListParagraph"/>
        <w:numPr>
          <w:ilvl w:val="1"/>
          <w:numId w:val="95"/>
        </w:numPr>
        <w:spacing w:after="160" w:line="360" w:lineRule="auto"/>
      </w:pPr>
      <w:r>
        <w:t>Vertex Negative Cash Flow</w:t>
      </w:r>
    </w:p>
    <w:p w:rsidR="00516F4F" w:rsidRDefault="00516F4F" w:rsidP="00D83552">
      <w:pPr>
        <w:pStyle w:val="ListParagraph"/>
        <w:numPr>
          <w:ilvl w:val="1"/>
          <w:numId w:val="95"/>
        </w:numPr>
        <w:spacing w:after="160" w:line="360" w:lineRule="auto"/>
      </w:pPr>
      <w:r>
        <w:t>Vertex EPE MC Error</w:t>
      </w:r>
    </w:p>
    <w:p w:rsidR="00516F4F" w:rsidRPr="007E15A6" w:rsidRDefault="00516F4F" w:rsidP="00D83552">
      <w:pPr>
        <w:pStyle w:val="ListParagraph"/>
        <w:numPr>
          <w:ilvl w:val="1"/>
          <w:numId w:val="95"/>
        </w:numPr>
        <w:spacing w:after="160" w:line="360" w:lineRule="auto"/>
      </w:pPr>
      <w:r>
        <w:t>Vertex EPE Percent MC Error</w:t>
      </w:r>
    </w:p>
    <w:p w:rsidR="00516F4F" w:rsidRDefault="00516F4F" w:rsidP="00D83552">
      <w:pPr>
        <w:pStyle w:val="ListParagraph"/>
        <w:numPr>
          <w:ilvl w:val="1"/>
          <w:numId w:val="95"/>
        </w:numPr>
        <w:spacing w:after="160" w:line="360" w:lineRule="auto"/>
      </w:pPr>
      <w:r>
        <w:t>Vertex ENE MC Error</w:t>
      </w:r>
    </w:p>
    <w:p w:rsidR="00516F4F" w:rsidRPr="007E15A6" w:rsidRDefault="00516F4F" w:rsidP="00D83552">
      <w:pPr>
        <w:pStyle w:val="ListParagraph"/>
        <w:numPr>
          <w:ilvl w:val="1"/>
          <w:numId w:val="95"/>
        </w:numPr>
        <w:spacing w:after="160" w:line="360" w:lineRule="auto"/>
      </w:pPr>
      <w:r>
        <w:t>Vertex ENE Percent MC Error</w:t>
      </w:r>
    </w:p>
    <w:p w:rsidR="00516F4F" w:rsidRDefault="00516F4F" w:rsidP="00D83552">
      <w:pPr>
        <w:pStyle w:val="ListParagraph"/>
        <w:numPr>
          <w:ilvl w:val="1"/>
          <w:numId w:val="95"/>
        </w:numPr>
        <w:spacing w:after="160" w:line="360" w:lineRule="auto"/>
      </w:pPr>
      <w:r>
        <w:t>Vertex Collateralized EPE MC Error</w:t>
      </w:r>
    </w:p>
    <w:p w:rsidR="00516F4F" w:rsidRPr="007E15A6" w:rsidRDefault="00516F4F" w:rsidP="00D83552">
      <w:pPr>
        <w:pStyle w:val="ListParagraph"/>
        <w:numPr>
          <w:ilvl w:val="1"/>
          <w:numId w:val="95"/>
        </w:numPr>
        <w:spacing w:after="160" w:line="360" w:lineRule="auto"/>
      </w:pPr>
      <w:r>
        <w:t>Vertex Collateralized EPE Percent MC Error</w:t>
      </w:r>
    </w:p>
    <w:p w:rsidR="00516F4F" w:rsidRDefault="00516F4F" w:rsidP="00D83552">
      <w:pPr>
        <w:pStyle w:val="ListParagraph"/>
        <w:numPr>
          <w:ilvl w:val="1"/>
          <w:numId w:val="95"/>
        </w:numPr>
        <w:spacing w:after="160" w:line="360" w:lineRule="auto"/>
      </w:pPr>
      <w:r>
        <w:t>Vertex Collateralized ENE MC Error</w:t>
      </w:r>
    </w:p>
    <w:p w:rsidR="00516F4F" w:rsidRDefault="00516F4F" w:rsidP="00D83552">
      <w:pPr>
        <w:pStyle w:val="ListParagraph"/>
        <w:numPr>
          <w:ilvl w:val="1"/>
          <w:numId w:val="95"/>
        </w:numPr>
        <w:spacing w:after="160" w:line="360" w:lineRule="auto"/>
      </w:pPr>
      <w:r>
        <w:t>Vertex Collateralized ENE Percent MC Error</w:t>
      </w:r>
    </w:p>
    <w:p w:rsidR="00516F4F" w:rsidRDefault="00516F4F" w:rsidP="00D83552">
      <w:pPr>
        <w:pStyle w:val="ListParagraph"/>
        <w:numPr>
          <w:ilvl w:val="1"/>
          <w:numId w:val="95"/>
        </w:numPr>
        <w:spacing w:after="160" w:line="360" w:lineRule="auto"/>
      </w:pPr>
      <w:r>
        <w:t>Vertex Start EPE</w:t>
      </w:r>
    </w:p>
    <w:p w:rsidR="00516F4F" w:rsidRDefault="00516F4F" w:rsidP="00D83552">
      <w:pPr>
        <w:pStyle w:val="ListParagraph"/>
        <w:numPr>
          <w:ilvl w:val="1"/>
          <w:numId w:val="95"/>
        </w:numPr>
        <w:spacing w:after="160" w:line="360" w:lineRule="auto"/>
      </w:pPr>
      <w:r>
        <w:t>Vertex Start ENE</w:t>
      </w:r>
    </w:p>
    <w:p w:rsidR="00516F4F" w:rsidRDefault="00516F4F" w:rsidP="00D83552">
      <w:pPr>
        <w:pStyle w:val="ListParagraph"/>
        <w:numPr>
          <w:ilvl w:val="1"/>
          <w:numId w:val="95"/>
        </w:numPr>
        <w:spacing w:after="160" w:line="360" w:lineRule="auto"/>
      </w:pPr>
      <w:r>
        <w:lastRenderedPageBreak/>
        <w:t>Vertex Start Collateralized EPE</w:t>
      </w:r>
    </w:p>
    <w:p w:rsidR="00516F4F" w:rsidRDefault="00516F4F" w:rsidP="00D83552">
      <w:pPr>
        <w:pStyle w:val="ListParagraph"/>
        <w:numPr>
          <w:ilvl w:val="1"/>
          <w:numId w:val="95"/>
        </w:numPr>
        <w:spacing w:after="160" w:line="360" w:lineRule="auto"/>
      </w:pPr>
      <w:r>
        <w:t>Vertex Start Collateralized ENE</w:t>
      </w:r>
    </w:p>
    <w:p w:rsidR="00F57C91" w:rsidRDefault="00F57C91" w:rsidP="00D83552">
      <w:pPr>
        <w:pStyle w:val="ListParagraph"/>
        <w:numPr>
          <w:ilvl w:val="0"/>
          <w:numId w:val="95"/>
        </w:numPr>
        <w:spacing w:after="160" w:line="360" w:lineRule="auto"/>
      </w:pPr>
      <w:r>
        <w:rPr>
          <w:u w:val="single"/>
        </w:rPr>
        <w:t>XVA Calculation Input Parameters</w:t>
      </w:r>
      <w:r>
        <w:t>:</w:t>
      </w:r>
    </w:p>
    <w:p w:rsidR="00F57C91" w:rsidRDefault="00F57C91" w:rsidP="00D83552">
      <w:pPr>
        <w:pStyle w:val="ListParagraph"/>
        <w:numPr>
          <w:ilvl w:val="1"/>
          <w:numId w:val="95"/>
        </w:numPr>
        <w:spacing w:after="160" w:line="360" w:lineRule="auto"/>
      </w:pPr>
      <w:r>
        <w:t>Credit Data =&gt; Credit Information for both parties; hazard curves and recovery rates/recovery maps</w:t>
      </w:r>
    </w:p>
    <w:p w:rsidR="00F57C91" w:rsidRDefault="00F57C91" w:rsidP="00D83552">
      <w:pPr>
        <w:pStyle w:val="ListParagraph"/>
        <w:numPr>
          <w:ilvl w:val="1"/>
          <w:numId w:val="95"/>
        </w:numPr>
        <w:spacing w:after="160" w:line="360" w:lineRule="auto"/>
      </w:pPr>
      <w:r>
        <w:t>Discount Curves or simulated discount factor paths</w:t>
      </w:r>
    </w:p>
    <w:p w:rsidR="00F57C91" w:rsidRDefault="00F57C91" w:rsidP="00D83552">
      <w:pPr>
        <w:pStyle w:val="ListParagraph"/>
        <w:numPr>
          <w:ilvl w:val="1"/>
          <w:numId w:val="95"/>
        </w:numPr>
        <w:spacing w:after="160" w:line="360" w:lineRule="auto"/>
      </w:pPr>
      <w:r>
        <w:t xml:space="preserve">Threshold to indicate PFE – default is set to </w:t>
      </w:r>
      <m:oMath>
        <m:r>
          <w:rPr>
            <w:rFonts w:ascii="Cambria Math" w:hAnsi="Cambria Math"/>
          </w:rPr>
          <m:t>0.975</m:t>
        </m:r>
      </m:oMath>
    </w:p>
    <w:p w:rsidR="00F57C91" w:rsidRDefault="00F57C91" w:rsidP="00D83552">
      <w:pPr>
        <w:pStyle w:val="ListParagraph"/>
        <w:numPr>
          <w:ilvl w:val="1"/>
          <w:numId w:val="95"/>
        </w:numPr>
        <w:spacing w:after="160" w:line="360" w:lineRule="auto"/>
      </w:pPr>
      <w:r>
        <w:t>An indicator (TRUE/FALSE) on whether to use conditional default probability or unconditional – default is unconditional.</w:t>
      </w:r>
    </w:p>
    <w:p w:rsidR="00397E59" w:rsidRDefault="00397E59" w:rsidP="00F83992">
      <w:pPr>
        <w:spacing w:after="160" w:line="360" w:lineRule="auto"/>
        <w:rPr>
          <w:sz w:val="32"/>
        </w:rPr>
      </w:pPr>
      <w:r w:rsidRPr="00F83992">
        <w:br w:type="page"/>
      </w:r>
    </w:p>
    <w:p w:rsidR="00397E59" w:rsidRDefault="00397E59" w:rsidP="00397E59">
      <w:pPr>
        <w:spacing w:line="360" w:lineRule="auto"/>
        <w:jc w:val="center"/>
        <w:rPr>
          <w:b/>
          <w:sz w:val="32"/>
          <w:szCs w:val="32"/>
        </w:rPr>
      </w:pPr>
    </w:p>
    <w:p w:rsidR="00397E59" w:rsidRDefault="00397E59" w:rsidP="00397E59">
      <w:pPr>
        <w:spacing w:line="360" w:lineRule="auto"/>
        <w:jc w:val="center"/>
        <w:rPr>
          <w:b/>
          <w:sz w:val="32"/>
          <w:szCs w:val="32"/>
        </w:rPr>
      </w:pPr>
      <w:r>
        <w:rPr>
          <w:b/>
          <w:sz w:val="32"/>
          <w:szCs w:val="32"/>
        </w:rPr>
        <w:t>CVA And Funding Adjustments PDE</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Risk and Funding Costs</w:t>
      </w:r>
    </w:p>
    <w:p w:rsidR="00397E59" w:rsidRDefault="00397E59" w:rsidP="00397E59">
      <w:pPr>
        <w:spacing w:line="360" w:lineRule="auto"/>
      </w:pPr>
    </w:p>
    <w:p w:rsidR="00397E59" w:rsidRDefault="00397E59" w:rsidP="008A18B1">
      <w:pPr>
        <w:pStyle w:val="ListParagraph"/>
        <w:numPr>
          <w:ilvl w:val="0"/>
          <w:numId w:val="70"/>
        </w:numPr>
        <w:spacing w:after="160" w:line="360" w:lineRule="auto"/>
      </w:pPr>
      <w:r w:rsidRPr="0084037E">
        <w:rPr>
          <w:u w:val="single"/>
        </w:rPr>
        <w:t>PDE Derivation of Adjustments – Approach</w:t>
      </w:r>
      <w:r w:rsidRPr="0084037E">
        <w:t>: Burgard and Kjaer (2012a) derive the partial differential equation (PDE) representation for the value of financial derivatives with bilateral counterparty risks and funding costs. The model is very general in that the funding rate for lending and borrowing and the MTM value at default can be exogenously specified.</w:t>
      </w:r>
    </w:p>
    <w:p w:rsidR="00397E59" w:rsidRDefault="00397E59" w:rsidP="008A18B1">
      <w:pPr>
        <w:pStyle w:val="ListParagraph"/>
        <w:numPr>
          <w:ilvl w:val="0"/>
          <w:numId w:val="70"/>
        </w:numPr>
        <w:spacing w:after="160" w:line="360" w:lineRule="auto"/>
      </w:pPr>
      <w:r>
        <w:rPr>
          <w:u w:val="single"/>
        </w:rPr>
        <w:t>Buy-Back of Own Bonds</w:t>
      </w:r>
      <w:r w:rsidRPr="0084037E">
        <w:t>:</w:t>
      </w:r>
      <w:r>
        <w:t xml:space="preserve"> The buying back of a party’s own bonds is a key part of the delta hedging strategy; they discuss how the cash account of the replication strategy provides sufficient funds for this.</w:t>
      </w:r>
    </w:p>
    <w:p w:rsidR="00397E59" w:rsidRDefault="00397E59" w:rsidP="008A18B1">
      <w:pPr>
        <w:pStyle w:val="ListParagraph"/>
        <w:numPr>
          <w:ilvl w:val="0"/>
          <w:numId w:val="70"/>
        </w:numPr>
        <w:spacing w:after="160" w:line="360" w:lineRule="auto"/>
      </w:pPr>
      <w:r>
        <w:rPr>
          <w:u w:val="single"/>
        </w:rPr>
        <w:t>Full Value as Default Payout</w:t>
      </w:r>
      <w:r>
        <w:t>: First they consider the case where the mark-to-market at default is given by the derivative, which includes the counterparty risk. They find that the resulting pricing PDE becomes non-linear, except in those special cases where the non-linear terms vanish and the Feynman-Kac representation of the total value can be obtained. In these cases the total value of the derivative can be decompose into a default-free part and a bilateral credit valuation and funding adjustment part.</w:t>
      </w:r>
    </w:p>
    <w:p w:rsidR="00397E59" w:rsidRDefault="00397E59" w:rsidP="008A18B1">
      <w:pPr>
        <w:pStyle w:val="ListParagraph"/>
        <w:numPr>
          <w:ilvl w:val="0"/>
          <w:numId w:val="70"/>
        </w:numPr>
        <w:spacing w:after="160" w:line="360" w:lineRule="auto"/>
      </w:pPr>
      <w:r>
        <w:rPr>
          <w:u w:val="single"/>
        </w:rPr>
        <w:t>Fair Derivative Value at Payout</w:t>
      </w:r>
      <w:r w:rsidRPr="00847E12">
        <w:t>:</w:t>
      </w:r>
      <w:r>
        <w:t xml:space="preserve"> Next they assume that the MTM value at default is given by the fair economic value of the derivative. This time the resulting PDE is linear and the corresponding Feynman-Kac representation is used to decompose the total value of the derivative into a default-free value plus bilateral credit valuation and funding cost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Motivation, Literature Scan, and Approach</w:t>
      </w:r>
    </w:p>
    <w:p w:rsidR="00397E59" w:rsidRDefault="00397E59" w:rsidP="00397E59">
      <w:pPr>
        <w:spacing w:line="360" w:lineRule="auto"/>
      </w:pPr>
    </w:p>
    <w:p w:rsidR="00397E59" w:rsidRDefault="00397E59" w:rsidP="008A18B1">
      <w:pPr>
        <w:pStyle w:val="ListParagraph"/>
        <w:numPr>
          <w:ilvl w:val="0"/>
          <w:numId w:val="72"/>
        </w:numPr>
        <w:spacing w:after="160" w:line="360" w:lineRule="auto"/>
      </w:pPr>
      <w:r w:rsidRPr="00847E12">
        <w:rPr>
          <w:u w:val="single"/>
        </w:rPr>
        <w:lastRenderedPageBreak/>
        <w:t>Counterparty Credit Risk Definition</w:t>
      </w:r>
      <w:r w:rsidRPr="00847E12">
        <w:t>: Counterparty credit risk implicitly embedded in derivative contracts has become increasingly relevant in recent market conditions. This risk represents the possibility that the counterparty defaults while owing money under the terms of a derivative contract, or more precisely, if the mark-market value of the derivative is positive to the seller at the time of the default of a counterparty.</w:t>
      </w:r>
    </w:p>
    <w:p w:rsidR="00397E59" w:rsidRDefault="00397E59" w:rsidP="008A18B1">
      <w:pPr>
        <w:pStyle w:val="ListParagraph"/>
        <w:numPr>
          <w:ilvl w:val="0"/>
          <w:numId w:val="72"/>
        </w:numPr>
        <w:spacing w:after="160" w:line="360" w:lineRule="auto"/>
      </w:pPr>
      <w:r>
        <w:rPr>
          <w:u w:val="single"/>
        </w:rPr>
        <w:t>OTC Counterparty Risk Mitigation</w:t>
      </w:r>
      <w:r w:rsidRPr="00847E12">
        <w:t>:</w:t>
      </w:r>
      <w:r>
        <w:t xml:space="preserve"> While for exchange traded products the counterparty risk is mitigated by the presence of the exchange as an intermediary, this is not the case for OTC products. For these a number of different techniques are being used to mitigate the counterparty risk, most commonly by means of netting agreements and collateral mechanisms. The details of these agreements are, for example, published by the International Swaps and Derivatives (ISDA) 2002 Master Agreement.</w:t>
      </w:r>
    </w:p>
    <w:p w:rsidR="00397E59" w:rsidRDefault="00397E59" w:rsidP="008A18B1">
      <w:pPr>
        <w:pStyle w:val="ListParagraph"/>
        <w:numPr>
          <w:ilvl w:val="0"/>
          <w:numId w:val="72"/>
        </w:numPr>
        <w:spacing w:after="160" w:line="360" w:lineRule="auto"/>
      </w:pPr>
      <w:r>
        <w:rPr>
          <w:u w:val="single"/>
        </w:rPr>
        <w:t>Bilateral Counterparty Credit Risk</w:t>
      </w:r>
      <w:r w:rsidRPr="007F3D77">
        <w:t>:</w:t>
      </w:r>
      <w:r>
        <w:t xml:space="preserve"> However the counterparty faces a similar risk of the seller defaulting when the mark-to-market value is positive to the counterparty. Taking into account the credit risk of both the parties is commonly referred to as considering the bilateral counterparty risk. When doing so the value of the derivative to its seller is influenced by its own credit quality.</w:t>
      </w:r>
    </w:p>
    <w:p w:rsidR="00397E59" w:rsidRDefault="00397E59" w:rsidP="008A18B1">
      <w:pPr>
        <w:pStyle w:val="ListParagraph"/>
        <w:numPr>
          <w:ilvl w:val="0"/>
          <w:numId w:val="72"/>
        </w:numPr>
        <w:spacing w:after="160" w:line="360" w:lineRule="auto"/>
      </w:pPr>
      <w:r>
        <w:rPr>
          <w:u w:val="single"/>
        </w:rPr>
        <w:t>Counterparty Credit Risk Coverage</w:t>
      </w:r>
      <w:r w:rsidRPr="007F3D77">
        <w:t>:</w:t>
      </w:r>
      <w:r>
        <w:t xml:space="preserve"> Papers, books, and book chapters that develop techniques for the valuation of the derivatives and derivative portfolio under counterparty risk include, but are not limited to, Jarrow and Turnbull (1995), Jarrow and Yu (2001), Brigo and Mercurio (2007), Li and Tang (2007), Pykhtin and Zhu (2007), Alavian, Ding, Whitehead, and Laiddicina (2008), Gregory (2009), and Cesari, Aquilina, Charpillon, Filipovic, Lee, and Manda (2009).</w:t>
      </w:r>
    </w:p>
    <w:p w:rsidR="00397E59" w:rsidRDefault="00397E59" w:rsidP="008A18B1">
      <w:pPr>
        <w:pStyle w:val="ListParagraph"/>
        <w:numPr>
          <w:ilvl w:val="0"/>
          <w:numId w:val="72"/>
        </w:numPr>
        <w:spacing w:after="160" w:line="360" w:lineRule="auto"/>
      </w:pPr>
      <w:r>
        <w:rPr>
          <w:u w:val="single"/>
        </w:rPr>
        <w:t>Counterparty Risk With Funding Costs</w:t>
      </w:r>
      <w:r w:rsidRPr="00C47AB1">
        <w:t>:</w:t>
      </w:r>
      <w:r>
        <w:t xml:space="preserve"> There are other areas where the credit of the seller is relevant, in particular in terms of the MTM accounting of its own debt, as well as the effect it has on its funding costs. Piterbarg (2010) discusses the funding costs on derivative valuations when collateral has to be posted. Thus Burgard and Kjaer (2012a) combine the effects of the seller’s credit on its own funding costs with that on the bilateral counterparty risk into a unified framework.</w:t>
      </w:r>
    </w:p>
    <w:p w:rsidR="00397E59" w:rsidRDefault="00397E59" w:rsidP="008A18B1">
      <w:pPr>
        <w:pStyle w:val="ListParagraph"/>
        <w:numPr>
          <w:ilvl w:val="0"/>
          <w:numId w:val="72"/>
        </w:numPr>
        <w:spacing w:after="160" w:line="360" w:lineRule="auto"/>
      </w:pPr>
      <w:r>
        <w:rPr>
          <w:u w:val="single"/>
        </w:rPr>
        <w:t>Black-Scholes PDE Formulation Extension</w:t>
      </w:r>
      <w:r w:rsidRPr="002C00D3">
        <w:t>:</w:t>
      </w:r>
      <w:r>
        <w:t xml:space="preserve"> Further they use the hedging argument to derive extensions to the Black-Scholes PDE in the presence of bilateral counterparty risk in the </w:t>
      </w:r>
      <w:r>
        <w:lastRenderedPageBreak/>
        <w:t>presence of bilateral jump-to-default model and include funding considerations in the financing of the hedge positions. In addition they consider two scenarios for the determination of the derivative MTM at default – namely that recovery is on the total risky value or that it is on the counterparty riskless value. The latter corresponds to the most common approach taken in the literature.</w:t>
      </w:r>
    </w:p>
    <w:p w:rsidR="00397E59" w:rsidRDefault="00397E59" w:rsidP="008A18B1">
      <w:pPr>
        <w:pStyle w:val="ListParagraph"/>
        <w:numPr>
          <w:ilvl w:val="0"/>
          <w:numId w:val="72"/>
        </w:numPr>
        <w:spacing w:after="160" w:line="360" w:lineRule="auto"/>
      </w:pPr>
      <w:r>
        <w:rPr>
          <w:u w:val="single"/>
        </w:rPr>
        <w:t>The ISDA 2002 Master Agreement</w:t>
      </w:r>
      <w:r w:rsidRPr="002C00D3">
        <w:t>:</w:t>
      </w:r>
      <w:r>
        <w:t xml:space="preserve"> The total value of the derivative will then depend upon which of the 2 MTM values is used at default. For contracts following the ISDA 2002 Master Agreement the value of the derivatives upon the default of one of the counterparties is determined by a dealer poll. There is no reference to the counterparties, and one could reasonably expect the derivative value to be the counterparty riskless value, i.e., the second case considered.</w:t>
      </w:r>
    </w:p>
    <w:p w:rsidR="00397E59" w:rsidRDefault="00397E59" w:rsidP="008A18B1">
      <w:pPr>
        <w:pStyle w:val="ListParagraph"/>
        <w:numPr>
          <w:ilvl w:val="0"/>
          <w:numId w:val="72"/>
        </w:numPr>
        <w:spacing w:after="160" w:line="360" w:lineRule="auto"/>
      </w:pPr>
      <w:r>
        <w:rPr>
          <w:u w:val="single"/>
        </w:rPr>
        <w:t>Risky Derivative Value at Payout</w:t>
      </w:r>
      <w:r w:rsidRPr="002C00D3">
        <w:t>:</w:t>
      </w:r>
      <w:r>
        <w:t xml:space="preserve"> In the case where the default-risky derivative value is used as the mark-to-market, Burgard and Kjaer (2012a) derive a pricing PDA that is in general non-linear and demonstrate that the unknown risky price can be found by solving a non-linear integral equation. Under certain conditions on the payoff the non-linear terms vanish and the Feynman-Kac representation of the resulting linear PDE is examined.</w:t>
      </w:r>
    </w:p>
    <w:p w:rsidR="00397E59" w:rsidRDefault="00397E59" w:rsidP="008A18B1">
      <w:pPr>
        <w:pStyle w:val="ListParagraph"/>
        <w:numPr>
          <w:ilvl w:val="0"/>
          <w:numId w:val="72"/>
        </w:numPr>
        <w:spacing w:after="160" w:line="360" w:lineRule="auto"/>
      </w:pPr>
      <w:r>
        <w:rPr>
          <w:u w:val="single"/>
        </w:rPr>
        <w:t>Fair Derivative Value at Payout</w:t>
      </w:r>
      <w:r w:rsidRPr="003F1605">
        <w:t>:</w:t>
      </w:r>
      <w:r>
        <w:t xml:space="preserve"> In the case where the counterparty derivative price is used as the mark-to-market, the resulting pricing PDE is linear. As in the first case the Feynman-Kac representation can be used to decompose the risky derivative value into a counterparty risk-free part, a funding part, and a bilateral credit valuation adjustment (CVA) part.</w:t>
      </w:r>
    </w:p>
    <w:p w:rsidR="00397E59" w:rsidRDefault="00397E59" w:rsidP="008A18B1">
      <w:pPr>
        <w:pStyle w:val="ListParagraph"/>
        <w:numPr>
          <w:ilvl w:val="0"/>
          <w:numId w:val="72"/>
        </w:numPr>
        <w:spacing w:after="160" w:line="360" w:lineRule="auto"/>
      </w:pPr>
      <w:r>
        <w:rPr>
          <w:u w:val="single"/>
        </w:rPr>
        <w:t>Granular Hedging Accounts and Strategies</w:t>
      </w:r>
      <w:r w:rsidRPr="003F1605">
        <w:t>:</w:t>
      </w:r>
      <w:r>
        <w:t xml:space="preserve"> By using a fine-grained hedging strategy to derive their results Burgard and Kjaer (2012a) ensure that the hedging costs of all considered risk factors are included in their derivative price such that the decomposition of the risky price is a generalization of the result commonly found in literature. Further they get explicit expressions for hedges, which is important for risk management.</w:t>
      </w:r>
    </w:p>
    <w:p w:rsidR="00397E59" w:rsidRDefault="00397E59" w:rsidP="008A18B1">
      <w:pPr>
        <w:pStyle w:val="ListParagraph"/>
        <w:numPr>
          <w:ilvl w:val="0"/>
          <w:numId w:val="72"/>
        </w:numPr>
        <w:spacing w:after="160" w:line="360" w:lineRule="auto"/>
      </w:pPr>
      <w:r>
        <w:rPr>
          <w:u w:val="single"/>
        </w:rPr>
        <w:t>Own Credit Hedging Risk Caveats</w:t>
      </w:r>
      <w:r w:rsidRPr="003F1605">
        <w:t>:</w:t>
      </w:r>
      <w:r>
        <w:t xml:space="preserve"> There have been discussions about how a seller can hedge out its own credit risk – Cesari, Aquilina, Charpillon, Filipovic, Lee, and Manda (2009) contain a summary. The strategy described by Burgard and Kjaer (2012a) includes the repurchase by the seller of its own bonds to hedge out its own credit risk. On the face of it this may seem like a futile approach since of the bond purchase were funded by issuing more </w:t>
      </w:r>
      <w:r>
        <w:lastRenderedPageBreak/>
        <w:t>debt (i.e., more bonds), the seller would have in effect achieved nothing in terms of hedging its own credit risk.</w:t>
      </w:r>
    </w:p>
    <w:p w:rsidR="00397E59" w:rsidRDefault="00397E59" w:rsidP="008A18B1">
      <w:pPr>
        <w:pStyle w:val="ListParagraph"/>
        <w:numPr>
          <w:ilvl w:val="0"/>
          <w:numId w:val="72"/>
        </w:numPr>
        <w:spacing w:after="160" w:line="360" w:lineRule="auto"/>
      </w:pPr>
      <w:r>
        <w:rPr>
          <w:u w:val="single"/>
        </w:rPr>
        <w:t>Differentiated Buy-Back Funding Strategy</w:t>
      </w:r>
      <w:r w:rsidRPr="0062507B">
        <w:t>:</w:t>
      </w:r>
      <w:r>
        <w:t xml:space="preserve"> However the replication strategy presented shows how the funding for the purchase of the seller’s own bond is achieved through the cash account of the hedging strategy. The hedging strategy (including the premium of the derivative) generates the cash needed to repurchase the sellers’ own bond.</w:t>
      </w:r>
    </w:p>
    <w:p w:rsidR="00397E59" w:rsidRPr="00847E12" w:rsidRDefault="00397E59" w:rsidP="008A18B1">
      <w:pPr>
        <w:pStyle w:val="ListParagraph"/>
        <w:numPr>
          <w:ilvl w:val="0"/>
          <w:numId w:val="72"/>
        </w:numPr>
        <w:spacing w:after="160" w:line="360" w:lineRule="auto"/>
      </w:pPr>
      <w:r>
        <w:rPr>
          <w:u w:val="single"/>
        </w:rPr>
        <w:t>Multiple Assets and Netting Extensions</w:t>
      </w:r>
      <w:r w:rsidRPr="0062507B">
        <w:t>:</w:t>
      </w:r>
      <w:r>
        <w:t xml:space="preserve"> Although all the results presented in Burgard and Kjaer (2012a) are for one derivative on one underlying asset following the specified dynamics, extension to the situation of a netted derivatives portfolio on several underlying following generalized diffusion dynamics is straightforward.</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Notation, Symbology, and Key PDEs</w:t>
      </w:r>
    </w:p>
    <w:p w:rsidR="00397E59" w:rsidRPr="0062507B" w:rsidRDefault="00397E59" w:rsidP="00397E59">
      <w:pPr>
        <w:spacing w:line="360" w:lineRule="auto"/>
      </w:pPr>
    </w:p>
    <w:p w:rsidR="00397E59" w:rsidRPr="0062507B" w:rsidRDefault="00397E59" w:rsidP="008A18B1">
      <w:pPr>
        <w:pStyle w:val="ListParagraph"/>
        <w:numPr>
          <w:ilvl w:val="0"/>
          <w:numId w:val="73"/>
        </w:numPr>
        <w:spacing w:after="160" w:line="360" w:lineRule="auto"/>
        <w:rPr>
          <w:b/>
        </w:rPr>
      </w:pPr>
      <w:r w:rsidRPr="0062507B">
        <w:rPr>
          <w:u w:val="single"/>
        </w:rPr>
        <w:t>The Nature of the Derivative</w:t>
      </w:r>
      <w:r w:rsidRPr="0062507B">
        <w:t xml:space="preserve">: Consider a derivative contract </w:t>
      </w:r>
      <m:oMath>
        <m:acc>
          <m:accPr>
            <m:ctrlPr>
              <w:rPr>
                <w:rFonts w:ascii="Cambria Math" w:hAnsi="Cambria Math"/>
                <w:i/>
              </w:rPr>
            </m:ctrlPr>
          </m:accPr>
          <m:e>
            <m:r>
              <w:rPr>
                <w:rFonts w:ascii="Cambria Math" w:hAnsi="Cambria Math"/>
              </w:rPr>
              <m:t>V</m:t>
            </m:r>
          </m:e>
        </m:acc>
      </m:oMath>
      <w:r w:rsidRPr="0062507B">
        <w:t xml:space="preserve"> between a seller </w:t>
      </w:r>
      <m:oMath>
        <m:r>
          <w:rPr>
            <w:rFonts w:ascii="Cambria Math" w:hAnsi="Cambria Math"/>
          </w:rPr>
          <m:t>B</m:t>
        </m:r>
      </m:oMath>
      <w:r w:rsidRPr="0062507B">
        <w:t xml:space="preserve"> and a counterparty </w:t>
      </w:r>
      <m:oMath>
        <m:r>
          <w:rPr>
            <w:rFonts w:ascii="Cambria Math" w:hAnsi="Cambria Math"/>
          </w:rPr>
          <m:t>C</m:t>
        </m:r>
      </m:oMath>
      <w:r w:rsidRPr="0062507B">
        <w:t xml:space="preserve"> that may both default. The asset </w:t>
      </w:r>
      <m:oMath>
        <m:r>
          <w:rPr>
            <w:rFonts w:ascii="Cambria Math" w:hAnsi="Cambria Math"/>
          </w:rPr>
          <m:t>S</m:t>
        </m:r>
      </m:oMath>
      <w:r w:rsidRPr="0062507B">
        <w:rPr>
          <w:rFonts w:eastAsiaTheme="minorEastAsia"/>
        </w:rPr>
        <w:t xml:space="preserve"> is not affected by the default of either </w:t>
      </w:r>
      <m:oMath>
        <m:r>
          <w:rPr>
            <w:rFonts w:ascii="Cambria Math" w:hAnsi="Cambria Math"/>
          </w:rPr>
          <m:t>B</m:t>
        </m:r>
      </m:oMath>
      <w:r w:rsidRPr="0062507B">
        <w:rPr>
          <w:rFonts w:eastAsiaTheme="minorEastAsia"/>
        </w:rPr>
        <w:t xml:space="preserve"> or </w:t>
      </w:r>
      <m:oMath>
        <m:r>
          <w:rPr>
            <w:rFonts w:ascii="Cambria Math" w:hAnsi="Cambria Math"/>
          </w:rPr>
          <m:t>C</m:t>
        </m:r>
      </m:oMath>
      <w:r w:rsidRPr="0062507B">
        <w:rPr>
          <w:rFonts w:eastAsiaTheme="minorEastAsia"/>
        </w:rPr>
        <w:t xml:space="preserve"> and is assumed to follow a Markov process with a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sidRPr="0062507B">
        <w:rPr>
          <w:rFonts w:eastAsiaTheme="minorEastAsia"/>
        </w:rPr>
        <w:t xml:space="preserve">. Similarly we let </w:t>
      </w:r>
      <m:oMath>
        <m:r>
          <w:rPr>
            <w:rFonts w:ascii="Cambria Math" w:hAnsi="Cambria Math"/>
          </w:rPr>
          <m:t>V</m:t>
        </m:r>
      </m:oMath>
      <w:r w:rsidRPr="0062507B">
        <w:rPr>
          <w:rFonts w:eastAsiaTheme="minorEastAsia"/>
        </w:rPr>
        <w:t xml:space="preserve"> denote the same derivative between parties that cannot default.</w:t>
      </w:r>
    </w:p>
    <w:p w:rsidR="00397E59" w:rsidRPr="00F7337F" w:rsidRDefault="00397E59" w:rsidP="008A18B1">
      <w:pPr>
        <w:pStyle w:val="ListParagraph"/>
        <w:numPr>
          <w:ilvl w:val="0"/>
          <w:numId w:val="73"/>
        </w:numPr>
        <w:spacing w:after="160" w:line="360" w:lineRule="auto"/>
        <w:rPr>
          <w:b/>
        </w:rPr>
      </w:pPr>
      <w:r>
        <w:rPr>
          <w:u w:val="single"/>
        </w:rPr>
        <w:t>Payout on a Default</w:t>
      </w:r>
      <w:r w:rsidRPr="00F7337F">
        <w:t>: At the default of either the counterparty or the seller</w:t>
      </w:r>
      <w:r>
        <w:rPr>
          <w:u w:val="single"/>
        </w:rPr>
        <w:t xml:space="preserve"> </w:t>
      </w:r>
      <w:r>
        <w:t xml:space="preserve">the value of the derivative to the seller </w:t>
      </w:r>
      <m:oMath>
        <m:acc>
          <m:accPr>
            <m:ctrlPr>
              <w:rPr>
                <w:rFonts w:ascii="Cambria Math" w:hAnsi="Cambria Math"/>
                <w:i/>
              </w:rPr>
            </m:ctrlPr>
          </m:accPr>
          <m:e>
            <m:r>
              <w:rPr>
                <w:rFonts w:ascii="Cambria Math" w:hAnsi="Cambria Math"/>
              </w:rPr>
              <m:t>V</m:t>
            </m:r>
          </m:e>
        </m:acc>
      </m:oMath>
      <w:r>
        <w:rPr>
          <w:rFonts w:eastAsiaTheme="minorEastAsia"/>
        </w:rPr>
        <w:t xml:space="preserve"> is determine by using an MTM rule </w:t>
      </w:r>
      <m:oMath>
        <m:r>
          <w:rPr>
            <w:rFonts w:ascii="Cambria Math" w:hAnsi="Cambria Math"/>
          </w:rPr>
          <m:t>M</m:t>
        </m:r>
      </m:oMath>
      <w:r>
        <w:rPr>
          <w:rFonts w:eastAsiaTheme="minorEastAsia"/>
        </w:rPr>
        <w:t xml:space="preserve"> which may equal </w:t>
      </w:r>
      <m:oMath>
        <m:acc>
          <m:accPr>
            <m:ctrlPr>
              <w:rPr>
                <w:rFonts w:ascii="Cambria Math" w:hAnsi="Cambria Math"/>
                <w:i/>
              </w:rPr>
            </m:ctrlPr>
          </m:accPr>
          <m:e>
            <m:r>
              <w:rPr>
                <w:rFonts w:ascii="Cambria Math" w:hAnsi="Cambria Math"/>
              </w:rPr>
              <m:t>V</m:t>
            </m:r>
          </m:e>
        </m:acc>
      </m:oMath>
      <w:r>
        <w:rPr>
          <w:rFonts w:eastAsiaTheme="minorEastAsia"/>
        </w:rPr>
        <w:t xml:space="preserve"> or </w:t>
      </w:r>
      <m:oMath>
        <m:r>
          <w:rPr>
            <w:rFonts w:ascii="Cambria Math" w:hAnsi="Cambria Math"/>
          </w:rPr>
          <m:t>V</m:t>
        </m:r>
      </m:oMath>
      <w:r>
        <w:rPr>
          <w:rFonts w:eastAsiaTheme="minorEastAsia"/>
        </w:rPr>
        <w:t>. Throughout the convention used is that the positive derivative values correspond to seller assets and counterparty liabilities.</w:t>
      </w:r>
    </w:p>
    <w:p w:rsidR="00397E59" w:rsidRPr="00F7337F" w:rsidRDefault="00397E59" w:rsidP="008A18B1">
      <w:pPr>
        <w:pStyle w:val="ListParagraph"/>
        <w:numPr>
          <w:ilvl w:val="0"/>
          <w:numId w:val="73"/>
        </w:numPr>
        <w:spacing w:after="160" w:line="360" w:lineRule="auto"/>
        <w:rPr>
          <w:b/>
        </w:rPr>
      </w:pPr>
      <w:r>
        <w:rPr>
          <w:u w:val="single"/>
        </w:rPr>
        <w:t>Notations, Parameter Definitions, and Caveats</w:t>
      </w:r>
      <w:r>
        <w:t>:</w:t>
      </w:r>
    </w:p>
    <w:p w:rsidR="00397E59" w:rsidRPr="00F7337F" w:rsidRDefault="00397E59" w:rsidP="008A18B1">
      <w:pPr>
        <w:pStyle w:val="ListParagraph"/>
        <w:numPr>
          <w:ilvl w:val="1"/>
          <w:numId w:val="73"/>
        </w:numPr>
        <w:spacing w:after="160" w:line="360" w:lineRule="auto"/>
        <w:rPr>
          <w:b/>
        </w:rPr>
      </w:pPr>
      <m:oMath>
        <m:r>
          <w:rPr>
            <w:rFonts w:ascii="Cambria Math" w:hAnsi="Cambria Math"/>
          </w:rPr>
          <m:t>r</m:t>
        </m:r>
      </m:oMath>
      <w:r>
        <w:rPr>
          <w:rFonts w:eastAsiaTheme="minorEastAsia"/>
        </w:rPr>
        <w:t xml:space="preserve"> =&gt; Risk-free rate</w:t>
      </w:r>
    </w:p>
    <w:p w:rsidR="00397E59" w:rsidRPr="00F7337F" w:rsidRDefault="005D6A21"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sidRPr="00F7337F">
        <w:rPr>
          <w:rFonts w:eastAsiaTheme="minorEastAsia"/>
        </w:rPr>
        <w:t xml:space="preserve"> =&gt; Yield on a Recovery-less Bond of Seller </w:t>
      </w:r>
      <m:oMath>
        <m:r>
          <w:rPr>
            <w:rFonts w:ascii="Cambria Math" w:hAnsi="Cambria Math"/>
          </w:rPr>
          <m:t>B</m:t>
        </m:r>
      </m:oMath>
    </w:p>
    <w:p w:rsidR="00397E59" w:rsidRPr="00F7337F" w:rsidRDefault="005D6A21"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Yield on a Recovery-less Bond of Counterparty </w:t>
      </w:r>
      <m:oMath>
        <m:r>
          <w:rPr>
            <w:rFonts w:ascii="Cambria Math" w:hAnsi="Cambria Math"/>
          </w:rPr>
          <m:t>C</m:t>
        </m:r>
      </m:oMath>
    </w:p>
    <w:p w:rsidR="00397E59" w:rsidRPr="00F96D23" w:rsidRDefault="005D6A21"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B</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5D6A21"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5D6A21"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C</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5D6A21"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5D6A21"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00397E59">
        <w:rPr>
          <w:rFonts w:eastAsiaTheme="minorEastAsia"/>
        </w:rPr>
        <w:t xml:space="preserve"> =&gt; Seller funding rate for the borrowed cash on the seller’s derivative replication cash account.</w:t>
      </w:r>
    </w:p>
    <w:p w:rsidR="00397E59" w:rsidRPr="00F96D23" w:rsidRDefault="00397E59" w:rsidP="00397E59">
      <w:pPr>
        <w:pStyle w:val="ListParagraph"/>
        <w:spacing w:line="360" w:lineRule="auto"/>
        <w:ind w:left="1080"/>
        <w:rPr>
          <w:rFonts w:eastAsiaTheme="minorEastAsia"/>
        </w:rPr>
      </w:pPr>
    </w:p>
    <w:p w:rsidR="00397E59" w:rsidRDefault="005D6A21"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if the derivative can be used as a collateral.</w:t>
      </w:r>
    </w:p>
    <w:p w:rsidR="00397E59" w:rsidRDefault="00397E59" w:rsidP="00397E59">
      <w:pPr>
        <w:pStyle w:val="ListParagraph"/>
        <w:spacing w:line="360" w:lineRule="auto"/>
        <w:ind w:left="1080"/>
        <w:rPr>
          <w:rFonts w:eastAsiaTheme="minorEastAsia"/>
        </w:rPr>
      </w:pPr>
    </w:p>
    <w:p w:rsidR="00397E59" w:rsidRDefault="005D6A21"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spacing w:line="360" w:lineRule="auto"/>
        <w:ind w:left="1080"/>
        <w:rPr>
          <w:rFonts w:eastAsiaTheme="minorEastAsia"/>
        </w:rPr>
      </w:pPr>
    </w:p>
    <w:p w:rsidR="00397E59" w:rsidRPr="00F96D23" w:rsidRDefault="00397E59" w:rsidP="00397E59">
      <w:pPr>
        <w:pStyle w:val="ListParagraph"/>
        <w:spacing w:line="360" w:lineRule="auto"/>
        <w:ind w:left="1080"/>
        <w:rPr>
          <w:rFonts w:eastAsiaTheme="minorEastAsia"/>
          <w:b/>
        </w:rPr>
      </w:pPr>
      <w:r>
        <w:rPr>
          <w:rFonts w:eastAsiaTheme="minorEastAsia"/>
        </w:rPr>
        <w:t>if the derivative cannot be used as a collateral.</w:t>
      </w:r>
    </w:p>
    <w:p w:rsidR="00397E59" w:rsidRPr="00F96D23" w:rsidRDefault="005D6A21"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5D6A21"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7337F" w:rsidRDefault="005D6A21"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Pr>
          <w:rFonts w:eastAsiaTheme="minorEastAsia"/>
        </w:rPr>
        <w:t xml:space="preserve"> =&gt; Recovery on the derivative MTM value in case the seller </w:t>
      </w:r>
      <m:oMath>
        <m:r>
          <w:rPr>
            <w:rFonts w:ascii="Cambria Math" w:hAnsi="Cambria Math"/>
          </w:rPr>
          <m:t>B</m:t>
        </m:r>
      </m:oMath>
      <w:r w:rsidR="00397E59">
        <w:rPr>
          <w:rFonts w:eastAsiaTheme="minorEastAsia"/>
        </w:rPr>
        <w:t xml:space="preserve"> defaults</w:t>
      </w:r>
    </w:p>
    <w:p w:rsidR="00397E59" w:rsidRPr="00F7337F" w:rsidRDefault="005D6A21"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Recovery on the derivative MTM value in case the counterparty </w:t>
      </w:r>
      <m:oMath>
        <m:r>
          <w:rPr>
            <w:rFonts w:ascii="Cambria Math" w:hAnsi="Cambria Math"/>
          </w:rPr>
          <m:t>C</m:t>
        </m:r>
      </m:oMath>
      <w:r w:rsidR="00397E59">
        <w:rPr>
          <w:rFonts w:eastAsiaTheme="minorEastAsia"/>
        </w:rPr>
        <w:t xml:space="preserve"> defaults</w:t>
      </w: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m:t>
        </m:r>
        <m:acc>
          <m:accPr>
            <m:ctrlPr>
              <w:rPr>
                <w:rFonts w:ascii="Cambria Math" w:hAnsi="Cambria Math"/>
                <w:i/>
                <w:u w:val="single"/>
              </w:rPr>
            </m:ctrlPr>
          </m:accPr>
          <m:e>
            <m:r>
              <w:rPr>
                <w:rFonts w:ascii="Cambria Math" w:hAnsi="Cambria Math"/>
                <w:u w:val="single"/>
              </w:rPr>
              <m:t>V</m:t>
            </m:r>
          </m:e>
        </m:acc>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5D6A21"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F7337F"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lastRenderedPageBreak/>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M=V</m:t>
        </m:r>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5D6A21"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hAnsi="Cambria Math"/>
                      <w:i/>
                    </w:rPr>
                  </m:ctrlPr>
                </m:sSubPr>
                <m:e>
                  <m:r>
                    <w:rPr>
                      <w:rFonts w:ascii="Cambria Math" w:hAnsi="Cambria Math"/>
                    </w:rPr>
                    <m:t>λ</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2A799D"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Credit Funding Adjustment when </w:t>
      </w:r>
      <m:oMath>
        <m:r>
          <w:rPr>
            <w:rFonts w:ascii="Cambria Math" w:hAnsi="Cambria Math"/>
            <w:u w:val="single"/>
          </w:rPr>
          <m:t>M=V</m:t>
        </m:r>
      </m:oMath>
      <w:r>
        <w:rPr>
          <w:rFonts w:eastAsiaTheme="minorEastAsia"/>
        </w:rPr>
        <w:t>: Let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5D6A21"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w:t>
      </w:r>
    </w:p>
    <w:p w:rsidR="00397E59" w:rsidRDefault="00397E59" w:rsidP="00397E59">
      <w:pPr>
        <w:pStyle w:val="ListParagraph"/>
        <w:spacing w:line="360" w:lineRule="auto"/>
        <w:ind w:left="360"/>
        <w:rPr>
          <w:rFonts w:eastAsiaTheme="minorEastAsia"/>
        </w:rPr>
      </w:pPr>
    </w:p>
    <w:p w:rsidR="00397E59" w:rsidRDefault="005D6A2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and the credit funding adjustment </w:t>
      </w:r>
      <m:oMath>
        <m:r>
          <w:rPr>
            <w:rFonts w:ascii="Cambria Math" w:hAnsi="Cambria Math"/>
          </w:rPr>
          <m:t>U</m:t>
        </m:r>
      </m:oMath>
      <w:r>
        <w:rPr>
          <w:rFonts w:eastAsiaTheme="minorEastAsia"/>
        </w:rPr>
        <w:t xml:space="preserve"> is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5D6A21"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u</m:t>
                  </m:r>
                </m:sup>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dv</m:t>
                  </m:r>
                </m:e>
              </m:nary>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is the discount factor between times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using the rate </w:t>
      </w:r>
      <m:oMath>
        <m:r>
          <w:rPr>
            <w:rFonts w:ascii="Cambria Math" w:hAnsi="Cambria Math"/>
          </w:rPr>
          <m:t>k</m:t>
        </m:r>
      </m:oMath>
      <w:r>
        <w:rPr>
          <w:rFonts w:eastAsiaTheme="minorEastAsia"/>
        </w:rPr>
        <w:t>. If</w:t>
      </w:r>
    </w:p>
    <w:p w:rsidR="00397E59" w:rsidRDefault="00397E59" w:rsidP="00397E59">
      <w:pPr>
        <w:pStyle w:val="ListParagraph"/>
        <w:spacing w:line="360" w:lineRule="auto"/>
        <w:ind w:left="360"/>
        <w:rPr>
          <w:rFonts w:eastAsiaTheme="minorEastAsia"/>
        </w:rPr>
      </w:pPr>
    </w:p>
    <w:p w:rsidR="00397E59" w:rsidRDefault="005D6A21"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F96D23" w:rsidRDefault="00397E59" w:rsidP="00397E59">
      <w:pPr>
        <w:pStyle w:val="ListParagraph"/>
        <w:spacing w:line="360" w:lineRule="auto"/>
        <w:ind w:left="360"/>
        <w:rPr>
          <w:b/>
        </w:rPr>
      </w:pPr>
      <w:r>
        <w:rPr>
          <w:rFonts w:eastAsiaTheme="minorEastAsia"/>
        </w:rPr>
        <w:t xml:space="preserve">then </w:t>
      </w:r>
      <m:oMath>
        <m:r>
          <w:rPr>
            <w:rFonts w:ascii="Cambria Math" w:hAnsi="Cambria Math"/>
          </w:rPr>
          <m:t>U</m:t>
        </m:r>
      </m:oMath>
      <w:r>
        <w:rPr>
          <w:rFonts w:eastAsiaTheme="minorEastAsia"/>
        </w:rPr>
        <w:t xml:space="preserve"> is identical to the regular bilateral CVA derived in many of the papers.</w:t>
      </w:r>
    </w:p>
    <w:p w:rsidR="00397E59" w:rsidRPr="00F7337F" w:rsidRDefault="00397E59" w:rsidP="008A18B1">
      <w:pPr>
        <w:pStyle w:val="ListParagraph"/>
        <w:numPr>
          <w:ilvl w:val="0"/>
          <w:numId w:val="73"/>
        </w:numPr>
        <w:spacing w:after="160" w:line="360" w:lineRule="auto"/>
        <w:rPr>
          <w:b/>
        </w:rPr>
      </w:pPr>
      <w:r>
        <w:rPr>
          <w:u w:val="single"/>
        </w:rPr>
        <w:t>Justification of the Buy-Back Strategy</w:t>
      </w:r>
      <w:r w:rsidRPr="00F96D23">
        <w:t>: Another important result of</w:t>
      </w:r>
      <w:r>
        <w:t xml:space="preserve"> Burgard and Kjaer (2012a) is the justification on which the seller’s own-credit risk can be taken into account. In the hedging strategy considered the risk is hedged out by the seller buying back its own bonds. It is shown that the cash needed for doing so is generated through the replication strategy.</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Model Setup and the Derivation of the Bilateral Risky PDE</w:t>
      </w:r>
    </w:p>
    <w:p w:rsidR="00397E59" w:rsidRDefault="00397E59" w:rsidP="00397E59">
      <w:pPr>
        <w:spacing w:line="360" w:lineRule="auto"/>
      </w:pPr>
    </w:p>
    <w:p w:rsidR="00397E59" w:rsidRDefault="00397E59" w:rsidP="008A18B1">
      <w:pPr>
        <w:pStyle w:val="ListParagraph"/>
        <w:numPr>
          <w:ilvl w:val="0"/>
          <w:numId w:val="74"/>
        </w:numPr>
        <w:spacing w:after="160" w:line="360" w:lineRule="auto"/>
      </w:pPr>
      <w:r w:rsidRPr="00C271C1">
        <w:rPr>
          <w:u w:val="single"/>
        </w:rPr>
        <w:t>Underlying Traded Assets and Securities</w:t>
      </w:r>
      <w:r w:rsidRPr="00C271C1">
        <w:t>: Consider an economy with the following four traded assets:</w:t>
      </w:r>
    </w:p>
    <w:p w:rsidR="00397E59" w:rsidRPr="00C271C1" w:rsidRDefault="005D6A21"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397E59">
        <w:rPr>
          <w:rFonts w:eastAsiaTheme="minorEastAsia"/>
        </w:rPr>
        <w:t xml:space="preserve"> =&gt; Default-risk free zero-coupon bond</w:t>
      </w:r>
    </w:p>
    <w:p w:rsidR="00397E59" w:rsidRPr="004A5650" w:rsidRDefault="005D6A21"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B</m:t>
            </m:r>
          </m:sub>
        </m:sSub>
      </m:oMath>
      <w:r w:rsidR="00397E59">
        <w:rPr>
          <w:rFonts w:eastAsiaTheme="minorEastAsia"/>
        </w:rPr>
        <w:t xml:space="preserve"> =&gt; Default-risky, zero-recovery, zero-coupon bond of party </w:t>
      </w:r>
      <m:oMath>
        <m:r>
          <w:rPr>
            <w:rFonts w:ascii="Cambria Math" w:hAnsi="Cambria Math"/>
          </w:rPr>
          <m:t>B</m:t>
        </m:r>
      </m:oMath>
    </w:p>
    <w:p w:rsidR="00397E59" w:rsidRPr="004A5650" w:rsidRDefault="005D6A21"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397E59">
        <w:rPr>
          <w:rFonts w:eastAsiaTheme="minorEastAsia"/>
        </w:rPr>
        <w:t xml:space="preserve"> =&gt; Default-risky, zero-recovery, zero-coupon bond of counterparty </w:t>
      </w:r>
      <m:oMath>
        <m:r>
          <w:rPr>
            <w:rFonts w:ascii="Cambria Math" w:hAnsi="Cambria Math"/>
          </w:rPr>
          <m:t>C</m:t>
        </m:r>
      </m:oMath>
    </w:p>
    <w:p w:rsidR="00397E59" w:rsidRPr="004A5650" w:rsidRDefault="00397E59" w:rsidP="008A18B1">
      <w:pPr>
        <w:pStyle w:val="ListParagraph"/>
        <w:numPr>
          <w:ilvl w:val="1"/>
          <w:numId w:val="74"/>
        </w:numPr>
        <w:spacing w:after="160" w:line="360" w:lineRule="auto"/>
      </w:pPr>
      <m:oMath>
        <m:r>
          <w:rPr>
            <w:rFonts w:ascii="Cambria Math" w:hAnsi="Cambria Math"/>
          </w:rPr>
          <m:t>S</m:t>
        </m:r>
      </m:oMath>
      <w:r>
        <w:rPr>
          <w:rFonts w:eastAsiaTheme="minorEastAsia"/>
        </w:rPr>
        <w:t xml:space="preserve"> =&gt; The Spot Asset with no Default Risk</w:t>
      </w:r>
    </w:p>
    <w:p w:rsidR="00397E59" w:rsidRPr="004A5650" w:rsidRDefault="00397E59" w:rsidP="008A18B1">
      <w:pPr>
        <w:pStyle w:val="ListParagraph"/>
        <w:numPr>
          <w:ilvl w:val="0"/>
          <w:numId w:val="74"/>
        </w:numPr>
        <w:spacing w:after="160" w:line="360" w:lineRule="auto"/>
      </w:pPr>
      <w:r>
        <w:rPr>
          <w:u w:val="single"/>
        </w:rPr>
        <w:t>Zero-Recovery Bonds Building Blocks</w:t>
      </w:r>
      <w:r w:rsidRPr="00C271C1">
        <w:t xml:space="preserve">: </w:t>
      </w:r>
      <w:r>
        <w:t xml:space="preserve">Both the risky bonds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pay </w:t>
      </w:r>
      <m:oMath>
        <m:r>
          <w:rPr>
            <w:rFonts w:ascii="Cambria Math" w:hAnsi="Cambria Math"/>
          </w:rPr>
          <m:t>$1</m:t>
        </m:r>
      </m:oMath>
      <w:r>
        <w:rPr>
          <w:rFonts w:eastAsiaTheme="minorEastAsia"/>
        </w:rPr>
        <w:t xml:space="preserve"> at some future date </w:t>
      </w:r>
      <m:oMath>
        <m:r>
          <w:rPr>
            <w:rFonts w:ascii="Cambria Math" w:hAnsi="Cambria Math"/>
          </w:rPr>
          <m:t>T</m:t>
        </m:r>
      </m:oMath>
      <w:r>
        <w:rPr>
          <w:rFonts w:eastAsiaTheme="minorEastAsia"/>
        </w:rPr>
        <w:t xml:space="preserve"> if the issuing counterparty has not defaulted, and </w:t>
      </w:r>
      <m:oMath>
        <m:r>
          <w:rPr>
            <w:rFonts w:ascii="Cambria Math" w:hAnsi="Cambria Math"/>
          </w:rPr>
          <m:t>0</m:t>
        </m:r>
      </m:oMath>
      <w:r>
        <w:rPr>
          <w:rFonts w:eastAsiaTheme="minorEastAsia"/>
        </w:rPr>
        <w:t xml:space="preserve"> otherwise. These simplistic bonds are useful for modeling and can be used as building blocks for more complex bonds, including the ones with zero recovery.</w:t>
      </w:r>
    </w:p>
    <w:p w:rsidR="00397E59" w:rsidRPr="00841C47" w:rsidRDefault="00397E59" w:rsidP="008A18B1">
      <w:pPr>
        <w:pStyle w:val="ListParagraph"/>
        <w:numPr>
          <w:ilvl w:val="0"/>
          <w:numId w:val="74"/>
        </w:numPr>
        <w:spacing w:after="160" w:line="360" w:lineRule="auto"/>
      </w:pPr>
      <w:r>
        <w:rPr>
          <w:u w:val="single"/>
        </w:rPr>
        <w:lastRenderedPageBreak/>
        <w:t>Dynamics of the Underlying Assets</w:t>
      </w:r>
      <w:r>
        <w:t xml:space="preserve">: The processes for he assets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xml:space="preserve">, and </w:t>
      </w:r>
      <m:oMath>
        <m:r>
          <w:rPr>
            <w:rFonts w:ascii="Cambria Math" w:hAnsi="Cambria Math"/>
          </w:rPr>
          <m:t>S</m:t>
        </m:r>
      </m:oMath>
      <w:r>
        <w:rPr>
          <w:rFonts w:eastAsiaTheme="minorEastAsia"/>
        </w:rPr>
        <w:t xml:space="preserve"> under their corresponding probability measures are specified by</w:t>
      </w:r>
    </w:p>
    <w:p w:rsidR="00397E59" w:rsidRDefault="00397E59" w:rsidP="00397E59">
      <w:pPr>
        <w:pStyle w:val="ListParagraph"/>
        <w:spacing w:line="360" w:lineRule="auto"/>
        <w:ind w:left="360"/>
        <w:rPr>
          <w:u w:val="single"/>
        </w:rPr>
      </w:pPr>
    </w:p>
    <w:p w:rsidR="00397E59" w:rsidRDefault="005D6A21"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B</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5D6A21"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5D6A21"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num>
            <m:den>
              <m:sSub>
                <m:sSubPr>
                  <m:ctrlPr>
                    <w:rPr>
                      <w:rFonts w:ascii="Cambria Math" w:hAnsi="Cambria Math"/>
                      <w:i/>
                    </w:rPr>
                  </m:ctrlPr>
                </m:sSubPr>
                <m:e>
                  <m:r>
                    <w:rPr>
                      <w:rFonts w:ascii="Cambria Math" w:hAnsi="Cambria Math"/>
                    </w:rPr>
                    <m:t>P</m:t>
                  </m:r>
                </m:e>
                <m:sub>
                  <m:r>
                    <w:rPr>
                      <w:rFonts w:ascii="Cambria Math" w:hAnsi="Cambria Math"/>
                    </w:rPr>
                    <m:t>R</m:t>
                  </m:r>
                </m:sub>
              </m:sSub>
            </m:den>
          </m:f>
          <m:r>
            <w:rPr>
              <w:rFonts w:ascii="Cambria Math" w:eastAsiaTheme="minorEastAsia" w:hAnsi="Cambria Math"/>
            </w:rPr>
            <m:t>=</m:t>
          </m:r>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5D6A21"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W</m:t>
        </m:r>
        <m:d>
          <m:dPr>
            <m:ctrlPr>
              <w:rPr>
                <w:rFonts w:ascii="Cambria Math" w:hAnsi="Cambria Math"/>
                <w:i/>
              </w:rPr>
            </m:ctrlPr>
          </m:dPr>
          <m:e>
            <m:r>
              <w:rPr>
                <w:rFonts w:ascii="Cambria Math" w:hAnsi="Cambria Math"/>
              </w:rPr>
              <m:t>t</m:t>
            </m:r>
          </m:e>
        </m:d>
      </m:oMath>
      <w:r>
        <w:rPr>
          <w:rFonts w:eastAsiaTheme="minorEastAsia"/>
        </w:rPr>
        <w:t xml:space="preserve"> is a Weiner process,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5D6A21"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5D6A21"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r>
        <w:rPr>
          <w:rFonts w:eastAsiaTheme="minorEastAsia"/>
        </w:rPr>
        <w:t xml:space="preserve">are deterministic functions of </w:t>
      </w:r>
      <m:oMath>
        <m:r>
          <w:rPr>
            <w:rFonts w:ascii="Cambria Math" w:hAnsi="Cambria Math"/>
          </w:rPr>
          <m:t>t</m:t>
        </m:r>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two point processes that jump from </w:t>
      </w:r>
      <m:oMath>
        <m:r>
          <w:rPr>
            <w:rFonts w:ascii="Cambria Math" w:hAnsi="Cambria Math"/>
          </w:rPr>
          <m:t>0</m:t>
        </m:r>
      </m:oMath>
      <w:r>
        <w:rPr>
          <w:rFonts w:eastAsiaTheme="minorEastAsia"/>
        </w:rPr>
        <w:t xml:space="preserve"> to </w:t>
      </w:r>
      <m:oMath>
        <m:r>
          <w:rPr>
            <w:rFonts w:ascii="Cambria Math" w:hAnsi="Cambria Math"/>
          </w:rPr>
          <m:t>1</m:t>
        </m:r>
      </m:oMath>
      <w:r>
        <w:rPr>
          <w:rFonts w:eastAsiaTheme="minorEastAsia"/>
        </w:rPr>
        <w:t xml:space="preserve"> on the default of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w:t>
      </w:r>
    </w:p>
    <w:p w:rsidR="00397E59" w:rsidRPr="007B0154" w:rsidRDefault="00397E59" w:rsidP="008A18B1">
      <w:pPr>
        <w:pStyle w:val="ListParagraph"/>
        <w:numPr>
          <w:ilvl w:val="0"/>
          <w:numId w:val="74"/>
        </w:numPr>
        <w:spacing w:after="160" w:line="360" w:lineRule="auto"/>
      </w:pPr>
      <w:r>
        <w:rPr>
          <w:u w:val="single"/>
        </w:rPr>
        <w:t>Asset Independence of the Seller/Counterparty</w:t>
      </w:r>
      <w:r>
        <w:t xml:space="preserve">: The assumptions above indicate that the hedging can be done by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alone, and later this assumption is relaxed. Further the </w:t>
      </w:r>
      <w:r>
        <w:rPr>
          <w:rFonts w:eastAsiaTheme="minorEastAsia"/>
        </w:rPr>
        <w:lastRenderedPageBreak/>
        <w:t xml:space="preserve">spot asset price </w:t>
      </w:r>
      <m:oMath>
        <m:r>
          <w:rPr>
            <w:rFonts w:ascii="Cambria Math" w:hAnsi="Cambria Math"/>
          </w:rPr>
          <m:t>S</m:t>
        </m:r>
      </m:oMath>
      <w:r>
        <w:rPr>
          <w:rFonts w:eastAsiaTheme="minorEastAsia"/>
        </w:rPr>
        <w:t xml:space="preserve"> is assumed to be unaffected by a default of either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Finally </w:t>
      </w:r>
      <m:oMath>
        <m:r>
          <w:rPr>
            <w:rFonts w:ascii="Cambria Math" w:hAnsi="Cambria Math"/>
          </w:rPr>
          <m:t>B</m:t>
        </m:r>
      </m:oMath>
      <w:r>
        <w:rPr>
          <w:rFonts w:eastAsiaTheme="minorEastAsia"/>
        </w:rPr>
        <w:t xml:space="preserve"> is taken to be the </w:t>
      </w:r>
      <w:r>
        <w:rPr>
          <w:rFonts w:eastAsiaTheme="minorEastAsia"/>
          <w:i/>
        </w:rPr>
        <w:t>seller</w:t>
      </w:r>
      <w:r>
        <w:rPr>
          <w:rFonts w:eastAsiaTheme="minorEastAsia"/>
        </w:rPr>
        <w:t xml:space="preserve"> and </w:t>
      </w:r>
      <m:oMath>
        <m:r>
          <w:rPr>
            <w:rFonts w:ascii="Cambria Math" w:hAnsi="Cambria Math"/>
          </w:rPr>
          <m:t>C</m:t>
        </m:r>
      </m:oMath>
      <w:r>
        <w:rPr>
          <w:rFonts w:eastAsiaTheme="minorEastAsia"/>
        </w:rPr>
        <w:t xml:space="preserve"> the </w:t>
      </w:r>
      <w:r>
        <w:rPr>
          <w:rFonts w:eastAsiaTheme="minorEastAsia"/>
          <w:i/>
        </w:rPr>
        <w:t>counterparty</w:t>
      </w:r>
      <w:r>
        <w:rPr>
          <w:rFonts w:eastAsiaTheme="minorEastAsia"/>
        </w:rPr>
        <w:t xml:space="preserve"> respectively.</w:t>
      </w:r>
    </w:p>
    <w:p w:rsidR="00397E59" w:rsidRPr="00841C47" w:rsidRDefault="00397E59" w:rsidP="008A18B1">
      <w:pPr>
        <w:pStyle w:val="ListParagraph"/>
        <w:numPr>
          <w:ilvl w:val="0"/>
          <w:numId w:val="74"/>
        </w:numPr>
        <w:spacing w:after="160" w:line="360" w:lineRule="auto"/>
      </w:pPr>
      <w:r>
        <w:rPr>
          <w:u w:val="single"/>
        </w:rPr>
        <w:t>Terminal Derivative Payout at Maturity</w:t>
      </w:r>
      <w:r>
        <w:t xml:space="preserve">: It is assumed that the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enter a derivative on the spot asset </w:t>
      </w:r>
      <m:oMath>
        <m:r>
          <w:rPr>
            <w:rFonts w:ascii="Cambria Math" w:hAnsi="Cambria Math"/>
          </w:rPr>
          <m:t>S</m:t>
        </m:r>
      </m:oMath>
      <w:r>
        <w:rPr>
          <w:rFonts w:eastAsiaTheme="minorEastAsia"/>
        </w:rPr>
        <w:t xml:space="preserve"> that pays the seller </w:t>
      </w:r>
      <m:oMath>
        <m:r>
          <w:rPr>
            <w:rFonts w:ascii="Cambria Math" w:hAnsi="Cambria Math"/>
          </w:rPr>
          <m:t>B</m:t>
        </m:r>
      </m:oMath>
      <w:r>
        <w:rPr>
          <w:rFonts w:eastAsiaTheme="minorEastAsia"/>
        </w:rPr>
        <w:t xml:space="preserve"> the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at maturity </w:t>
      </w:r>
      <m:oMath>
        <m:r>
          <w:rPr>
            <w:rFonts w:ascii="Cambria Math" w:hAnsi="Cambria Math"/>
          </w:rPr>
          <m:t>T</m:t>
        </m:r>
      </m:oMath>
      <w:r>
        <w:rPr>
          <w:rFonts w:eastAsiaTheme="minorEastAsia"/>
        </w:rPr>
        <w:t>. Thus in this convention the payout scenario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r>
        <w:rPr>
          <w:rFonts w:eastAsiaTheme="minorEastAsia"/>
        </w:rPr>
        <w:t>means that the seller receives cash or asset from the counterparty.</w:t>
      </w:r>
    </w:p>
    <w:p w:rsidR="00397E59" w:rsidRPr="00801902" w:rsidRDefault="00397E59" w:rsidP="008A18B1">
      <w:pPr>
        <w:pStyle w:val="ListParagraph"/>
        <w:numPr>
          <w:ilvl w:val="0"/>
          <w:numId w:val="74"/>
        </w:numPr>
        <w:spacing w:after="160" w:line="360" w:lineRule="auto"/>
      </w:pPr>
      <w:r>
        <w:rPr>
          <w:u w:val="single"/>
        </w:rPr>
        <w:t>Credit Risky Derivative Present Value</w:t>
      </w:r>
      <w:r>
        <w:t xml:space="preserve">: The value of the derivative to the seller at time </w:t>
      </w:r>
      <m:oMath>
        <m:r>
          <w:rPr>
            <w:rFonts w:ascii="Cambria Math" w:hAnsi="Cambria Math"/>
          </w:rPr>
          <m:t>t</m:t>
        </m:r>
      </m:oMath>
      <w:r>
        <w:rPr>
          <w:rFonts w:eastAsiaTheme="minorEastAsia"/>
        </w:rPr>
        <w:t xml:space="preserve"> is denoted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and depends on the spot asset </w:t>
      </w:r>
      <m:oMath>
        <m:r>
          <w:rPr>
            <w:rFonts w:ascii="Cambria Math" w:hAnsi="Cambria Math"/>
          </w:rPr>
          <m:t>S</m:t>
        </m:r>
      </m:oMath>
      <w:r>
        <w:rPr>
          <w:rFonts w:eastAsiaTheme="minorEastAsia"/>
        </w:rPr>
        <w:t xml:space="preserve"> of the underlying and the default states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respectively of the seller </w:t>
      </w:r>
      <m:oMath>
        <m:r>
          <w:rPr>
            <w:rFonts w:ascii="Cambria Math" w:hAnsi="Cambria Math"/>
          </w:rPr>
          <m:t>B</m:t>
        </m:r>
      </m:oMath>
      <w:r>
        <w:rPr>
          <w:rFonts w:eastAsiaTheme="minorEastAsia"/>
        </w:rPr>
        <w:t xml:space="preserve"> and the counterparty </w:t>
      </w:r>
      <m:oMath>
        <m:r>
          <w:rPr>
            <w:rFonts w:ascii="Cambria Math" w:hAnsi="Cambria Math"/>
          </w:rPr>
          <m:t>C</m:t>
        </m:r>
      </m:oMath>
      <w:r>
        <w:rPr>
          <w:rFonts w:eastAsiaTheme="minorEastAsia"/>
        </w:rPr>
        <w:t xml:space="preserve">. Analogously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denotes the value to the seller of the same derivative as if it were a transaction between two default-free counterparties.</w:t>
      </w:r>
    </w:p>
    <w:p w:rsidR="00397E59" w:rsidRPr="00801902" w:rsidRDefault="00397E59" w:rsidP="008A18B1">
      <w:pPr>
        <w:pStyle w:val="ListParagraph"/>
        <w:numPr>
          <w:ilvl w:val="0"/>
          <w:numId w:val="74"/>
        </w:numPr>
        <w:spacing w:after="160" w:line="360" w:lineRule="auto"/>
      </w:pPr>
      <w:r>
        <w:rPr>
          <w:u w:val="single"/>
        </w:rPr>
        <w:t>Default Derivative Close-out Claim</w:t>
      </w:r>
      <w:r>
        <w:t xml:space="preserve">: When party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default in general the mark-to-market on the derivative determines the close-out or the claim on the position. However the precise nature of this depends on the contractual details and the mechanism by which the mark-market is determined.</w:t>
      </w:r>
    </w:p>
    <w:p w:rsidR="00397E59" w:rsidRPr="00AB52B6" w:rsidRDefault="00397E59" w:rsidP="008A18B1">
      <w:pPr>
        <w:pStyle w:val="ListParagraph"/>
        <w:numPr>
          <w:ilvl w:val="0"/>
          <w:numId w:val="74"/>
        </w:numPr>
        <w:spacing w:after="160" w:line="360" w:lineRule="auto"/>
      </w:pPr>
      <w:r>
        <w:rPr>
          <w:u w:val="single"/>
        </w:rPr>
        <w:t>2002 ISDA Master Agreement Specification</w:t>
      </w:r>
      <w:r>
        <w:t xml:space="preserve">: The 2002 ISDA Master Agreement specifies that the derivative contract will return to the surviving party the recovery value of its positive mark-to-market value (from the point of view of the surviving party) just prior to default, whereas the full mark-to-market has to be paid to the defaulting party if the mark-to-market value is negative (from the view of the surviving party). The master agreement specifies a dealer poll mechanism to establish the mark-to-market to the seller at default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without referring to the names of the counterparties involved in the derivative transaction.</w:t>
      </w:r>
    </w:p>
    <w:p w:rsidR="00397E59" w:rsidRPr="00841C47" w:rsidRDefault="00397E59" w:rsidP="008A18B1">
      <w:pPr>
        <w:pStyle w:val="ListParagraph"/>
        <w:numPr>
          <w:ilvl w:val="0"/>
          <w:numId w:val="74"/>
        </w:numPr>
        <w:spacing w:after="160" w:line="360" w:lineRule="auto"/>
      </w:pPr>
      <w:r>
        <w:rPr>
          <w:u w:val="single"/>
        </w:rPr>
        <w:t>Handling Imprecise ISDA Close-outs</w:t>
      </w:r>
      <w:r>
        <w:t xml:space="preserve">: From the above one would expect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to be close to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even though it is unclear if the dealers in the poll may or may not include their </w:t>
      </w:r>
      <w:r>
        <w:rPr>
          <w:rFonts w:eastAsiaTheme="minorEastAsia"/>
        </w:rPr>
        <w:lastRenderedPageBreak/>
        <w:t xml:space="preserve">funding costs in the derivative prices. In case the ISDA Master Agreement is not followed there may be other mechanisms involved. Therefore Burgard and Kjaer (2012a) derive the PDE for the general case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and consider the two special cases</w:t>
      </w:r>
    </w:p>
    <w:p w:rsidR="00397E59" w:rsidRDefault="00397E59" w:rsidP="00397E59">
      <w:pPr>
        <w:pStyle w:val="ListParagraph"/>
        <w:spacing w:line="360" w:lineRule="auto"/>
        <w:ind w:left="360"/>
        <w:rPr>
          <w:u w:val="single"/>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320478"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Default Close-out Boundary Conditions</w:t>
      </w:r>
      <w:r>
        <w:t>: Let</w:t>
      </w:r>
    </w:p>
    <w:p w:rsidR="00397E59" w:rsidRDefault="00397E59" w:rsidP="00397E59">
      <w:pPr>
        <w:pStyle w:val="ListParagraph"/>
        <w:spacing w:line="360" w:lineRule="auto"/>
        <w:ind w:left="360"/>
        <w:rPr>
          <w:u w:val="single"/>
        </w:rPr>
      </w:pPr>
    </w:p>
    <w:p w:rsidR="00397E59" w:rsidRDefault="005D6A21"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5D6A21"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denote the recovery rates on the derivatives positions for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 for now they are taken to be deterministic. The above discussions result in the following boundary conditions:</w:t>
      </w:r>
    </w:p>
    <w:p w:rsidR="00397E59" w:rsidRDefault="00397E59" w:rsidP="00397E59">
      <w:pPr>
        <w:pStyle w:val="ListParagraph"/>
        <w:spacing w:line="360" w:lineRule="auto"/>
        <w:ind w:left="360"/>
        <w:rPr>
          <w:rFonts w:eastAsiaTheme="minorEastAsia"/>
        </w:rPr>
      </w:pPr>
    </w:p>
    <w:p w:rsidR="00397E59" w:rsidRDefault="005D6A2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when the seller defaults first and</w:t>
      </w:r>
    </w:p>
    <w:p w:rsidR="00397E59" w:rsidRDefault="00397E59" w:rsidP="00397E59">
      <w:pPr>
        <w:pStyle w:val="ListParagraph"/>
        <w:spacing w:line="360" w:lineRule="auto"/>
        <w:ind w:left="360"/>
        <w:rPr>
          <w:rFonts w:eastAsiaTheme="minorEastAsia"/>
        </w:rPr>
      </w:pPr>
    </w:p>
    <w:p w:rsidR="00397E59" w:rsidRPr="00841C47" w:rsidRDefault="005D6A2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when the counterparty defaults first. Li and Tang (2009), Gregory (2009), and the vast majority of the papers on the valuation of the counterparty risk use</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7675A0"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The Black Scholes Replicating Portfolio</w:t>
      </w:r>
      <w:r>
        <w:t xml:space="preserve">: As in the usual Black-Scholes framework the derivative s hedged with a self-financing portfolio that covers all the risk factors of the model. In this case the portfolio </w:t>
      </w:r>
      <m:oMath>
        <m:r>
          <m:rPr>
            <m:sty m:val="p"/>
          </m:rPr>
          <w:rPr>
            <w:rFonts w:ascii="Cambria Math" w:hAnsi="Cambria Math"/>
          </w:rPr>
          <m:t>Π</m:t>
        </m:r>
      </m:oMath>
      <w:r>
        <w:rPr>
          <w:rFonts w:eastAsiaTheme="minorEastAsia"/>
        </w:rPr>
        <w:t xml:space="preserve"> the seller sets up consists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r>
          <w:rPr>
            <w:rFonts w:ascii="Cambria Math" w:hAnsi="Cambria Math"/>
          </w:rPr>
          <m:t>S</m:t>
        </m:r>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cash such that the portfolio value at time </w:t>
      </w:r>
      <m:oMath>
        <m:r>
          <w:rPr>
            <w:rFonts w:ascii="Cambria Math" w:hAnsi="Cambria Math"/>
          </w:rPr>
          <m:t>t</m:t>
        </m:r>
      </m:oMath>
      <w:r>
        <w:rPr>
          <w:rFonts w:eastAsiaTheme="minorEastAsia"/>
        </w:rPr>
        <w:t xml:space="preserve"> replicates the value of the derivative to the seller, i.e.,</w:t>
      </w:r>
    </w:p>
    <w:p w:rsidR="00397E59" w:rsidRDefault="00397E59" w:rsidP="00397E59">
      <w:pPr>
        <w:pStyle w:val="ListParagraph"/>
        <w:spacing w:line="360" w:lineRule="auto"/>
        <w:ind w:left="360"/>
        <w:rPr>
          <w:u w:val="single"/>
        </w:rPr>
      </w:pPr>
    </w:p>
    <w:p w:rsidR="00397E59" w:rsidRPr="007707A7" w:rsidRDefault="005D6A21"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m:oMathPara>
    </w:p>
    <w:p w:rsidR="00397E59" w:rsidRPr="007675A0"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Counterparty Credit Hedge Ratio</w:t>
      </w:r>
      <w:r>
        <w:t>: Before proceeding note that when</w:t>
      </w:r>
    </w:p>
    <w:p w:rsidR="00397E59" w:rsidRDefault="00397E59" w:rsidP="00397E59">
      <w:pPr>
        <w:pStyle w:val="ListParagraph"/>
        <w:spacing w:line="360" w:lineRule="auto"/>
        <w:ind w:left="360"/>
        <w:rPr>
          <w:u w:val="single"/>
        </w:rPr>
      </w:pPr>
    </w:p>
    <w:p w:rsidR="00397E59" w:rsidRDefault="005D6A2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seller will incur a loss at the counterparty default. To hedge this loss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needs to be shorted, so we expect that</w:t>
      </w:r>
    </w:p>
    <w:p w:rsidR="00397E59" w:rsidRDefault="00397E59" w:rsidP="00397E59">
      <w:pPr>
        <w:pStyle w:val="ListParagraph"/>
        <w:spacing w:line="360" w:lineRule="auto"/>
        <w:ind w:left="360"/>
        <w:rPr>
          <w:rFonts w:eastAsiaTheme="minorEastAsia"/>
        </w:rPr>
      </w:pPr>
    </w:p>
    <w:p w:rsidR="00397E59" w:rsidRDefault="005D6A21"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Assuming that the seller can borrow the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at a rate close to the risk-free rate </w:t>
      </w:r>
      <m:oMath>
        <m:r>
          <w:rPr>
            <w:rFonts w:ascii="Cambria Math" w:hAnsi="Cambria Math"/>
          </w:rPr>
          <m:t>r</m:t>
        </m:r>
      </m:oMath>
      <w:r>
        <w:rPr>
          <w:rFonts w:eastAsiaTheme="minorEastAsia"/>
        </w:rPr>
        <w:t xml:space="preserve"> through a repurchase agreement, the spread </w:t>
      </w:r>
      <m:oMath>
        <m:sSub>
          <m:sSubPr>
            <m:ctrlPr>
              <w:rPr>
                <w:rFonts w:ascii="Cambria Math" w:hAnsi="Cambria Math"/>
                <w:i/>
              </w:rPr>
            </m:ctrlPr>
          </m:sSubPr>
          <m:e>
            <m:r>
              <w:rPr>
                <w:rFonts w:ascii="Cambria Math" w:hAnsi="Cambria Math"/>
              </w:rPr>
              <m:t>λ</m:t>
            </m:r>
          </m:e>
          <m:sub>
            <m:r>
              <w:rPr>
                <w:rFonts w:ascii="Cambria Math" w:hAnsi="Cambria Math"/>
              </w:rPr>
              <m:t>C</m:t>
            </m:r>
          </m:sub>
        </m:sSub>
      </m:oMath>
      <w:r>
        <w:rPr>
          <w:rFonts w:eastAsiaTheme="minorEastAsia"/>
        </w:rPr>
        <w:t xml:space="preserve"> between the rate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on the bond and the cost of financing the hedge position in </w:t>
      </w:r>
      <m:oMath>
        <m:r>
          <w:rPr>
            <w:rFonts w:ascii="Cambria Math" w:hAnsi="Cambria Math"/>
          </w:rPr>
          <m:t>C</m:t>
        </m:r>
      </m:oMath>
      <w:r>
        <w:rPr>
          <w:rFonts w:eastAsiaTheme="minorEastAsia"/>
        </w:rPr>
        <w:t xml:space="preserve"> can be approximated to</w:t>
      </w:r>
    </w:p>
    <w:p w:rsidR="00397E59" w:rsidRDefault="00397E59" w:rsidP="00397E59">
      <w:pPr>
        <w:pStyle w:val="ListParagraph"/>
        <w:spacing w:line="360" w:lineRule="auto"/>
        <w:ind w:left="360"/>
        <w:rPr>
          <w:rFonts w:eastAsiaTheme="minorEastAsia"/>
        </w:rPr>
      </w:pPr>
    </w:p>
    <w:p w:rsidR="00397E59" w:rsidRDefault="005D6A21"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lastRenderedPageBreak/>
        <w:t xml:space="preserve">Since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is a bond with zero recovery this spread corresponds to the default intensity of </w:t>
      </w:r>
      <m:oMath>
        <m:r>
          <w:rPr>
            <w:rFonts w:ascii="Cambria Math" w:hAnsi="Cambria Math"/>
          </w:rPr>
          <m:t>C</m:t>
        </m:r>
      </m:oMath>
      <w:r>
        <w:rPr>
          <w:rFonts w:eastAsiaTheme="minorEastAsia"/>
        </w:rPr>
        <w:t>.</w:t>
      </w:r>
    </w:p>
    <w:p w:rsidR="00397E59" w:rsidRDefault="00397E59" w:rsidP="008A18B1">
      <w:pPr>
        <w:pStyle w:val="ListParagraph"/>
        <w:numPr>
          <w:ilvl w:val="0"/>
          <w:numId w:val="74"/>
        </w:numPr>
        <w:spacing w:after="160" w:line="360" w:lineRule="auto"/>
      </w:pPr>
      <w:r>
        <w:rPr>
          <w:u w:val="single"/>
        </w:rPr>
        <w:t>Own Credit Risk Hedge Ratio</w:t>
      </w:r>
      <w:r>
        <w:t>: On the other hand, if</w:t>
      </w:r>
    </w:p>
    <w:p w:rsidR="00397E59" w:rsidRDefault="00397E59" w:rsidP="00397E59">
      <w:pPr>
        <w:pStyle w:val="ListParagraph"/>
        <w:spacing w:line="360" w:lineRule="auto"/>
        <w:ind w:left="360"/>
      </w:pPr>
    </w:p>
    <w:p w:rsidR="00397E59" w:rsidRDefault="005D6A2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&lt;0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seller will gain at own default, which can be hedged by buying back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so one expects that</w:t>
      </w:r>
    </w:p>
    <w:p w:rsidR="00397E59" w:rsidRDefault="00397E59" w:rsidP="00397E59">
      <w:pPr>
        <w:pStyle w:val="ListParagraph"/>
        <w:spacing w:line="360" w:lineRule="auto"/>
        <w:ind w:left="360"/>
        <w:rPr>
          <w:rFonts w:eastAsiaTheme="minorEastAsia"/>
        </w:rPr>
      </w:pPr>
    </w:p>
    <w:p w:rsidR="00397E59" w:rsidRDefault="005D6A21"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 xml:space="preserve">in this case. For this to work, enough cash must be generated, and any remaining cash after the purchase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is invested in such a way that it does not generate additional credit risk to the seller, i.e., any remaining positive cash generates a yield at the risk free rate of </w:t>
      </w:r>
      <m:oMath>
        <m:r>
          <w:rPr>
            <w:rFonts w:ascii="Cambria Math" w:hAnsi="Cambria Math"/>
          </w:rPr>
          <m:t>r</m:t>
        </m:r>
      </m:oMath>
      <w:r>
        <w:rPr>
          <w:rFonts w:eastAsiaTheme="minorEastAsia"/>
        </w:rPr>
        <w:t>.</w:t>
      </w:r>
    </w:p>
    <w:p w:rsidR="00397E59" w:rsidRDefault="00397E59" w:rsidP="008A18B1">
      <w:pPr>
        <w:pStyle w:val="ListParagraph"/>
        <w:numPr>
          <w:ilvl w:val="0"/>
          <w:numId w:val="74"/>
        </w:numPr>
        <w:spacing w:after="160" w:line="360" w:lineRule="auto"/>
      </w:pPr>
      <w:r>
        <w:rPr>
          <w:u w:val="single"/>
        </w:rPr>
        <w:t>Growth in the Cash Account</w:t>
      </w:r>
      <w:r>
        <w:t xml:space="preserve">: Imposing that the portfolio </w:t>
      </w:r>
      <m:oMath>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oMath>
      <w:r>
        <w:t xml:space="preserve"> is self-financing implies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the growth in the cash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be decomposed into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i.e., it is composed of three parts – the asset cash growth, the growth from the counterparty cash flow, and the growth from a unified (bond + cash) account.</w:t>
      </w:r>
    </w:p>
    <w:p w:rsidR="00397E59" w:rsidRPr="00C551F5" w:rsidRDefault="00397E59" w:rsidP="008A18B1">
      <w:pPr>
        <w:pStyle w:val="ListParagraph"/>
        <w:numPr>
          <w:ilvl w:val="0"/>
          <w:numId w:val="74"/>
        </w:numPr>
        <w:spacing w:after="160" w:line="360" w:lineRule="auto"/>
      </w:pPr>
      <w:r>
        <w:rPr>
          <w:u w:val="single"/>
        </w:rPr>
        <w:t>Instantaneous Growth vs. Portfolio Rebalancing</w:t>
      </w:r>
      <w:r>
        <w:t xml:space="preserve">: The growth above is the growth in the cash account before re-balancing of the portfolio. The self-financing condition ensures that after </w:t>
      </w:r>
      <m:oMath>
        <m:r>
          <w:rPr>
            <w:rFonts w:ascii="Cambria Math" w:hAnsi="Cambria Math"/>
          </w:rPr>
          <m:t>∆t</m:t>
        </m:r>
      </m:oMath>
      <w:r>
        <w:rPr>
          <w:rFonts w:eastAsiaTheme="minorEastAsia"/>
        </w:rPr>
        <w:t xml:space="preserve"> the rebalancing can happen at zero overall cost. This distinction is clarified in detail by Brigo, Buescu, Pallavicini, and Liu (2012).</w:t>
      </w:r>
    </w:p>
    <w:p w:rsidR="00397E59" w:rsidRPr="007707A7" w:rsidRDefault="00397E59" w:rsidP="008A18B1">
      <w:pPr>
        <w:pStyle w:val="ListParagraph"/>
        <w:numPr>
          <w:ilvl w:val="0"/>
          <w:numId w:val="74"/>
        </w:numPr>
        <w:spacing w:after="160" w:line="360" w:lineRule="auto"/>
      </w:pPr>
      <w:r>
        <w:rPr>
          <w:u w:val="single"/>
        </w:rPr>
        <w:t xml:space="preserve">Growth From the Asset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S</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The asset position provides a dividend income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at a financing cost of </w:t>
      </w:r>
      <m:oMath>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so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w:lastRenderedPageBreak/>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pPr>
      <w:r>
        <w:rPr>
          <w:rFonts w:eastAsiaTheme="minorEastAsia"/>
        </w:rPr>
        <w:t xml:space="preserve">The value of </w:t>
      </w:r>
      <m:oMath>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depend on the risk-free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the repo rate of </w:t>
      </w:r>
      <m:oMath>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Default="00397E59" w:rsidP="008A18B1">
      <w:pPr>
        <w:pStyle w:val="ListParagraph"/>
        <w:numPr>
          <w:ilvl w:val="0"/>
          <w:numId w:val="74"/>
        </w:numPr>
        <w:spacing w:after="160" w:line="360" w:lineRule="auto"/>
      </w:pPr>
      <w:r>
        <w:rPr>
          <w:u w:val="single"/>
        </w:rPr>
        <w:t xml:space="preserve">Growth From the Counterparty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C</m:t>
            </m:r>
          </m:sub>
        </m:sSub>
        <m:d>
          <m:dPr>
            <m:ctrlPr>
              <w:rPr>
                <w:rFonts w:ascii="Cambria Math" w:eastAsiaTheme="minorEastAsia" w:hAnsi="Cambria Math"/>
                <w:i/>
                <w:u w:val="single"/>
              </w:rPr>
            </m:ctrlPr>
          </m:dPr>
          <m:e>
            <m:r>
              <w:rPr>
                <w:rFonts w:ascii="Cambria Math" w:eastAsiaTheme="minorEastAsia" w:hAnsi="Cambria Math"/>
                <w:u w:val="single"/>
              </w:rPr>
              <m:t>t</m:t>
            </m:r>
          </m:e>
        </m:d>
      </m:oMath>
      <w:r>
        <w:t>: Using the arguments above, the seller will short the counterparty bonds using a repurchase agreement and incur financing costs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Pr="00266953" w:rsidRDefault="00397E59" w:rsidP="00397E59">
      <w:pPr>
        <w:pStyle w:val="ListParagraph"/>
        <w:spacing w:line="360" w:lineRule="auto"/>
        <w:ind w:left="360"/>
      </w:pPr>
      <w:r>
        <w:rPr>
          <w:rFonts w:eastAsiaTheme="minorEastAsia"/>
        </w:rPr>
        <w:t xml:space="preserve">Note the use of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instead of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Pr="007B268F" w:rsidRDefault="00397E59" w:rsidP="008A18B1">
      <w:pPr>
        <w:pStyle w:val="ListParagraph"/>
        <w:numPr>
          <w:ilvl w:val="0"/>
          <w:numId w:val="74"/>
        </w:numPr>
        <w:spacing w:after="160" w:line="360" w:lineRule="auto"/>
      </w:pPr>
      <w:r>
        <w:rPr>
          <w:u w:val="single"/>
        </w:rPr>
        <w:t xml:space="preserve">Positive/Negative Cash Account Asymmetry 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F</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From the above analysis any surplus cash held by the user after the own-bonds have been purchased must earn the risk-free rate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t xml:space="preserve"> in order to not introduce any further credit risk to the seller. If borrowing money the seller needs to pay the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Thus the own bonds/cash account uses a funding/hedging scheme that is not symmetric.</w:t>
      </w:r>
    </w:p>
    <w:p w:rsidR="00397E59" w:rsidRPr="007707A7" w:rsidRDefault="00397E59" w:rsidP="008A18B1">
      <w:pPr>
        <w:pStyle w:val="ListParagraph"/>
        <w:numPr>
          <w:ilvl w:val="0"/>
          <w:numId w:val="74"/>
        </w:numPr>
        <w:spacing w:after="160" w:line="360" w:lineRule="auto"/>
      </w:pPr>
      <w:r>
        <w:rPr>
          <w:u w:val="single"/>
        </w:rPr>
        <w:t>Unsecured Funding vs. Derivative as Collateral</w:t>
      </w:r>
      <w:r>
        <w:t xml:space="preserve">: For this funding rate, the following two cases are distinct; where the derivative itself can be used as a collateral for the required funding, on no haircut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set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If however the derivative cannot be used as a collateral, the funding rate is set to the yield of the unsecured seller bond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i.e.,</w:t>
      </w:r>
    </w:p>
    <w:p w:rsidR="00397E59" w:rsidRDefault="00397E59" w:rsidP="00397E59">
      <w:pPr>
        <w:pStyle w:val="ListParagraph"/>
        <w:spacing w:line="360" w:lineRule="auto"/>
        <w:ind w:left="360"/>
        <w:rPr>
          <w:u w:val="single"/>
        </w:rPr>
      </w:pPr>
    </w:p>
    <w:p w:rsidR="00397E59" w:rsidRPr="007707A7" w:rsidRDefault="005D6A2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7B268F"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Own Bond Cash Position Growth</w:t>
      </w:r>
      <w:r>
        <w:t xml:space="preserve">: In practice the second instance above is the more realistic case. Keeping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general for now,</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 the funding spread</w:t>
      </w:r>
    </w:p>
    <w:p w:rsidR="00397E59" w:rsidRDefault="00397E59" w:rsidP="00397E59">
      <w:pPr>
        <w:pStyle w:val="ListParagraph"/>
        <w:spacing w:line="360" w:lineRule="auto"/>
        <w:ind w:left="360"/>
        <w:rPr>
          <w:rFonts w:eastAsiaTheme="minorEastAsia"/>
        </w:rPr>
      </w:pPr>
    </w:p>
    <w:p w:rsidR="00397E59" w:rsidRDefault="005D6A2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i.e.,</w:t>
      </w:r>
    </w:p>
    <w:p w:rsidR="00397E59" w:rsidRDefault="00397E59" w:rsidP="00397E59">
      <w:pPr>
        <w:pStyle w:val="ListParagraph"/>
        <w:spacing w:line="360" w:lineRule="auto"/>
        <w:ind w:left="360"/>
        <w:rPr>
          <w:rFonts w:eastAsiaTheme="minorEastAsia"/>
        </w:rPr>
      </w:pPr>
    </w:p>
    <w:p w:rsidR="00397E59" w:rsidRDefault="005D6A2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the derivative cannot be used as a collateral, and</w:t>
      </w:r>
    </w:p>
    <w:p w:rsidR="00397E59" w:rsidRDefault="00397E59" w:rsidP="00397E59">
      <w:pPr>
        <w:pStyle w:val="ListParagraph"/>
        <w:spacing w:line="360" w:lineRule="auto"/>
        <w:ind w:left="360"/>
        <w:rPr>
          <w:rFonts w:eastAsiaTheme="minorEastAsia"/>
        </w:rPr>
      </w:pPr>
    </w:p>
    <w:p w:rsidR="00397E59" w:rsidRDefault="005D6A2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6F655A" w:rsidRDefault="00397E59" w:rsidP="00397E59">
      <w:pPr>
        <w:pStyle w:val="ListParagraph"/>
        <w:spacing w:line="360" w:lineRule="auto"/>
        <w:ind w:left="360"/>
      </w:pPr>
      <w:r>
        <w:rPr>
          <w:rFonts w:eastAsiaTheme="minorEastAsia"/>
        </w:rPr>
        <w:t>if it cannot.</w:t>
      </w:r>
    </w:p>
    <w:p w:rsidR="00397E59" w:rsidRPr="007707A7" w:rsidRDefault="00397E59" w:rsidP="008A18B1">
      <w:pPr>
        <w:pStyle w:val="ListParagraph"/>
        <w:numPr>
          <w:ilvl w:val="0"/>
          <w:numId w:val="74"/>
        </w:numPr>
        <w:spacing w:after="160" w:line="360" w:lineRule="auto"/>
      </w:pPr>
      <w:r>
        <w:rPr>
          <w:u w:val="single"/>
        </w:rPr>
        <w:t>Cumulative Cross Cash Growth Account</w:t>
      </w:r>
      <w:r>
        <w:t xml:space="preserve">: From the above analysis it follows that the total change in the cash account (here </w:t>
      </w:r>
      <m:oMath>
        <m:r>
          <w:rPr>
            <w:rFonts w:ascii="Cambria Math" w:eastAsiaTheme="minorEastAsia" w:hAnsi="Cambria Math"/>
          </w:rPr>
          <m:t>t</m:t>
        </m:r>
      </m:oMath>
      <w:r>
        <w:rPr>
          <w:rFonts w:eastAsiaTheme="minorEastAsia"/>
        </w:rPr>
        <w:t xml:space="preserve"> is dropped from the notation where applicable to improve clarity) is given by</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m:t>
          </m:r>
          <m:r>
            <w:rPr>
              <w:rFonts w:ascii="Cambria Math"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r>
            <w:rPr>
              <w:rFonts w:ascii="Cambria Math" w:hAnsi="Cambria Math"/>
            </w:rPr>
            <m:t>t</m:t>
          </m:r>
        </m:oMath>
      </m:oMathPara>
    </w:p>
    <w:p w:rsidR="00397E59" w:rsidRPr="00EC2005"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Change of the Replication Portfolio Value</w:t>
      </w:r>
      <w:r>
        <w:t xml:space="preserve">: Using the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w:r>
        <w:rPr>
          <w:rFonts w:eastAsiaTheme="minorEastAsia"/>
        </w:rPr>
        <w:t xml:space="preserve"> computed above in</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one gets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d>
            <m:dPr>
              <m:begChr m:val="["/>
              <m:endChr m:val="]"/>
              <m:ctrlPr>
                <w:rPr>
                  <w:rFonts w:ascii="Cambria Math" w:hAnsi="Cambria Math"/>
                  <w:i/>
                </w:rPr>
              </m:ctrlPr>
            </m:dPr>
            <m:e>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oMath>
      </m:oMathPara>
    </w:p>
    <w:p w:rsidR="00397E59" w:rsidRPr="00FF7337"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lastRenderedPageBreak/>
        <w:t>Ito’s Lemma for Jump Diffusion</w:t>
      </w:r>
      <w:r>
        <w:t>: On the other hand, by Ito’s lemma for jump diffusion and the assumption that a simultaneous jump of both the seller and the counterparty is a zero-probability event, the derivative value moves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can be computed from</w:t>
      </w:r>
    </w:p>
    <w:p w:rsidR="00397E59" w:rsidRDefault="00397E59" w:rsidP="00397E59">
      <w:pPr>
        <w:pStyle w:val="ListParagraph"/>
        <w:spacing w:line="360" w:lineRule="auto"/>
        <w:ind w:left="360"/>
        <w:rPr>
          <w:rFonts w:eastAsiaTheme="minorEastAsia"/>
        </w:rPr>
      </w:pPr>
    </w:p>
    <w:p w:rsidR="00397E59" w:rsidRPr="007707A7" w:rsidRDefault="005D6A2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7707A7" w:rsidRDefault="005D6A2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Pr="000C226E"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Asset and Bond Hedge Ratios</w:t>
      </w:r>
      <w:r>
        <w:t xml:space="preserve">: Equating the </w:t>
      </w:r>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from the cash growth and the Ito’s lemmas, the following choice of </w:t>
      </w:r>
      <m:oMath>
        <m:sSub>
          <m:sSubPr>
            <m:ctrlPr>
              <w:rPr>
                <w:rFonts w:ascii="Cambria Math" w:hAnsi="Cambria Math"/>
                <w:i/>
              </w:rPr>
            </m:ctrlPr>
          </m:sSubPr>
          <m:e>
            <m:r>
              <w:rPr>
                <w:rFonts w:ascii="Cambria Math" w:hAnsi="Cambria Math"/>
              </w:rPr>
              <m:t>α</m:t>
            </m:r>
          </m:e>
          <m:sub>
            <m:r>
              <w:rPr>
                <w:rFonts w:ascii="Cambria Math" w:hAnsi="Cambria Math"/>
              </w:rPr>
              <m:t>S</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rFonts w:eastAsiaTheme="minorEastAsia"/>
        </w:rPr>
        <w:t xml:space="preserve"> eliminates all risks in the portfolio:</w:t>
      </w:r>
    </w:p>
    <w:p w:rsidR="00397E59" w:rsidRDefault="00397E59" w:rsidP="00397E59">
      <w:pPr>
        <w:pStyle w:val="ListParagraph"/>
        <w:spacing w:line="360" w:lineRule="auto"/>
        <w:ind w:left="360"/>
        <w:rPr>
          <w:u w:val="single"/>
        </w:rPr>
      </w:pPr>
    </w:p>
    <w:p w:rsidR="00397E59" w:rsidRDefault="005D6A21"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Pr="007707A7" w:rsidRDefault="005D6A21"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Pr="007707A7" w:rsidRDefault="005D6A21"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Pr="007C148A"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Cash Account Evolution Expression</w:t>
      </w:r>
      <w:r>
        <w:t>: Hence the cash account evolution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can be rewritten as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Pr="007C148A" w:rsidRDefault="00397E59" w:rsidP="00397E59">
      <w:pPr>
        <w:pStyle w:val="ListParagraph"/>
        <w:spacing w:line="360" w:lineRule="auto"/>
        <w:ind w:left="360"/>
      </w:pPr>
      <w:r>
        <w:rPr>
          <w:rFonts w:eastAsiaTheme="minorEastAsia"/>
        </w:rPr>
        <w:t xml:space="preserve">so the amount of cash deposited by the seller at the risk-free rate equals </w:t>
      </w:r>
      <m:oMath>
        <m:r>
          <w:rPr>
            <w:rFonts w:ascii="Cambria Math" w:eastAsiaTheme="minorEastAsia" w:hAnsi="Cambria Math"/>
          </w:rPr>
          <m:t>-r</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rPr>
        <w:t xml:space="preserve"> and the amount borrowed at the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equals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p>
    <w:p w:rsidR="00397E59" w:rsidRPr="00FF00E4" w:rsidRDefault="00397E59" w:rsidP="008A18B1">
      <w:pPr>
        <w:pStyle w:val="ListParagraph"/>
        <w:numPr>
          <w:ilvl w:val="0"/>
          <w:numId w:val="74"/>
        </w:numPr>
        <w:spacing w:after="160" w:line="360" w:lineRule="auto"/>
      </w:pPr>
      <w:r>
        <w:rPr>
          <w:u w:val="single"/>
        </w:rPr>
        <w:t>Derivative as Collateral Black Scholes</w:t>
      </w:r>
      <w:r>
        <w:t xml:space="preserve">: Introducing the parabolic differential operator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as</w:t>
      </w:r>
    </w:p>
    <w:p w:rsidR="00397E59" w:rsidRDefault="00397E59" w:rsidP="00397E59">
      <w:pPr>
        <w:pStyle w:val="ListParagraph"/>
        <w:spacing w:line="360" w:lineRule="auto"/>
        <w:ind w:left="360"/>
        <w:rPr>
          <w:u w:val="single"/>
        </w:rPr>
      </w:pPr>
    </w:p>
    <w:p w:rsidR="00397E59" w:rsidRDefault="005D6A21" w:rsidP="00397E59">
      <w:pPr>
        <w:pStyle w:val="ListParagraph"/>
        <w:spacing w:line="360" w:lineRule="auto"/>
        <w:ind w:left="360"/>
        <w:rPr>
          <w:rFonts w:eastAsiaTheme="minorEastAsia"/>
        </w:rPr>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w:t>
      </w:r>
      <m:oMath>
        <m:acc>
          <m:accPr>
            <m:ctrlPr>
              <w:rPr>
                <w:rFonts w:ascii="Cambria Math" w:hAnsi="Cambria Math"/>
                <w:i/>
              </w:rPr>
            </m:ctrlPr>
          </m:accPr>
          <m:e>
            <m:r>
              <w:rPr>
                <w:rFonts w:ascii="Cambria Math" w:hAnsi="Cambria Math"/>
              </w:rPr>
              <m:t>V</m:t>
            </m:r>
          </m:e>
        </m:acc>
      </m:oMath>
      <w:r>
        <w:rPr>
          <w:rFonts w:eastAsiaTheme="minorEastAsia"/>
        </w:rPr>
        <w:t xml:space="preserve"> is the solution to the PDE</w:t>
      </w:r>
    </w:p>
    <w:p w:rsidR="00397E59" w:rsidRDefault="00397E59" w:rsidP="00397E59">
      <w:pPr>
        <w:pStyle w:val="ListParagraph"/>
        <w:spacing w:line="360" w:lineRule="auto"/>
        <w:ind w:left="360"/>
        <w:rPr>
          <w:rFonts w:eastAsiaTheme="minorEastAsia"/>
        </w:rPr>
      </w:pPr>
    </w:p>
    <w:p w:rsidR="00397E59" w:rsidRDefault="005D6A21"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5D6A2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Pr="00FF00E4" w:rsidRDefault="005D6A2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FF00E4" w:rsidRDefault="005D6A2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oMath>
      </m:oMathPara>
    </w:p>
    <w:p w:rsidR="00397E59" w:rsidRPr="002F6EDB"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Incorporation of the Boundary Condition</w:t>
      </w:r>
      <w:r>
        <w:t>: Inserting</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with the boundary conditions</w:t>
      </w:r>
    </w:p>
    <w:p w:rsidR="00397E59" w:rsidRDefault="00397E59" w:rsidP="00397E59">
      <w:pPr>
        <w:pStyle w:val="ListParagraph"/>
        <w:spacing w:line="360" w:lineRule="auto"/>
        <w:ind w:left="360"/>
        <w:rPr>
          <w:rFonts w:eastAsiaTheme="minorEastAsia"/>
        </w:rPr>
      </w:pPr>
    </w:p>
    <w:p w:rsidR="00397E59" w:rsidRDefault="005D6A2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5D6A2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into</w:t>
      </w:r>
    </w:p>
    <w:p w:rsidR="00397E59" w:rsidRDefault="00397E59" w:rsidP="00397E59">
      <w:pPr>
        <w:pStyle w:val="ListParagraph"/>
        <w:spacing w:line="360" w:lineRule="auto"/>
        <w:ind w:left="360"/>
        <w:rPr>
          <w:rFonts w:eastAsiaTheme="minorEastAsia"/>
        </w:rPr>
      </w:pPr>
    </w:p>
    <w:p w:rsidR="00397E59" w:rsidRDefault="005D6A21"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finally gives</w:t>
      </w:r>
    </w:p>
    <w:p w:rsidR="00397E59" w:rsidRDefault="00397E59" w:rsidP="00397E59">
      <w:pPr>
        <w:pStyle w:val="ListParagraph"/>
        <w:spacing w:line="360" w:lineRule="auto"/>
        <w:ind w:left="360"/>
        <w:rPr>
          <w:rFonts w:eastAsiaTheme="minorEastAsia"/>
        </w:rPr>
      </w:pPr>
    </w:p>
    <w:p w:rsidR="00397E59" w:rsidRDefault="005D6A21"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5D6A2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 the relation</w:t>
      </w:r>
    </w:p>
    <w:p w:rsidR="00397E59" w:rsidRDefault="00397E59" w:rsidP="00397E59">
      <w:pPr>
        <w:pStyle w:val="ListParagraph"/>
        <w:spacing w:line="360" w:lineRule="auto"/>
        <w:ind w:left="360"/>
        <w:rPr>
          <w:rFonts w:eastAsiaTheme="minorEastAsia"/>
        </w:rPr>
      </w:pPr>
    </w:p>
    <w:p w:rsidR="00397E59" w:rsidRDefault="005D6A21" w:rsidP="00397E59">
      <w:pPr>
        <w:pStyle w:val="ListParagraph"/>
        <w:spacing w:line="360" w:lineRule="auto"/>
        <w:ind w:left="360"/>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e>
            <m:sup>
              <m:r>
                <w:rPr>
                  <w:rFonts w:ascii="Cambria Math" w:eastAsiaTheme="minorEastAsia" w:hAnsi="Cambria Math"/>
                </w:rPr>
                <m:t>+</m:t>
              </m:r>
            </m:sup>
          </m:sSup>
          <m:r>
            <w:rPr>
              <w:rFonts w:ascii="Cambria Math" w:eastAsiaTheme="minorEastAsia"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r>
        <w:rPr>
          <w:rFonts w:eastAsiaTheme="minorEastAsia"/>
        </w:rPr>
        <w:t>has been used.</w:t>
      </w:r>
    </w:p>
    <w:p w:rsidR="00397E59" w:rsidRPr="00FF00E4" w:rsidRDefault="00397E59" w:rsidP="008A18B1">
      <w:pPr>
        <w:pStyle w:val="ListParagraph"/>
        <w:numPr>
          <w:ilvl w:val="0"/>
          <w:numId w:val="74"/>
        </w:numPr>
        <w:spacing w:after="160" w:line="360" w:lineRule="auto"/>
      </w:pPr>
      <w:r>
        <w:rPr>
          <w:u w:val="single"/>
        </w:rPr>
        <w:t>Fair Derivative Black Scholes Value</w:t>
      </w:r>
      <w:r>
        <w:t xml:space="preserve">: In contrast the risk-free value </w:t>
      </w:r>
      <m:oMath>
        <m:r>
          <w:rPr>
            <w:rFonts w:ascii="Cambria Math" w:eastAsiaTheme="minorEastAsia" w:hAnsi="Cambria Math"/>
          </w:rPr>
          <m:t>V</m:t>
        </m:r>
      </m:oMath>
      <w:r>
        <w:rPr>
          <w:rFonts w:eastAsiaTheme="minorEastAsia"/>
        </w:rPr>
        <w:t xml:space="preserve"> satisfies the regular Black-Scholes PDE</w:t>
      </w:r>
    </w:p>
    <w:p w:rsidR="00397E59" w:rsidRDefault="00397E59" w:rsidP="00397E59">
      <w:pPr>
        <w:pStyle w:val="ListParagraph"/>
        <w:spacing w:line="360" w:lineRule="auto"/>
        <w:ind w:left="360"/>
        <w:rPr>
          <w:u w:val="single"/>
        </w:rPr>
      </w:pPr>
    </w:p>
    <w:p w:rsidR="00397E59" w:rsidRDefault="005D6A21"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r>
        <w:rPr>
          <w:rFonts w:eastAsiaTheme="minorEastAsia"/>
        </w:rPr>
        <w:t xml:space="preserve">Thus if one interprets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as effective default rates then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may be interpreted as follows.</w:t>
      </w:r>
    </w:p>
    <w:p w:rsidR="00397E59" w:rsidRPr="00A01099" w:rsidRDefault="00397E59" w:rsidP="008A18B1">
      <w:pPr>
        <w:pStyle w:val="ListParagraph"/>
        <w:numPr>
          <w:ilvl w:val="0"/>
          <w:numId w:val="74"/>
        </w:numPr>
        <w:spacing w:after="160" w:line="360" w:lineRule="auto"/>
      </w:pPr>
      <w:r>
        <w:rPr>
          <w:u w:val="single"/>
        </w:rPr>
        <w:t>Self/Counterparty Default Impact</w:t>
      </w:r>
      <w:r>
        <w:t xml:space="preserve">: The term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is the additional growth rate the seller </w:t>
      </w:r>
      <m:oMath>
        <m:r>
          <w:rPr>
            <w:rFonts w:ascii="Cambria Math" w:eastAsiaTheme="minorEastAsia" w:hAnsi="Cambria Math"/>
          </w:rPr>
          <m:t>B</m:t>
        </m:r>
      </m:oMath>
      <w:r>
        <w:rPr>
          <w:rFonts w:eastAsiaTheme="minorEastAsia"/>
        </w:rPr>
        <w:t xml:space="preserve"> requires on the risky asset </w:t>
      </w:r>
      <m:oMath>
        <m:acc>
          <m:accPr>
            <m:ctrlPr>
              <w:rPr>
                <w:rFonts w:ascii="Cambria Math" w:hAnsi="Cambria Math"/>
                <w:i/>
              </w:rPr>
            </m:ctrlPr>
          </m:accPr>
          <m:e>
            <m:r>
              <w:rPr>
                <w:rFonts w:ascii="Cambria Math" w:hAnsi="Cambria Math"/>
              </w:rPr>
              <m:t>V</m:t>
            </m:r>
          </m:e>
        </m:acc>
      </m:oMath>
      <w:r>
        <w:rPr>
          <w:rFonts w:eastAsiaTheme="minorEastAsia"/>
        </w:rPr>
        <w:t xml:space="preserve"> to compensate for the risk that default of either the seller the seller or the counterparty will terminate the derivative contract.</w:t>
      </w:r>
    </w:p>
    <w:p w:rsidR="00397E59" w:rsidRDefault="00397E59" w:rsidP="008A18B1">
      <w:pPr>
        <w:pStyle w:val="ListParagraph"/>
        <w:numPr>
          <w:ilvl w:val="0"/>
          <w:numId w:val="74"/>
        </w:numPr>
        <w:spacing w:after="160" w:line="360" w:lineRule="auto"/>
      </w:pPr>
      <w:r>
        <w:rPr>
          <w:u w:val="single"/>
        </w:rPr>
        <w:t>Receivables Funding Impact Hedge Strategy</w:t>
      </w:r>
      <w:r>
        <w:t xml:space="preserve">: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t xml:space="preserve"> is the additional funding cost for negative values of the cash account for the hedging strategy.</w:t>
      </w:r>
    </w:p>
    <w:p w:rsidR="00397E59" w:rsidRPr="00841C47" w:rsidRDefault="00397E59" w:rsidP="008A18B1">
      <w:pPr>
        <w:pStyle w:val="ListParagraph"/>
        <w:numPr>
          <w:ilvl w:val="0"/>
          <w:numId w:val="74"/>
        </w:numPr>
        <w:spacing w:after="160" w:line="360" w:lineRule="auto"/>
      </w:pPr>
      <w:r>
        <w:rPr>
          <w:u w:val="single"/>
        </w:rPr>
        <w:t>Own Default Close-out</w:t>
      </w:r>
      <w:r>
        <w:t xml:space="preserve">: The term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is the adjustment in the growth rate that the seller can accept because of the cash flows occurring at own default.</w:t>
      </w:r>
    </w:p>
    <w:p w:rsidR="00397E59" w:rsidRDefault="00397E59" w:rsidP="008A18B1">
      <w:pPr>
        <w:pStyle w:val="ListParagraph"/>
        <w:numPr>
          <w:ilvl w:val="0"/>
          <w:numId w:val="74"/>
        </w:numPr>
        <w:spacing w:after="160" w:line="360" w:lineRule="auto"/>
      </w:pPr>
      <w:r>
        <w:rPr>
          <w:u w:val="single"/>
        </w:rPr>
        <w:t>Counterparty Default Close-out</w:t>
      </w:r>
      <w:r>
        <w:t xml:space="preserve">: The term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t xml:space="preserve"> is the adjustment in the growth rate that the seller can accept because of the cash flow occurring at the counterparty default.</w:t>
      </w:r>
    </w:p>
    <w:p w:rsidR="00397E59" w:rsidRPr="00FF00E4" w:rsidRDefault="00397E59" w:rsidP="008A18B1">
      <w:pPr>
        <w:pStyle w:val="ListParagraph"/>
        <w:numPr>
          <w:ilvl w:val="0"/>
          <w:numId w:val="74"/>
        </w:numPr>
        <w:spacing w:after="160" w:line="360" w:lineRule="auto"/>
      </w:pPr>
      <w:r>
        <w:rPr>
          <w:u w:val="single"/>
        </w:rPr>
        <w:t>Modeling of the Extinguisher Trade</w:t>
      </w:r>
      <w:r w:rsidRPr="00841C47">
        <w:t>:</w:t>
      </w:r>
      <w:r>
        <w:t xml:space="preserve"> The terms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are related to counterparty risk whereas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rPr>
          <w:rFonts w:eastAsiaTheme="minorEastAsia"/>
        </w:rPr>
        <w:t xml:space="preserve"> represents the funding cost. From this interpretation it follows that the PDE for a so-called </w:t>
      </w:r>
      <w:r>
        <w:rPr>
          <w:rFonts w:eastAsiaTheme="minorEastAsia"/>
          <w:i/>
        </w:rPr>
        <w:t>extinguisher trade</w:t>
      </w:r>
      <w:r>
        <w:rPr>
          <w:rFonts w:eastAsiaTheme="minorEastAsia"/>
        </w:rPr>
        <w:t xml:space="preserve">, whereby it is agreed that no party gets anything at default, is obtained by removing the terms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from</w:t>
      </w:r>
    </w:p>
    <w:p w:rsidR="00397E59" w:rsidRDefault="00397E59" w:rsidP="00397E59">
      <w:pPr>
        <w:pStyle w:val="ListParagraph"/>
        <w:spacing w:line="360" w:lineRule="auto"/>
        <w:ind w:left="360"/>
        <w:rPr>
          <w:u w:val="single"/>
        </w:rPr>
      </w:pPr>
    </w:p>
    <w:p w:rsidR="00397E59" w:rsidRDefault="005D6A21" w:rsidP="00397E59">
      <w:pPr>
        <w:pStyle w:val="ListParagraph"/>
        <w:spacing w:line="360" w:lineRule="auto"/>
        <w:ind w:left="360"/>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acc>
          <m:accPr>
            <m:ctrlPr>
              <w:rPr>
                <w:rFonts w:ascii="Cambria Math" w:hAnsi="Cambria Math"/>
                <w:b/>
                <w:i/>
                <w:sz w:val="28"/>
                <w:szCs w:val="28"/>
              </w:rPr>
            </m:ctrlPr>
          </m:accPr>
          <m:e>
            <m:r>
              <m:rPr>
                <m:sty m:val="bi"/>
              </m:rPr>
              <w:rPr>
                <w:rFonts w:ascii="Cambria Math" w:hAnsi="Cambria Math"/>
                <w:sz w:val="28"/>
                <w:szCs w:val="28"/>
              </w:rPr>
              <m:t>V</m:t>
            </m:r>
          </m:e>
        </m:acc>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5"/>
        </w:numPr>
        <w:spacing w:after="160" w:line="360" w:lineRule="auto"/>
        <w:rPr>
          <w:rFonts w:eastAsiaTheme="minorEastAsia"/>
        </w:rPr>
      </w:pPr>
      <w:r w:rsidRPr="00D32D0B">
        <w:rPr>
          <w:u w:val="single"/>
        </w:rPr>
        <w:t>Conceptually Simple Payout Condition</w:t>
      </w:r>
      <w:r>
        <w:t xml:space="preserve">: This section considers the case where the payments in default are based on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w:r>
        <w:rPr>
          <w:rFonts w:eastAsiaTheme="minorEastAsia"/>
        </w:rPr>
        <w:t xml:space="preserve"> so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 the boundary condition</w:t>
      </w:r>
    </w:p>
    <w:p w:rsidR="00397E59" w:rsidRDefault="00397E59" w:rsidP="00397E59">
      <w:pPr>
        <w:pStyle w:val="ListParagraph"/>
        <w:spacing w:line="360" w:lineRule="auto"/>
        <w:ind w:left="360"/>
        <w:rPr>
          <w:rFonts w:eastAsiaTheme="minorEastAsia"/>
        </w:rPr>
      </w:pPr>
    </w:p>
    <w:p w:rsidR="00397E59" w:rsidRDefault="005D6A2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5D6A2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Conceptually this is the simpler case since if the defaulting party is in the money with respect to a derivative contract, then there is no additional impact on the profit and the loss at the point of default.</w:t>
      </w:r>
    </w:p>
    <w:p w:rsidR="00397E59" w:rsidRDefault="00397E59" w:rsidP="008A18B1">
      <w:pPr>
        <w:pStyle w:val="ListParagraph"/>
        <w:numPr>
          <w:ilvl w:val="0"/>
          <w:numId w:val="75"/>
        </w:numPr>
        <w:spacing w:after="160" w:line="360" w:lineRule="auto"/>
        <w:rPr>
          <w:rFonts w:eastAsiaTheme="minorEastAsia"/>
        </w:rPr>
      </w:pPr>
      <w:r>
        <w:rPr>
          <w:u w:val="single"/>
        </w:rPr>
        <w:t xml:space="preserve">Simplification of the PDE for </w:t>
      </w:r>
      <m:oMath>
        <m:acc>
          <m:accPr>
            <m:ctrlPr>
              <w:rPr>
                <w:rFonts w:ascii="Cambria Math" w:hAnsi="Cambria Math"/>
                <w:i/>
                <w:u w:val="single"/>
              </w:rPr>
            </m:ctrlPr>
          </m:accPr>
          <m:e>
            <m:r>
              <w:rPr>
                <w:rFonts w:ascii="Cambria Math" w:hAnsi="Cambria Math"/>
                <w:u w:val="single"/>
              </w:rPr>
              <m:t>V</m:t>
            </m:r>
          </m:e>
        </m:acc>
      </m:oMath>
      <w:r>
        <w:t xml:space="preserve">: Similarly if the surviving party is in the money with respect to the derivative contract, then its loss is simply </w:t>
      </w:r>
      <m:oMath>
        <m:d>
          <m:dPr>
            <m:ctrlPr>
              <w:rPr>
                <w:rFonts w:ascii="Cambria Math" w:eastAsiaTheme="minorEastAsia" w:hAnsi="Cambria Math"/>
                <w:i/>
              </w:rPr>
            </m:ctrlPr>
          </m:dPr>
          <m:e>
            <m:r>
              <w:rPr>
                <w:rFonts w:ascii="Cambria Math" w:eastAsiaTheme="minorEastAsia" w:hAnsi="Cambria Math"/>
              </w:rPr>
              <m:t>1-R</m:t>
            </m:r>
          </m:e>
        </m:d>
        <m:acc>
          <m:accPr>
            <m:ctrlPr>
              <w:rPr>
                <w:rFonts w:ascii="Cambria Math" w:hAnsi="Cambria Math"/>
                <w:i/>
              </w:rPr>
            </m:ctrlPr>
          </m:accPr>
          <m:e>
            <m:r>
              <w:rPr>
                <w:rFonts w:ascii="Cambria Math" w:hAnsi="Cambria Math"/>
              </w:rPr>
              <m:t>V</m:t>
            </m:r>
          </m:e>
        </m:acc>
      </m:oMath>
      <w:r>
        <w:rPr>
          <w:rFonts w:eastAsiaTheme="minorEastAsia"/>
        </w:rPr>
        <w:t>. In this case</w:t>
      </w:r>
    </w:p>
    <w:p w:rsidR="00397E59" w:rsidRDefault="00397E59" w:rsidP="00397E59">
      <w:pPr>
        <w:pStyle w:val="ListParagraph"/>
        <w:spacing w:line="360" w:lineRule="auto"/>
        <w:ind w:left="360"/>
        <w:rPr>
          <w:u w:val="single"/>
        </w:rPr>
      </w:pPr>
    </w:p>
    <w:p w:rsidR="00397E59" w:rsidRDefault="005D6A21"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reduces to</w:t>
      </w:r>
    </w:p>
    <w:p w:rsidR="00397E59" w:rsidRDefault="00397E59" w:rsidP="00397E59">
      <w:pPr>
        <w:pStyle w:val="ListParagraph"/>
        <w:spacing w:line="360" w:lineRule="auto"/>
        <w:ind w:left="360"/>
        <w:rPr>
          <w:rFonts w:eastAsiaTheme="minorEastAsia"/>
        </w:rPr>
      </w:pPr>
    </w:p>
    <w:p w:rsidR="00397E59" w:rsidRDefault="005D6A21"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5D6A2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5D6A2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the derivative can be posted as collateral and</w:t>
      </w:r>
    </w:p>
    <w:p w:rsidR="00397E59" w:rsidRDefault="00397E59" w:rsidP="00397E59">
      <w:pPr>
        <w:pStyle w:val="ListParagraph"/>
        <w:spacing w:line="360" w:lineRule="auto"/>
        <w:ind w:left="360"/>
        <w:rPr>
          <w:rFonts w:eastAsiaTheme="minorEastAsia"/>
        </w:rPr>
      </w:pPr>
    </w:p>
    <w:p w:rsidR="00397E59" w:rsidRDefault="005D6A2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it cannot.</w:t>
      </w:r>
    </w:p>
    <w:p w:rsidR="00397E59" w:rsidRDefault="00397E59" w:rsidP="008A18B1">
      <w:pPr>
        <w:pStyle w:val="ListParagraph"/>
        <w:numPr>
          <w:ilvl w:val="0"/>
          <w:numId w:val="75"/>
        </w:numPr>
        <w:spacing w:after="160" w:line="360" w:lineRule="auto"/>
        <w:rPr>
          <w:rFonts w:eastAsiaTheme="minorEastAsia"/>
        </w:rPr>
      </w:pPr>
      <w:r>
        <w:rPr>
          <w:u w:val="single"/>
        </w:rPr>
        <w:t>Own Credit And Counterparty Hedges</w:t>
      </w:r>
      <w:r w:rsidRPr="003F3396">
        <w:rPr>
          <w:rFonts w:eastAsiaTheme="minorEastAsia"/>
        </w:rPr>
        <w:t>:</w:t>
      </w:r>
      <w:r>
        <w:rPr>
          <w:rFonts w:eastAsiaTheme="minorEastAsia"/>
        </w:rPr>
        <w:t xml:space="preserve"> Moreover the hedge ratios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oMath>
      <w:r>
        <w:rPr>
          <w:rFonts w:eastAsiaTheme="minorEastAsia"/>
        </w:rPr>
        <w:t xml:space="preserve"> are given by</w:t>
      </w:r>
    </w:p>
    <w:p w:rsidR="00397E59" w:rsidRDefault="00397E59" w:rsidP="00397E59">
      <w:pPr>
        <w:pStyle w:val="ListParagraph"/>
        <w:spacing w:line="360" w:lineRule="auto"/>
        <w:ind w:left="360"/>
        <w:rPr>
          <w:u w:val="single"/>
        </w:rPr>
      </w:pPr>
    </w:p>
    <w:p w:rsidR="00397E59" w:rsidRDefault="005D6A2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5D6A2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so that</w:t>
      </w:r>
    </w:p>
    <w:p w:rsidR="00397E59" w:rsidRDefault="00397E59" w:rsidP="00397E59">
      <w:pPr>
        <w:pStyle w:val="ListParagraph"/>
        <w:spacing w:line="360" w:lineRule="auto"/>
        <w:ind w:left="360"/>
        <w:rPr>
          <w:rFonts w:eastAsiaTheme="minorEastAsia"/>
        </w:rPr>
      </w:pPr>
    </w:p>
    <w:p w:rsidR="00397E59" w:rsidRDefault="005D6A2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5D6A2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and the replication strategy generates enough cash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for the seller to purchase back  its own bonds.</w:t>
      </w:r>
    </w:p>
    <w:p w:rsidR="00397E59" w:rsidRDefault="00397E59" w:rsidP="008A18B1">
      <w:pPr>
        <w:pStyle w:val="ListParagraph"/>
        <w:numPr>
          <w:ilvl w:val="0"/>
          <w:numId w:val="75"/>
        </w:numPr>
        <w:spacing w:after="160" w:line="360" w:lineRule="auto"/>
        <w:rPr>
          <w:rFonts w:eastAsiaTheme="minorEastAsia"/>
        </w:rPr>
      </w:pPr>
      <w:r>
        <w:rPr>
          <w:u w:val="single"/>
        </w:rPr>
        <w:t>Interpretation of the Own Credit Hedge</w:t>
      </w:r>
      <w:r w:rsidRPr="00EB040C">
        <w:rPr>
          <w:rFonts w:eastAsiaTheme="minorEastAsia"/>
        </w:rPr>
        <w:t>:</w:t>
      </w:r>
      <w:r>
        <w:rPr>
          <w:rFonts w:eastAsiaTheme="minorEastAsia"/>
        </w:rPr>
        <w:t xml:space="preserve"> The cash available to the seller is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of which the fraction </w:t>
      </w:r>
      <m:oMath>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in buying back the recovery-less bond </w:t>
      </w:r>
      <m:oMath>
        <m:r>
          <w:rPr>
            <w:rFonts w:ascii="Cambria Math" w:eastAsiaTheme="minorEastAsia" w:hAnsi="Cambria Math"/>
          </w:rPr>
          <m:t>B</m:t>
        </m:r>
      </m:oMath>
      <w:r>
        <w:rPr>
          <w:rFonts w:eastAsiaTheme="minorEastAsia"/>
        </w:rPr>
        <w:t xml:space="preserve"> and the fraction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risk-free. This is equivalent to investing a total amount of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into purchasing a seller bond </w:t>
      </w:r>
      <m:oMath>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Pr>
          <w:u w:val="single"/>
        </w:rPr>
        <w:t>Credit Valuation Adjustment (CVA) Formulation</w:t>
      </w:r>
      <w:r w:rsidRPr="00523DAF">
        <w:rPr>
          <w:rFonts w:eastAsiaTheme="minorEastAsia"/>
        </w:rPr>
        <w:t>:</w:t>
      </w:r>
      <w:r>
        <w:rPr>
          <w:rFonts w:eastAsiaTheme="minorEastAsia"/>
        </w:rPr>
        <w:t xml:space="preserve"> In the counterparty risk literature it is customary to write</w:t>
      </w:r>
    </w:p>
    <w:p w:rsidR="00397E59" w:rsidRDefault="00397E59" w:rsidP="00397E59">
      <w:pPr>
        <w:pStyle w:val="ListParagraph"/>
        <w:spacing w:line="360" w:lineRule="auto"/>
        <w:ind w:left="360"/>
        <w:rPr>
          <w:u w:val="single"/>
        </w:rPr>
      </w:pPr>
    </w:p>
    <w:p w:rsidR="00397E59" w:rsidRDefault="005D6A2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U</m:t>
        </m:r>
      </m:oMath>
      <w:r>
        <w:rPr>
          <w:rFonts w:eastAsiaTheme="minorEastAsia"/>
        </w:rPr>
        <w:t xml:space="preserve"> is called the credit valuation adjustment or the CVA. Inserting this representation into</w:t>
      </w:r>
    </w:p>
    <w:p w:rsidR="00397E59" w:rsidRDefault="00397E59" w:rsidP="00397E59">
      <w:pPr>
        <w:pStyle w:val="ListParagraph"/>
        <w:spacing w:line="360" w:lineRule="auto"/>
        <w:ind w:left="360"/>
        <w:rPr>
          <w:rFonts w:eastAsiaTheme="minorEastAsia"/>
        </w:rPr>
      </w:pPr>
    </w:p>
    <w:p w:rsidR="00397E59" w:rsidRDefault="005D6A21"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5D6A2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5D6A21"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V-rV=</m:t>
          </m:r>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yields</w:t>
      </w:r>
    </w:p>
    <w:p w:rsidR="00397E59" w:rsidRDefault="00397E59" w:rsidP="00397E59">
      <w:pPr>
        <w:pStyle w:val="ListParagraph"/>
        <w:spacing w:line="360" w:lineRule="auto"/>
        <w:ind w:left="360"/>
        <w:rPr>
          <w:rFonts w:eastAsiaTheme="minorEastAsia"/>
        </w:rPr>
      </w:pPr>
    </w:p>
    <w:p w:rsidR="00397E59" w:rsidRDefault="005D6A21"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U-rU=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V</m:t>
        </m:r>
      </m:oMath>
      <w:r>
        <w:rPr>
          <w:rFonts w:eastAsiaTheme="minorEastAsia"/>
        </w:rPr>
        <w:t xml:space="preserve"> is known and acts as the source term.</w:t>
      </w:r>
    </w:p>
    <w:p w:rsidR="00397E59" w:rsidRDefault="00397E59" w:rsidP="008A18B1">
      <w:pPr>
        <w:pStyle w:val="ListParagraph"/>
        <w:numPr>
          <w:ilvl w:val="0"/>
          <w:numId w:val="75"/>
        </w:numPr>
        <w:spacing w:after="160" w:line="360" w:lineRule="auto"/>
        <w:rPr>
          <w:rFonts w:eastAsiaTheme="minorEastAsia"/>
        </w:rPr>
      </w:pPr>
      <w:r>
        <w:rPr>
          <w:u w:val="single"/>
        </w:rPr>
        <w:t>Funding + CVA Feynman-Kac Integral</w:t>
      </w:r>
      <w:r w:rsidRPr="007F037E">
        <w:rPr>
          <w:rFonts w:eastAsiaTheme="minorEastAsia"/>
        </w:rPr>
        <w:t>:</w:t>
      </w:r>
      <w:r>
        <w:rPr>
          <w:rFonts w:eastAsiaTheme="minorEastAsia"/>
        </w:rPr>
        <w:t xml:space="preserve"> Furthermore one may apply the Feynman-Kac integral to the PDE for </w:t>
      </w:r>
      <m:oMath>
        <m:r>
          <w:rPr>
            <w:rFonts w:ascii="Cambria Math" w:eastAsiaTheme="minorEastAsia" w:hAnsi="Cambria Math"/>
          </w:rPr>
          <m:t>U</m:t>
        </m:r>
      </m:oMath>
      <w:r>
        <w:rPr>
          <w:rFonts w:eastAsiaTheme="minorEastAsia"/>
        </w:rPr>
        <w:t>, which with the additional assumption of deterministic interest rates produces the following non-linear integral equation: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one can compute </w:t>
      </w:r>
      <m:oMath>
        <m:r>
          <w:rPr>
            <w:rFonts w:ascii="Cambria Math" w:hAnsi="Cambria Math"/>
          </w:rPr>
          <m:t>U</m:t>
        </m:r>
      </m:oMath>
      <w:r>
        <w:rPr>
          <w:rFonts w:eastAsiaTheme="minorEastAsia"/>
        </w:rPr>
        <w:t xml:space="preserve"> first by computing </w:t>
      </w:r>
      <m:oMath>
        <m:r>
          <w:rPr>
            <w:rFonts w:ascii="Cambria Math" w:hAnsi="Cambria Math"/>
          </w:rPr>
          <m:t>V</m:t>
        </m:r>
      </m:oMath>
      <w:r>
        <w:rPr>
          <w:rFonts w:eastAsiaTheme="minorEastAsia"/>
        </w:rPr>
        <w:t xml:space="preserve"> and then solving either the non-linear PDE above or the integral equation.</w:t>
      </w:r>
    </w:p>
    <w:p w:rsidR="00397E59" w:rsidRDefault="00397E59" w:rsidP="008A18B1">
      <w:pPr>
        <w:pStyle w:val="ListParagraph"/>
        <w:numPr>
          <w:ilvl w:val="0"/>
          <w:numId w:val="75"/>
        </w:numPr>
        <w:spacing w:after="160" w:line="360" w:lineRule="auto"/>
        <w:rPr>
          <w:rFonts w:eastAsiaTheme="minorEastAsia"/>
        </w:rPr>
      </w:pPr>
      <w:r>
        <w:rPr>
          <w:u w:val="single"/>
        </w:rPr>
        <w:t>Receivable/Payable + Funding Numeraire</w:t>
      </w:r>
      <w:r w:rsidRPr="007F037E">
        <w:rPr>
          <w:rFonts w:eastAsiaTheme="minorEastAsia"/>
        </w:rPr>
        <w:t>:</w:t>
      </w:r>
      <w:r>
        <w:rPr>
          <w:rFonts w:eastAsiaTheme="minorEastAsia"/>
        </w:rPr>
        <w:t xml:space="preserve"> Before proceeding with the study of the two cases</w:t>
      </w:r>
    </w:p>
    <w:p w:rsidR="00397E59" w:rsidRDefault="00397E59" w:rsidP="00397E59">
      <w:pPr>
        <w:pStyle w:val="ListParagraph"/>
        <w:spacing w:line="360" w:lineRule="auto"/>
        <w:ind w:left="360"/>
        <w:rPr>
          <w:u w:val="single"/>
        </w:rPr>
      </w:pPr>
    </w:p>
    <w:p w:rsidR="00397E59" w:rsidRDefault="005D6A2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5D6A2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is worthwhile to examine a few instances where </w:t>
      </w:r>
      <m:oMath>
        <m:acc>
          <m:accPr>
            <m:ctrlPr>
              <w:rPr>
                <w:rFonts w:ascii="Cambria Math" w:hAnsi="Cambria Math"/>
                <w:i/>
              </w:rPr>
            </m:ctrlPr>
          </m:accPr>
          <m:e>
            <m:r>
              <w:rPr>
                <w:rFonts w:ascii="Cambria Math" w:hAnsi="Cambria Math"/>
              </w:rPr>
              <m:t>V</m:t>
            </m:r>
          </m:e>
        </m:acc>
      </m:oMath>
      <w:r>
        <w:rPr>
          <w:rFonts w:eastAsiaTheme="minorEastAsia"/>
        </w:rPr>
        <w:t xml:space="preserve"> corresponds to 1 UNIT seller receivable/payable, where those bonds may be with and without recovery.</w:t>
      </w:r>
    </w:p>
    <w:p w:rsidR="00397E59" w:rsidRDefault="00397E59" w:rsidP="008A18B1">
      <w:pPr>
        <w:pStyle w:val="ListParagraph"/>
        <w:numPr>
          <w:ilvl w:val="0"/>
          <w:numId w:val="75"/>
        </w:numPr>
        <w:spacing w:after="160" w:line="360" w:lineRule="auto"/>
        <w:rPr>
          <w:rFonts w:eastAsiaTheme="minorEastAsia"/>
        </w:rPr>
      </w:pPr>
      <w:r>
        <w:rPr>
          <w:u w:val="single"/>
        </w:rPr>
        <w:t>The Seller sells 1 Unit Payable to the Counterparty</w:t>
      </w:r>
      <w:r w:rsidRPr="007F037E">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t xml:space="preserve">Zero-recovery Payable Numeraire =&gt; The first case considered is one unit sold by the seller to the counterparty </w:t>
      </w:r>
      <m:oMath>
        <m:r>
          <w:rPr>
            <w:rFonts w:ascii="Cambria Math" w:hAnsi="Cambria Math"/>
          </w:rPr>
          <m:t>C</m:t>
        </m:r>
      </m:oMath>
      <w:r>
        <w:rPr>
          <w:rFonts w:eastAsiaTheme="minorEastAsia"/>
        </w:rPr>
        <w:t>. In this situation</w:t>
      </w:r>
    </w:p>
    <w:p w:rsidR="00397E59" w:rsidRDefault="00397E59" w:rsidP="00397E59">
      <w:pPr>
        <w:pStyle w:val="ListParagraph"/>
        <w:spacing w:line="360" w:lineRule="auto"/>
        <w:ind w:left="1080"/>
        <w:rPr>
          <w:rFonts w:eastAsiaTheme="minorEastAsia"/>
        </w:rPr>
      </w:pPr>
    </w:p>
    <w:p w:rsidR="00397E59" w:rsidRDefault="005D6A2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FD20D6" w:rsidRDefault="005D6A21"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Since only deterministic rates and spreads are considered, there is no risk with respect to the underlying market factors, and the term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oMath>
      <w:r>
        <w:rPr>
          <w:rFonts w:eastAsiaTheme="minorEastAsia"/>
        </w:rPr>
        <w:t xml:space="preserve"> vanishes, so</w:t>
      </w:r>
    </w:p>
    <w:p w:rsidR="00397E59" w:rsidRDefault="00397E59" w:rsidP="00397E59">
      <w:pPr>
        <w:pStyle w:val="ListParagraph"/>
        <w:spacing w:line="360" w:lineRule="auto"/>
        <w:ind w:left="1080"/>
        <w:rPr>
          <w:rFonts w:eastAsiaTheme="minorEastAsia"/>
        </w:rPr>
      </w:pPr>
    </w:p>
    <w:p w:rsidR="00397E59" w:rsidRDefault="005D6A21"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5D6A2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5D6A21"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5D6A2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with the solution</w:t>
      </w:r>
    </w:p>
    <w:p w:rsidR="00397E59" w:rsidRDefault="00397E59" w:rsidP="00397E59">
      <w:pPr>
        <w:pStyle w:val="ListParagraph"/>
        <w:spacing w:line="360" w:lineRule="auto"/>
        <w:ind w:left="1080"/>
        <w:rPr>
          <w:rFonts w:eastAsiaTheme="minorEastAsia"/>
        </w:rPr>
      </w:pPr>
    </w:p>
    <w:p w:rsidR="00397E59" w:rsidRPr="00FD20D6" w:rsidRDefault="005D6A2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as expected for</w:t>
      </w:r>
    </w:p>
    <w:p w:rsidR="00397E59" w:rsidRDefault="00397E59" w:rsidP="00397E59">
      <w:pPr>
        <w:pStyle w:val="ListParagraph"/>
        <w:spacing w:line="360" w:lineRule="auto"/>
        <w:ind w:left="1080"/>
        <w:rPr>
          <w:rFonts w:eastAsiaTheme="minorEastAsia"/>
        </w:rPr>
      </w:pPr>
    </w:p>
    <w:p w:rsidR="00397E59" w:rsidRPr="00FD20D6" w:rsidRDefault="005D6A2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Pr="00FD20D6"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Payable Numeraire =&gt; If on the other hand the recovery</w:t>
      </w:r>
    </w:p>
    <w:p w:rsidR="00397E59" w:rsidRDefault="00397E59" w:rsidP="00397E59">
      <w:pPr>
        <w:pStyle w:val="ListParagraph"/>
        <w:spacing w:line="360" w:lineRule="auto"/>
        <w:ind w:left="1080"/>
        <w:rPr>
          <w:rFonts w:eastAsiaTheme="minorEastAsia"/>
        </w:rPr>
      </w:pPr>
    </w:p>
    <w:p w:rsidR="00397E59" w:rsidRDefault="005D6A21"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Default="005D6A21"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becomes</w:t>
      </w:r>
    </w:p>
    <w:p w:rsidR="00397E59" w:rsidRDefault="00397E59" w:rsidP="00397E59">
      <w:pPr>
        <w:pStyle w:val="ListParagraph"/>
        <w:spacing w:line="360" w:lineRule="auto"/>
        <w:ind w:left="1080"/>
        <w:rPr>
          <w:rFonts w:eastAsiaTheme="minorEastAsia"/>
        </w:rPr>
      </w:pPr>
    </w:p>
    <w:p w:rsidR="00397E59" w:rsidRDefault="005D6A21"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5D6A2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with the solution</w:t>
      </w:r>
    </w:p>
    <w:p w:rsidR="00397E59" w:rsidRDefault="00397E59" w:rsidP="00397E59">
      <w:pPr>
        <w:pStyle w:val="ListParagraph"/>
        <w:spacing w:line="360" w:lineRule="auto"/>
        <w:ind w:left="1080"/>
        <w:rPr>
          <w:rFonts w:eastAsiaTheme="minorEastAsia"/>
        </w:rPr>
      </w:pPr>
    </w:p>
    <w:p w:rsidR="00397E59" w:rsidRDefault="005D6A2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As expected the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payable on a bond with recovery is equal to the unsecured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that the seller has to pay on negative cash balances when the derivative cannot be posted as a collateral.</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 xml:space="preserve">The Seller Buys 1 Unit Receivable From </w:t>
      </w:r>
      <m:oMath>
        <m:r>
          <w:rPr>
            <w:rFonts w:ascii="Cambria Math" w:eastAsiaTheme="minorEastAsia" w:hAnsi="Cambria Math"/>
            <w:u w:val="single"/>
          </w:rPr>
          <m:t>C</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 xml:space="preserve">Zero-Recovery Receivable Funding Numeraire =&gt; If </w:t>
      </w:r>
      <m:oMath>
        <m:acc>
          <m:accPr>
            <m:ctrlPr>
              <w:rPr>
                <w:rFonts w:ascii="Cambria Math" w:hAnsi="Cambria Math"/>
                <w:i/>
              </w:rPr>
            </m:ctrlPr>
          </m:accPr>
          <m:e>
            <m:r>
              <w:rPr>
                <w:rFonts w:ascii="Cambria Math" w:hAnsi="Cambria Math"/>
              </w:rPr>
              <m:t>V</m:t>
            </m:r>
          </m:e>
        </m:acc>
      </m:oMath>
      <w:r>
        <w:rPr>
          <w:rFonts w:eastAsiaTheme="minorEastAsia"/>
        </w:rPr>
        <w:t xml:space="preserve"> describes the purchase of 1 Unit receivable by the seller from the counterparty (i.e., the seller lends to the counterparty without recovery) then</w:t>
      </w:r>
    </w:p>
    <w:p w:rsidR="00397E59" w:rsidRDefault="00397E59" w:rsidP="00397E59">
      <w:pPr>
        <w:pStyle w:val="ListParagraph"/>
        <w:spacing w:line="360" w:lineRule="auto"/>
        <w:ind w:left="1080"/>
        <w:rPr>
          <w:rFonts w:eastAsiaTheme="minorEastAsia"/>
        </w:rPr>
      </w:pPr>
    </w:p>
    <w:p w:rsidR="00397E59" w:rsidRDefault="005D6A2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5D6A21"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5D6A21"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5D6A2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Pr="00FD20D6" w:rsidRDefault="005D6A21"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e>
              </m:d>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FD20D6" w:rsidRDefault="005D6A2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Zero-Recovery Receivable Collateralized Numeraire =&gt; In this case, if the seller can use the derivative (i.e., the loan asset) as collateral for the funding of its short position within its replication strategy, then (neglecting haircuts)</w:t>
      </w:r>
    </w:p>
    <w:p w:rsidR="00397E59" w:rsidRDefault="00397E59" w:rsidP="00397E59">
      <w:pPr>
        <w:pStyle w:val="ListParagraph"/>
        <w:spacing w:line="360" w:lineRule="auto"/>
        <w:ind w:left="1080"/>
        <w:rPr>
          <w:rFonts w:eastAsiaTheme="minorEastAsia"/>
        </w:rPr>
      </w:pPr>
    </w:p>
    <w:p w:rsidR="00397E59" w:rsidRDefault="005D6A21"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 risk-free rate. Then the net result in this case is then</w:t>
      </w:r>
    </w:p>
    <w:p w:rsidR="00397E59" w:rsidRDefault="00397E59" w:rsidP="00397E59">
      <w:pPr>
        <w:pStyle w:val="ListParagraph"/>
        <w:spacing w:line="360" w:lineRule="auto"/>
        <w:ind w:left="1080"/>
        <w:rPr>
          <w:rFonts w:eastAsiaTheme="minorEastAsia"/>
        </w:rPr>
      </w:pPr>
    </w:p>
    <w:p w:rsidR="00397E59" w:rsidRDefault="005D6A21"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so</w:t>
      </w:r>
    </w:p>
    <w:p w:rsidR="00397E59" w:rsidRDefault="00397E59" w:rsidP="00397E59">
      <w:pPr>
        <w:pStyle w:val="ListParagraph"/>
        <w:spacing w:line="360" w:lineRule="auto"/>
        <w:ind w:left="1080"/>
        <w:rPr>
          <w:rFonts w:eastAsiaTheme="minorEastAsia"/>
        </w:rPr>
      </w:pPr>
    </w:p>
    <w:p w:rsidR="00397E59" w:rsidRPr="00FD20D6" w:rsidRDefault="005D6A2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 for</w:t>
      </w:r>
    </w:p>
    <w:p w:rsidR="00397E59" w:rsidRDefault="00397E59" w:rsidP="00397E59">
      <w:pPr>
        <w:pStyle w:val="ListParagraph"/>
        <w:spacing w:line="360" w:lineRule="auto"/>
        <w:ind w:left="1080"/>
        <w:rPr>
          <w:rFonts w:eastAsiaTheme="minorEastAsia"/>
        </w:rPr>
      </w:pPr>
    </w:p>
    <w:p w:rsidR="00397E59" w:rsidRPr="00FD20D6" w:rsidRDefault="005D6A21" w:rsidP="00397E59">
      <w:pPr>
        <w:pStyle w:val="ListParagraph"/>
        <w:spacing w:line="360" w:lineRule="auto"/>
        <w:ind w:left="1080"/>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Numeraire =&gt; If on the other hand</w:t>
      </w:r>
    </w:p>
    <w:p w:rsidR="00397E59" w:rsidRDefault="00397E59" w:rsidP="00397E59">
      <w:pPr>
        <w:pStyle w:val="ListParagraph"/>
        <w:spacing w:line="360" w:lineRule="auto"/>
        <w:ind w:left="1080"/>
        <w:rPr>
          <w:rFonts w:eastAsiaTheme="minorEastAsia"/>
        </w:rPr>
      </w:pPr>
    </w:p>
    <w:p w:rsidR="00397E59" w:rsidRDefault="005D6A21"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Default="005D6A2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PDE With Derivatives as Collateral =&gt; If the derivative can be posted as collateral the PDE</w:t>
      </w:r>
    </w:p>
    <w:p w:rsidR="00397E59" w:rsidRDefault="00397E59" w:rsidP="00397E59">
      <w:pPr>
        <w:pStyle w:val="ListParagraph"/>
        <w:spacing w:line="360" w:lineRule="auto"/>
        <w:ind w:left="1080"/>
        <w:rPr>
          <w:rFonts w:eastAsiaTheme="minorEastAsia"/>
        </w:rPr>
      </w:pPr>
    </w:p>
    <w:p w:rsidR="00397E59" w:rsidRPr="003117DE" w:rsidRDefault="005D6A21"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5D6A2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5D6A21"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5D6A2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which is a non-linear PDE that needs to be solved numerically unless</w:t>
      </w:r>
    </w:p>
    <w:p w:rsidR="00397E59" w:rsidRDefault="00397E59" w:rsidP="00397E59">
      <w:pPr>
        <w:pStyle w:val="ListParagraph"/>
        <w:spacing w:line="360" w:lineRule="auto"/>
        <w:ind w:left="1080"/>
        <w:rPr>
          <w:rFonts w:eastAsiaTheme="minorEastAsia"/>
        </w:rPr>
      </w:pPr>
    </w:p>
    <w:p w:rsidR="00397E59" w:rsidRPr="003117DE" w:rsidRDefault="005D6A2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or</w:t>
      </w:r>
    </w:p>
    <w:p w:rsidR="00397E59" w:rsidRDefault="00397E59" w:rsidP="00397E59">
      <w:pPr>
        <w:pStyle w:val="ListParagraph"/>
        <w:spacing w:line="360" w:lineRule="auto"/>
        <w:ind w:left="1080"/>
        <w:rPr>
          <w:rFonts w:eastAsiaTheme="minorEastAsia"/>
        </w:rPr>
      </w:pPr>
    </w:p>
    <w:p w:rsidR="00397E59" w:rsidRPr="003117DE" w:rsidRDefault="005D6A2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Pr="003117DE"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Assuming that</w:t>
      </w:r>
    </w:p>
    <w:p w:rsidR="00397E59" w:rsidRDefault="00397E59" w:rsidP="00397E59">
      <w:pPr>
        <w:pStyle w:val="ListParagraph"/>
        <w:spacing w:line="360" w:lineRule="auto"/>
        <w:ind w:left="1080"/>
        <w:rPr>
          <w:rFonts w:eastAsiaTheme="minorEastAsia"/>
        </w:rPr>
      </w:pPr>
    </w:p>
    <w:p w:rsidR="00397E59" w:rsidRDefault="005D6A2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sold an option to the counterparty so</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w:lastRenderedPageBreak/>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and that all rates are deterministic the Feynman-Kac representation of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Default="005D6A2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where</w:t>
      </w:r>
    </w:p>
    <w:p w:rsidR="00397E59" w:rsidRDefault="00397E59" w:rsidP="00397E59">
      <w:pPr>
        <w:pStyle w:val="ListParagraph"/>
        <w:spacing w:line="360" w:lineRule="auto"/>
        <w:ind w:left="1080"/>
        <w:rPr>
          <w:rFonts w:eastAsiaTheme="minorEastAsia"/>
        </w:rPr>
      </w:pPr>
    </w:p>
    <w:p w:rsidR="00397E59" w:rsidRDefault="005D6A21"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is the discount factor over </w:t>
      </w:r>
      <m:oMath>
        <m:d>
          <m:dPr>
            <m:begChr m:val="["/>
            <m:endChr m:val="]"/>
            <m:ctrlPr>
              <w:rPr>
                <w:rFonts w:ascii="Cambria Math" w:hAnsi="Cambria Math"/>
                <w:i/>
              </w:rPr>
            </m:ctrlPr>
          </m:dPr>
          <m:e>
            <m:r>
              <w:rPr>
                <w:rFonts w:ascii="Cambria Math" w:hAnsi="Cambria Math"/>
              </w:rPr>
              <m:t>t, T</m:t>
            </m:r>
          </m:e>
        </m:d>
      </m:oMath>
      <w:r>
        <w:rPr>
          <w:rFonts w:eastAsiaTheme="minorEastAsia"/>
        </w:rPr>
        <w:t xml:space="preserve"> given that rate </w:t>
      </w:r>
      <m:oMath>
        <m:r>
          <w:rPr>
            <w:rFonts w:ascii="Cambria Math" w:hAnsi="Cambria Math"/>
          </w:rPr>
          <m:t>k</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Own-Credit Adjustment for Payables =&gt; Alternatively if for</w:t>
      </w:r>
    </w:p>
    <w:p w:rsidR="00397E59" w:rsidRDefault="00397E59" w:rsidP="00397E59">
      <w:pPr>
        <w:pStyle w:val="ListParagraph"/>
        <w:spacing w:line="360" w:lineRule="auto"/>
        <w:ind w:left="1080"/>
        <w:rPr>
          <w:rFonts w:eastAsiaTheme="minorEastAsia"/>
        </w:rPr>
      </w:pPr>
    </w:p>
    <w:p w:rsidR="00397E59" w:rsidRDefault="005D6A2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we insert the ansatz</w:t>
      </w:r>
    </w:p>
    <w:p w:rsidR="00397E59" w:rsidRDefault="00397E59" w:rsidP="00397E59">
      <w:pPr>
        <w:pStyle w:val="ListParagraph"/>
        <w:spacing w:line="360" w:lineRule="auto"/>
        <w:ind w:left="1080"/>
        <w:rPr>
          <w:rFonts w:eastAsiaTheme="minorEastAsia"/>
        </w:rPr>
      </w:pPr>
    </w:p>
    <w:p w:rsidR="00397E59" w:rsidRDefault="005D6A2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where the zero subscript in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indicates that the CVA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is computed at</w:t>
      </w:r>
    </w:p>
    <w:p w:rsidR="00397E59" w:rsidRDefault="00397E59" w:rsidP="00397E59">
      <w:pPr>
        <w:pStyle w:val="ListParagraph"/>
        <w:spacing w:line="360" w:lineRule="auto"/>
        <w:ind w:left="1080"/>
        <w:rPr>
          <w:rFonts w:eastAsiaTheme="minorEastAsia"/>
        </w:rPr>
      </w:pPr>
    </w:p>
    <w:p w:rsidR="00397E59" w:rsidRDefault="005D6A21"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into</w:t>
      </w:r>
    </w:p>
    <w:p w:rsidR="00397E59" w:rsidRDefault="00397E59" w:rsidP="00397E59">
      <w:pPr>
        <w:pStyle w:val="ListParagraph"/>
        <w:spacing w:line="360" w:lineRule="auto"/>
        <w:ind w:left="1080"/>
        <w:rPr>
          <w:rFonts w:eastAsiaTheme="minorEastAsia"/>
        </w:rPr>
      </w:pPr>
    </w:p>
    <w:p w:rsidR="00397E59" w:rsidRDefault="005D6A21"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5D6A2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apply the Feynman-Kac theorem, and finally use that</w:t>
      </w:r>
    </w:p>
    <w:p w:rsidR="00397E59" w:rsidRDefault="00397E59" w:rsidP="00397E59">
      <w:pPr>
        <w:pStyle w:val="ListParagraph"/>
        <w:spacing w:line="360" w:lineRule="auto"/>
        <w:ind w:left="1080"/>
        <w:rPr>
          <w:rFonts w:eastAsiaTheme="minorEastAsia"/>
        </w:rPr>
      </w:pPr>
    </w:p>
    <w:p w:rsidR="00397E59" w:rsidRPr="00475A5A" w:rsidRDefault="00397E59" w:rsidP="00397E59">
      <w:pPr>
        <w:pStyle w:val="ListParagraph"/>
        <w:spacing w:line="360" w:lineRule="auto"/>
        <w:ind w:left="108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then gets</w:t>
      </w:r>
    </w:p>
    <w:p w:rsidR="00397E59" w:rsidRDefault="00397E59" w:rsidP="00397E59">
      <w:pPr>
        <w:pStyle w:val="ListParagraph"/>
        <w:spacing w:line="360" w:lineRule="auto"/>
        <w:ind w:left="1080"/>
        <w:rPr>
          <w:rFonts w:eastAsiaTheme="minorEastAsia"/>
        </w:rPr>
      </w:pPr>
    </w:p>
    <w:p w:rsidR="00397E59" w:rsidRPr="00475A5A" w:rsidRDefault="005D6A21"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Counterparty Adjustment for Receivables =&gt; When</w:t>
      </w:r>
    </w:p>
    <w:p w:rsidR="00397E59" w:rsidRDefault="00397E59" w:rsidP="00397E59">
      <w:pPr>
        <w:pStyle w:val="ListParagraph"/>
        <w:spacing w:line="360" w:lineRule="auto"/>
        <w:ind w:left="1080"/>
        <w:rPr>
          <w:rFonts w:eastAsiaTheme="minorEastAsia"/>
        </w:rPr>
      </w:pPr>
    </w:p>
    <w:p w:rsidR="00397E59" w:rsidRDefault="005D6A2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bought an option, symmetry yields that</w:t>
      </w:r>
    </w:p>
    <w:p w:rsidR="00397E59" w:rsidRDefault="00397E59" w:rsidP="00397E59">
      <w:pPr>
        <w:pStyle w:val="ListParagraph"/>
        <w:spacing w:line="360" w:lineRule="auto"/>
        <w:ind w:left="1080"/>
        <w:rPr>
          <w:rFonts w:eastAsiaTheme="minorEastAsia"/>
        </w:rPr>
      </w:pPr>
    </w:p>
    <w:p w:rsidR="00397E59" w:rsidRDefault="005D6A21"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Thus one concludes that if</w:t>
      </w:r>
    </w:p>
    <w:p w:rsidR="00397E59" w:rsidRDefault="00397E59" w:rsidP="00397E59">
      <w:pPr>
        <w:pStyle w:val="ListParagraph"/>
        <w:spacing w:line="360" w:lineRule="auto"/>
        <w:ind w:left="1080"/>
        <w:rPr>
          <w:rFonts w:eastAsiaTheme="minorEastAsia"/>
        </w:rPr>
      </w:pPr>
    </w:p>
    <w:p w:rsidR="00397E59" w:rsidRDefault="005D6A2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then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depends only on the credit of the seller, whereas if</w:t>
      </w:r>
    </w:p>
    <w:p w:rsidR="00397E59" w:rsidRDefault="00397E59" w:rsidP="00397E59">
      <w:pPr>
        <w:pStyle w:val="ListParagraph"/>
        <w:spacing w:line="360" w:lineRule="auto"/>
        <w:ind w:left="1080"/>
        <w:rPr>
          <w:rFonts w:eastAsiaTheme="minorEastAsia"/>
        </w:rPr>
      </w:pPr>
    </w:p>
    <w:p w:rsidR="00397E59" w:rsidRDefault="005D6A2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it depends only on the counterparty credit.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lastRenderedPageBreak/>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d>
          <m:dPr>
            <m:ctrlPr>
              <w:rPr>
                <w:rFonts w:ascii="Cambria Math" w:eastAsiaTheme="minorEastAsia" w:hAnsi="Cambria Math"/>
                <w:i/>
                <w:u w:val="single"/>
              </w:rPr>
            </m:ctrlPr>
          </m:dPr>
          <m:e>
            <m:r>
              <w:rPr>
                <w:rFonts w:ascii="Cambria Math" w:eastAsiaTheme="minorEastAsia" w:hAnsi="Cambria Math"/>
                <w:u w:val="single"/>
              </w:rPr>
              <m:t>1-</m:t>
            </m:r>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e>
        </m:d>
        <m:sSub>
          <m:sSubPr>
            <m:ctrlPr>
              <w:rPr>
                <w:rFonts w:ascii="Cambria Math" w:eastAsiaTheme="minorEastAsia" w:hAnsi="Cambria Math"/>
                <w:i/>
                <w:u w:val="single"/>
              </w:rPr>
            </m:ctrlPr>
          </m:sSubPr>
          <m:e>
            <m:r>
              <w:rPr>
                <w:rFonts w:ascii="Cambria Math" w:eastAsiaTheme="minorEastAsia" w:hAnsi="Cambria Math"/>
                <w:u w:val="single"/>
              </w:rPr>
              <m:t>λ</m:t>
            </m:r>
          </m:e>
          <m:sub>
            <m:r>
              <w:rPr>
                <w:rFonts w:ascii="Cambria Math" w:eastAsiaTheme="minorEastAsia" w:hAnsi="Cambria Math"/>
                <w:u w:val="single"/>
              </w:rPr>
              <m:t>B</m:t>
            </m:r>
          </m:sub>
        </m:sSub>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The Derivative Cannot Serve as Collateral =&gt; If the derivative cannot be posted as collateral then</w:t>
      </w:r>
    </w:p>
    <w:p w:rsidR="00397E59" w:rsidRDefault="00397E59" w:rsidP="00397E59">
      <w:pPr>
        <w:pStyle w:val="ListParagraph"/>
        <w:spacing w:line="360" w:lineRule="auto"/>
        <w:ind w:left="1080"/>
        <w:rPr>
          <w:rFonts w:eastAsiaTheme="minorEastAsia"/>
        </w:rPr>
      </w:pPr>
    </w:p>
    <w:p w:rsidR="00397E59" w:rsidRDefault="005D6A21"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5D6A2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5D6A21"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5D6A2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which again is a non-linear PDE.</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For</w:t>
      </w:r>
    </w:p>
    <w:p w:rsidR="00397E59" w:rsidRDefault="00397E59" w:rsidP="00397E59">
      <w:pPr>
        <w:pStyle w:val="ListParagraph"/>
        <w:spacing w:line="360" w:lineRule="auto"/>
        <w:ind w:left="1080"/>
        <w:rPr>
          <w:rFonts w:eastAsiaTheme="minorEastAsia"/>
        </w:rPr>
      </w:pPr>
    </w:p>
    <w:p w:rsidR="00397E59" w:rsidRDefault="005D6A2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writes</w:t>
      </w:r>
    </w:p>
    <w:p w:rsidR="00397E59" w:rsidRDefault="00397E59" w:rsidP="00397E59">
      <w:pPr>
        <w:pStyle w:val="ListParagraph"/>
        <w:spacing w:line="360" w:lineRule="auto"/>
        <w:ind w:left="1080"/>
        <w:rPr>
          <w:rFonts w:eastAsiaTheme="minorEastAsia"/>
        </w:rPr>
      </w:pPr>
    </w:p>
    <w:p w:rsidR="00397E59" w:rsidRDefault="005D6A2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it is easy to see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given in</w:t>
      </w:r>
    </w:p>
    <w:p w:rsidR="00397E59" w:rsidRDefault="00397E59" w:rsidP="00397E59">
      <w:pPr>
        <w:pStyle w:val="ListParagraph"/>
        <w:spacing w:line="360" w:lineRule="auto"/>
        <w:ind w:left="1080"/>
        <w:rPr>
          <w:rFonts w:eastAsiaTheme="minorEastAsia"/>
        </w:rPr>
      </w:pPr>
    </w:p>
    <w:p w:rsidR="00397E59" w:rsidRDefault="005D6A21"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so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Pr="009B3F7D" w:rsidRDefault="005D6A2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If</w:t>
      </w:r>
    </w:p>
    <w:p w:rsidR="00397E59" w:rsidRDefault="00397E59" w:rsidP="00397E59">
      <w:pPr>
        <w:pStyle w:val="ListParagraph"/>
        <w:spacing w:line="360" w:lineRule="auto"/>
        <w:ind w:left="1080"/>
        <w:rPr>
          <w:rFonts w:eastAsiaTheme="minorEastAsia"/>
        </w:rPr>
      </w:pPr>
    </w:p>
    <w:p w:rsidR="00397E59" w:rsidRDefault="005D6A2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Pr="009B3F7D" w:rsidRDefault="005D6A2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r+k</m:t>
                  </m:r>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where</w:t>
      </w:r>
    </w:p>
    <w:p w:rsidR="00397E59" w:rsidRDefault="00397E59" w:rsidP="00397E59">
      <w:pPr>
        <w:pStyle w:val="ListParagraph"/>
        <w:spacing w:line="360" w:lineRule="auto"/>
        <w:ind w:left="1080"/>
        <w:rPr>
          <w:rFonts w:eastAsiaTheme="minorEastAsia"/>
        </w:rPr>
      </w:pPr>
    </w:p>
    <w:p w:rsidR="00397E59" w:rsidRPr="009B3F7D" w:rsidRDefault="00397E59" w:rsidP="00397E59">
      <w:pPr>
        <w:pStyle w:val="ListParagraph"/>
        <w:spacing w:line="360" w:lineRule="auto"/>
        <w:ind w:left="1080"/>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Own/Counterparty Credit Adjustment =&gt; Analogous to the case</w:t>
      </w:r>
    </w:p>
    <w:p w:rsidR="00397E59" w:rsidRDefault="00397E59" w:rsidP="00397E59">
      <w:pPr>
        <w:pStyle w:val="ListParagraph"/>
        <w:spacing w:line="360" w:lineRule="auto"/>
        <w:ind w:left="1080"/>
        <w:rPr>
          <w:rFonts w:eastAsiaTheme="minorEastAsia"/>
        </w:rPr>
      </w:pPr>
    </w:p>
    <w:p w:rsidR="00397E59" w:rsidRDefault="005D6A21"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may make the ansatz</w:t>
      </w:r>
    </w:p>
    <w:p w:rsidR="00397E59" w:rsidRDefault="00397E59" w:rsidP="00397E59">
      <w:pPr>
        <w:pStyle w:val="ListParagraph"/>
        <w:spacing w:line="360" w:lineRule="auto"/>
        <w:ind w:left="1080"/>
        <w:rPr>
          <w:rFonts w:eastAsiaTheme="minorEastAsia"/>
        </w:rPr>
      </w:pPr>
    </w:p>
    <w:p w:rsidR="00397E59" w:rsidRDefault="005D6A2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show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Comparing this </w:t>
      </w:r>
      <m:oMath>
        <m:r>
          <w:rPr>
            <w:rFonts w:ascii="Cambria Math" w:hAnsi="Cambria Math"/>
          </w:rPr>
          <m:t>U</m:t>
        </m:r>
        <m:d>
          <m:dPr>
            <m:ctrlPr>
              <w:rPr>
                <w:rFonts w:ascii="Cambria Math" w:hAnsi="Cambria Math"/>
                <w:i/>
              </w:rPr>
            </m:ctrlPr>
          </m:dPr>
          <m:e>
            <m:r>
              <w:rPr>
                <w:rFonts w:ascii="Cambria Math" w:hAnsi="Cambria Math"/>
              </w:rPr>
              <m:t>t, S</m:t>
            </m:r>
          </m:e>
        </m:d>
      </m:oMath>
      <w:r>
        <w:rPr>
          <w:rFonts w:eastAsiaTheme="minorEastAsia"/>
        </w:rPr>
        <w:t xml:space="preserve"> with</w:t>
      </w:r>
    </w:p>
    <w:p w:rsidR="00397E59" w:rsidRDefault="00397E59" w:rsidP="00397E59">
      <w:pPr>
        <w:pStyle w:val="ListParagraph"/>
        <w:spacing w:line="360" w:lineRule="auto"/>
        <w:ind w:left="1080"/>
        <w:rPr>
          <w:rFonts w:eastAsiaTheme="minorEastAsia"/>
        </w:rPr>
      </w:pPr>
    </w:p>
    <w:p w:rsidR="00397E59" w:rsidRPr="009B3F7D" w:rsidRDefault="005D6A21"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shows that when the “seller” buys an option from the counterparty it encounters an additional funding spread</w:t>
      </w:r>
    </w:p>
    <w:p w:rsidR="00397E59" w:rsidRDefault="00397E59" w:rsidP="00397E59">
      <w:pPr>
        <w:pStyle w:val="ListParagraph"/>
        <w:spacing w:line="360" w:lineRule="auto"/>
        <w:ind w:left="1080"/>
        <w:rPr>
          <w:rFonts w:eastAsiaTheme="minorEastAsia"/>
        </w:rPr>
      </w:pPr>
    </w:p>
    <w:p w:rsidR="00397E59" w:rsidRPr="009B3F7D" w:rsidRDefault="005D6A21"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r>
          <m:rPr>
            <m:sty m:val="bi"/>
          </m:rPr>
          <w:rPr>
            <w:rFonts w:ascii="Cambria Math" w:hAnsi="Cambria Math"/>
            <w:sz w:val="28"/>
            <w:szCs w:val="28"/>
          </w:rPr>
          <m:t>V</m:t>
        </m:r>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6"/>
        </w:numPr>
        <w:spacing w:after="160" w:line="360" w:lineRule="auto"/>
        <w:rPr>
          <w:rFonts w:eastAsiaTheme="minorEastAsia"/>
        </w:rPr>
      </w:pPr>
      <m:oMath>
        <m:r>
          <w:rPr>
            <w:rFonts w:ascii="Cambria Math" w:hAnsi="Cambria Math"/>
            <w:u w:val="single"/>
          </w:rPr>
          <m:t>M</m:t>
        </m:r>
        <m:d>
          <m:dPr>
            <m:ctrlPr>
              <w:rPr>
                <w:rFonts w:ascii="Cambria Math" w:hAnsi="Cambria Math"/>
                <w:i/>
                <w:u w:val="single"/>
              </w:rPr>
            </m:ctrlPr>
          </m:dPr>
          <m:e>
            <m:r>
              <w:rPr>
                <w:rFonts w:ascii="Cambria Math" w:hAnsi="Cambria Math"/>
                <w:u w:val="single"/>
              </w:rPr>
              <m:t>t, S</m:t>
            </m:r>
          </m:e>
        </m:d>
        <m:r>
          <w:rPr>
            <w:rFonts w:ascii="Cambria Math" w:eastAsiaTheme="minorEastAsia" w:hAnsi="Cambria Math"/>
            <w:u w:val="single"/>
          </w:rPr>
          <m:t>=</m:t>
        </m:r>
        <m:r>
          <w:rPr>
            <w:rFonts w:ascii="Cambria Math" w:hAnsi="Cambria Math"/>
            <w:u w:val="single"/>
          </w:rPr>
          <m:t>V</m:t>
        </m:r>
        <m:d>
          <m:dPr>
            <m:ctrlPr>
              <w:rPr>
                <w:rFonts w:ascii="Cambria Math" w:hAnsi="Cambria Math"/>
                <w:i/>
                <w:u w:val="single"/>
              </w:rPr>
            </m:ctrlPr>
          </m:dPr>
          <m:e>
            <m:r>
              <w:rPr>
                <w:rFonts w:ascii="Cambria Math" w:hAnsi="Cambria Math"/>
                <w:u w:val="single"/>
              </w:rPr>
              <m:t>t, S</m:t>
            </m:r>
          </m:e>
        </m:d>
      </m:oMath>
      <w:r w:rsidRPr="00682E04">
        <w:rPr>
          <w:u w:val="single"/>
        </w:rPr>
        <w:t xml:space="preserve"> Case for the PDE for </w:t>
      </w:r>
      <m:oMath>
        <m:acc>
          <m:accPr>
            <m:ctrlPr>
              <w:rPr>
                <w:rFonts w:ascii="Cambria Math" w:hAnsi="Cambria Math"/>
                <w:i/>
                <w:u w:val="single"/>
              </w:rPr>
            </m:ctrlPr>
          </m:accPr>
          <m:e>
            <m:r>
              <w:rPr>
                <w:rFonts w:ascii="Cambria Math" w:hAnsi="Cambria Math"/>
                <w:u w:val="single"/>
              </w:rPr>
              <m:t>V</m:t>
            </m:r>
          </m:e>
        </m:acc>
      </m:oMath>
      <w:r>
        <w:rPr>
          <w:rFonts w:eastAsiaTheme="minorEastAsia"/>
        </w:rPr>
        <w:t xml:space="preserve">: This section considers the scenario where the payments in the case of default are based on </w:t>
      </w:r>
      <m:oMath>
        <m:r>
          <w:rPr>
            <w:rFonts w:ascii="Cambria Math" w:hAnsi="Cambria Math"/>
          </w:rPr>
          <m:t>V</m:t>
        </m:r>
      </m:oMath>
      <w:r>
        <w:rPr>
          <w:rFonts w:eastAsiaTheme="minorEastAsia"/>
        </w:rPr>
        <w:t xml:space="preserve"> and hence use</w:t>
      </w:r>
    </w:p>
    <w:p w:rsidR="00397E59" w:rsidRPr="00AE4AC5"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eastAsiaTheme="minorEastAsia" w:hAnsi="Cambria Math"/>
            </w:rPr>
            <m:t>=</m:t>
          </m:r>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 the boundary conditions</w:t>
      </w:r>
    </w:p>
    <w:p w:rsidR="00397E59" w:rsidRDefault="00397E59" w:rsidP="00397E59">
      <w:pPr>
        <w:pStyle w:val="ListParagraph"/>
        <w:spacing w:line="360" w:lineRule="auto"/>
        <w:ind w:left="360"/>
        <w:rPr>
          <w:rFonts w:eastAsiaTheme="minorEastAsia"/>
        </w:rPr>
      </w:pPr>
    </w:p>
    <w:p w:rsidR="00397E59" w:rsidRDefault="005D6A2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5D6A2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PDE for </w:t>
      </w:r>
      <m:oMath>
        <m:acc>
          <m:accPr>
            <m:ctrlPr>
              <w:rPr>
                <w:rFonts w:ascii="Cambria Math" w:hAnsi="Cambria Math"/>
                <w:i/>
              </w:rPr>
            </m:ctrlPr>
          </m:accPr>
          <m:e>
            <m:r>
              <w:rPr>
                <w:rFonts w:ascii="Cambria Math" w:hAnsi="Cambria Math"/>
              </w:rPr>
              <m:t>V</m:t>
            </m:r>
          </m:e>
        </m:acc>
      </m:oMath>
    </w:p>
    <w:p w:rsidR="00397E59" w:rsidRDefault="00397E59" w:rsidP="00397E59">
      <w:pPr>
        <w:pStyle w:val="ListParagraph"/>
        <w:spacing w:line="360" w:lineRule="auto"/>
        <w:ind w:left="360"/>
        <w:rPr>
          <w:rFonts w:eastAsiaTheme="minorEastAsia"/>
        </w:rPr>
      </w:pPr>
    </w:p>
    <w:p w:rsidR="00397E59" w:rsidRDefault="005D6A21"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 becomes</w:t>
      </w:r>
    </w:p>
    <w:p w:rsidR="00397E59" w:rsidRDefault="00397E59" w:rsidP="00397E59">
      <w:pPr>
        <w:pStyle w:val="ListParagraph"/>
        <w:spacing w:line="360" w:lineRule="auto"/>
        <w:ind w:left="360"/>
        <w:rPr>
          <w:rFonts w:eastAsiaTheme="minorEastAsia"/>
        </w:rPr>
      </w:pPr>
    </w:p>
    <w:p w:rsidR="00397E59" w:rsidRPr="00AE4AC5" w:rsidRDefault="005D6A21"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E4AC5" w:rsidRDefault="005D6A2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AE4AC5"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sidRPr="00682E04">
        <w:rPr>
          <w:rFonts w:eastAsiaTheme="minorEastAsia"/>
          <w:u w:val="single"/>
        </w:rPr>
        <w:t>Own-Credit and Counterparty Hedges</w:t>
      </w:r>
      <w:r>
        <w:rPr>
          <w:rFonts w:eastAsiaTheme="minorEastAsia"/>
        </w:rPr>
        <w:t>: The above PDE is linear and has a source term on the right hand side. On writing</w:t>
      </w:r>
    </w:p>
    <w:p w:rsidR="00397E59" w:rsidRDefault="00397E59" w:rsidP="00397E59">
      <w:pPr>
        <w:pStyle w:val="ListParagraph"/>
        <w:spacing w:line="360" w:lineRule="auto"/>
        <w:ind w:left="360"/>
        <w:rPr>
          <w:rFonts w:eastAsiaTheme="minorEastAsia"/>
          <w:u w:val="single"/>
        </w:rPr>
      </w:pPr>
    </w:p>
    <w:p w:rsidR="00397E59" w:rsidRDefault="005D6A2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hedge ratios become</w:t>
      </w:r>
    </w:p>
    <w:p w:rsidR="00397E59" w:rsidRDefault="00397E59" w:rsidP="00397E59">
      <w:pPr>
        <w:pStyle w:val="ListParagraph"/>
        <w:spacing w:line="360" w:lineRule="auto"/>
        <w:ind w:left="360"/>
        <w:rPr>
          <w:rFonts w:eastAsiaTheme="minorEastAsia"/>
        </w:rPr>
      </w:pPr>
    </w:p>
    <w:p w:rsidR="00397E59" w:rsidRDefault="005D6A2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5D6A2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Comparing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with</w:t>
      </w:r>
    </w:p>
    <w:p w:rsidR="00397E59" w:rsidRDefault="00397E59" w:rsidP="00397E59">
      <w:pPr>
        <w:pStyle w:val="ListParagraph"/>
        <w:spacing w:line="360" w:lineRule="auto"/>
        <w:ind w:left="360"/>
        <w:rPr>
          <w:rFonts w:eastAsiaTheme="minorEastAsia"/>
        </w:rPr>
      </w:pPr>
    </w:p>
    <w:p w:rsidR="00397E59" w:rsidRDefault="005D6A2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shows that in the current case default triggers a windfall cash flow of </w:t>
      </w:r>
      <m:oMath>
        <m:r>
          <w:rPr>
            <w:rFonts w:ascii="Cambria Math" w:eastAsiaTheme="minorEastAsia" w:hAnsi="Cambria Math"/>
          </w:rPr>
          <m:t>U</m:t>
        </m:r>
      </m:oMath>
      <w:r>
        <w:rPr>
          <w:rFonts w:eastAsiaTheme="minorEastAsia"/>
        </w:rPr>
        <w:t xml:space="preserve"> that needs to be taken into account in the hedging strategy.</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Valuation Adjustment Feynman Kac Integrals</w:t>
      </w:r>
      <w:r w:rsidRPr="002D3EC7">
        <w:rPr>
          <w:rFonts w:eastAsiaTheme="minorEastAsia"/>
        </w:rPr>
        <w:t>:</w:t>
      </w:r>
      <w:r>
        <w:rPr>
          <w:rFonts w:eastAsiaTheme="minorEastAsia"/>
        </w:rPr>
        <w:t xml:space="preserve"> Writing</w:t>
      </w:r>
    </w:p>
    <w:p w:rsidR="00397E59" w:rsidRDefault="00397E59" w:rsidP="00397E59">
      <w:pPr>
        <w:pStyle w:val="ListParagraph"/>
        <w:spacing w:line="360" w:lineRule="auto"/>
        <w:ind w:left="360"/>
        <w:rPr>
          <w:rFonts w:eastAsiaTheme="minorEastAsia"/>
          <w:u w:val="single"/>
        </w:rPr>
      </w:pPr>
    </w:p>
    <w:p w:rsidR="00397E59" w:rsidRDefault="005D6A2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also gives the following PDE for </w:t>
      </w:r>
      <m:oMath>
        <m:r>
          <w:rPr>
            <w:rFonts w:ascii="Cambria Math" w:hAnsi="Cambria Math"/>
          </w:rPr>
          <m:t>U</m:t>
        </m:r>
      </m:oMath>
      <w:r>
        <w:rPr>
          <w:rFonts w:eastAsiaTheme="minorEastAsia"/>
        </w:rPr>
        <w:t>:</w:t>
      </w:r>
    </w:p>
    <w:p w:rsidR="00397E59" w:rsidRDefault="00397E59" w:rsidP="00397E59">
      <w:pPr>
        <w:pStyle w:val="ListParagraph"/>
        <w:spacing w:line="360" w:lineRule="auto"/>
        <w:ind w:left="360"/>
        <w:rPr>
          <w:rFonts w:eastAsiaTheme="minorEastAsia"/>
        </w:rPr>
      </w:pPr>
    </w:p>
    <w:p w:rsidR="00397E59" w:rsidRDefault="005D6A21"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r>
            <w:rPr>
              <w:rFonts w:ascii="Cambria Math" w:hAnsi="Cambria Math"/>
            </w:rPr>
            <m:t>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 application of the Feynman-Kac theorem yields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 xml:space="preserve">The CVA </w:t>
      </w:r>
      <m:oMath>
        <m:r>
          <w:rPr>
            <w:rFonts w:ascii="Cambria Math" w:eastAsiaTheme="minorEastAsia" w:hAnsi="Cambria Math"/>
          </w:rPr>
          <m:t>U</m:t>
        </m:r>
      </m:oMath>
      <w:r>
        <w:rPr>
          <w:rFonts w:eastAsiaTheme="minorEastAsia"/>
        </w:rPr>
        <w:t xml:space="preserve"> can be calculated using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as a known source term when solving the PDE in the integral or in the differential form.</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Derivatives as Cash Account Collateral</w:t>
      </w:r>
      <w:r>
        <w:rPr>
          <w:rFonts w:eastAsiaTheme="minorEastAsia"/>
        </w:rPr>
        <w:t>: In the case where we can use the derivative as a collateral for the funding of our cash account, i.e.,</w:t>
      </w:r>
    </w:p>
    <w:p w:rsidR="00397E59" w:rsidRDefault="00397E59" w:rsidP="00397E59">
      <w:pPr>
        <w:pStyle w:val="ListParagraph"/>
        <w:spacing w:line="360" w:lineRule="auto"/>
        <w:ind w:left="360"/>
        <w:rPr>
          <w:rFonts w:eastAsiaTheme="minorEastAsia"/>
          <w:u w:val="single"/>
        </w:rPr>
      </w:pPr>
    </w:p>
    <w:p w:rsidR="00397E59" w:rsidRDefault="005D6A2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last term in the expression for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above vanishes and the equation reduces to the regular bilateral CVA derived in many papers and books cited earlier, for example Gregory (2009).</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Zero Funding Cost Credit Valuation Adjustment</w:t>
      </w:r>
      <w:r w:rsidRPr="00207EA4">
        <w:rPr>
          <w:rFonts w:eastAsiaTheme="minorEastAsia"/>
        </w:rPr>
        <w:t>:</w:t>
      </w:r>
      <w:r>
        <w:rPr>
          <w:rFonts w:eastAsiaTheme="minorEastAsia"/>
        </w:rPr>
        <w:t xml:space="preserve"> The bilateral benefits in this case does not come from any own default, but from being able to use the cash generated from the hedging strategy and buy back own bonds, thus generating an excess return of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This CVA that corresponds to the case</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5D6A2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is denoted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Unsecured Funding Rate Valuation Adjustment</w:t>
      </w:r>
      <w:r w:rsidRPr="001B7D23">
        <w:rPr>
          <w:rFonts w:eastAsiaTheme="minorEastAsia"/>
        </w:rPr>
        <w:t>:</w:t>
      </w:r>
      <w:r>
        <w:rPr>
          <w:rFonts w:eastAsiaTheme="minorEastAsia"/>
        </w:rPr>
        <w:t xml:space="preserve"> In practice, however, the derivative cannot normally be used as a collateral and</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w:lastRenderedPageBreak/>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gives a consistent adjustment of the derivative prices for bilateral counterparty risk and funding costs. In the specific case where the funding spread corresponds to that of the unsecured </w:t>
      </w:r>
      <m:oMath>
        <m:r>
          <w:rPr>
            <w:rFonts w:ascii="Cambria Math" w:eastAsiaTheme="minorEastAsia" w:hAnsi="Cambria Math"/>
          </w:rPr>
          <m:t>B</m:t>
        </m:r>
      </m:oMath>
      <w:r>
        <w:rPr>
          <w:rFonts w:eastAsiaTheme="minorEastAsia"/>
        </w:rPr>
        <w:t xml:space="preserve"> bond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i.e.,</w:t>
      </w:r>
    </w:p>
    <w:p w:rsidR="00397E59" w:rsidRDefault="00397E59" w:rsidP="00397E59">
      <w:pPr>
        <w:pStyle w:val="ListParagraph"/>
        <w:spacing w:line="360" w:lineRule="auto"/>
        <w:ind w:left="360"/>
        <w:rPr>
          <w:rFonts w:eastAsiaTheme="minorEastAsia"/>
        </w:rPr>
      </w:pPr>
    </w:p>
    <w:p w:rsidR="00397E59" w:rsidRDefault="005D6A2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first and the third terms may be merged and </w:t>
      </w:r>
      <m:oMath>
        <m:r>
          <w:rPr>
            <w:rFonts w:ascii="Cambria Math" w:eastAsiaTheme="minorEastAsia" w:hAnsi="Cambria Math"/>
          </w:rPr>
          <m:t>U</m:t>
        </m:r>
      </m:oMath>
      <w:r>
        <w:rPr>
          <w:rFonts w:eastAsiaTheme="minorEastAsia"/>
        </w:rPr>
        <w:t xml:space="preserve"> may be re-written as</w:t>
      </w:r>
    </w:p>
    <w:p w:rsidR="00397E59" w:rsidRDefault="00397E59" w:rsidP="00397E59">
      <w:pPr>
        <w:pStyle w:val="ListParagraph"/>
        <w:spacing w:line="360" w:lineRule="auto"/>
        <w:ind w:left="360"/>
        <w:rPr>
          <w:rFonts w:eastAsiaTheme="minorEastAsia"/>
        </w:rPr>
      </w:pPr>
    </w:p>
    <w:p w:rsidR="00397E59" w:rsidRPr="000D3A28"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Payable and Receivable Funding Impact</w:t>
      </w:r>
      <w:r>
        <w:rPr>
          <w:rFonts w:eastAsiaTheme="minorEastAsia"/>
        </w:rPr>
        <w:t>: The first and the last term of the previous equation now not only contain the bilateral asset described above, but also the funding liability arising from the fact that the higher rate</w:t>
      </w:r>
    </w:p>
    <w:p w:rsidR="00397E59" w:rsidRDefault="00397E59" w:rsidP="00397E59">
      <w:pPr>
        <w:pStyle w:val="ListParagraph"/>
        <w:spacing w:line="360" w:lineRule="auto"/>
        <w:ind w:left="360"/>
        <w:rPr>
          <w:rFonts w:eastAsiaTheme="minorEastAsia"/>
          <w:u w:val="single"/>
        </w:rPr>
      </w:pPr>
    </w:p>
    <w:p w:rsidR="00397E59" w:rsidRDefault="005D6A2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is paid when borrowing for the hedging strategy’s cash account.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and Default Payoff Examples</w:t>
      </w:r>
    </w:p>
    <w:p w:rsidR="00397E59" w:rsidRDefault="00397E59" w:rsidP="00397E59">
      <w:pPr>
        <w:tabs>
          <w:tab w:val="left" w:pos="7800"/>
        </w:tabs>
        <w:spacing w:line="360" w:lineRule="auto"/>
      </w:pPr>
    </w:p>
    <w:p w:rsidR="00397E59" w:rsidRPr="006C2174" w:rsidRDefault="00397E59" w:rsidP="008A18B1">
      <w:pPr>
        <w:pStyle w:val="ListParagraph"/>
        <w:numPr>
          <w:ilvl w:val="0"/>
          <w:numId w:val="77"/>
        </w:numPr>
        <w:spacing w:after="160" w:line="360" w:lineRule="auto"/>
      </w:pPr>
      <w:r w:rsidRPr="006C2174">
        <w:rPr>
          <w:u w:val="single"/>
        </w:rPr>
        <w:t>Funding and Default Payoff Scenarios</w:t>
      </w:r>
      <w:r w:rsidRPr="006C2174">
        <w:t xml:space="preserve">: In this section the total derivative value </w:t>
      </w:r>
      <m:oMath>
        <m:acc>
          <m:accPr>
            <m:ctrlPr>
              <w:rPr>
                <w:rFonts w:ascii="Cambria Math" w:eastAsiaTheme="minorEastAsia" w:hAnsi="Cambria Math"/>
                <w:i/>
              </w:rPr>
            </m:ctrlPr>
          </m:accPr>
          <m:e>
            <m:r>
              <w:rPr>
                <w:rFonts w:ascii="Cambria Math" w:eastAsiaTheme="minorEastAsia" w:hAnsi="Cambria Math"/>
              </w:rPr>
              <m:t>V</m:t>
            </m:r>
          </m:e>
        </m:acc>
      </m:oMath>
      <w:r w:rsidRPr="006C2174">
        <w:rPr>
          <w:rFonts w:eastAsiaTheme="minorEastAsia"/>
        </w:rPr>
        <w:t xml:space="preserve"> for a call option bought by the “seller” is computed in the following 4 cases:</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rPr>
          <w:rFonts w:eastAsiaTheme="minorEastAsia"/>
        </w:rPr>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5D6A21"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5D6A21"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5D6A21"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5D6A21"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183347"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183347">
        <w:rPr>
          <w:rFonts w:eastAsiaTheme="minorEastAsia"/>
          <w:u w:val="single"/>
        </w:rPr>
        <w:t>One-Sided “Bought” Call CVA</w:t>
      </w:r>
      <w:r>
        <w:rPr>
          <w:rFonts w:eastAsiaTheme="minorEastAsia"/>
        </w:rPr>
        <w:t>: A bought call is a one-sided trade that satisfies</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V≥0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5D6A21"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r>
        <w:rPr>
          <w:rFonts w:eastAsiaTheme="minorEastAsia"/>
        </w:rPr>
        <w:t xml:space="preserve">and furthermore if the rates are constant the CVAs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xml:space="preserve"> for the four cases above simplifies to</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pPr>
    </w:p>
    <w:p w:rsidR="00397E59" w:rsidRPr="00354395" w:rsidRDefault="005D6A21"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5D6A21"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lastRenderedPageBreak/>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354395"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354395">
        <w:rPr>
          <w:rFonts w:eastAsiaTheme="minorEastAsia"/>
          <w:u w:val="single"/>
        </w:rPr>
        <w:t>CVA and Funding Impact Analysis</w:t>
      </w:r>
      <w:r>
        <w:rPr>
          <w:rFonts w:eastAsiaTheme="minorEastAsia"/>
        </w:rPr>
        <w:t xml:space="preserve">: Thus all the four CVA’s are linear in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All are negative since the seller faces counterparty risks and funding costs when</w:t>
      </w:r>
    </w:p>
    <w:p w:rsidR="00397E59" w:rsidRDefault="00397E59" w:rsidP="00397E59">
      <w:pPr>
        <w:pStyle w:val="ListParagraph"/>
        <w:spacing w:line="360" w:lineRule="auto"/>
        <w:ind w:left="360"/>
        <w:rPr>
          <w:rFonts w:eastAsiaTheme="minorEastAsia"/>
          <w:u w:val="single"/>
        </w:rPr>
      </w:pPr>
    </w:p>
    <w:p w:rsidR="00397E59" w:rsidRDefault="005D6A2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but does not have any bilateral asset because of the one-sidedness of the option payoff. Further the effect of the funding cost is significantly larger than choosing</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or</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r>
        <w:rPr>
          <w:rFonts w:eastAsiaTheme="minorEastAsia"/>
        </w:rPr>
        <w:t>for a bought option. For a sold option the impact of the funding cost does not have any effect.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Funding and PDE Extensions</w:t>
      </w:r>
    </w:p>
    <w:p w:rsidR="00397E59" w:rsidRDefault="00397E59" w:rsidP="00397E59">
      <w:pPr>
        <w:tabs>
          <w:tab w:val="left" w:pos="7800"/>
        </w:tabs>
        <w:spacing w:line="360" w:lineRule="auto"/>
      </w:pPr>
    </w:p>
    <w:p w:rsidR="00397E59" w:rsidRDefault="00397E59" w:rsidP="008A18B1">
      <w:pPr>
        <w:pStyle w:val="ListParagraph"/>
        <w:numPr>
          <w:ilvl w:val="0"/>
          <w:numId w:val="78"/>
        </w:numPr>
        <w:tabs>
          <w:tab w:val="left" w:pos="7800"/>
        </w:tabs>
        <w:spacing w:after="160" w:line="360" w:lineRule="auto"/>
      </w:pPr>
      <w:r w:rsidRPr="00C93AEA">
        <w:rPr>
          <w:u w:val="single"/>
        </w:rPr>
        <w:t>Liquid Markets CVA/Funding Impact</w:t>
      </w:r>
      <w:r w:rsidRPr="00C93AEA">
        <w:t>: The valuation adjustments presented here are particularly relevant when pricing interest rate swaps and vanilla options since these markets are very liquid and having an analytical model that does not take fully all costs into account may consume all profits from a deal depending upon the funding and the credit spreads.</w:t>
      </w:r>
    </w:p>
    <w:p w:rsidR="00397E59" w:rsidRPr="00C93AEA" w:rsidRDefault="00397E59" w:rsidP="008A18B1">
      <w:pPr>
        <w:pStyle w:val="ListParagraph"/>
        <w:numPr>
          <w:ilvl w:val="0"/>
          <w:numId w:val="78"/>
        </w:numPr>
        <w:tabs>
          <w:tab w:val="left" w:pos="7800"/>
        </w:tabs>
        <w:spacing w:after="160" w:line="360" w:lineRule="auto"/>
      </w:pPr>
      <w:r>
        <w:rPr>
          <w:u w:val="single"/>
        </w:rPr>
        <w:t>Derivatives with more General Payouts</w:t>
      </w:r>
      <w:r w:rsidRPr="00C93AEA">
        <w:t>:</w:t>
      </w:r>
      <w:r>
        <w:t xml:space="preserve"> Though the examinations above were conducted on a simple one-asset, one-derivative Black Scholes framework, the results can be immediately </w:t>
      </w:r>
      <w:r>
        <w:lastRenderedPageBreak/>
        <w:t xml:space="preserve">extended to derivatives with more general payments than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 These could be Asian options or interest rate swaps.</w:t>
      </w:r>
    </w:p>
    <w:p w:rsidR="00397E59" w:rsidRPr="00C93AEA" w:rsidRDefault="00397E59" w:rsidP="008A18B1">
      <w:pPr>
        <w:pStyle w:val="ListParagraph"/>
        <w:numPr>
          <w:ilvl w:val="0"/>
          <w:numId w:val="78"/>
        </w:numPr>
        <w:tabs>
          <w:tab w:val="left" w:pos="7800"/>
        </w:tabs>
        <w:spacing w:after="160" w:line="360" w:lineRule="auto"/>
      </w:pPr>
      <w:r>
        <w:rPr>
          <w:u w:val="single"/>
        </w:rPr>
        <w:t>Netted Portfolios with Multiple Trades</w:t>
      </w:r>
      <w:r w:rsidRPr="00C93AEA">
        <w:t>:</w:t>
      </w:r>
      <w:r>
        <w:t xml:space="preserve"> In this case the vales </w:t>
      </w:r>
      <m:oMath>
        <m:r>
          <w:rPr>
            <w:rFonts w:ascii="Cambria Math" w:eastAsiaTheme="minorEastAsia" w:hAnsi="Cambria Math"/>
          </w:rPr>
          <m:t>V</m:t>
        </m:r>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represent the net derivatives portfolio value rather than the value of a single derivative.</w:t>
      </w:r>
    </w:p>
    <w:p w:rsidR="00397E59" w:rsidRDefault="00397E59" w:rsidP="008A18B1">
      <w:pPr>
        <w:pStyle w:val="ListParagraph"/>
        <w:numPr>
          <w:ilvl w:val="0"/>
          <w:numId w:val="78"/>
        </w:numPr>
        <w:tabs>
          <w:tab w:val="left" w:pos="7800"/>
        </w:tabs>
        <w:spacing w:after="160" w:line="360" w:lineRule="auto"/>
      </w:pPr>
      <w:r>
        <w:rPr>
          <w:u w:val="single"/>
        </w:rPr>
        <w:t>Generalized Multi-asset Diffusion Dynamics for Multiple Underlyings</w:t>
      </w:r>
      <w:r>
        <w:t>: The only restriction is that the asset price SDE’s satisfy technical conditions such that the option pricing PDE (now multi-dimensional) admits a unique solution given by the Feynman-Kac representation. Note that if the number of assets exceeds two or three it is computationally more efficient to compute the CVA using Monte-Carlo simulation combined with numerical integration rather than solving the high-dimensional PDE.</w:t>
      </w:r>
    </w:p>
    <w:p w:rsidR="00397E59" w:rsidRDefault="00397E59" w:rsidP="008A18B1">
      <w:pPr>
        <w:pStyle w:val="ListParagraph"/>
        <w:numPr>
          <w:ilvl w:val="0"/>
          <w:numId w:val="78"/>
        </w:numPr>
        <w:tabs>
          <w:tab w:val="left" w:pos="7800"/>
        </w:tabs>
        <w:spacing w:after="160" w:line="360" w:lineRule="auto"/>
      </w:pPr>
      <w:r>
        <w:rPr>
          <w:u w:val="single"/>
        </w:rPr>
        <w:t>Stochastic Interest Rates</w:t>
      </w:r>
      <w:r w:rsidRPr="00C93AEA">
        <w:t>:</w:t>
      </w:r>
      <w:r>
        <w:t xml:space="preserve"> This is essential for interest rate derivatives, and the effect would be that the discounting in the CVA expression would happen inside the expectation operator.</w:t>
      </w:r>
    </w:p>
    <w:p w:rsidR="00397E59" w:rsidRPr="00C527B4" w:rsidRDefault="00397E59" w:rsidP="008A18B1">
      <w:pPr>
        <w:pStyle w:val="ListParagraph"/>
        <w:numPr>
          <w:ilvl w:val="0"/>
          <w:numId w:val="78"/>
        </w:numPr>
        <w:tabs>
          <w:tab w:val="left" w:pos="7800"/>
        </w:tabs>
        <w:spacing w:after="160" w:line="360" w:lineRule="auto"/>
      </w:pPr>
      <w:r>
        <w:rPr>
          <w:u w:val="single"/>
        </w:rPr>
        <w:t>Stochastic Hazard Rates</w:t>
      </w:r>
      <w:r>
        <w:t xml:space="preserve">: One way of introducing default time dependence and right/wrong way risk would be to make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stochastic and correlate them with each other and with other market factors. This would, again, simply imply that we do not move the discount factors outside of the expectation operator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or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w:lastRenderedPageBreak/>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A202B0" w:rsidRDefault="00397E59" w:rsidP="00397E59">
      <w:pPr>
        <w:pStyle w:val="ListParagraph"/>
        <w:tabs>
          <w:tab w:val="left" w:pos="7800"/>
        </w:tabs>
        <w:spacing w:line="360" w:lineRule="auto"/>
        <w:ind w:left="360"/>
      </w:pPr>
      <w:r>
        <w:rPr>
          <w:rFonts w:eastAsiaTheme="minorEastAsia"/>
        </w:rPr>
        <w:t xml:space="preserve">Also the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would incorporate terms corresponding to the new stochastic state variables.</w:t>
      </w:r>
    </w:p>
    <w:p w:rsidR="00397E59" w:rsidRPr="00C527B4" w:rsidRDefault="00397E59" w:rsidP="008A18B1">
      <w:pPr>
        <w:pStyle w:val="ListParagraph"/>
        <w:numPr>
          <w:ilvl w:val="0"/>
          <w:numId w:val="78"/>
        </w:numPr>
        <w:tabs>
          <w:tab w:val="left" w:pos="7800"/>
        </w:tabs>
        <w:spacing w:after="160" w:line="360" w:lineRule="auto"/>
      </w:pPr>
      <w:r>
        <w:rPr>
          <w:u w:val="single"/>
        </w:rPr>
        <w:t>Explicitly Specified Default Time Dependence</w:t>
      </w:r>
      <w:r>
        <w:t xml:space="preserve">: Another way of specifying default time dependence is by specifying simultaneous defaults. This could be done by setting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be independent point processes and then setting</w:t>
      </w:r>
    </w:p>
    <w:p w:rsidR="00397E59" w:rsidRDefault="00397E59" w:rsidP="00397E59">
      <w:pPr>
        <w:pStyle w:val="ListParagraph"/>
        <w:tabs>
          <w:tab w:val="left" w:pos="7800"/>
        </w:tabs>
        <w:spacing w:line="360" w:lineRule="auto"/>
        <w:ind w:left="360"/>
        <w:rPr>
          <w:u w:val="single"/>
        </w:rPr>
      </w:pPr>
    </w:p>
    <w:p w:rsidR="00397E59" w:rsidRDefault="005D6A2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5D6A2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106DD4" w:rsidRDefault="00397E59" w:rsidP="00397E59">
      <w:pPr>
        <w:pStyle w:val="ListParagraph"/>
        <w:tabs>
          <w:tab w:val="left" w:pos="7800"/>
        </w:tabs>
        <w:spacing w:line="360" w:lineRule="auto"/>
        <w:ind w:left="360"/>
      </w:pPr>
      <w:r>
        <w:rPr>
          <w:rFonts w:eastAsiaTheme="minorEastAsia"/>
        </w:rPr>
        <w:t xml:space="preserve">This approach is the well-known Marshall-Olkin copula and would require some basket default instrument for perfect replication. The hazard rates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2</m:t>
            </m:r>
          </m:sub>
        </m:sSub>
      </m:oMath>
      <w:r>
        <w:rPr>
          <w:rFonts w:eastAsiaTheme="minorEastAsia"/>
        </w:rPr>
        <w:t xml:space="preserve"> of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could be made stochastic in which case the right and the wrong way risk can be modeled as well.</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and Funding Cost Management</w:t>
      </w:r>
    </w:p>
    <w:p w:rsidR="00397E59" w:rsidRDefault="00397E59" w:rsidP="00397E59">
      <w:pPr>
        <w:tabs>
          <w:tab w:val="left" w:pos="7800"/>
        </w:tabs>
        <w:spacing w:line="360" w:lineRule="auto"/>
      </w:pPr>
    </w:p>
    <w:p w:rsidR="00397E59" w:rsidRDefault="00397E59" w:rsidP="008A18B1">
      <w:pPr>
        <w:pStyle w:val="ListParagraph"/>
        <w:numPr>
          <w:ilvl w:val="0"/>
          <w:numId w:val="79"/>
        </w:numPr>
        <w:tabs>
          <w:tab w:val="left" w:pos="7800"/>
        </w:tabs>
        <w:spacing w:after="160" w:line="360" w:lineRule="auto"/>
      </w:pPr>
      <w:r w:rsidRPr="004B2F38">
        <w:rPr>
          <w:u w:val="single"/>
        </w:rPr>
        <w:t>Funding Position Dependent Cost Adjustment</w:t>
      </w:r>
      <w:r w:rsidRPr="004B2F38">
        <w:t xml:space="preserve">: In both Piterbarg (2010) and Burgard and Kjaer (2012a) the size of the funding cost adjustment is dependent on the specific way the </w:t>
      </w:r>
      <w:r w:rsidRPr="004B2F38">
        <w:lastRenderedPageBreak/>
        <w:t>funding is achieved and thus gives rise to prices that are dependent on the funding position of the issuer. The counterparty would clear the price with the best funding position.</w:t>
      </w:r>
    </w:p>
    <w:p w:rsidR="00397E59" w:rsidRDefault="00397E59" w:rsidP="008A18B1">
      <w:pPr>
        <w:pStyle w:val="ListParagraph"/>
        <w:numPr>
          <w:ilvl w:val="0"/>
          <w:numId w:val="79"/>
        </w:numPr>
        <w:tabs>
          <w:tab w:val="left" w:pos="7800"/>
        </w:tabs>
        <w:spacing w:after="160" w:line="360" w:lineRule="auto"/>
      </w:pPr>
      <w:r>
        <w:rPr>
          <w:u w:val="single"/>
        </w:rPr>
        <w:t>Funding Cost as Seller Windfall</w:t>
      </w:r>
      <w:r w:rsidRPr="004B2F38">
        <w:t>:</w:t>
      </w:r>
      <w:r>
        <w:t xml:space="preserve"> Burgard and Kjaer (2012b) show that the funding cost term is related to the windfall to the issuer’s bondholders upon default of the issuer. This leads them to examine the impact of the derivative asset and the funding positions on the balance sheet from within the confines of a simple balance sheet model.</w:t>
      </w:r>
    </w:p>
    <w:p w:rsidR="00397E59" w:rsidRDefault="00397E59" w:rsidP="008A18B1">
      <w:pPr>
        <w:pStyle w:val="ListParagraph"/>
        <w:numPr>
          <w:ilvl w:val="0"/>
          <w:numId w:val="79"/>
        </w:numPr>
        <w:tabs>
          <w:tab w:val="left" w:pos="7800"/>
        </w:tabs>
        <w:spacing w:after="160" w:line="360" w:lineRule="auto"/>
      </w:pPr>
      <w:r>
        <w:rPr>
          <w:u w:val="single"/>
        </w:rPr>
        <w:t>Funding Strategy Balance Sheet Impact</w:t>
      </w:r>
      <w:r w:rsidRPr="004B2F38">
        <w:t>:</w:t>
      </w:r>
      <w:r>
        <w:t xml:space="preserve"> They demonstrate that this impact on the balance sheet and the overall funding position of the issuer reduces the effective marginal funding spread for new positions to zero.</w:t>
      </w:r>
    </w:p>
    <w:p w:rsidR="00397E59" w:rsidRPr="004B2F38" w:rsidRDefault="00397E59" w:rsidP="008A18B1">
      <w:pPr>
        <w:pStyle w:val="ListParagraph"/>
        <w:numPr>
          <w:ilvl w:val="0"/>
          <w:numId w:val="79"/>
        </w:numPr>
        <w:tabs>
          <w:tab w:val="left" w:pos="7800"/>
        </w:tabs>
        <w:spacing w:after="160" w:line="360" w:lineRule="auto"/>
      </w:pPr>
      <w:r>
        <w:rPr>
          <w:u w:val="single"/>
        </w:rPr>
        <w:t>Strategies for Balance Sheet Impact Neutralization</w:t>
      </w:r>
      <w:r>
        <w:t>: Burgard and Kjaer (2012b) discuss two strategies for how the balance sheet impact can directly be neutralized, mitigating the need for a funding cost adjustment to a derivatives price. If such strategies can be put into practice, they lead back to a state where the symmetric prices between the issuer and the counterparty can be achieved.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Unified Framework for Bilateral Counterparty Risk and Funding Adjustments</w:t>
      </w:r>
    </w:p>
    <w:p w:rsidR="00397E59" w:rsidRDefault="00397E59" w:rsidP="00397E59">
      <w:pPr>
        <w:tabs>
          <w:tab w:val="left" w:pos="7800"/>
        </w:tabs>
        <w:spacing w:line="360" w:lineRule="auto"/>
      </w:pPr>
    </w:p>
    <w:p w:rsidR="00397E59" w:rsidRDefault="00397E59" w:rsidP="008A18B1">
      <w:pPr>
        <w:pStyle w:val="ListParagraph"/>
        <w:numPr>
          <w:ilvl w:val="0"/>
          <w:numId w:val="80"/>
        </w:numPr>
        <w:tabs>
          <w:tab w:val="left" w:pos="7800"/>
        </w:tabs>
        <w:spacing w:after="160" w:line="360" w:lineRule="auto"/>
      </w:pPr>
      <w:r w:rsidRPr="006D6533">
        <w:rPr>
          <w:u w:val="single"/>
        </w:rPr>
        <w:t>CVA, DVA, and FVA Expressions</w:t>
      </w:r>
      <w:r w:rsidRPr="006D6533">
        <w:t>: Burgard and Kjaer (2012b) list the explicit integral representations for the CVA, the DVA, and the FCA.</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=CVA+DVA+FCA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CVA=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DVA=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FVA= -</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Pr="006D6533" w:rsidRDefault="00397E59" w:rsidP="00397E59">
      <w:pPr>
        <w:pStyle w:val="ListParagraph"/>
        <w:tabs>
          <w:tab w:val="left" w:pos="7800"/>
        </w:tabs>
        <w:spacing w:line="360" w:lineRule="auto"/>
        <w:ind w:left="360"/>
      </w:pPr>
    </w:p>
    <w:p w:rsidR="00397E59" w:rsidRDefault="00397E59" w:rsidP="008A18B1">
      <w:pPr>
        <w:pStyle w:val="ListParagraph"/>
        <w:numPr>
          <w:ilvl w:val="0"/>
          <w:numId w:val="80"/>
        </w:numPr>
        <w:tabs>
          <w:tab w:val="left" w:pos="7800"/>
        </w:tabs>
        <w:spacing w:after="160" w:line="360" w:lineRule="auto"/>
      </w:pPr>
      <w:r>
        <w:rPr>
          <w:u w:val="single"/>
        </w:rPr>
        <w:t>Analysis of the XVA Expressions</w:t>
      </w:r>
      <w:r>
        <w:t>: It is clear from the above expression that while both the CVA and the FVA are related to the credit position of the issuer, they do not double-count the issuer’s credit, but capture the exposures of the mark-to-market value of the derivatives of the opposite sign and as such are opposite sides of the same coin. The DVA term itself can be seen as a funding benefit as it arises from the issuer using a positive cash account to buy back its own bonds, earning the spread on it while at the same time hedging out own credit risk on the derivatives position.</w:t>
      </w:r>
    </w:p>
    <w:p w:rsidR="00397E59" w:rsidRPr="00C02F6A" w:rsidRDefault="00397E59" w:rsidP="008A18B1">
      <w:pPr>
        <w:pStyle w:val="ListParagraph"/>
        <w:numPr>
          <w:ilvl w:val="0"/>
          <w:numId w:val="80"/>
        </w:numPr>
        <w:tabs>
          <w:tab w:val="left" w:pos="7800"/>
        </w:tabs>
        <w:spacing w:after="160" w:line="360" w:lineRule="auto"/>
      </w:pPr>
      <w:r>
        <w:rPr>
          <w:u w:val="single"/>
        </w:rPr>
        <w:t>Own Credit Hedge Using Bonds</w:t>
      </w:r>
      <w:r w:rsidRPr="00C02F6A">
        <w:t>:</w:t>
      </w:r>
      <w:r>
        <w:t xml:space="preserve"> It should be noted that the hedging strategy leading to the set of expressions above involves the issuer re-purchasing its own bonds. It does not involve any dealings in the CDS. The term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is the spread of a zero-recovery bond over the risk-free rate. It is not the hazard rate derived from the CDS market. Thus if there is a basis between the bonds and the CDS for the issuer </w:t>
      </w:r>
      <m:oMath>
        <m:r>
          <w:rPr>
            <w:rFonts w:ascii="Cambria Math" w:eastAsiaTheme="minorEastAsia" w:hAnsi="Cambria Math"/>
          </w:rPr>
          <m:t>B</m:t>
        </m:r>
      </m:oMath>
      <w:r>
        <w:rPr>
          <w:rFonts w:eastAsiaTheme="minorEastAsia"/>
        </w:rPr>
        <w:t xml:space="preserve">, it is the bond market that counts in determining the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used in the DVA and the FVA terms.</w:t>
      </w:r>
    </w:p>
    <w:p w:rsidR="00397E59" w:rsidRPr="00C554DF" w:rsidRDefault="00397E59" w:rsidP="008A18B1">
      <w:pPr>
        <w:pStyle w:val="ListParagraph"/>
        <w:numPr>
          <w:ilvl w:val="0"/>
          <w:numId w:val="80"/>
        </w:numPr>
        <w:tabs>
          <w:tab w:val="left" w:pos="7800"/>
        </w:tabs>
        <w:spacing w:after="160" w:line="360" w:lineRule="auto"/>
      </w:pPr>
      <w:r>
        <w:rPr>
          <w:u w:val="single"/>
        </w:rPr>
        <w:t>Contribution of</w:t>
      </w:r>
      <w:r w:rsidRPr="00C02F6A">
        <w:rPr>
          <w:u w:val="single"/>
        </w:rPr>
        <w:t xml:space="preserve"> </w:t>
      </w:r>
      <m:oMath>
        <m:r>
          <w:rPr>
            <w:rFonts w:ascii="Cambria Math" w:eastAsiaTheme="minorEastAsia" w:hAnsi="Cambria Math"/>
            <w:u w:val="single"/>
          </w:rPr>
          <m:t>U</m:t>
        </m:r>
      </m:oMath>
      <w:r w:rsidRPr="00C02F6A">
        <w:rPr>
          <w:rFonts w:eastAsiaTheme="minorEastAsia"/>
          <w:u w:val="single"/>
        </w:rPr>
        <w:t xml:space="preserve"> to the Hedges</w:t>
      </w:r>
      <w:r>
        <w:rPr>
          <w:rFonts w:eastAsiaTheme="minorEastAsia"/>
        </w:rPr>
        <w:t xml:space="preserve">: The contributions of </w:t>
      </w:r>
      <m:oMath>
        <m:r>
          <w:rPr>
            <w:rFonts w:ascii="Cambria Math" w:eastAsiaTheme="minorEastAsia" w:hAnsi="Cambria Math"/>
          </w:rPr>
          <m:t>U</m:t>
        </m:r>
      </m:oMath>
      <w:r>
        <w:rPr>
          <w:rFonts w:eastAsiaTheme="minorEastAsia"/>
        </w:rPr>
        <w:t xml:space="preserve"> to the hedge ratios</w:t>
      </w:r>
    </w:p>
    <w:p w:rsidR="00397E59" w:rsidRDefault="00397E59" w:rsidP="00397E59">
      <w:pPr>
        <w:pStyle w:val="ListParagraph"/>
        <w:tabs>
          <w:tab w:val="left" w:pos="7800"/>
        </w:tabs>
        <w:spacing w:line="360" w:lineRule="auto"/>
        <w:ind w:left="360"/>
        <w:rPr>
          <w:u w:val="single"/>
        </w:rPr>
      </w:pPr>
    </w:p>
    <w:p w:rsidR="00397E59" w:rsidRDefault="005D6A2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5D6A2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pPr>
      <w:r>
        <w:rPr>
          <w:rFonts w:eastAsiaTheme="minorEastAsia"/>
        </w:rPr>
        <w:t xml:space="preserve">on the other hand comes from the fact that, upon default the close-out amount of </w:t>
      </w:r>
      <m:oMath>
        <m:r>
          <w:rPr>
            <w:rFonts w:ascii="Cambria Math" w:eastAsiaTheme="minorEastAsia" w:hAnsi="Cambria Math"/>
          </w:rPr>
          <m:t>V</m:t>
        </m:r>
      </m:oMath>
      <w:r>
        <w:rPr>
          <w:rFonts w:eastAsiaTheme="minorEastAsia"/>
        </w:rPr>
        <w:t xml:space="preserve"> differs from the risky value of the derivative just prior to the default by the amount </w:t>
      </w:r>
      <m:oMath>
        <m:r>
          <w:rPr>
            <w:rFonts w:ascii="Cambria Math" w:eastAsiaTheme="minorEastAsia" w:hAnsi="Cambria Math"/>
          </w:rPr>
          <m:t>U</m:t>
        </m:r>
      </m:oMath>
      <w:r>
        <w:rPr>
          <w:rFonts w:eastAsiaTheme="minorEastAsia"/>
        </w:rPr>
        <w:t xml:space="preserve"> because the credit and the funding adjustments for the trade disappear on default of the counterparty or </w:t>
      </w:r>
      <w:r>
        <w:rPr>
          <w:rFonts w:eastAsiaTheme="minorEastAsia"/>
        </w:rPr>
        <w:lastRenderedPageBreak/>
        <w:t xml:space="preserve">the issuer. Thus a credit risk on the full amount of </w:t>
      </w:r>
      <m:oMath>
        <m:r>
          <w:rPr>
            <w:rFonts w:ascii="Cambria Math" w:eastAsiaTheme="minorEastAsia" w:hAnsi="Cambria Math"/>
          </w:rPr>
          <m:t>U</m:t>
        </m:r>
      </m:oMath>
      <w:r>
        <w:rPr>
          <w:rFonts w:eastAsiaTheme="minorEastAsia"/>
        </w:rPr>
        <w:t xml:space="preserve"> needs to be hedged out and this is achieved by means of taking positions in zero-recovery bonds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corresponding to the full value of </w:t>
      </w:r>
      <m:oMath>
        <m:r>
          <w:rPr>
            <w:rFonts w:ascii="Cambria Math" w:eastAsiaTheme="minorEastAsia" w:hAnsi="Cambria Math"/>
          </w:rPr>
          <m:t>U</m:t>
        </m:r>
      </m:oMath>
      <w:r>
        <w:rPr>
          <w:rFonts w:eastAsiaTheme="minorEastAsia"/>
        </w:rPr>
        <w:t>.</w:t>
      </w:r>
    </w:p>
    <w:p w:rsidR="00397E59" w:rsidRPr="00C554DF" w:rsidRDefault="00397E59" w:rsidP="008A18B1">
      <w:pPr>
        <w:pStyle w:val="ListParagraph"/>
        <w:numPr>
          <w:ilvl w:val="0"/>
          <w:numId w:val="80"/>
        </w:numPr>
        <w:tabs>
          <w:tab w:val="left" w:pos="7800"/>
        </w:tabs>
        <w:spacing w:after="160" w:line="360" w:lineRule="auto"/>
      </w:pPr>
      <w:r>
        <w:rPr>
          <w:u w:val="single"/>
        </w:rPr>
        <w:t>Symmetry between the CVA and the DVA</w:t>
      </w:r>
      <w:r w:rsidRPr="00C554DF">
        <w:t>:</w:t>
      </w:r>
      <w:r>
        <w:t xml:space="preserve"> Without the FVA term the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would be symmetric in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i.e., the counterparty and the issuer, following the same methodology, would agree on the same price. If however the funding costs for the replication strategy are included, and the funding spread is non-zero, then the two parties hedging out their risks and pricing in their funding costs would not agree on the price. A counterparty that wants to buy this derivative would buy it from the seller with the smallest FVA value, i.e., the lowest funding cost.</w:t>
      </w:r>
    </w:p>
    <w:p w:rsidR="00397E59" w:rsidRPr="006D6533" w:rsidRDefault="00397E59" w:rsidP="008A18B1">
      <w:pPr>
        <w:pStyle w:val="ListParagraph"/>
        <w:numPr>
          <w:ilvl w:val="0"/>
          <w:numId w:val="80"/>
        </w:numPr>
        <w:tabs>
          <w:tab w:val="left" w:pos="7800"/>
        </w:tabs>
        <w:spacing w:after="160" w:line="360" w:lineRule="auto"/>
      </w:pPr>
      <w:r>
        <w:rPr>
          <w:u w:val="single"/>
        </w:rPr>
        <w:t>Balance Sheet Funding Costs Mitigation</w:t>
      </w:r>
      <w:r>
        <w:t>: Burgard and Kjaer (2012b) also clarify the origins of the FVA term within the ambit of their framework in more detail, and outline different ways of how the funding costs can be mitigated. Doing so successfully can reduce the FVA cost to zero and produce prices that are independent of the funding costs of the issuer, and therefore symmetric.</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Simple Model for the Impact of Derivative Asset on Balance Sheet and Funding</w:t>
      </w:r>
    </w:p>
    <w:p w:rsidR="00397E59" w:rsidRDefault="00397E59" w:rsidP="00397E59">
      <w:pPr>
        <w:tabs>
          <w:tab w:val="left" w:pos="7800"/>
        </w:tabs>
        <w:spacing w:line="360" w:lineRule="auto"/>
      </w:pPr>
    </w:p>
    <w:p w:rsidR="00397E59" w:rsidRDefault="00397E59" w:rsidP="008A18B1">
      <w:pPr>
        <w:pStyle w:val="ListParagraph"/>
        <w:numPr>
          <w:ilvl w:val="0"/>
          <w:numId w:val="81"/>
        </w:numPr>
        <w:tabs>
          <w:tab w:val="left" w:pos="7800"/>
        </w:tabs>
        <w:spacing w:after="160" w:line="360" w:lineRule="auto"/>
      </w:pPr>
      <w:r w:rsidRPr="00AF11E6">
        <w:rPr>
          <w:u w:val="single"/>
        </w:rPr>
        <w:t>Balance Sheet and Funding Model</w:t>
      </w:r>
      <w:r w:rsidRPr="00AF11E6">
        <w:t>: As discussed earlier, derivatives and their funding positions contribute to the issuer asset and liability positions on the issuer default. Therefore they themselves should impact the funding costs of then issuer. Burgard and Kjaer (2012b) quantify this feedback effect using a simple balance sheet and funding model.</w:t>
      </w:r>
    </w:p>
    <w:p w:rsidR="00397E59" w:rsidRPr="00E7283C" w:rsidRDefault="00397E59" w:rsidP="008A18B1">
      <w:pPr>
        <w:pStyle w:val="ListParagraph"/>
        <w:numPr>
          <w:ilvl w:val="0"/>
          <w:numId w:val="81"/>
        </w:numPr>
        <w:tabs>
          <w:tab w:val="left" w:pos="7800"/>
        </w:tabs>
        <w:spacing w:after="160" w:line="360" w:lineRule="auto"/>
      </w:pPr>
      <w:r>
        <w:rPr>
          <w:u w:val="single"/>
        </w:rPr>
        <w:t>Pre-trade Asset and Liability</w:t>
      </w:r>
      <w:r w:rsidRPr="00AF11E6">
        <w:t>:</w:t>
      </w:r>
      <w:r>
        <w:t xml:space="preserve"> Assuming that, as in a reduced form credit model, the default of the issuer is driven by an instantaneous default process with default intensity </w:t>
      </w:r>
      <m:oMath>
        <m:r>
          <w:rPr>
            <w:rFonts w:ascii="Cambria Math" w:hAnsi="Cambria Math"/>
          </w:rPr>
          <m:t>λ</m:t>
        </m:r>
      </m:oMath>
      <w:r>
        <w:rPr>
          <w:rFonts w:eastAsiaTheme="minorEastAsia"/>
        </w:rPr>
        <w:t xml:space="preserve">. Prior to entering into the derivative contract,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be the expected assets on default of the issuer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be the liabilities, so that the expected recovery on default is</w:t>
      </w:r>
    </w:p>
    <w:p w:rsidR="00397E59" w:rsidRDefault="00397E59" w:rsidP="00397E59">
      <w:pPr>
        <w:pStyle w:val="ListParagraph"/>
        <w:tabs>
          <w:tab w:val="left" w:pos="7800"/>
        </w:tabs>
        <w:spacing w:line="360" w:lineRule="auto"/>
        <w:ind w:left="360"/>
        <w:rPr>
          <w:u w:val="single"/>
        </w:rPr>
      </w:pPr>
    </w:p>
    <w:p w:rsidR="00397E59" w:rsidRPr="00E7283C" w:rsidRDefault="005D6A2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en>
          </m:f>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Pre-trade Instantaneous Incremental Funding Cost</w:t>
      </w:r>
      <w:r>
        <w:t xml:space="preserve">: Within this simple setup, the funding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of the issuer over the risk-free rate that compensates for the expected loss upon its default is</w:t>
      </w:r>
    </w:p>
    <w:p w:rsidR="00397E59" w:rsidRDefault="00397E59" w:rsidP="00397E59">
      <w:pPr>
        <w:pStyle w:val="ListParagraph"/>
        <w:tabs>
          <w:tab w:val="left" w:pos="7800"/>
        </w:tabs>
        <w:spacing w:line="360" w:lineRule="auto"/>
        <w:ind w:left="360"/>
        <w:rPr>
          <w:u w:val="single"/>
        </w:rPr>
      </w:pPr>
    </w:p>
    <w:p w:rsidR="00397E59" w:rsidRDefault="005D6A2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Thus the instantaneous funding cost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over the time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for a total liability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is</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5D6A2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Addition of a Derivative Transaction</w:t>
      </w:r>
      <w:r>
        <w:t xml:space="preserve">: Let the seller now add a derivative with a positive value </w:t>
      </w:r>
      <m:oMath>
        <m:r>
          <w:rPr>
            <w:rFonts w:ascii="Cambria Math" w:eastAsiaTheme="minorEastAsia" w:hAnsi="Cambria Math"/>
          </w:rPr>
          <m:t>d</m:t>
        </m:r>
      </m:oMath>
      <w:r>
        <w:rPr>
          <w:rFonts w:eastAsiaTheme="minorEastAsia"/>
        </w:rPr>
        <w:t xml:space="preserve"> as an asset, resulting in total assets of</w:t>
      </w:r>
    </w:p>
    <w:p w:rsidR="00397E59" w:rsidRDefault="00397E59" w:rsidP="00397E59">
      <w:pPr>
        <w:pStyle w:val="ListParagraph"/>
        <w:tabs>
          <w:tab w:val="left" w:pos="7800"/>
        </w:tabs>
        <w:spacing w:line="360" w:lineRule="auto"/>
        <w:ind w:left="360"/>
        <w:rPr>
          <w:u w:val="single"/>
        </w:rPr>
      </w:pPr>
    </w:p>
    <w:p w:rsidR="00397E59" w:rsidRDefault="005D6A2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positive value </w:t>
      </w:r>
      <m:oMath>
        <m:r>
          <w:rPr>
            <w:rFonts w:ascii="Cambria Math" w:eastAsiaTheme="minorEastAsia" w:hAnsi="Cambria Math"/>
          </w:rPr>
          <m:t>d</m:t>
        </m:r>
      </m:oMath>
      <w:r>
        <w:rPr>
          <w:rFonts w:eastAsiaTheme="minorEastAsia"/>
        </w:rPr>
        <w:t xml:space="preserve"> corresponds to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Pr>
          <w:rFonts w:eastAsiaTheme="minorEastAsia"/>
        </w:rPr>
        <w:t xml:space="preserve"> in the previous analysis. The corresponding negative cash is funded by adding a corresponding liability giving a total new liability of</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5D6A2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Thus the new expected recovery is now</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5D6A2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den>
          </m:f>
        </m:oMath>
      </m:oMathPara>
    </w:p>
    <w:p w:rsidR="00397E59" w:rsidRPr="003811AB" w:rsidRDefault="00397E59" w:rsidP="00397E59">
      <w:pPr>
        <w:pStyle w:val="ListParagraph"/>
        <w:tabs>
          <w:tab w:val="left" w:pos="7800"/>
        </w:tabs>
        <w:spacing w:line="360" w:lineRule="auto"/>
        <w:ind w:left="360"/>
      </w:pPr>
    </w:p>
    <w:p w:rsidR="00397E59" w:rsidRDefault="00397E59" w:rsidP="008A18B1">
      <w:pPr>
        <w:pStyle w:val="ListParagraph"/>
        <w:numPr>
          <w:ilvl w:val="0"/>
          <w:numId w:val="81"/>
        </w:numPr>
        <w:tabs>
          <w:tab w:val="left" w:pos="7800"/>
        </w:tabs>
        <w:spacing w:after="160" w:line="360" w:lineRule="auto"/>
      </w:pPr>
      <w:r>
        <w:rPr>
          <w:u w:val="single"/>
        </w:rPr>
        <w:t>Post-Trade Incremental Funding Cost</w:t>
      </w:r>
      <w:r>
        <w:t>: Assuming that the seller has hedged the market and the counterparty risk, the addition of the derivative asset does not change the default intensity of the seller. Thus the instantaneous funding cost after adding the derivative is</w:t>
      </w:r>
    </w:p>
    <w:p w:rsidR="00397E59" w:rsidRDefault="00397E59" w:rsidP="00397E59">
      <w:pPr>
        <w:pStyle w:val="ListParagraph"/>
        <w:tabs>
          <w:tab w:val="left" w:pos="7800"/>
        </w:tabs>
        <w:spacing w:line="360" w:lineRule="auto"/>
        <w:ind w:left="360"/>
        <w:rPr>
          <w:u w:val="single"/>
        </w:rPr>
      </w:pPr>
    </w:p>
    <w:p w:rsidR="00397E59" w:rsidRPr="00E7283C" w:rsidRDefault="005D6A2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e>
          </m:d>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3811AB"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Effective Incremental Post-Trade Funding Cost</w:t>
      </w:r>
      <w:r>
        <w:t xml:space="preserve">: Thus the effective funding cost for the additional liability </w:t>
      </w:r>
      <m:oMath>
        <m:r>
          <w:rPr>
            <w:rFonts w:ascii="Cambria Math" w:eastAsiaTheme="minorEastAsia" w:hAnsi="Cambria Math"/>
          </w:rPr>
          <m:t>d</m:t>
        </m:r>
      </m:oMath>
      <w:r>
        <w:rPr>
          <w:rFonts w:eastAsiaTheme="minorEastAsia"/>
        </w:rPr>
        <w:t xml:space="preserve"> is </w:t>
      </w:r>
      <m:oMath>
        <m:r>
          <w:rPr>
            <w:rFonts w:ascii="Cambria Math" w:eastAsiaTheme="minorEastAsia" w:hAnsi="Cambria Math"/>
          </w:rPr>
          <m:t>rd</m:t>
        </m:r>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While the new liability </w:t>
      </w:r>
      <m:oMath>
        <m:r>
          <w:rPr>
            <w:rFonts w:ascii="Cambria Math" w:eastAsiaTheme="minorEastAsia" w:hAnsi="Cambria Math"/>
          </w:rPr>
          <m:t>d</m:t>
        </m:r>
      </m:oMath>
      <w:r>
        <w:rPr>
          <w:rFonts w:eastAsiaTheme="minorEastAsia"/>
        </w:rPr>
        <w:t xml:space="preserve"> draws a new funding spread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oMath>
      <w:r>
        <w:rPr>
          <w:rFonts w:eastAsiaTheme="minorEastAsia"/>
        </w:rPr>
        <w:t xml:space="preserve"> the change on the recovery and its effect on the funding of the total liabilities results in an effective funding rate for </w:t>
      </w:r>
      <m:oMath>
        <m:r>
          <w:rPr>
            <w:rFonts w:ascii="Cambria Math" w:eastAsiaTheme="minorEastAsia" w:hAnsi="Cambria Math"/>
          </w:rPr>
          <m:t>d</m:t>
        </m:r>
      </m:oMath>
      <w:r>
        <w:rPr>
          <w:rFonts w:eastAsiaTheme="minorEastAsia"/>
        </w:rPr>
        <w:t xml:space="preserve"> that is the risk-free rate. Thus within this balance sheet model the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is zero.</w:t>
      </w:r>
    </w:p>
    <w:p w:rsidR="00397E59" w:rsidRDefault="00397E59" w:rsidP="008A18B1">
      <w:pPr>
        <w:pStyle w:val="ListParagraph"/>
        <w:numPr>
          <w:ilvl w:val="0"/>
          <w:numId w:val="81"/>
        </w:numPr>
        <w:tabs>
          <w:tab w:val="left" w:pos="7800"/>
        </w:tabs>
        <w:spacing w:after="160" w:line="360" w:lineRule="auto"/>
      </w:pPr>
      <w:r>
        <w:rPr>
          <w:u w:val="single"/>
        </w:rPr>
        <w:t>Balance Sheet Funding Cost Mitigation</w:t>
      </w:r>
      <w:r>
        <w:t>: While this balance sheet model is somewhat simplistic, it shows that the proper accounting for the effects of the derivative assets on the balance sheet can mitigate the funding costs and bring the FVA terms down to zero. With a vanishing FVA term, the equation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U=CVA+DVA</m:t>
          </m:r>
        </m:oMath>
      </m:oMathPara>
    </w:p>
    <w:p w:rsidR="00397E59" w:rsidRDefault="00397E59" w:rsidP="00397E59">
      <w:pPr>
        <w:pStyle w:val="ListParagraph"/>
        <w:tabs>
          <w:tab w:val="left" w:pos="7800"/>
        </w:tabs>
        <w:spacing w:line="360" w:lineRule="auto"/>
        <w:ind w:left="360"/>
        <w:rPr>
          <w:rFonts w:eastAsiaTheme="minorEastAsia"/>
        </w:rPr>
      </w:pPr>
    </w:p>
    <w:p w:rsidR="00397E59" w:rsidRPr="00E7283C" w:rsidRDefault="00397E59" w:rsidP="00397E59">
      <w:pPr>
        <w:pStyle w:val="ListParagraph"/>
        <w:tabs>
          <w:tab w:val="left" w:pos="7800"/>
        </w:tabs>
        <w:spacing w:line="360" w:lineRule="auto"/>
        <w:ind w:left="360"/>
      </w:pPr>
      <w:r>
        <w:rPr>
          <w:rFonts w:eastAsiaTheme="minorEastAsia"/>
        </w:rPr>
        <w:t xml:space="preserve">yields an adjustment </w:t>
      </w:r>
      <m:oMath>
        <m:r>
          <w:rPr>
            <w:rFonts w:ascii="Cambria Math" w:eastAsiaTheme="minorEastAsia" w:hAnsi="Cambria Math"/>
          </w:rPr>
          <m:t>U</m:t>
        </m:r>
      </m:oMath>
      <w:r>
        <w:rPr>
          <w:rFonts w:eastAsiaTheme="minorEastAsia"/>
        </w:rPr>
        <w:t xml:space="preserve"> and a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that are symmetric between the issuer </w:t>
      </w:r>
      <m:oMath>
        <m:r>
          <w:rPr>
            <w:rFonts w:ascii="Cambria Math" w:eastAsiaTheme="minorEastAsia" w:hAnsi="Cambria Math"/>
          </w:rPr>
          <m:t>B</m:t>
        </m:r>
      </m:oMath>
      <w:r>
        <w:rPr>
          <w:rFonts w:eastAsiaTheme="minorEastAsia"/>
        </w:rPr>
        <w:t xml:space="preserve"> and the counterparty </w:t>
      </w:r>
      <m:oMath>
        <m:r>
          <w:rPr>
            <w:rFonts w:ascii="Cambria Math" w:eastAsiaTheme="minorEastAsia" w:hAnsi="Cambria Math"/>
          </w:rPr>
          <m:t>C</m:t>
        </m:r>
      </m:oMath>
      <w:r>
        <w:rPr>
          <w:rFonts w:eastAsiaTheme="minorEastAsia"/>
        </w:rPr>
        <w:t>.</w:t>
      </w:r>
    </w:p>
    <w:p w:rsidR="00397E59" w:rsidRPr="00AF11E6" w:rsidRDefault="00397E59" w:rsidP="008A18B1">
      <w:pPr>
        <w:pStyle w:val="ListParagraph"/>
        <w:numPr>
          <w:ilvl w:val="0"/>
          <w:numId w:val="81"/>
        </w:numPr>
        <w:tabs>
          <w:tab w:val="left" w:pos="7800"/>
        </w:tabs>
        <w:spacing w:after="160" w:line="360" w:lineRule="auto"/>
      </w:pPr>
      <w:r>
        <w:rPr>
          <w:u w:val="single"/>
        </w:rPr>
        <w:t>Operational Challenges with the above Approach</w:t>
      </w:r>
      <w:r>
        <w:t>: Practically, however, the challenge is an operational one in that the benefit of the balance sheet impact is difficult to pin down at the moment of trading and hedging the derivative contract and therefore difficult to allocate as a benefit to the derivatives trading desk.</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Management to Mitigate Funding Costs</w:t>
      </w:r>
    </w:p>
    <w:p w:rsidR="00397E59" w:rsidRDefault="00397E59" w:rsidP="00397E59">
      <w:pPr>
        <w:tabs>
          <w:tab w:val="left" w:pos="7800"/>
        </w:tabs>
        <w:spacing w:line="360" w:lineRule="auto"/>
      </w:pPr>
    </w:p>
    <w:p w:rsidR="00397E59" w:rsidRDefault="00397E59" w:rsidP="008A18B1">
      <w:pPr>
        <w:pStyle w:val="ListParagraph"/>
        <w:numPr>
          <w:ilvl w:val="0"/>
          <w:numId w:val="82"/>
        </w:numPr>
        <w:tabs>
          <w:tab w:val="left" w:pos="7800"/>
        </w:tabs>
        <w:spacing w:after="160" w:line="360" w:lineRule="auto"/>
      </w:pPr>
      <w:r w:rsidRPr="006B6E48">
        <w:rPr>
          <w:u w:val="single"/>
        </w:rPr>
        <w:t>Issuer Windfall and Liability Matchup</w:t>
      </w:r>
      <w:r w:rsidRPr="006B6E48">
        <w:t xml:space="preserve">: Another way to shield the balance sheet from the impact of both the derivative asset and the funding liability is to actively manage the balance </w:t>
      </w:r>
      <w:r w:rsidRPr="006B6E48">
        <w:lastRenderedPageBreak/>
        <w:t>sheet in such a way that the windfall from the derivative asset and the funding position upon default of the issuer is balanced out by a corresponding liability.</w:t>
      </w:r>
    </w:p>
    <w:p w:rsidR="00397E59" w:rsidRPr="006B6E48" w:rsidRDefault="00397E59" w:rsidP="008A18B1">
      <w:pPr>
        <w:pStyle w:val="ListParagraph"/>
        <w:numPr>
          <w:ilvl w:val="0"/>
          <w:numId w:val="82"/>
        </w:numPr>
        <w:tabs>
          <w:tab w:val="left" w:pos="7800"/>
        </w:tabs>
        <w:spacing w:after="160" w:line="360" w:lineRule="auto"/>
      </w:pPr>
      <w:r>
        <w:rPr>
          <w:u w:val="single"/>
        </w:rPr>
        <w:t>Multiple Classes of Issuer Bonds</w:t>
      </w:r>
      <w:r w:rsidRPr="006B6E48">
        <w:t>:</w:t>
      </w:r>
      <w:r>
        <w:t xml:space="preserve"> The above can be achieved if the issuer can freely trade two of its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with different recovery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i.e., different seniority.</w:t>
      </w:r>
    </w:p>
    <w:p w:rsidR="00397E59" w:rsidRPr="00274E11" w:rsidRDefault="00397E59" w:rsidP="008A18B1">
      <w:pPr>
        <w:pStyle w:val="ListParagraph"/>
        <w:numPr>
          <w:ilvl w:val="0"/>
          <w:numId w:val="82"/>
        </w:numPr>
        <w:tabs>
          <w:tab w:val="left" w:pos="7800"/>
        </w:tabs>
        <w:spacing w:after="160" w:line="360" w:lineRule="auto"/>
      </w:pPr>
      <w:r>
        <w:rPr>
          <w:u w:val="single"/>
        </w:rPr>
        <w:t>Dynamics of the Bonds and the Assets</w:t>
      </w:r>
      <w:r>
        <w:t xml:space="preserve">: The setup is changed from before in that there are now 4 hedging instruments -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S</m:t>
        </m:r>
      </m:oMath>
      <w:r>
        <w:rPr>
          <w:rFonts w:eastAsiaTheme="minorEastAsia"/>
        </w:rPr>
        <w:t xml:space="preserve">. All the positive and negative cash in the cash account is invested/raised by buying back and/or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The assets follow the dynamics</w:t>
      </w:r>
    </w:p>
    <w:p w:rsidR="00397E59" w:rsidRDefault="00397E59" w:rsidP="00397E59">
      <w:pPr>
        <w:pStyle w:val="ListParagraph"/>
        <w:tabs>
          <w:tab w:val="left" w:pos="7800"/>
        </w:tabs>
        <w:spacing w:line="360" w:lineRule="auto"/>
        <w:ind w:left="360"/>
        <w:rPr>
          <w:u w:val="single"/>
        </w:rPr>
      </w:pPr>
    </w:p>
    <w:p w:rsidR="00397E59" w:rsidRDefault="005D6A21"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5D6A21"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5D6A21"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m:rPr>
              <m:sty m:val="p"/>
            </m:rPr>
            <w:rPr>
              <w:rFonts w:ascii="Cambria Math" w:hAnsi="Cambria Math"/>
            </w:rPr>
            <m:t>Δ</m:t>
          </m:r>
          <m:r>
            <w:rPr>
              <w:rFonts w:ascii="Cambria Math" w:hAnsi="Cambria Math"/>
            </w:rPr>
            <m:t>t</m:t>
          </m:r>
          <m:r>
            <w:rPr>
              <w:rFonts w:ascii="Cambria Math" w:eastAsiaTheme="minorEastAsia" w:hAnsi="Cambria Math"/>
            </w:rPr>
            <m:t>-</m:t>
          </m:r>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5D6A21"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r>
            <m:rPr>
              <m:sty m:val="p"/>
            </m:rPr>
            <w:rPr>
              <w:rFonts w:ascii="Cambria Math" w:hAnsi="Cambria Math"/>
            </w:rPr>
            <m:t>Δ</m:t>
          </m:r>
          <m:r>
            <w:rPr>
              <w:rFonts w:ascii="Cambria Math" w:hAnsi="Cambria Math"/>
            </w:rPr>
            <m:t>t</m:t>
          </m:r>
          <m:r>
            <w:rPr>
              <w:rFonts w:ascii="Cambria Math" w:eastAsiaTheme="minorEastAsia" w:hAnsi="Cambria Math"/>
            </w:rPr>
            <m:t>-σ</m:t>
          </m:r>
          <m:r>
            <m:rPr>
              <m:sty m:val="p"/>
            </m:rPr>
            <w:rPr>
              <w:rFonts w:ascii="Cambria Math" w:eastAsiaTheme="minorEastAsia" w:hAnsi="Cambria Math"/>
            </w:rPr>
            <m:t>Δ</m:t>
          </m:r>
          <m:r>
            <w:rPr>
              <w:rFonts w:ascii="Cambria Math" w:hAnsi="Cambria Math"/>
            </w:rPr>
            <m:t>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5D6A2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5D6A2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5D6A2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Neither of the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need equal the derivative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Pr="00635C43" w:rsidRDefault="00397E59" w:rsidP="008A18B1">
      <w:pPr>
        <w:pStyle w:val="ListParagraph"/>
        <w:numPr>
          <w:ilvl w:val="0"/>
          <w:numId w:val="82"/>
        </w:numPr>
        <w:tabs>
          <w:tab w:val="left" w:pos="7800"/>
        </w:tabs>
        <w:spacing w:after="160" w:line="360" w:lineRule="auto"/>
      </w:pPr>
      <w:r>
        <w:rPr>
          <w:u w:val="single"/>
        </w:rPr>
        <w:t>Payoff Replication Hedge Portfolio</w:t>
      </w:r>
      <w:r>
        <w:t xml:space="preserve">: As before the replicating hedge portfolio </w:t>
      </w:r>
      <m:oMath>
        <m:r>
          <m:rPr>
            <m:sty m:val="p"/>
          </m:rPr>
          <w:rPr>
            <w:rFonts w:ascii="Cambria Math" w:hAnsi="Cambria Math"/>
          </w:rPr>
          <m:t>Π</m:t>
        </m:r>
      </m:oMath>
      <w:r>
        <w:rPr>
          <w:rFonts w:eastAsiaTheme="minorEastAsia"/>
        </w:rPr>
        <w:t xml:space="preserve"> is setup and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5D6A2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is the funding account for the asset position and</w:t>
      </w:r>
    </w:p>
    <w:p w:rsidR="00397E59" w:rsidRDefault="00397E59" w:rsidP="00397E59">
      <w:pPr>
        <w:pStyle w:val="ListParagraph"/>
        <w:tabs>
          <w:tab w:val="left" w:pos="7800"/>
        </w:tabs>
        <w:spacing w:line="360" w:lineRule="auto"/>
        <w:ind w:left="360"/>
        <w:rPr>
          <w:rFonts w:eastAsiaTheme="minorEastAsia"/>
        </w:rPr>
      </w:pPr>
    </w:p>
    <w:p w:rsidR="00397E59" w:rsidRDefault="005D6A2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is the funding position for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bonds.</w:t>
      </w:r>
    </w:p>
    <w:p w:rsidR="00397E59" w:rsidRPr="00635C43" w:rsidRDefault="00397E59" w:rsidP="008A18B1">
      <w:pPr>
        <w:pStyle w:val="ListParagraph"/>
        <w:numPr>
          <w:ilvl w:val="0"/>
          <w:numId w:val="82"/>
        </w:numPr>
        <w:tabs>
          <w:tab w:val="left" w:pos="7800"/>
        </w:tabs>
        <w:spacing w:after="160" w:line="360" w:lineRule="auto"/>
      </w:pPr>
      <w:r>
        <w:rPr>
          <w:u w:val="single"/>
        </w:rPr>
        <w:t>Application of the Self-Financing Criterion</w:t>
      </w:r>
      <w:r>
        <w:t xml:space="preserve">: The fact that </w:t>
      </w:r>
      <m:oMath>
        <m:r>
          <m:rPr>
            <m:sty m:val="p"/>
          </m:rPr>
          <w:rPr>
            <w:rFonts w:ascii="Cambria Math" w:hAnsi="Cambria Math"/>
          </w:rPr>
          <m:t>Π</m:t>
        </m:r>
      </m:oMath>
      <w:r>
        <w:rPr>
          <w:rFonts w:eastAsiaTheme="minorEastAsia"/>
        </w:rPr>
        <w:t xml:space="preserve"> is meant to be a replicating self-financing hedge portfolio implies that</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ΔΠ</m:t>
          </m:r>
          <m:r>
            <w:rPr>
              <w:rFonts w:ascii="Cambria Math" w:eastAsiaTheme="minorEastAsia" w:hAnsi="Cambria Math"/>
            </w:rPr>
            <m:t>=-</m:t>
          </m:r>
          <m:r>
            <m:rPr>
              <m:sty m:val="p"/>
            </m:rPr>
            <w:rPr>
              <w:rFonts w:ascii="Cambria Math" w:eastAsiaTheme="minorEastAsia" w:hAnsi="Cambria Math"/>
            </w:rPr>
            <m:t>Δ</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so repeating the delta-hedging arguments of Burgard and Kjaer (2012a) and defining</w:t>
      </w:r>
    </w:p>
    <w:p w:rsidR="00397E59" w:rsidRDefault="00397E59" w:rsidP="00397E59">
      <w:pPr>
        <w:pStyle w:val="ListParagraph"/>
        <w:tabs>
          <w:tab w:val="left" w:pos="7800"/>
        </w:tabs>
        <w:spacing w:line="360" w:lineRule="auto"/>
        <w:ind w:left="360"/>
        <w:rPr>
          <w:rFonts w:eastAsiaTheme="minorEastAsia"/>
        </w:rPr>
      </w:pPr>
    </w:p>
    <w:p w:rsidR="00397E59" w:rsidRDefault="005D6A2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5D6A2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yields</w:t>
      </w:r>
    </w:p>
    <w:p w:rsidR="00397E59" w:rsidRDefault="00397E59" w:rsidP="00397E59">
      <w:pPr>
        <w:pStyle w:val="ListParagraph"/>
        <w:tabs>
          <w:tab w:val="left" w:pos="7800"/>
        </w:tabs>
        <w:spacing w:line="360" w:lineRule="auto"/>
        <w:ind w:left="360"/>
        <w:rPr>
          <w:rFonts w:eastAsiaTheme="minorEastAsia"/>
        </w:rPr>
      </w:pPr>
    </w:p>
    <w:p w:rsidR="00397E59" w:rsidRDefault="005D6A2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5D6A2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5D6A2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5D6A2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with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oMath>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5D6A21"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5D6A21"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M=V</m:t>
          </m:r>
        </m:oMath>
      </m:oMathPara>
    </w:p>
    <w:p w:rsidR="00397E59" w:rsidRPr="009213ED" w:rsidRDefault="00397E59" w:rsidP="00397E59">
      <w:pPr>
        <w:pStyle w:val="ListParagraph"/>
        <w:tabs>
          <w:tab w:val="left" w:pos="7800"/>
        </w:tabs>
        <w:spacing w:line="360" w:lineRule="auto"/>
        <w:ind w:left="360"/>
      </w:pPr>
    </w:p>
    <w:p w:rsidR="00397E59" w:rsidRPr="00635C43" w:rsidRDefault="00397E59" w:rsidP="008A18B1">
      <w:pPr>
        <w:pStyle w:val="ListParagraph"/>
        <w:numPr>
          <w:ilvl w:val="0"/>
          <w:numId w:val="82"/>
        </w:numPr>
        <w:tabs>
          <w:tab w:val="left" w:pos="7800"/>
        </w:tabs>
        <w:spacing w:after="160" w:line="360" w:lineRule="auto"/>
      </w:pPr>
      <w:r>
        <w:rPr>
          <w:u w:val="single"/>
        </w:rPr>
        <w:t>Hedge Ratios and Consolidated PDEs</w:t>
      </w:r>
      <w:r>
        <w:t xml:space="preserve">: From the above equations one can determine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 xml:space="preserve"> to be</w:t>
      </w:r>
    </w:p>
    <w:p w:rsidR="00397E59" w:rsidRDefault="00397E59" w:rsidP="00397E59">
      <w:pPr>
        <w:pStyle w:val="ListParagraph"/>
        <w:tabs>
          <w:tab w:val="left" w:pos="7800"/>
        </w:tabs>
        <w:spacing w:line="360" w:lineRule="auto"/>
        <w:ind w:left="360"/>
        <w:rPr>
          <w:u w:val="single"/>
        </w:rPr>
      </w:pPr>
    </w:p>
    <w:p w:rsidR="00397E59" w:rsidRDefault="005D6A2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635C43" w:rsidRDefault="005D6A2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which implies the following pricing PDE:</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5D6A21"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e>
          </m:d>
        </m:oMath>
      </m:oMathPara>
    </w:p>
    <w:p w:rsidR="00397E59" w:rsidRPr="00E9792F" w:rsidRDefault="00397E59" w:rsidP="00397E59">
      <w:pPr>
        <w:pStyle w:val="ListParagraph"/>
        <w:tabs>
          <w:tab w:val="left" w:pos="7800"/>
        </w:tabs>
        <w:spacing w:line="360" w:lineRule="auto"/>
        <w:ind w:left="360"/>
      </w:pPr>
    </w:p>
    <w:p w:rsidR="00397E59" w:rsidRDefault="00397E59" w:rsidP="008A18B1">
      <w:pPr>
        <w:pStyle w:val="ListParagraph"/>
        <w:numPr>
          <w:ilvl w:val="0"/>
          <w:numId w:val="82"/>
        </w:numPr>
        <w:tabs>
          <w:tab w:val="left" w:pos="7800"/>
        </w:tabs>
        <w:spacing w:after="160" w:line="360" w:lineRule="auto"/>
      </w:pPr>
      <w:r>
        <w:rPr>
          <w:u w:val="single"/>
        </w:rPr>
        <w:t>Zero Bond Funding Spread Basis</w:t>
      </w:r>
      <w:r>
        <w:t>: If furthermore one assumes zero differential between the bond basis and the funding spread, i.e.,</w:t>
      </w:r>
    </w:p>
    <w:p w:rsidR="00397E59" w:rsidRDefault="00397E59" w:rsidP="00397E59">
      <w:pPr>
        <w:pStyle w:val="ListParagraph"/>
        <w:tabs>
          <w:tab w:val="left" w:pos="7800"/>
        </w:tabs>
        <w:spacing w:line="360" w:lineRule="auto"/>
        <w:ind w:left="360"/>
        <w:rPr>
          <w:u w:val="single"/>
        </w:rPr>
      </w:pPr>
    </w:p>
    <w:p w:rsidR="00397E59" w:rsidRDefault="005D6A2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5D6A2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then the previous equation simplifies to</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5D6A21"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Pr="00635C4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82"/>
        </w:numPr>
        <w:tabs>
          <w:tab w:val="left" w:pos="7800"/>
        </w:tabs>
        <w:spacing w:after="160" w:line="360" w:lineRule="auto"/>
      </w:pPr>
      <w:r>
        <w:rPr>
          <w:u w:val="single"/>
        </w:rPr>
        <w:t>Issue Senior and Repurchase Junior</w:t>
      </w:r>
      <w:r w:rsidRPr="00E9792F">
        <w:t>:</w:t>
      </w:r>
      <w:r>
        <w:t xml:space="preserve"> Comparing this PDE with</w:t>
      </w:r>
    </w:p>
    <w:p w:rsidR="00397E59" w:rsidRDefault="00397E59" w:rsidP="00397E59">
      <w:pPr>
        <w:pStyle w:val="ListParagraph"/>
        <w:tabs>
          <w:tab w:val="left" w:pos="7800"/>
        </w:tabs>
        <w:spacing w:line="360" w:lineRule="auto"/>
        <w:ind w:left="360"/>
        <w:rPr>
          <w:u w:val="single"/>
        </w:rPr>
      </w:pPr>
    </w:p>
    <w:p w:rsidR="00397E59" w:rsidRDefault="005D6A21"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implies financing of the negative cash account at vanishing spread</w:t>
      </w:r>
    </w:p>
    <w:p w:rsidR="00397E59" w:rsidRDefault="00397E59" w:rsidP="00397E59">
      <w:pPr>
        <w:pStyle w:val="ListParagraph"/>
        <w:tabs>
          <w:tab w:val="left" w:pos="7800"/>
        </w:tabs>
        <w:spacing w:line="360" w:lineRule="auto"/>
        <w:ind w:left="360"/>
        <w:rPr>
          <w:rFonts w:eastAsiaTheme="minorEastAsia"/>
        </w:rPr>
      </w:pPr>
    </w:p>
    <w:p w:rsidR="00397E59" w:rsidRDefault="005D6A2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E9792F" w:rsidRDefault="00397E59" w:rsidP="00397E59">
      <w:pPr>
        <w:pStyle w:val="ListParagraph"/>
        <w:tabs>
          <w:tab w:val="left" w:pos="7800"/>
        </w:tabs>
        <w:spacing w:line="360" w:lineRule="auto"/>
        <w:ind w:left="360"/>
      </w:pPr>
      <w:r>
        <w:rPr>
          <w:rFonts w:eastAsiaTheme="minorEastAsia"/>
        </w:rPr>
        <w:t xml:space="preserve">In practice the strategy involves issuing the senior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and using some of the proceeds to re-purchase the junior and hence higher-yields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bonds.</w:t>
      </w:r>
    </w:p>
    <w:p w:rsidR="00397E59" w:rsidRPr="009C0DF6" w:rsidRDefault="00397E59" w:rsidP="008A18B1">
      <w:pPr>
        <w:pStyle w:val="ListParagraph"/>
        <w:numPr>
          <w:ilvl w:val="0"/>
          <w:numId w:val="82"/>
        </w:numPr>
        <w:tabs>
          <w:tab w:val="left" w:pos="7800"/>
        </w:tabs>
        <w:spacing w:after="160" w:line="360" w:lineRule="auto"/>
      </w:pPr>
      <w:r>
        <w:rPr>
          <w:u w:val="single"/>
        </w:rPr>
        <w:t>Excess Return Balancing the Funding Costs</w:t>
      </w:r>
      <w:r>
        <w:t xml:space="preserve">: The excess return generated by this strategy exactly offsets the funding costs so the net financing rate becomes </w:t>
      </w:r>
      <m:oMath>
        <m:r>
          <w:rPr>
            <w:rFonts w:ascii="Cambria Math" w:eastAsiaTheme="minorEastAsia" w:hAnsi="Cambria Math"/>
          </w:rPr>
          <m:t>r</m:t>
        </m:r>
      </m:oMath>
      <w:r>
        <w:rPr>
          <w:rFonts w:eastAsiaTheme="minorEastAsia"/>
        </w:rPr>
        <w:t xml:space="preserve">. At the same time the combined positions of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ensures there is no windfall to the bondholders in the case of default of the issuer while </w:t>
      </w:r>
      <m:oMath>
        <m:r>
          <w:rPr>
            <w:rFonts w:ascii="Cambria Math" w:eastAsiaTheme="minorEastAsia" w:hAnsi="Cambria Math"/>
          </w:rPr>
          <m:t>V</m:t>
        </m:r>
      </m:oMath>
      <w:r>
        <w:rPr>
          <w:rFonts w:eastAsiaTheme="minorEastAsia"/>
        </w:rPr>
        <w:t xml:space="preserve"> is positive (and the cash account negative).</w:t>
      </w:r>
    </w:p>
    <w:p w:rsidR="00397E59" w:rsidRDefault="00397E59" w:rsidP="008A18B1">
      <w:pPr>
        <w:pStyle w:val="ListParagraph"/>
        <w:numPr>
          <w:ilvl w:val="0"/>
          <w:numId w:val="82"/>
        </w:numPr>
        <w:tabs>
          <w:tab w:val="left" w:pos="7800"/>
        </w:tabs>
        <w:spacing w:after="160" w:line="360" w:lineRule="auto"/>
      </w:pPr>
      <w:r>
        <w:rPr>
          <w:u w:val="single"/>
        </w:rPr>
        <w:t>Junior/Senior Positions at Default</w:t>
      </w:r>
      <w:r w:rsidRPr="009C0DF6">
        <w:t>:</w:t>
      </w:r>
      <w:r>
        <w:t xml:space="preserve"> These are shown in the table below which summarizes the total bond positions at the issuers own default and which partially offsets the value of the derivative defined in</w:t>
      </w:r>
    </w:p>
    <w:p w:rsidR="00397E59" w:rsidRDefault="00397E59" w:rsidP="00397E59">
      <w:pPr>
        <w:pStyle w:val="ListParagraph"/>
        <w:tabs>
          <w:tab w:val="left" w:pos="7800"/>
        </w:tabs>
        <w:spacing w:line="360" w:lineRule="auto"/>
        <w:ind w:left="360"/>
        <w:rPr>
          <w:u w:val="single"/>
        </w:rPr>
      </w:pPr>
    </w:p>
    <w:p w:rsidR="00397E59" w:rsidRPr="00635C43" w:rsidRDefault="005D6A21"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9C0DF6" w:rsidRDefault="005D6A21" w:rsidP="00397E59">
      <w:pPr>
        <w:pStyle w:val="ListParagraph"/>
        <w:tabs>
          <w:tab w:val="left" w:pos="7800"/>
        </w:tabs>
        <w:spacing w:line="360" w:lineRule="auto"/>
        <w:ind w:left="360"/>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Pr="009C0DF6" w:rsidRDefault="00397E59" w:rsidP="00397E59">
      <w:pPr>
        <w:pStyle w:val="ListParagraph"/>
        <w:tabs>
          <w:tab w:val="left" w:pos="7800"/>
        </w:tabs>
        <w:spacing w:line="360" w:lineRule="auto"/>
        <w:ind w:left="360"/>
      </w:pPr>
    </w:p>
    <w:tbl>
      <w:tblPr>
        <w:tblStyle w:val="TableGrid"/>
        <w:tblW w:w="0" w:type="auto"/>
        <w:tblInd w:w="360" w:type="dxa"/>
        <w:tblLook w:val="04A0" w:firstRow="1" w:lastRow="0" w:firstColumn="1" w:lastColumn="0" w:noHBand="0" w:noVBand="1"/>
      </w:tblPr>
      <w:tblGrid>
        <w:gridCol w:w="4579"/>
        <w:gridCol w:w="4637"/>
      </w:tblGrid>
      <w:tr w:rsidR="00397E59" w:rsidTr="00397E59">
        <w:tc>
          <w:tcPr>
            <w:tcW w:w="4675" w:type="dxa"/>
            <w:vAlign w:val="center"/>
          </w:tcPr>
          <w:p w:rsidR="00397E59" w:rsidRDefault="005D6A21"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397E59">
              <w:rPr>
                <w:rFonts w:eastAsiaTheme="minorEastAsia"/>
              </w:rPr>
              <w:t xml:space="preserve"> Position Value</w:t>
            </w:r>
          </w:p>
        </w:tc>
        <w:tc>
          <w:tcPr>
            <w:tcW w:w="4675" w:type="dxa"/>
            <w:vAlign w:val="center"/>
          </w:tcPr>
          <w:p w:rsidR="00397E59" w:rsidRDefault="005D6A21" w:rsidP="00397E59">
            <w:pPr>
              <w:pStyle w:val="ListParagraph"/>
              <w:tabs>
                <w:tab w:val="left" w:pos="7800"/>
              </w:tabs>
              <w:spacing w:line="360" w:lineRule="auto"/>
              <w:ind w:left="0"/>
              <w:jc w:val="cente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5D6A21"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397E59">
              <w:rPr>
                <w:rFonts w:eastAsiaTheme="minorEastAsia"/>
              </w:rPr>
              <w:t xml:space="preserve">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397E59" w:rsidP="00397E59">
            <w:pPr>
              <w:pStyle w:val="ListParagraph"/>
              <w:tabs>
                <w:tab w:val="left" w:pos="7800"/>
              </w:tabs>
              <w:spacing w:line="360" w:lineRule="auto"/>
              <w:ind w:left="0"/>
              <w:jc w:val="center"/>
            </w:pPr>
            <w:r>
              <w:t>Total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m:oMathPara>
          </w:p>
        </w:tc>
      </w:tr>
    </w:tbl>
    <w:p w:rsidR="00397E59" w:rsidRPr="009C0DF6" w:rsidRDefault="00397E59" w:rsidP="00397E59">
      <w:pPr>
        <w:pStyle w:val="ListParagraph"/>
        <w:tabs>
          <w:tab w:val="left" w:pos="7800"/>
        </w:tabs>
        <w:spacing w:line="360" w:lineRule="auto"/>
        <w:ind w:left="360"/>
      </w:pPr>
    </w:p>
    <w:p w:rsidR="00397E59" w:rsidRPr="006B6E48" w:rsidRDefault="00397E59" w:rsidP="008A18B1">
      <w:pPr>
        <w:pStyle w:val="ListParagraph"/>
        <w:numPr>
          <w:ilvl w:val="0"/>
          <w:numId w:val="82"/>
        </w:numPr>
        <w:tabs>
          <w:tab w:val="left" w:pos="7800"/>
        </w:tabs>
        <w:spacing w:after="160" w:line="360" w:lineRule="auto"/>
      </w:pPr>
      <w:r>
        <w:rPr>
          <w:u w:val="single"/>
        </w:rPr>
        <w:t>Default Windfall Balancing out Funding Costs</w:t>
      </w:r>
      <w:r>
        <w:t>: Thus if the issuer is able to offset the impact of the derivative and its funding on the balance with combination of going long senior bonds and shot junior bonds, then the windfall is effectively monetized while the issuer is alive, and by doing so the funding cost term is reduced to zero.</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Strategies and Costs Impact</w:t>
      </w:r>
    </w:p>
    <w:p w:rsidR="00397E59" w:rsidRDefault="00397E59" w:rsidP="00397E59">
      <w:pPr>
        <w:tabs>
          <w:tab w:val="left" w:pos="7800"/>
        </w:tabs>
        <w:spacing w:line="360" w:lineRule="auto"/>
      </w:pPr>
    </w:p>
    <w:p w:rsidR="00397E59" w:rsidRDefault="00397E59" w:rsidP="008A18B1">
      <w:pPr>
        <w:pStyle w:val="ListParagraph"/>
        <w:numPr>
          <w:ilvl w:val="0"/>
          <w:numId w:val="83"/>
        </w:numPr>
        <w:tabs>
          <w:tab w:val="left" w:pos="7800"/>
        </w:tabs>
        <w:spacing w:after="160" w:line="360" w:lineRule="auto"/>
      </w:pPr>
      <w:r w:rsidRPr="003E5415">
        <w:rPr>
          <w:u w:val="single"/>
        </w:rPr>
        <w:t>Abstract</w:t>
      </w:r>
      <w:r w:rsidRPr="003E5415">
        <w:t>: The economic values of derivatives depends on their funding costs, because they can result in windfalls or shortfalls to bondholders on their firm’s default. But this depends on not just who is funding them, but how – so the resulting adjustments depend on the funding strategy deployed. It is another layer of complexity to derivatives pricing, as argued by Burgard and Kjaer (2013).</w:t>
      </w:r>
    </w:p>
    <w:p w:rsidR="00397E59" w:rsidRDefault="00397E59" w:rsidP="008A18B1">
      <w:pPr>
        <w:pStyle w:val="ListParagraph"/>
        <w:numPr>
          <w:ilvl w:val="0"/>
          <w:numId w:val="83"/>
        </w:numPr>
        <w:tabs>
          <w:tab w:val="left" w:pos="7800"/>
        </w:tabs>
        <w:spacing w:after="160" w:line="360" w:lineRule="auto"/>
      </w:pPr>
      <w:r>
        <w:rPr>
          <w:u w:val="single"/>
        </w:rPr>
        <w:t>Derivative ITM vs OTM Funding</w:t>
      </w:r>
      <w:r>
        <w:t>: Assuming that the issuer can hedge its own default when the derivative position is in the money and so provides funding is more realistic than assuming that the issuer can freely dynamically trade spread positions on its own bonds. When the derivative is out of the money and the issuer requires funding, a post-default windfall to the issuer’s estate is generated. In that case a funding cost adjustment (FCA) is added in to compensate. There have been a flurry of papers prosing alternative approaches from different authors, including Morini and Prampolini (2012), Brigo, Pallavicini, and Perini (2012), Crepey (2013a, 2013b), and perhaps most famously Hull and White (2012a) that use risk-neutral valuation principles to examine the question.</w:t>
      </w:r>
    </w:p>
    <w:p w:rsidR="00397E59" w:rsidRDefault="00397E59" w:rsidP="008A18B1">
      <w:pPr>
        <w:pStyle w:val="ListParagraph"/>
        <w:numPr>
          <w:ilvl w:val="0"/>
          <w:numId w:val="83"/>
        </w:numPr>
        <w:tabs>
          <w:tab w:val="left" w:pos="7800"/>
        </w:tabs>
        <w:spacing w:after="160" w:line="360" w:lineRule="auto"/>
      </w:pPr>
      <w:r>
        <w:rPr>
          <w:u w:val="single"/>
        </w:rPr>
        <w:t>Classical Price with Bilateral CVA</w:t>
      </w:r>
      <w:r w:rsidRPr="00C021E2">
        <w:t>:</w:t>
      </w:r>
      <w:r>
        <w:t xml:space="preserve"> Such an approach, discounting all expected cash flows at the risk free rate results in the classical price with the bilateral CVA. But this disregards the </w:t>
      </w:r>
      <w:r>
        <w:lastRenderedPageBreak/>
        <w:t>preferences of the different stake holders regarding the value of the pre- and post- own-default cash flows. This is justified if all the risks – including own default – are hedgeable so that net post-default cash flows are zero. But, as mentioned, they are not.</w:t>
      </w:r>
    </w:p>
    <w:p w:rsidR="00397E59" w:rsidRDefault="00397E59" w:rsidP="008A18B1">
      <w:pPr>
        <w:pStyle w:val="ListParagraph"/>
        <w:numPr>
          <w:ilvl w:val="0"/>
          <w:numId w:val="83"/>
        </w:numPr>
        <w:tabs>
          <w:tab w:val="left" w:pos="7800"/>
        </w:tabs>
        <w:spacing w:after="160" w:line="360" w:lineRule="auto"/>
      </w:pPr>
      <w:r>
        <w:rPr>
          <w:u w:val="single"/>
        </w:rPr>
        <w:t>Impact on the Shareholders</w:t>
      </w:r>
      <w:r w:rsidRPr="008830F2">
        <w:t>:</w:t>
      </w:r>
      <w:r>
        <w:t xml:space="preserve"> Shareholders are primarily interested in the pre-default cash flows of derivatives and their hedges, but post-default cash flows matter for bondholders, as they contribute to the recovery realized. Shareholders only care about the latter through the balance sheet effects that are in practice hard to realize and account for.</w:t>
      </w:r>
    </w:p>
    <w:p w:rsidR="00397E59" w:rsidRDefault="00397E59" w:rsidP="008A18B1">
      <w:pPr>
        <w:pStyle w:val="ListParagraph"/>
        <w:numPr>
          <w:ilvl w:val="0"/>
          <w:numId w:val="83"/>
        </w:numPr>
        <w:tabs>
          <w:tab w:val="left" w:pos="7800"/>
        </w:tabs>
        <w:spacing w:after="160" w:line="360" w:lineRule="auto"/>
      </w:pPr>
      <w:r>
        <w:rPr>
          <w:u w:val="single"/>
        </w:rPr>
        <w:t>Selective Disregarding of Default Cash flows</w:t>
      </w:r>
      <w:r w:rsidRPr="008830F2">
        <w:t>:</w:t>
      </w:r>
      <w:r>
        <w:t xml:space="preserve"> Some authors have considered cases where the post-default cash flows on the funding leg are disregarded, but not the ones of the derivative. But it is not clear why some post-default cash flows should be disregarded but not others, and without specifying the funding strategies, the resulting recursive relations cannot be solved.</w:t>
      </w:r>
    </w:p>
    <w:p w:rsidR="00397E59" w:rsidRDefault="00397E59" w:rsidP="008A18B1">
      <w:pPr>
        <w:pStyle w:val="ListParagraph"/>
        <w:numPr>
          <w:ilvl w:val="0"/>
          <w:numId w:val="83"/>
        </w:numPr>
        <w:tabs>
          <w:tab w:val="left" w:pos="7800"/>
        </w:tabs>
        <w:spacing w:after="160" w:line="360" w:lineRule="auto"/>
      </w:pPr>
      <w:r>
        <w:rPr>
          <w:u w:val="single"/>
        </w:rPr>
        <w:t>Crepey’s Generalization Approach</w:t>
      </w:r>
      <w:r w:rsidRPr="008830F2">
        <w:t>:</w:t>
      </w:r>
      <w:r>
        <w:t xml:space="preserve"> Crepey’s generalization of the original Markovian framework to non-Markovian processes using backward stochastic equations is elegant, but difficult to solve explicitly.</w:t>
      </w:r>
    </w:p>
    <w:p w:rsidR="00397E59" w:rsidRDefault="00397E59" w:rsidP="008A18B1">
      <w:pPr>
        <w:pStyle w:val="ListParagraph"/>
        <w:numPr>
          <w:ilvl w:val="0"/>
          <w:numId w:val="83"/>
        </w:numPr>
        <w:tabs>
          <w:tab w:val="left" w:pos="7800"/>
        </w:tabs>
        <w:spacing w:after="160" w:line="360" w:lineRule="auto"/>
      </w:pPr>
      <w:r>
        <w:rPr>
          <w:u w:val="single"/>
        </w:rPr>
        <w:t>Selective Hedging of Default Cash Flows</w:t>
      </w:r>
      <w:r w:rsidRPr="00967ED9">
        <w:t>:</w:t>
      </w:r>
      <w:r>
        <w:t xml:space="preserve"> Burgard and Kjaer (2013) look at funding strategies in terms of holding or issuing own bonds. The strategies hedge out some but not all cash flows at own default. The economic value of a derivative to the shareholders is then given by assuming that they disregard any remaining post-default cash flows and pre-default balance sheet effects.</w:t>
      </w:r>
    </w:p>
    <w:p w:rsidR="00397E59" w:rsidRDefault="00397E59" w:rsidP="008A18B1">
      <w:pPr>
        <w:pStyle w:val="ListParagraph"/>
        <w:numPr>
          <w:ilvl w:val="0"/>
          <w:numId w:val="83"/>
        </w:numPr>
        <w:tabs>
          <w:tab w:val="left" w:pos="7800"/>
        </w:tabs>
        <w:spacing w:after="160" w:line="360" w:lineRule="auto"/>
      </w:pPr>
      <w:r>
        <w:rPr>
          <w:u w:val="single"/>
        </w:rPr>
        <w:t>Implementation of the Custom Funding Strategies</w:t>
      </w:r>
      <w:r w:rsidRPr="00B178AC">
        <w:t>:</w:t>
      </w:r>
      <w:r>
        <w:t xml:space="preserve"> The funding cost adjustment is then given by the discounted expected value of the post-default cash flows. The strategies previously considered are then special cases of those considered by Burgard and Kjaer (2013), thus generalizing the previous work. Dealers can consider their own strategies and decide which adjustments represent the economic funding costs they expect to change while in business.</w:t>
      </w:r>
    </w:p>
    <w:p w:rsidR="00397E59" w:rsidRPr="003E5415" w:rsidRDefault="00397E59" w:rsidP="008A18B1">
      <w:pPr>
        <w:pStyle w:val="ListParagraph"/>
        <w:numPr>
          <w:ilvl w:val="0"/>
          <w:numId w:val="83"/>
        </w:numPr>
        <w:tabs>
          <w:tab w:val="left" w:pos="7800"/>
        </w:tabs>
        <w:spacing w:after="160" w:line="360" w:lineRule="auto"/>
      </w:pPr>
      <w:r>
        <w:rPr>
          <w:u w:val="single"/>
        </w:rPr>
        <w:t>CSA Variants and Set-offs</w:t>
      </w:r>
      <w:r w:rsidRPr="00B178AC">
        <w:t>:</w:t>
      </w:r>
      <w:r>
        <w:t xml:space="preserve"> Burgard and Kjaer (2013) also consider boundary conditions covering practical cases such as one-way or two-way credit support annexes (CSAs) governing collateral agreements and the so called set-offs. Set-offs are particularly interesting as they mitigate the need for funding cost adjustments. Their explicit calculations and numerical results show that different funding strategies can yield quiet different funding adjustments and asymmetries in the absence of set-of provisions.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Generalized Semi-Replication and Pricing PDE</w:t>
      </w:r>
    </w:p>
    <w:p w:rsidR="00397E59" w:rsidRDefault="00397E59" w:rsidP="00397E59">
      <w:pPr>
        <w:tabs>
          <w:tab w:val="left" w:pos="7800"/>
        </w:tabs>
        <w:spacing w:line="360" w:lineRule="auto"/>
      </w:pPr>
    </w:p>
    <w:p w:rsidR="00397E59" w:rsidRDefault="00397E59" w:rsidP="008A18B1">
      <w:pPr>
        <w:pStyle w:val="ListParagraph"/>
        <w:numPr>
          <w:ilvl w:val="0"/>
          <w:numId w:val="84"/>
        </w:numPr>
        <w:tabs>
          <w:tab w:val="left" w:pos="7800"/>
        </w:tabs>
        <w:spacing w:after="160" w:line="360" w:lineRule="auto"/>
        <w:rPr>
          <w:rFonts w:eastAsiaTheme="minorEastAsia"/>
        </w:rPr>
      </w:pPr>
      <w:r w:rsidRPr="00B8739F">
        <w:rPr>
          <w:u w:val="single"/>
        </w:rPr>
        <w:t>Imperfect Own Credit Hedge</w:t>
      </w:r>
      <w:r w:rsidRPr="00B8739F">
        <w:t xml:space="preserve">: Consider a derivative contract, possibly collateralized, between an issuer </w:t>
      </w:r>
      <m:oMath>
        <m:r>
          <w:rPr>
            <w:rFonts w:ascii="Cambria Math" w:hAnsi="Cambria Math"/>
          </w:rPr>
          <m:t>B</m:t>
        </m:r>
      </m:oMath>
      <w:r w:rsidRPr="00B8739F">
        <w:rPr>
          <w:rFonts w:eastAsiaTheme="minorEastAsia"/>
        </w:rPr>
        <w:t xml:space="preserve"> and a counterparty </w:t>
      </w:r>
      <m:oMath>
        <m:r>
          <w:rPr>
            <w:rFonts w:ascii="Cambria Math" w:hAnsi="Cambria Math"/>
          </w:rPr>
          <m:t>C</m:t>
        </m:r>
      </m:oMath>
      <w:r w:rsidRPr="00B8739F">
        <w:rPr>
          <w:rFonts w:eastAsiaTheme="minorEastAsia"/>
        </w:rPr>
        <w:t xml:space="preserve"> with an economic value </w:t>
      </w:r>
      <m:oMath>
        <m:acc>
          <m:accPr>
            <m:ctrlPr>
              <w:rPr>
                <w:rFonts w:ascii="Cambria Math" w:hAnsi="Cambria Math"/>
                <w:i/>
              </w:rPr>
            </m:ctrlPr>
          </m:accPr>
          <m:e>
            <m:r>
              <w:rPr>
                <w:rFonts w:ascii="Cambria Math" w:hAnsi="Cambria Math"/>
              </w:rPr>
              <m:t>V</m:t>
            </m:r>
          </m:e>
        </m:acc>
      </m:oMath>
      <w:r w:rsidRPr="00B8739F">
        <w:rPr>
          <w:rFonts w:eastAsiaTheme="minorEastAsia"/>
        </w:rPr>
        <w:t xml:space="preserve"> that incorporates the risk of the counterparty and the issuer and any net funding costs the issuer may encounter prior to own default. This section describes a general semi-replication strategy that the issuer can deploy to perfectly hedge out any market factors and counterparty default, but which may provide a perfect hedge in the event of the issuer’s “own” default.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Portfolio of Tradeable Instruments</w:t>
      </w:r>
      <w:r>
        <w:t xml:space="preserve">: The tradeable instruments used in this strategy are a counterparty zero-coupon zero-recovery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two issuer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of different seniorities, i.e., different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respectively, and a market instrument </w:t>
      </w:r>
      <m:oMath>
        <m:r>
          <w:rPr>
            <w:rFonts w:ascii="Cambria Math" w:hAnsi="Cambria Math"/>
          </w:rPr>
          <m:t>S</m:t>
        </m:r>
      </m:oMath>
      <w:r>
        <w:rPr>
          <w:rFonts w:eastAsiaTheme="minorEastAsia"/>
        </w:rPr>
        <w:t xml:space="preserve"> that can be used to hedge out the market factor for the derivative contract (e.g., stock).</w:t>
      </w:r>
    </w:p>
    <w:p w:rsidR="00397E59" w:rsidRPr="0013376C" w:rsidRDefault="00397E59" w:rsidP="008A18B1">
      <w:pPr>
        <w:pStyle w:val="ListParagraph"/>
        <w:numPr>
          <w:ilvl w:val="0"/>
          <w:numId w:val="84"/>
        </w:numPr>
        <w:tabs>
          <w:tab w:val="left" w:pos="7800"/>
        </w:tabs>
        <w:spacing w:after="160" w:line="360" w:lineRule="auto"/>
        <w:rPr>
          <w:rFonts w:eastAsiaTheme="minorEastAsia"/>
        </w:rPr>
      </w:pPr>
      <w:r>
        <w:rPr>
          <w:u w:val="single"/>
        </w:rPr>
        <w:t>Underlying Assets and Market Factors Dynamics</w:t>
      </w:r>
      <w:r>
        <w:t>: The setup can be easily extended to many market factors. The following standard dynamics for these instruments are assumed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i=1,2</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the default indicators for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and</w:t>
      </w:r>
    </w:p>
    <w:p w:rsidR="00397E59" w:rsidRDefault="00397E59" w:rsidP="00397E59">
      <w:pPr>
        <w:pStyle w:val="ListParagraph"/>
        <w:tabs>
          <w:tab w:val="left" w:pos="7800"/>
        </w:tabs>
        <w:spacing w:line="360" w:lineRule="auto"/>
        <w:ind w:left="360"/>
        <w:rPr>
          <w:rFonts w:eastAsiaTheme="minorEastAsia"/>
        </w:rPr>
      </w:pPr>
    </w:p>
    <w:p w:rsidR="00397E59" w:rsidRDefault="005D6A21" w:rsidP="00397E59">
      <w:pPr>
        <w:pStyle w:val="ListParagraph"/>
        <w:tabs>
          <w:tab w:val="left" w:pos="7800"/>
        </w:tabs>
        <w:spacing w:line="360" w:lineRule="auto"/>
        <w:ind w:left="360"/>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i/C</m:t>
                  </m:r>
                </m:sub>
              </m:sSub>
            </m:e>
            <m:sup>
              <m:r>
                <w:rPr>
                  <w:rFonts w:ascii="Cambria Math" w:hAnsi="Cambria Math"/>
                </w:rPr>
                <m:t>-</m:t>
              </m:r>
            </m:sup>
          </m:sSup>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i/C</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are the pre-default bond prices.</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lastRenderedPageBreak/>
        <w:t>Risk-Neutral Bond-Funding Spread</w:t>
      </w:r>
      <w:r w:rsidRPr="00922768">
        <w:rPr>
          <w:rFonts w:eastAsiaTheme="minorEastAsia"/>
        </w:rPr>
        <w:t>:</w:t>
      </w:r>
      <w:r>
        <w:rPr>
          <w:rFonts w:eastAsiaTheme="minorEastAsia"/>
        </w:rPr>
        <w:t xml:space="preserve"> Without loss of generality,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is the junior bond, i.e.,</w:t>
      </w:r>
    </w:p>
    <w:p w:rsidR="00397E59" w:rsidRDefault="00397E59" w:rsidP="00397E59">
      <w:pPr>
        <w:pStyle w:val="ListParagraph"/>
        <w:tabs>
          <w:tab w:val="left" w:pos="7800"/>
        </w:tabs>
        <w:spacing w:line="360" w:lineRule="auto"/>
        <w:ind w:left="360"/>
        <w:rPr>
          <w:u w:val="single"/>
        </w:rPr>
      </w:pPr>
    </w:p>
    <w:p w:rsidR="00397E59" w:rsidRDefault="005D6A2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5D6A2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eastAsiaTheme="minorEastAsia" w:hAnsi="Cambria Math"/>
            </w:rPr>
            <m:t>&gt;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 case of zero basis between bonds of different seniority, it is trivial to show that</w:t>
      </w:r>
    </w:p>
    <w:p w:rsidR="00397E59" w:rsidRDefault="00397E59" w:rsidP="00397E59">
      <w:pPr>
        <w:pStyle w:val="ListParagraph"/>
        <w:tabs>
          <w:tab w:val="left" w:pos="7800"/>
        </w:tabs>
        <w:spacing w:line="360" w:lineRule="auto"/>
        <w:ind w:left="360"/>
        <w:rPr>
          <w:rFonts w:eastAsiaTheme="minorEastAsia"/>
        </w:rPr>
      </w:pPr>
    </w:p>
    <w:p w:rsidR="00397E59" w:rsidRDefault="005D6A2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w:t>
      </w:r>
      <m:oMath>
        <m:r>
          <w:rPr>
            <w:rFonts w:ascii="Cambria Math" w:hAnsi="Cambria Math"/>
          </w:rPr>
          <m:t>r</m:t>
        </m:r>
      </m:oMath>
      <w:r>
        <w:rPr>
          <w:rFonts w:eastAsiaTheme="minorEastAsia"/>
        </w:rPr>
        <w:t xml:space="preserve"> is the risk-free rate,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corresponds to the spread of a potentially hypothetical zero-recovery zero-coupon bond of the issuer.</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Generalized Boundary Conditions at Default</w:t>
      </w:r>
      <w:r w:rsidRPr="00922768">
        <w:rPr>
          <w:rFonts w:eastAsiaTheme="minorEastAsia"/>
        </w:rPr>
        <w:t>:</w:t>
      </w:r>
      <w:r>
        <w:rPr>
          <w:rFonts w:eastAsiaTheme="minorEastAsia"/>
        </w:rPr>
        <w:t xml:space="preserve"> Let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be the total economic value of the derivative to the issuer. Using Kjaer (2011) the general boundary conditions at default of the issuer or the counterparty are given by</w:t>
      </w:r>
    </w:p>
    <w:p w:rsidR="00397E59" w:rsidRDefault="00397E59" w:rsidP="00397E59">
      <w:pPr>
        <w:pStyle w:val="ListParagraph"/>
        <w:tabs>
          <w:tab w:val="left" w:pos="7800"/>
        </w:tabs>
        <w:spacing w:line="360" w:lineRule="auto"/>
        <w:ind w:left="360"/>
        <w:rPr>
          <w:u w:val="single"/>
        </w:rPr>
      </w:pPr>
    </w:p>
    <w:p w:rsidR="00397E59" w:rsidRDefault="005D6A21"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B</m:t>
        </m:r>
      </m:oMath>
      <w:r>
        <w:rPr>
          <w:rFonts w:eastAsiaTheme="minorEastAsia"/>
        </w:rPr>
        <w:t xml:space="preserve"> defaults first, and</w:t>
      </w:r>
    </w:p>
    <w:p w:rsidR="00397E59" w:rsidRDefault="00397E59" w:rsidP="00397E59">
      <w:pPr>
        <w:pStyle w:val="ListParagraph"/>
        <w:tabs>
          <w:tab w:val="left" w:pos="7800"/>
        </w:tabs>
        <w:spacing w:line="360" w:lineRule="auto"/>
        <w:ind w:left="360"/>
        <w:rPr>
          <w:rFonts w:eastAsiaTheme="minorEastAsia"/>
        </w:rPr>
      </w:pPr>
    </w:p>
    <w:p w:rsidR="00397E59" w:rsidRDefault="005D6A21"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C</m:t>
        </m:r>
      </m:oMath>
      <w:r>
        <w:rPr>
          <w:rFonts w:eastAsiaTheme="minorEastAsia"/>
        </w:rPr>
        <w:t xml:space="preserve"> defaults first with general close-out amounts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eastAsiaTheme="minorEastAsia"/>
        </w:rPr>
        <w:t xml:space="preserve">, and collateral </w:t>
      </w:r>
      <m:oMath>
        <m:r>
          <w:rPr>
            <w:rFonts w:ascii="Cambria Math" w:hAnsi="Cambria Math"/>
          </w:rPr>
          <m:t>X</m:t>
        </m:r>
      </m:oMath>
      <w:r>
        <w:rPr>
          <w:rFonts w:eastAsiaTheme="minorEastAsia"/>
        </w:rPr>
        <w: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Collateral Extensions to Boundary Conditions</w:t>
      </w:r>
      <w:r w:rsidRPr="000E18B5">
        <w:rPr>
          <w:rFonts w:eastAsiaTheme="minorEastAsia"/>
        </w:rPr>
        <w:t>:</w:t>
      </w:r>
      <w:r>
        <w:rPr>
          <w:rFonts w:eastAsiaTheme="minorEastAsia"/>
        </w:rPr>
        <w:t xml:space="preserve"> If</w:t>
      </w:r>
    </w:p>
    <w:p w:rsidR="00397E59" w:rsidRDefault="00397E59" w:rsidP="00397E59">
      <w:pPr>
        <w:pStyle w:val="ListParagraph"/>
        <w:tabs>
          <w:tab w:val="left" w:pos="7800"/>
        </w:tabs>
        <w:spacing w:line="360" w:lineRule="auto"/>
        <w:ind w:left="360"/>
        <w:rPr>
          <w:u w:val="single"/>
        </w:rPr>
      </w:pPr>
    </w:p>
    <w:p w:rsidR="00397E59" w:rsidRDefault="005D6A2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 xml:space="preserve">these boundary conditions are called “regular”, where </w:t>
      </w:r>
      <m:oMath>
        <m:r>
          <w:rPr>
            <w:rFonts w:ascii="Cambria Math" w:hAnsi="Cambria Math"/>
          </w:rPr>
          <m:t>V</m:t>
        </m:r>
      </m:oMath>
      <w:r>
        <w:rPr>
          <w:rFonts w:eastAsiaTheme="minorEastAsia"/>
        </w:rPr>
        <w:t xml:space="preserve"> is the classic Black-Scholes price of the derivative, i.e., without counterparty and own-default risks and no funding costs. For example the regular bilateral boundary conditions with collateral are defined as</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5D6A2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5D6A2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Extensions to Alternate Close-outs</w:t>
      </w:r>
      <w:r>
        <w:t>: Burgard and Kjaer (2012a) consider alternate close-out cases for</w:t>
      </w:r>
    </w:p>
    <w:p w:rsidR="00397E59" w:rsidRDefault="00397E59" w:rsidP="00397E59">
      <w:pPr>
        <w:pStyle w:val="ListParagraph"/>
        <w:tabs>
          <w:tab w:val="left" w:pos="7800"/>
        </w:tabs>
        <w:spacing w:line="360" w:lineRule="auto"/>
        <w:ind w:left="360"/>
        <w:rPr>
          <w:u w:val="single"/>
        </w:rPr>
      </w:pPr>
    </w:p>
    <w:p w:rsidR="00397E59" w:rsidRDefault="005D6A2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Brigo and Morini (2011) extend this to the cases where</w:t>
      </w:r>
    </w:p>
    <w:p w:rsidR="00397E59" w:rsidRDefault="00397E59" w:rsidP="00397E59">
      <w:pPr>
        <w:pStyle w:val="ListParagraph"/>
        <w:tabs>
          <w:tab w:val="left" w:pos="7800"/>
        </w:tabs>
        <w:spacing w:line="360" w:lineRule="auto"/>
        <w:ind w:left="360"/>
        <w:rPr>
          <w:rFonts w:eastAsiaTheme="minorEastAsia"/>
        </w:rPr>
      </w:pPr>
    </w:p>
    <w:p w:rsidR="00397E59" w:rsidRDefault="005D6A2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include the cost of funding in the close-out amounts. Separately Burgard and Kjaer (2012c) apply the present framework to such funding aware close-outs.</w:t>
      </w: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Regular Bilateral Uncollateralized Close-outs</w:t>
      </w:r>
      <w:r>
        <w:t>: An example for the close-out functions are the regular bilateral close-outs with collateral, which are described by</w:t>
      </w:r>
    </w:p>
    <w:p w:rsidR="00397E59" w:rsidRDefault="00397E59" w:rsidP="00397E59">
      <w:pPr>
        <w:pStyle w:val="ListParagraph"/>
        <w:tabs>
          <w:tab w:val="left" w:pos="7800"/>
        </w:tabs>
        <w:spacing w:line="360" w:lineRule="auto"/>
        <w:ind w:left="360"/>
        <w:rPr>
          <w:u w:val="single"/>
        </w:rPr>
      </w:pPr>
    </w:p>
    <w:p w:rsidR="00397E59" w:rsidRDefault="005D6A2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5D6A2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B8739F" w:rsidRDefault="00397E59" w:rsidP="00397E59">
      <w:pPr>
        <w:pStyle w:val="ListParagraph"/>
        <w:tabs>
          <w:tab w:val="left" w:pos="7800"/>
        </w:tabs>
        <w:spacing w:line="360" w:lineRule="auto"/>
        <w:ind w:left="360"/>
        <w:rPr>
          <w:rFonts w:eastAsiaTheme="minorEastAsia"/>
        </w:rPr>
      </w:pPr>
      <w:r>
        <w:rPr>
          <w:rFonts w:eastAsiaTheme="minorEastAsia"/>
        </w:rPr>
        <w:lastRenderedPageBreak/>
        <w:t>Later other examples such as one-way CSA and set-offs are examined.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w:t>
      </w:r>
    </w:p>
    <w:p w:rsidR="00397E59" w:rsidRDefault="00397E59" w:rsidP="00397E59">
      <w:pPr>
        <w:tabs>
          <w:tab w:val="left" w:pos="7800"/>
        </w:tabs>
        <w:spacing w:line="360" w:lineRule="auto"/>
      </w:pPr>
    </w:p>
    <w:p w:rsidR="00397E59" w:rsidRPr="00762D0A" w:rsidRDefault="00397E59" w:rsidP="008A18B1">
      <w:pPr>
        <w:pStyle w:val="ListParagraph"/>
        <w:numPr>
          <w:ilvl w:val="0"/>
          <w:numId w:val="85"/>
        </w:numPr>
        <w:tabs>
          <w:tab w:val="left" w:pos="7800"/>
        </w:tabs>
        <w:spacing w:after="160" w:line="360" w:lineRule="auto"/>
      </w:pPr>
      <w:r w:rsidRPr="001D6AAF">
        <w:rPr>
          <w:u w:val="single"/>
        </w:rPr>
        <w:t>The Semi-replication Hedge Portfolio</w:t>
      </w:r>
      <w:r w:rsidRPr="001D6AAF">
        <w:t xml:space="preserve">: For the semi-replication the hedge portfolio </w:t>
      </w:r>
      <m:oMath>
        <m:r>
          <m:rPr>
            <m:sty m:val="p"/>
          </m:rPr>
          <w:rPr>
            <w:rFonts w:ascii="Cambria Math" w:hAnsi="Cambria Math"/>
          </w:rPr>
          <m:t>Π</m:t>
        </m:r>
      </m:oMath>
      <w:r w:rsidRPr="001D6AAF">
        <w:rPr>
          <w:rFonts w:eastAsiaTheme="minorEastAsia"/>
        </w:rPr>
        <w:t xml:space="preserve"> is set up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1D6AAF" w:rsidRDefault="00397E59" w:rsidP="00397E59">
      <w:pPr>
        <w:pStyle w:val="ListParagraph"/>
        <w:tabs>
          <w:tab w:val="left" w:pos="7800"/>
        </w:tabs>
        <w:spacing w:line="360" w:lineRule="auto"/>
        <w:ind w:left="360"/>
      </w:pPr>
      <w:r w:rsidRPr="001D6AAF">
        <w:rPr>
          <w:rFonts w:eastAsiaTheme="minorEastAsia"/>
        </w:rPr>
        <w:t xml:space="preserve">with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w:t>
      </w:r>
      <m:oMath>
        <m:r>
          <w:rPr>
            <w:rFonts w:ascii="Cambria Math" w:hAnsi="Cambria Math"/>
          </w:rPr>
          <m:t>S</m:t>
        </m:r>
        <m:d>
          <m:dPr>
            <m:ctrlPr>
              <w:rPr>
                <w:rFonts w:ascii="Cambria Math" w:hAnsi="Cambria Math"/>
              </w:rPr>
            </m:ctrlPr>
          </m:dPr>
          <m:e>
            <m:r>
              <w:rPr>
                <w:rFonts w:ascii="Cambria Math" w:hAnsi="Cambria Math"/>
              </w:rPr>
              <m:t>t</m:t>
            </m:r>
          </m:e>
        </m:d>
      </m:oMath>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1/2</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own and counterparty bonds respectively,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and a collateral account </w:t>
      </w:r>
      <m:oMath>
        <m:r>
          <w:rPr>
            <w:rFonts w:ascii="Cambria Math" w:hAnsi="Cambria Math"/>
          </w:rPr>
          <m:t>X</m:t>
        </m:r>
        <m:d>
          <m:dPr>
            <m:ctrlPr>
              <w:rPr>
                <w:rFonts w:ascii="Cambria Math" w:hAnsi="Cambria Math"/>
              </w:rPr>
            </m:ctrlPr>
          </m:dPr>
          <m:e>
            <m:r>
              <w:rPr>
                <w:rFonts w:ascii="Cambria Math" w:hAnsi="Cambria Math"/>
              </w:rPr>
              <m:t>t</m:t>
            </m:r>
          </m:e>
        </m:d>
      </m:oMath>
      <w:r w:rsidRPr="001D6AAF">
        <w:rPr>
          <w:rFonts w:eastAsiaTheme="minorEastAsia"/>
        </w:rPr>
        <w:t>.</w:t>
      </w:r>
    </w:p>
    <w:p w:rsidR="00397E59" w:rsidRPr="00762D0A" w:rsidRDefault="00397E59" w:rsidP="008A18B1">
      <w:pPr>
        <w:pStyle w:val="ListParagraph"/>
        <w:numPr>
          <w:ilvl w:val="0"/>
          <w:numId w:val="85"/>
        </w:numPr>
        <w:tabs>
          <w:tab w:val="left" w:pos="7800"/>
        </w:tabs>
        <w:spacing w:after="160" w:line="360" w:lineRule="auto"/>
      </w:pPr>
      <w:r>
        <w:rPr>
          <w:u w:val="single"/>
        </w:rPr>
        <w:t>The Asset Financing Cash Accounts</w:t>
      </w:r>
      <w:r>
        <w:t xml:space="preserve">: 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oMath>
      <w:r>
        <w:rPr>
          <w:rFonts w:eastAsiaTheme="minorEastAsia"/>
        </w:rPr>
        <w:t xml:space="preserve"> are used to finance the </w:t>
      </w:r>
      <m:oMath>
        <m:r>
          <w:rPr>
            <w:rFonts w:ascii="Cambria Math" w:hAnsi="Cambria Math"/>
          </w:rPr>
          <m:t>S</m:t>
        </m:r>
      </m:oMath>
      <w:r>
        <w:rPr>
          <w:rFonts w:eastAsiaTheme="minorEastAsia"/>
        </w:rPr>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positions, i.e.,</w:t>
      </w:r>
    </w:p>
    <w:p w:rsidR="00397E59" w:rsidRDefault="00397E59" w:rsidP="00397E59">
      <w:pPr>
        <w:pStyle w:val="ListParagraph"/>
        <w:tabs>
          <w:tab w:val="left" w:pos="7800"/>
        </w:tabs>
        <w:spacing w:line="360" w:lineRule="auto"/>
        <w:ind w:left="360"/>
        <w:rPr>
          <w:u w:val="single"/>
        </w:rPr>
      </w:pPr>
    </w:p>
    <w:p w:rsidR="00397E59" w:rsidRDefault="005D6A2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5D6A2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9331C0" w:rsidRDefault="00397E59" w:rsidP="00397E59">
      <w:pPr>
        <w:pStyle w:val="ListParagraph"/>
        <w:tabs>
          <w:tab w:val="left" w:pos="7800"/>
        </w:tabs>
        <w:spacing w:line="360" w:lineRule="auto"/>
        <w:ind w:left="360"/>
      </w:pPr>
      <w:r>
        <w:rPr>
          <w:rFonts w:eastAsiaTheme="minorEastAsia"/>
        </w:rPr>
        <w:t xml:space="preserve">and assumed to pay net rates of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respectively, where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oMath>
      <w:r>
        <w:rPr>
          <w:rFonts w:eastAsiaTheme="minorEastAsia"/>
        </w:rPr>
        <w:t xml:space="preserve"> may be the dividend income. The hedge positions may be collateralized or repo’ed, so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maybe the collateral or the repos rates respectively.</w:t>
      </w:r>
    </w:p>
    <w:p w:rsidR="00397E59" w:rsidRPr="00C429C5" w:rsidRDefault="00397E59" w:rsidP="008A18B1">
      <w:pPr>
        <w:pStyle w:val="ListParagraph"/>
        <w:numPr>
          <w:ilvl w:val="0"/>
          <w:numId w:val="85"/>
        </w:numPr>
        <w:tabs>
          <w:tab w:val="left" w:pos="7800"/>
        </w:tabs>
        <w:spacing w:after="160" w:line="360" w:lineRule="auto"/>
      </w:pPr>
      <w:r>
        <w:rPr>
          <w:u w:val="single"/>
        </w:rPr>
        <w:t>The Replication Portfolio Funding Constraint</w:t>
      </w:r>
      <w:r>
        <w:t xml:space="preserve">: The derivative collateral balances </w:t>
      </w:r>
      <m:oMath>
        <m:r>
          <w:rPr>
            <w:rFonts w:ascii="Cambria Math" w:eastAsiaTheme="minorEastAsia" w:hAnsi="Cambria Math"/>
          </w:rPr>
          <m:t>X</m:t>
        </m:r>
      </m:oMath>
      <w:r>
        <w:rPr>
          <w:rFonts w:eastAsiaTheme="minorEastAsia"/>
        </w:rPr>
        <w:t xml:space="preserve"> are assumed to be fully re-hypothecable and pay the amount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oMath>
      <w:r>
        <w:rPr>
          <w:rFonts w:eastAsiaTheme="minorEastAsia"/>
        </w:rPr>
        <w:t xml:space="preserve"> and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X&gt;0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 xml:space="preserve">corresponds to the counterparty having posted the amount </w:t>
      </w:r>
      <m:oMath>
        <m:r>
          <w:rPr>
            <w:rFonts w:ascii="Cambria Math" w:eastAsiaTheme="minorEastAsia" w:hAnsi="Cambria Math"/>
          </w:rPr>
          <m:t>X</m:t>
        </m:r>
      </m:oMath>
      <w:r>
        <w:rPr>
          <w:rFonts w:eastAsiaTheme="minorEastAsia"/>
        </w:rPr>
        <w:t xml:space="preserve"> with the issuer. The strategy shall be designed such that</w:t>
      </w:r>
    </w:p>
    <w:p w:rsidR="00397E59" w:rsidRDefault="00397E59" w:rsidP="00397E59">
      <w:pPr>
        <w:pStyle w:val="ListParagraph"/>
        <w:tabs>
          <w:tab w:val="left" w:pos="7800"/>
        </w:tabs>
        <w:spacing w:line="360" w:lineRule="auto"/>
        <w:ind w:left="360"/>
        <w:rPr>
          <w:rFonts w:eastAsiaTheme="minorEastAsia"/>
        </w:rPr>
      </w:pPr>
    </w:p>
    <w:p w:rsidR="00397E59" w:rsidRDefault="005D6A21"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i/>
        </w:rPr>
      </w:pPr>
      <w:r>
        <w:rPr>
          <w:rFonts w:eastAsiaTheme="minorEastAsia"/>
        </w:rPr>
        <w:t xml:space="preserve">except possibly at the issuer default. The issuer bond positions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are used to finance/invest any remaining cash that is not funded via the collateral, which yields the following </w:t>
      </w:r>
      <w:r>
        <w:rPr>
          <w:rFonts w:eastAsiaTheme="minorEastAsia"/>
          <w:i/>
        </w:rPr>
        <w:t>funding constraint</w:t>
      </w:r>
    </w:p>
    <w:p w:rsidR="00397E59" w:rsidRPr="00C429C5" w:rsidRDefault="00397E59" w:rsidP="00397E59">
      <w:pPr>
        <w:pStyle w:val="ListParagraph"/>
        <w:tabs>
          <w:tab w:val="left" w:pos="7800"/>
        </w:tabs>
        <w:spacing w:line="360" w:lineRule="auto"/>
        <w:ind w:left="360"/>
        <w:rPr>
          <w:rFonts w:eastAsiaTheme="minorEastAsia"/>
        </w:rPr>
      </w:pPr>
    </w:p>
    <w:p w:rsidR="00397E59" w:rsidRPr="00C429C5" w:rsidRDefault="005D6A21"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9331C0" w:rsidRDefault="00397E59" w:rsidP="00397E59">
      <w:pPr>
        <w:pStyle w:val="ListParagraph"/>
        <w:tabs>
          <w:tab w:val="left" w:pos="7800"/>
        </w:tabs>
        <w:spacing w:line="360" w:lineRule="auto"/>
        <w:ind w:left="360"/>
      </w:pPr>
    </w:p>
    <w:p w:rsidR="00397E59" w:rsidRPr="00C429C5" w:rsidRDefault="00397E59" w:rsidP="008A18B1">
      <w:pPr>
        <w:pStyle w:val="ListParagraph"/>
        <w:numPr>
          <w:ilvl w:val="0"/>
          <w:numId w:val="85"/>
        </w:numPr>
        <w:tabs>
          <w:tab w:val="left" w:pos="7800"/>
        </w:tabs>
        <w:spacing w:after="160" w:line="360" w:lineRule="auto"/>
      </w:pPr>
      <w:r>
        <w:rPr>
          <w:u w:val="single"/>
        </w:rPr>
        <w:t>Evolution of the Derivative Hedge Portfolio</w:t>
      </w:r>
      <w:r>
        <w:t xml:space="preserve">: The evolution of the hedge portfolio </w:t>
      </w:r>
      <m:oMath>
        <m:r>
          <m:rPr>
            <m:sty m:val="p"/>
          </m:rPr>
          <w:rPr>
            <w:rFonts w:ascii="Cambria Math" w:eastAsiaTheme="minorEastAsia" w:hAnsi="Cambria Math"/>
          </w:rPr>
          <m:t>Π</m:t>
        </m:r>
      </m:oMath>
      <w:r>
        <w:rPr>
          <w:rFonts w:eastAsiaTheme="minorEastAsia"/>
        </w:rPr>
        <w:t xml:space="preserve"> defined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is given by</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Pr="008130F0" w:rsidRDefault="00397E59" w:rsidP="00397E59">
      <w:pPr>
        <w:pStyle w:val="ListParagraph"/>
        <w:tabs>
          <w:tab w:val="left" w:pos="7800"/>
        </w:tabs>
        <w:spacing w:line="360" w:lineRule="auto"/>
        <w:ind w:left="360"/>
      </w:pPr>
      <w:r>
        <w:rPr>
          <w:rFonts w:eastAsiaTheme="minorEastAsia"/>
        </w:rPr>
        <w:t xml:space="preserve">where </w:t>
      </w:r>
      <m:oMath>
        <m:r>
          <m:rPr>
            <m:sty m:val="p"/>
          </m:rPr>
          <w:rPr>
            <w:rFonts w:ascii="Cambria Math" w:eastAsiaTheme="minorEastAsia" w:hAnsi="Cambria Math"/>
          </w:rPr>
          <m:t>Δ</m:t>
        </m:r>
        <m:r>
          <w:rPr>
            <w:rFonts w:ascii="Cambria Math" w:hAnsi="Cambria Math"/>
          </w:rPr>
          <m:t>S</m:t>
        </m:r>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and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are given earlier and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are changes to the cash and the collateral accounts, excluding rebalancing.</w:t>
      </w:r>
    </w:p>
    <w:p w:rsidR="00397E59" w:rsidRPr="0015151A" w:rsidRDefault="00397E59" w:rsidP="008A18B1">
      <w:pPr>
        <w:pStyle w:val="ListParagraph"/>
        <w:numPr>
          <w:ilvl w:val="0"/>
          <w:numId w:val="85"/>
        </w:numPr>
        <w:tabs>
          <w:tab w:val="left" w:pos="7800"/>
        </w:tabs>
        <w:spacing w:after="160" w:line="360" w:lineRule="auto"/>
      </w:pPr>
      <w:r>
        <w:rPr>
          <w:u w:val="single"/>
        </w:rPr>
        <w:t>Funding Costs for Cash Accounts</w:t>
      </w:r>
      <w:r>
        <w:t xml:space="preserve">: As in Burgard and Kjaer (2012a) the hedge account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is collateralized with the financing rate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eastAsiaTheme="minorEastAsia"/>
        </w:rPr>
        <w:t xml:space="preserve"> and income via dividend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w:t>
      </w:r>
    </w:p>
    <w:p w:rsidR="00397E59" w:rsidRPr="00C429C5" w:rsidRDefault="00397E59" w:rsidP="008A18B1">
      <w:pPr>
        <w:pStyle w:val="ListParagraph"/>
        <w:numPr>
          <w:ilvl w:val="0"/>
          <w:numId w:val="85"/>
        </w:numPr>
        <w:tabs>
          <w:tab w:val="left" w:pos="7800"/>
        </w:tabs>
        <w:spacing w:after="160" w:line="360" w:lineRule="auto"/>
      </w:pPr>
      <w:r>
        <w:rPr>
          <w:u w:val="single"/>
        </w:rPr>
        <w:t>Growth in the Cash Accounts</w:t>
      </w:r>
      <w:r>
        <w:t xml:space="preserve">: Likewise the counterparty bond position is assumed to be setup via a repo transaction costing a repo rate </w:t>
      </w:r>
      <m:oMath>
        <m:sSub>
          <m:sSubPr>
            <m:ctrlPr>
              <w:rPr>
                <w:rFonts w:ascii="Cambria Math" w:hAnsi="Cambria Math"/>
                <w:i/>
              </w:rPr>
            </m:ctrlPr>
          </m:sSubPr>
          <m:e>
            <m:r>
              <w:rPr>
                <w:rFonts w:ascii="Cambria Math" w:hAnsi="Cambria Math"/>
              </w:rPr>
              <m:t>q</m:t>
            </m:r>
          </m:e>
          <m:sub>
            <m:r>
              <w:rPr>
                <w:rFonts w:ascii="Cambria Math" w:hAnsi="Cambria Math"/>
              </w:rPr>
              <m:t>C</m:t>
            </m:r>
          </m:sub>
        </m:sSub>
      </m:oMath>
      <w:r>
        <w:rPr>
          <w:rFonts w:eastAsiaTheme="minorEastAsia"/>
        </w:rPr>
        <w:t xml:space="preserve">. The derivative collateral account is assumed to cost a collateral rate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Pr>
          <w:rFonts w:eastAsiaTheme="minorEastAsia"/>
        </w:rPr>
        <w:t>. Excluding rebalancing these yield the following increments in the accounts: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r>
            <m:rPr>
              <m:sty m:val="p"/>
            </m:rPr>
            <w:rPr>
              <w:rFonts w:ascii="Cambria Math" w:hAnsi="Cambria Math"/>
            </w:rPr>
            <m:t>Δ</m:t>
          </m:r>
          <m:r>
            <w:rPr>
              <w:rFonts w:ascii="Cambria Math" w:hAnsi="Cambria Math"/>
            </w:rPr>
            <m:t>t</m:t>
          </m:r>
        </m:oMath>
      </m:oMathPara>
    </w:p>
    <w:p w:rsidR="00397E59" w:rsidRPr="0015151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Incremental Change in the Derivative Portfolio</w:t>
      </w:r>
      <w:r>
        <w:t>: With the pre- and the post-default values of the issuer bond position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P=</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5D6A2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respectively, inserting</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and the expressions for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into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results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w:lastRenderedPageBreak/>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5D6A2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5E5578" w:rsidRDefault="00397E59" w:rsidP="00397E59">
      <w:pPr>
        <w:pStyle w:val="ListParagraph"/>
        <w:tabs>
          <w:tab w:val="left" w:pos="7800"/>
        </w:tabs>
        <w:spacing w:line="360" w:lineRule="auto"/>
        <w:ind w:left="360"/>
      </w:pPr>
      <w:r>
        <w:rPr>
          <w:rFonts w:eastAsiaTheme="minorEastAsia"/>
        </w:rPr>
        <w:t xml:space="preserve">is the spread of the zero-coupon bond price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yield over its repo rate, i.e., the financing rate of the counterparty default position.</w:t>
      </w:r>
    </w:p>
    <w:p w:rsidR="00397E59" w:rsidRPr="00F55034" w:rsidRDefault="00397E59" w:rsidP="008A18B1">
      <w:pPr>
        <w:pStyle w:val="ListParagraph"/>
        <w:numPr>
          <w:ilvl w:val="0"/>
          <w:numId w:val="85"/>
        </w:numPr>
        <w:tabs>
          <w:tab w:val="left" w:pos="7800"/>
        </w:tabs>
        <w:spacing w:after="160" w:line="360" w:lineRule="auto"/>
      </w:pPr>
      <w:r>
        <w:rPr>
          <w:u w:val="single"/>
        </w:rPr>
        <w:t>Ito’s Lemma for the Derivative Contract</w:t>
      </w:r>
      <w:r>
        <w:t xml:space="preserve">: The evolution of the derivative </w:t>
      </w:r>
      <m:oMath>
        <m:r>
          <w:rPr>
            <w:rFonts w:ascii="Cambria Math" w:hAnsi="Cambria Math"/>
          </w:rPr>
          <m:t>∆</m:t>
        </m:r>
        <m:acc>
          <m:accPr>
            <m:ctrlPr>
              <w:rPr>
                <w:rFonts w:ascii="Cambria Math" w:hAnsi="Cambria Math"/>
                <w:i/>
              </w:rPr>
            </m:ctrlPr>
          </m:accPr>
          <m:e>
            <m:r>
              <w:rPr>
                <w:rFonts w:ascii="Cambria Math" w:hAnsi="Cambria Math"/>
              </w:rPr>
              <m:t>V</m:t>
            </m:r>
          </m:e>
        </m:acc>
      </m:oMath>
      <w:r>
        <w:rPr>
          <w:rFonts w:eastAsiaTheme="minorEastAsia"/>
        </w:rPr>
        <w:t xml:space="preserve"> on the other hand is given by Ito’s lemma for jump diffusions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Pr="001578B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The Consolidated Derivative Portfolio Increment</w:t>
      </w:r>
      <w:r>
        <w:t>: Combining the evolution of the derivative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 the hedge portfolio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gives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e>
          </m:d>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the term in front of </w:t>
      </w:r>
      <m:oMath>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follows from the fact that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5D6A21"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-P+X=0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5D6A21"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F72B8D"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Asset and Counterparty Hedges</w:t>
      </w:r>
      <w:r>
        <w:t>: From the derivatives portfolio increment we can eliminate the stock price and the counterparty risks by choosing</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5D6A2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which yields</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5D6A2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oMath>
      </m:oMathPara>
    </w:p>
    <w:p w:rsidR="00397E59" w:rsidRPr="00B12D9B"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Incorporating the Hedge Ratios</w:t>
      </w:r>
      <w:r>
        <w:t>: On using the zero bond basis relation</w:t>
      </w:r>
    </w:p>
    <w:p w:rsidR="00397E59" w:rsidRDefault="00397E59" w:rsidP="00397E59">
      <w:pPr>
        <w:pStyle w:val="ListParagraph"/>
        <w:tabs>
          <w:tab w:val="left" w:pos="7800"/>
        </w:tabs>
        <w:spacing w:line="360" w:lineRule="auto"/>
        <w:ind w:left="360"/>
        <w:rPr>
          <w:u w:val="single"/>
        </w:rPr>
      </w:pPr>
    </w:p>
    <w:p w:rsidR="00397E59" w:rsidRDefault="005D6A2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5D6A21"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 above becomes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e>
          </m:d>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5D6A2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5D6A2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oMath>
      </m:oMathPara>
    </w:p>
    <w:p w:rsidR="00397E59" w:rsidRPr="00E12AF4"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Own-Credit Default Hedging Error</w:t>
      </w:r>
      <w:r>
        <w:t xml:space="preserve">: From the jump term above it follows that upon issuer default there is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w:t>
      </w:r>
    </w:p>
    <w:p w:rsidR="00397E59" w:rsidRPr="0076112E" w:rsidRDefault="00397E59" w:rsidP="008A18B1">
      <w:pPr>
        <w:pStyle w:val="ListParagraph"/>
        <w:numPr>
          <w:ilvl w:val="0"/>
          <w:numId w:val="85"/>
        </w:numPr>
        <w:tabs>
          <w:tab w:val="left" w:pos="7800"/>
        </w:tabs>
        <w:spacing w:after="160" w:line="360" w:lineRule="auto"/>
      </w:pPr>
      <w:r>
        <w:rPr>
          <w:u w:val="single"/>
        </w:rPr>
        <w:t>Hedge Error Windfall and Shortfall</w:t>
      </w:r>
      <w:r w:rsidRPr="006F6E45">
        <w:t>:</w:t>
      </w:r>
      <w:r>
        <w:t xml:space="preserve"> It can thus be seen that the combination of the derivative </w:t>
      </w:r>
      <m:oMath>
        <m:acc>
          <m:accPr>
            <m:ctrlPr>
              <w:rPr>
                <w:rFonts w:ascii="Cambria Math" w:hAnsi="Cambria Math"/>
                <w:i/>
              </w:rPr>
            </m:ctrlPr>
          </m:accPr>
          <m:e>
            <m:r>
              <w:rPr>
                <w:rFonts w:ascii="Cambria Math" w:hAnsi="Cambria Math"/>
              </w:rPr>
              <m:t>V</m:t>
            </m:r>
          </m:e>
        </m:acc>
      </m:oMath>
      <w:r>
        <w:rPr>
          <w:rFonts w:eastAsiaTheme="minorEastAsia"/>
        </w:rPr>
        <w:t xml:space="preserve"> and the hedge portfolio </w:t>
      </w:r>
      <m:oMath>
        <m:r>
          <m:rPr>
            <m:sty m:val="p"/>
          </m:rPr>
          <w:rPr>
            <w:rFonts w:ascii="Cambria Math" w:hAnsi="Cambria Math"/>
          </w:rPr>
          <m:t>Π</m:t>
        </m:r>
      </m:oMath>
      <w:r>
        <w:rPr>
          <w:rFonts w:eastAsiaTheme="minorEastAsia"/>
        </w:rPr>
        <w:t xml:space="preserve"> is risk free as long as the issuer is alive. At issuer default the jump term </w:t>
      </w:r>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gives rise to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The hedge error can be a windfall or a shortfall and its size depends on the post-default value of the own bond portfolio, and thus the funding strategy employed.</w:t>
      </w:r>
    </w:p>
    <w:p w:rsidR="00397E59" w:rsidRDefault="00397E59" w:rsidP="008A18B1">
      <w:pPr>
        <w:pStyle w:val="ListParagraph"/>
        <w:numPr>
          <w:ilvl w:val="0"/>
          <w:numId w:val="85"/>
        </w:numPr>
        <w:tabs>
          <w:tab w:val="left" w:pos="7800"/>
        </w:tabs>
        <w:spacing w:after="160" w:line="360" w:lineRule="auto"/>
      </w:pPr>
      <w:r>
        <w:rPr>
          <w:u w:val="single"/>
        </w:rPr>
        <w:t>Windfall/Shortfall Accrual Gain/Bleed</w:t>
      </w:r>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 Tis can be seen as the running spread to pay for the potential windfall/shortfall upon issuer default.</w:t>
      </w:r>
    </w:p>
    <w:p w:rsidR="00397E59" w:rsidRDefault="00397E59" w:rsidP="008A18B1">
      <w:pPr>
        <w:pStyle w:val="ListParagraph"/>
        <w:numPr>
          <w:ilvl w:val="0"/>
          <w:numId w:val="85"/>
        </w:numPr>
        <w:tabs>
          <w:tab w:val="left" w:pos="7800"/>
        </w:tabs>
        <w:spacing w:after="160" w:line="360" w:lineRule="auto"/>
      </w:pPr>
      <w:r>
        <w:rPr>
          <w:u w:val="single"/>
        </w:rPr>
        <w:t>Collateral/Hedge Error Derivative PDE</w:t>
      </w:r>
      <w:r w:rsidRPr="0076112E">
        <w:t>:</w:t>
      </w:r>
      <w:r>
        <w:t xml:space="preserve"> Since the issuer wants the strategy to evolve in a self-financing fashion while he is alive the total drift term above should become zero. This produces the following PDE for the risky economic value </w:t>
      </w:r>
      <m:oMath>
        <m:acc>
          <m:accPr>
            <m:ctrlPr>
              <w:rPr>
                <w:rFonts w:ascii="Cambria Math" w:hAnsi="Cambria Math"/>
                <w:i/>
              </w:rPr>
            </m:ctrlPr>
          </m:accPr>
          <m:e>
            <m:r>
              <w:rPr>
                <w:rFonts w:ascii="Cambria Math" w:hAnsi="Cambria Math"/>
              </w:rPr>
              <m:t>V</m:t>
            </m:r>
          </m:e>
        </m:acc>
      </m:oMath>
      <w:r>
        <w:t xml:space="preserve"> for the derivative:</w:t>
      </w:r>
    </w:p>
    <w:p w:rsidR="00397E59" w:rsidRDefault="00397E59" w:rsidP="00397E59">
      <w:pPr>
        <w:pStyle w:val="ListParagraph"/>
        <w:tabs>
          <w:tab w:val="left" w:pos="7800"/>
        </w:tabs>
        <w:spacing w:line="360" w:lineRule="auto"/>
        <w:ind w:left="360"/>
        <w:rPr>
          <w:u w:val="single"/>
        </w:rPr>
      </w:pPr>
    </w:p>
    <w:p w:rsidR="00397E59" w:rsidRDefault="005D6A21"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5D6A21"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22357C" w:rsidRDefault="00397E59" w:rsidP="00397E59">
      <w:pPr>
        <w:pStyle w:val="ListParagraph"/>
        <w:tabs>
          <w:tab w:val="left" w:pos="7800"/>
        </w:tabs>
        <w:spacing w:line="360" w:lineRule="auto"/>
        <w:ind w:left="360"/>
      </w:pPr>
      <w:r>
        <w:rPr>
          <w:rFonts w:eastAsiaTheme="minorEastAsia"/>
        </w:rPr>
        <w:t xml:space="preserve">where </w:t>
      </w:r>
      <m:oMath>
        <m:r>
          <w:rPr>
            <w:rFonts w:ascii="Cambria Math" w:hAnsi="Cambria Math"/>
          </w:rPr>
          <m:t>H</m:t>
        </m:r>
        <m:d>
          <m:dPr>
            <m:ctrlPr>
              <w:rPr>
                <w:rFonts w:ascii="Cambria Math" w:hAnsi="Cambria Math"/>
                <w:i/>
              </w:rPr>
            </m:ctrlPr>
          </m:dPr>
          <m:e>
            <m:r>
              <w:rPr>
                <w:rFonts w:ascii="Cambria Math" w:hAnsi="Cambria Math"/>
              </w:rPr>
              <m:t>S</m:t>
            </m:r>
          </m:e>
        </m:d>
      </m:oMath>
      <w:r>
        <w:rPr>
          <w:rFonts w:eastAsiaTheme="minorEastAsia"/>
        </w:rPr>
        <w:t xml:space="preserve"> is the payout of the derivative at maturity.</w:t>
      </w:r>
    </w:p>
    <w:p w:rsidR="00397E59" w:rsidRDefault="00397E59" w:rsidP="008A18B1">
      <w:pPr>
        <w:pStyle w:val="ListParagraph"/>
        <w:numPr>
          <w:ilvl w:val="0"/>
          <w:numId w:val="85"/>
        </w:numPr>
        <w:tabs>
          <w:tab w:val="left" w:pos="7800"/>
        </w:tabs>
        <w:spacing w:after="160" w:line="360" w:lineRule="auto"/>
      </w:pPr>
      <w:r>
        <w:rPr>
          <w:u w:val="single"/>
        </w:rPr>
        <w:t>PDE for the Valuation Adjustment</w:t>
      </w:r>
      <w:r>
        <w:t>: To estimate the correction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to the risk-free Black Scholes price </w:t>
      </w:r>
      <m:oMath>
        <m:r>
          <w:rPr>
            <w:rFonts w:ascii="Cambria Math" w:hAnsi="Cambria Math"/>
          </w:rPr>
          <m:t>V</m:t>
        </m:r>
      </m:oMath>
      <w:r>
        <w:rPr>
          <w:rFonts w:eastAsiaTheme="minorEastAsia"/>
        </w:rPr>
        <w:t xml:space="preserve"> the Black-Scholes PDE for </w:t>
      </w:r>
      <m:oMath>
        <m:r>
          <w:rPr>
            <w:rFonts w:ascii="Cambria Math" w:hAnsi="Cambria Math"/>
          </w:rPr>
          <m:t>V</m:t>
        </m:r>
      </m:oMath>
      <w:r>
        <w:rPr>
          <w:rFonts w:eastAsiaTheme="minorEastAsia"/>
        </w:rPr>
        <w:t xml:space="preserve"> is used to get the PDE for </w:t>
      </w:r>
      <m:oMath>
        <m:r>
          <w:rPr>
            <w:rFonts w:ascii="Cambria Math" w:hAnsi="Cambria Math"/>
          </w:rPr>
          <m:t>U</m:t>
        </m:r>
      </m:oMath>
      <w:r>
        <w:rPr>
          <w:rFonts w:eastAsiaTheme="minorEastAsia"/>
        </w:rPr>
        <w:t xml:space="preserve"> to be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5D6A21"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22357C" w:rsidRDefault="00397E59" w:rsidP="00397E59">
      <w:pPr>
        <w:pStyle w:val="ListParagraph"/>
        <w:tabs>
          <w:tab w:val="left" w:pos="7800"/>
        </w:tabs>
        <w:spacing w:line="360" w:lineRule="auto"/>
        <w:ind w:left="360"/>
      </w:pPr>
    </w:p>
    <w:p w:rsidR="00397E59" w:rsidRPr="008355DD" w:rsidRDefault="00397E59" w:rsidP="008A18B1">
      <w:pPr>
        <w:pStyle w:val="ListParagraph"/>
        <w:numPr>
          <w:ilvl w:val="0"/>
          <w:numId w:val="85"/>
        </w:numPr>
        <w:tabs>
          <w:tab w:val="left" w:pos="7800"/>
        </w:tabs>
        <w:spacing w:after="160" w:line="360" w:lineRule="auto"/>
      </w:pPr>
      <w:r>
        <w:rPr>
          <w:u w:val="single"/>
        </w:rPr>
        <w:t xml:space="preserve">Decomposition of </w:t>
      </w:r>
      <m:oMath>
        <m:r>
          <w:rPr>
            <w:rFonts w:ascii="Cambria Math" w:hAnsi="Cambria Math"/>
            <w:u w:val="single"/>
          </w:rPr>
          <m:t>U</m:t>
        </m:r>
      </m:oMath>
      <w:r w:rsidRPr="0022357C">
        <w:rPr>
          <w:rFonts w:eastAsiaTheme="minorEastAsia"/>
          <w:u w:val="single"/>
        </w:rPr>
        <w:t xml:space="preserve"> into Components</w:t>
      </w:r>
      <w:r>
        <w:rPr>
          <w:rFonts w:eastAsiaTheme="minorEastAsia"/>
        </w:rPr>
        <w:t>: Applying the Feynman-Kac theorem to this PDE gives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U=CVA+DVA+FVA+COLVA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5D6A2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r>
                    <w:rPr>
                      <w:rFonts w:ascii="Cambria Math" w:hAnsi="Cambria Math"/>
                    </w:rPr>
                    <m:t>k</m:t>
                  </m:r>
                  <m:d>
                    <m:dPr>
                      <m:ctrlPr>
                        <w:rPr>
                          <w:rFonts w:ascii="Cambria Math" w:hAnsi="Cambria Math"/>
                          <w:i/>
                        </w:rPr>
                      </m:ctrlPr>
                    </m:dPr>
                    <m:e>
                      <m:r>
                        <w:rPr>
                          <w:rFonts w:ascii="Cambria Math" w:hAnsi="Cambria Math"/>
                        </w:rPr>
                        <m:t>v</m:t>
                      </m:r>
                    </m:e>
                  </m:d>
                  <m:r>
                    <w:rPr>
                      <w:rFonts w:ascii="Cambria Math" w:hAnsi="Cambria Math"/>
                    </w:rPr>
                    <m:t>dv</m:t>
                  </m:r>
                </m:e>
              </m:nary>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446C66" w:rsidRDefault="00397E59" w:rsidP="00397E59">
      <w:pPr>
        <w:pStyle w:val="ListParagraph"/>
        <w:tabs>
          <w:tab w:val="left" w:pos="7800"/>
        </w:tabs>
        <w:spacing w:line="360" w:lineRule="auto"/>
        <w:ind w:left="360"/>
      </w:pPr>
      <w:r>
        <w:rPr>
          <w:rFonts w:eastAsiaTheme="minorEastAsia"/>
        </w:rPr>
        <w:t xml:space="preserve">is the discount factor between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for a rate </w:t>
      </w:r>
      <m:oMath>
        <m:r>
          <w:rPr>
            <w:rFonts w:ascii="Cambria Math" w:hAnsi="Cambria Math"/>
          </w:rPr>
          <m:t>k</m:t>
        </m:r>
      </m:oMath>
      <w:r>
        <w:rPr>
          <w:rFonts w:eastAsiaTheme="minorEastAsia"/>
        </w:rPr>
        <w:t xml:space="preserve">. The measure of the expectations in these equations is such that </w:t>
      </w:r>
      <m:oMath>
        <m:r>
          <w:rPr>
            <w:rFonts w:ascii="Cambria Math" w:hAnsi="Cambria Math"/>
          </w:rPr>
          <m:t>S</m:t>
        </m:r>
      </m:oMath>
      <w:r>
        <w:rPr>
          <w:rFonts w:eastAsiaTheme="minorEastAsia"/>
        </w:rPr>
        <w:t xml:space="preserve"> drifts at the rate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 xml:space="preserve">. The sum of </w:t>
      </w:r>
      <m:oMath>
        <m:r>
          <w:rPr>
            <w:rFonts w:ascii="Cambria Math" w:hAnsi="Cambria Math"/>
          </w:rPr>
          <m:t>DVA</m:t>
        </m:r>
      </m:oMath>
      <w:r>
        <w:rPr>
          <w:rFonts w:eastAsiaTheme="minorEastAsia"/>
        </w:rPr>
        <w:t xml:space="preserve"> and </w:t>
      </w:r>
      <m:oMath>
        <m:r>
          <w:rPr>
            <w:rFonts w:ascii="Cambria Math" w:hAnsi="Cambria Math"/>
          </w:rPr>
          <m:t>FCA</m:t>
        </m:r>
      </m:oMath>
      <w:r>
        <w:rPr>
          <w:rFonts w:eastAsiaTheme="minorEastAsia"/>
        </w:rPr>
        <w:t xml:space="preserve"> is sometimes referred to as </w:t>
      </w:r>
      <m:oMath>
        <m:r>
          <w:rPr>
            <w:rFonts w:ascii="Cambria Math" w:hAnsi="Cambria Math"/>
          </w:rPr>
          <m:t>FVA</m:t>
        </m:r>
      </m:oMath>
      <w:r>
        <w:rPr>
          <w:rFonts w:eastAsiaTheme="minorEastAsia"/>
        </w:rPr>
        <w:t>.</w:t>
      </w:r>
    </w:p>
    <w:p w:rsidR="00397E59" w:rsidRPr="009806F3" w:rsidRDefault="00397E59" w:rsidP="008A18B1">
      <w:pPr>
        <w:pStyle w:val="ListParagraph"/>
        <w:numPr>
          <w:ilvl w:val="0"/>
          <w:numId w:val="85"/>
        </w:numPr>
        <w:tabs>
          <w:tab w:val="left" w:pos="7800"/>
        </w:tabs>
        <w:spacing w:after="160" w:line="360" w:lineRule="auto"/>
      </w:pPr>
      <w:r>
        <w:rPr>
          <w:u w:val="single"/>
        </w:rPr>
        <w:lastRenderedPageBreak/>
        <w:t xml:space="preserve">Symmetry of </w:t>
      </w:r>
      <m:oMath>
        <m:r>
          <w:rPr>
            <w:rFonts w:ascii="Cambria Math" w:hAnsi="Cambria Math"/>
            <w:u w:val="single"/>
          </w:rPr>
          <m:t>CVA</m:t>
        </m:r>
      </m:oMath>
      <w:r w:rsidRPr="00446C66">
        <w:rPr>
          <w:rFonts w:eastAsiaTheme="minorEastAsia"/>
          <w:u w:val="single"/>
        </w:rPr>
        <w:t xml:space="preserve">, </w:t>
      </w:r>
      <m:oMath>
        <m:r>
          <w:rPr>
            <w:rFonts w:ascii="Cambria Math" w:hAnsi="Cambria Math"/>
            <w:u w:val="single"/>
          </w:rPr>
          <m:t>DVA</m:t>
        </m:r>
      </m:oMath>
      <w:r w:rsidRPr="00446C66">
        <w:rPr>
          <w:rFonts w:eastAsiaTheme="minorEastAsia"/>
          <w:u w:val="single"/>
        </w:rPr>
        <w:t xml:space="preserve">, and </w:t>
      </w:r>
      <m:oMath>
        <m:r>
          <w:rPr>
            <w:rFonts w:ascii="Cambria Math" w:hAnsi="Cambria Math"/>
            <w:u w:val="single"/>
          </w:rPr>
          <m:t>COLVA</m:t>
        </m:r>
      </m:oMath>
      <w:r>
        <w:rPr>
          <w:rFonts w:eastAsiaTheme="minorEastAsia"/>
        </w:rPr>
        <w:t xml:space="preserve">: Here the sum of 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COLVA</m:t>
        </m:r>
      </m:oMath>
      <w:r>
        <w:rPr>
          <w:rFonts w:eastAsiaTheme="minorEastAsia"/>
        </w:rPr>
        <w:t xml:space="preserve"> is symmetric in that is identical – with sign flipped – when computed by the issuer and the counterparty, respectively.</w:t>
      </w:r>
    </w:p>
    <w:p w:rsidR="00397E59" w:rsidRPr="00762D0A" w:rsidRDefault="00397E59" w:rsidP="008A18B1">
      <w:pPr>
        <w:pStyle w:val="ListParagraph"/>
        <w:numPr>
          <w:ilvl w:val="0"/>
          <w:numId w:val="85"/>
        </w:numPr>
        <w:tabs>
          <w:tab w:val="left" w:pos="7800"/>
        </w:tabs>
        <w:spacing w:after="160" w:line="360" w:lineRule="auto"/>
      </w:pPr>
      <w:r>
        <w:rPr>
          <w:u w:val="single"/>
        </w:rPr>
        <w:t xml:space="preserve">Lack of Symmetry in </w:t>
      </w:r>
      <m:oMath>
        <m:r>
          <w:rPr>
            <w:rFonts w:ascii="Cambria Math" w:hAnsi="Cambria Math"/>
            <w:u w:val="single"/>
          </w:rPr>
          <m:t>FCA</m:t>
        </m:r>
      </m:oMath>
      <w:r>
        <w:rPr>
          <w:rFonts w:eastAsiaTheme="minorEastAsia"/>
        </w:rPr>
        <w:t xml:space="preserve">: The </w:t>
      </w:r>
      <m:oMath>
        <m:r>
          <w:rPr>
            <w:rFonts w:ascii="Cambria Math" w:hAnsi="Cambria Math"/>
          </w:rPr>
          <m:t>FCA</m:t>
        </m:r>
      </m:oMath>
      <w:r>
        <w:rPr>
          <w:rFonts w:eastAsiaTheme="minorEastAsia"/>
        </w:rPr>
        <w:t xml:space="preserve"> </w:t>
      </w:r>
      <m:oMath>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w:r>
        <w:rPr>
          <w:rFonts w:eastAsiaTheme="minorEastAsia"/>
        </w:rPr>
        <w:t xml:space="preserve"> on the other hand is the discounted survival probability weighted expected value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implied by the semi-replication strategy chosen. Because the hedge error on own default is different for the issuer and for the counterparty, the </w:t>
      </w:r>
      <m:oMath>
        <m:r>
          <w:rPr>
            <w:rFonts w:ascii="Cambria Math" w:hAnsi="Cambria Math"/>
          </w:rPr>
          <m:t>FCA</m:t>
        </m:r>
      </m:oMath>
      <w:r>
        <w:rPr>
          <w:rFonts w:eastAsiaTheme="minorEastAsia"/>
        </w:rPr>
        <w:t xml:space="preserve"> is not symmetric. This is a generalization of the result presented in Burgard and Kjaer (2012b) for regular bilateral close-outs and a particular choice of bonds that states that the </w:t>
      </w:r>
      <m:oMath>
        <m:r>
          <w:rPr>
            <w:rFonts w:ascii="Cambria Math" w:hAnsi="Cambria Math"/>
          </w:rPr>
          <m:t>FCA</m:t>
        </m:r>
      </m:oMath>
      <w:r>
        <w:rPr>
          <w:rFonts w:eastAsiaTheme="minorEastAsia"/>
        </w:rPr>
        <w:t xml:space="preserve"> is the cost of generating a windfall to the issuer bondholders in the case of a default. If the issuer wants to break-even while being alive, the cost has to be included in the derivative price charged to the counterparty.</w:t>
      </w:r>
    </w:p>
    <w:p w:rsidR="00397E59" w:rsidRPr="00762D0A" w:rsidRDefault="00397E59" w:rsidP="008A18B1">
      <w:pPr>
        <w:pStyle w:val="ListParagraph"/>
        <w:numPr>
          <w:ilvl w:val="0"/>
          <w:numId w:val="85"/>
        </w:numPr>
        <w:tabs>
          <w:tab w:val="left" w:pos="7800"/>
        </w:tabs>
        <w:spacing w:after="160" w:line="360" w:lineRule="auto"/>
      </w:pPr>
      <w:r>
        <w:rPr>
          <w:u w:val="single"/>
        </w:rPr>
        <w:t>Asset Addition Funding Rate Impact</w:t>
      </w:r>
      <w:r w:rsidRPr="00762D0A">
        <w:t>:</w:t>
      </w:r>
      <w:r>
        <w:t xml:space="preserve"> The analysis above assumes that the funding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remain unaffected by the addition of the derivative asset and the funding positions. Burgard and Kjaer (2012b) have noted that the presence of potential windfall has a positive balance sheet effect; it improves the recovery rate to the bondholders and therefore the funding spread of the issuer should go down. Hull and White (2012a) have used a similar argument.</w:t>
      </w:r>
    </w:p>
    <w:p w:rsidR="00397E59" w:rsidRDefault="00397E59" w:rsidP="008A18B1">
      <w:pPr>
        <w:pStyle w:val="ListParagraph"/>
        <w:numPr>
          <w:ilvl w:val="0"/>
          <w:numId w:val="85"/>
        </w:numPr>
        <w:tabs>
          <w:tab w:val="left" w:pos="7800"/>
        </w:tabs>
        <w:spacing w:after="160" w:line="360" w:lineRule="auto"/>
      </w:pPr>
      <w:r>
        <w:rPr>
          <w:u w:val="single"/>
        </w:rPr>
        <w:t>Balance Sheet Funding Cost Mitigation</w:t>
      </w:r>
      <w:r>
        <w:t>: For a simple balance sheet model with floating funding costs Burgard and Kjaer (2012b) have demonstrated that this effect can result in an effective marginal funding rate that corresponds to the risk-free rate.</w:t>
      </w:r>
    </w:p>
    <w:p w:rsidR="00397E59" w:rsidRPr="001D6AAF" w:rsidRDefault="00397E59" w:rsidP="008A18B1">
      <w:pPr>
        <w:pStyle w:val="ListParagraph"/>
        <w:numPr>
          <w:ilvl w:val="0"/>
          <w:numId w:val="85"/>
        </w:numPr>
        <w:tabs>
          <w:tab w:val="left" w:pos="7800"/>
        </w:tabs>
        <w:spacing w:after="160" w:line="360" w:lineRule="auto"/>
      </w:pPr>
      <w:r>
        <w:rPr>
          <w:u w:val="single"/>
        </w:rPr>
        <w:t>Practical Challenges with the Mitigation</w:t>
      </w:r>
      <w:r>
        <w:t>: However as discussed there, in practice the balance sheet effect on the funding costs is rather indirect, fraught with accounting issues, and in general only feed through over time. Therefore the current treatment assumes that the issuer disregards this effect.</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Examples of Different Bond Portfolios</w:t>
      </w:r>
    </w:p>
    <w:p w:rsidR="00397E59" w:rsidRDefault="00397E59" w:rsidP="00397E59">
      <w:pPr>
        <w:tabs>
          <w:tab w:val="left" w:pos="7800"/>
        </w:tabs>
        <w:spacing w:line="360" w:lineRule="auto"/>
      </w:pPr>
    </w:p>
    <w:p w:rsidR="00397E59" w:rsidRPr="005E505C" w:rsidRDefault="00397E59" w:rsidP="008A18B1">
      <w:pPr>
        <w:pStyle w:val="ListParagraph"/>
        <w:numPr>
          <w:ilvl w:val="0"/>
          <w:numId w:val="86"/>
        </w:numPr>
        <w:spacing w:after="160" w:line="360" w:lineRule="auto"/>
      </w:pPr>
      <w:r w:rsidRPr="005E505C">
        <w:rPr>
          <w:u w:val="single"/>
        </w:rPr>
        <w:lastRenderedPageBreak/>
        <w:t>Strategies Generating Different Hedge Errors</w:t>
      </w:r>
      <w:r w:rsidRPr="005E505C">
        <w:t xml:space="preserve">: Using the general framework developed above Burgard and Kjaer (2013) provide three different examples of semi-replication strategies that generate different hedge errors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sidRPr="005E505C">
        <w:rPr>
          <w:rFonts w:eastAsiaTheme="minorEastAsia"/>
        </w:rPr>
        <w:t xml:space="preserve"> and therefore different valuation adjustments.</w:t>
      </w:r>
    </w:p>
    <w:p w:rsidR="00397E59" w:rsidRDefault="00397E59" w:rsidP="008A18B1">
      <w:pPr>
        <w:pStyle w:val="ListParagraph"/>
        <w:numPr>
          <w:ilvl w:val="0"/>
          <w:numId w:val="86"/>
        </w:numPr>
        <w:spacing w:after="160" w:line="360" w:lineRule="auto"/>
      </w:pPr>
      <w:r>
        <w:rPr>
          <w:u w:val="single"/>
        </w:rPr>
        <w:t>Zero FCA and Windfall Only</w:t>
      </w:r>
      <w:r>
        <w:t>: The first strategy, if employed, allows for perfect replication and generates zero FCA. The second one is equivalent to the setup used in Burgard and Kjaer (2012a) for the bilateral close-outs and ensures that there is never a shortfall at issuer default and only a windfall (potentially).</w:t>
      </w:r>
    </w:p>
    <w:p w:rsidR="00397E59" w:rsidRDefault="00397E59" w:rsidP="008A18B1">
      <w:pPr>
        <w:pStyle w:val="ListParagraph"/>
        <w:numPr>
          <w:ilvl w:val="0"/>
          <w:numId w:val="86"/>
        </w:numPr>
        <w:spacing w:after="160" w:line="360" w:lineRule="auto"/>
      </w:pPr>
      <w:r>
        <w:rPr>
          <w:u w:val="single"/>
        </w:rPr>
        <w:t>Windfall or Shortfall Generation Strategy</w:t>
      </w:r>
      <w:r w:rsidRPr="005E505C">
        <w:t>:</w:t>
      </w:r>
      <w:r>
        <w:t xml:space="preserve"> The third strategy assumes hedging with a single issuer bond. It generates both potential windfall and potential loses post-default and is an extension of the model derived in Piterbarg (2010).</w:t>
      </w:r>
    </w:p>
    <w:p w:rsidR="00397E59" w:rsidRDefault="00397E59" w:rsidP="008A18B1">
      <w:pPr>
        <w:pStyle w:val="ListParagraph"/>
        <w:numPr>
          <w:ilvl w:val="0"/>
          <w:numId w:val="86"/>
        </w:numPr>
        <w:spacing w:after="160" w:line="360" w:lineRule="auto"/>
      </w:pPr>
      <w:r>
        <w:rPr>
          <w:u w:val="single"/>
        </w:rPr>
        <w:t>Strategy Economic Value and Adjustments</w:t>
      </w:r>
      <w:r w:rsidRPr="005E505C">
        <w:t>:</w:t>
      </w:r>
      <w:r>
        <w:t xml:space="preserve"> The different strategies generate different economic values – and therefore different adjustments – to the issuer while he is alive. They demonstrate the assumptions implicitly being made when using different adjustment formulas in practice.</w:t>
      </w:r>
    </w:p>
    <w:p w:rsidR="00397E59" w:rsidRPr="002D23D0" w:rsidRDefault="00397E59" w:rsidP="008A18B1">
      <w:pPr>
        <w:pStyle w:val="ListParagraph"/>
        <w:numPr>
          <w:ilvl w:val="0"/>
          <w:numId w:val="86"/>
        </w:numPr>
        <w:spacing w:after="160" w:line="360" w:lineRule="auto"/>
      </w:pPr>
      <w:r>
        <w:rPr>
          <w:u w:val="single"/>
        </w:rPr>
        <w:t>Bilateral and Funding Curve Close-outs</w:t>
      </w:r>
      <w:r w:rsidRPr="005E505C">
        <w:t>:</w:t>
      </w:r>
      <w:r>
        <w:t xml:space="preserve"> Throughout it is assumed that the close-out value is </w:t>
      </w:r>
      <m:oMath>
        <m:r>
          <w:rPr>
            <w:rFonts w:ascii="Cambria Math" w:hAnsi="Cambria Math"/>
          </w:rPr>
          <m:t>V</m:t>
        </m:r>
      </m:oMath>
      <w:r>
        <w:rPr>
          <w:rFonts w:eastAsiaTheme="minorEastAsia"/>
        </w:rPr>
        <w:t>, i.e., that</w:t>
      </w:r>
    </w:p>
    <w:p w:rsidR="00397E59" w:rsidRDefault="00397E59" w:rsidP="00397E59">
      <w:pPr>
        <w:pStyle w:val="ListParagraph"/>
        <w:spacing w:line="360" w:lineRule="auto"/>
        <w:ind w:left="360"/>
        <w:rPr>
          <w:u w:val="single"/>
        </w:rPr>
      </w:pPr>
    </w:p>
    <w:p w:rsidR="00397E59" w:rsidRDefault="005D6A21"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Pr="005E505C" w:rsidRDefault="00397E59" w:rsidP="00397E59">
      <w:pPr>
        <w:pStyle w:val="ListParagraph"/>
        <w:spacing w:line="360" w:lineRule="auto"/>
        <w:ind w:left="360"/>
      </w:pPr>
      <w:r>
        <w:rPr>
          <w:rFonts w:eastAsiaTheme="minorEastAsia"/>
        </w:rPr>
        <w:t>Funding aware close-outs are discussed separately in Burgard and Kjaer (2012c).</w:t>
      </w:r>
    </w:p>
    <w:p w:rsidR="00606173" w:rsidRPr="00606173" w:rsidRDefault="00606173" w:rsidP="00606173">
      <w:pPr>
        <w:pStyle w:val="ListParagraph"/>
        <w:numPr>
          <w:ilvl w:val="0"/>
          <w:numId w:val="86"/>
        </w:numPr>
        <w:spacing w:after="160" w:line="360" w:lineRule="auto"/>
        <w:rPr>
          <w:rFonts w:eastAsiaTheme="minorEastAsia"/>
        </w:rPr>
      </w:pPr>
      <w:r>
        <w:rPr>
          <w:u w:val="single"/>
        </w:rPr>
        <w:t>Generalized Bond Portfolio Hedge Ratio</w:t>
      </w:r>
      <w:r>
        <w:t>:</w:t>
      </w:r>
    </w:p>
    <w:p w:rsidR="00606173" w:rsidRDefault="00606173" w:rsidP="00606173">
      <w:pPr>
        <w:pStyle w:val="ListParagraph"/>
        <w:spacing w:after="160" w:line="360" w:lineRule="auto"/>
        <w:ind w:left="360"/>
        <w:rPr>
          <w:u w:val="single"/>
        </w:rPr>
      </w:pPr>
    </w:p>
    <w:p w:rsidR="00606173" w:rsidRPr="004005C3" w:rsidRDefault="005D6A21" w:rsidP="00606173">
      <w:pPr>
        <w:pStyle w:val="ListParagraph"/>
        <w:spacing w:after="160"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606173" w:rsidRDefault="00606173" w:rsidP="00606173">
      <w:pPr>
        <w:pStyle w:val="ListParagraph"/>
        <w:spacing w:line="360" w:lineRule="auto"/>
        <w:ind w:left="360"/>
        <w:rPr>
          <w:rFonts w:eastAsiaTheme="minorEastAsia"/>
        </w:rPr>
      </w:pPr>
    </w:p>
    <w:p w:rsidR="00606173" w:rsidRPr="004005C3" w:rsidRDefault="005D6A21" w:rsidP="00606173">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606173" w:rsidRPr="00C7229E" w:rsidRDefault="00606173" w:rsidP="00606173">
      <w:pPr>
        <w:pStyle w:val="ListParagraph"/>
        <w:spacing w:line="360" w:lineRule="auto"/>
        <w:ind w:left="360"/>
      </w:pP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lastRenderedPageBreak/>
        <w:t>Perfect Replication – The FCA Vanishes</w:t>
      </w:r>
    </w:p>
    <w:p w:rsidR="00397E59" w:rsidRDefault="00397E59" w:rsidP="00397E59">
      <w:pPr>
        <w:tabs>
          <w:tab w:val="left" w:pos="7800"/>
        </w:tabs>
        <w:spacing w:line="360" w:lineRule="auto"/>
      </w:pPr>
    </w:p>
    <w:p w:rsidR="00397E59" w:rsidRDefault="00397E59" w:rsidP="00606173">
      <w:pPr>
        <w:pStyle w:val="ListParagraph"/>
        <w:numPr>
          <w:ilvl w:val="0"/>
          <w:numId w:val="86"/>
        </w:numPr>
        <w:spacing w:after="160" w:line="360" w:lineRule="auto"/>
      </w:pPr>
      <w:r w:rsidRPr="002D23D0">
        <w:rPr>
          <w:u w:val="single"/>
        </w:rPr>
        <w:t>Hedging Windfalls and Shortfalls</w:t>
      </w:r>
      <w:r w:rsidRPr="002D23D0">
        <w:t xml:space="preserve">: The first case considered is the one where the issuer is able to perfectly hedge out the windfall/shortfall at own default. This corresponds to the case discussed in the Section </w:t>
      </w:r>
      <w:r w:rsidRPr="002D23D0">
        <w:rPr>
          <w:i/>
        </w:rPr>
        <w:t>Balance-Sheet Management to Mitigate Funding Costs</w:t>
      </w:r>
      <w:r w:rsidRPr="002D23D0">
        <w:t xml:space="preserve"> in Burgard and Kjaer (2012b) and also covers the risk-neutral approach outlined in Hull and White (2012a).</w:t>
      </w:r>
    </w:p>
    <w:p w:rsidR="00397E59" w:rsidRDefault="00397E59" w:rsidP="00606173">
      <w:pPr>
        <w:pStyle w:val="ListParagraph"/>
        <w:numPr>
          <w:ilvl w:val="0"/>
          <w:numId w:val="86"/>
        </w:numPr>
        <w:spacing w:after="160" w:line="360" w:lineRule="auto"/>
      </w:pPr>
      <w:r>
        <w:rPr>
          <w:u w:val="single"/>
        </w:rPr>
        <w:t>PDE Corresponding to the Perfect Hedge</w:t>
      </w:r>
      <w:r w:rsidRPr="00AF69F0">
        <w:t>:</w:t>
      </w:r>
      <w:r>
        <w:t xml:space="preserve"> Perfect hedge is equivalent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being zero, i.e.,</w:t>
      </w:r>
    </w:p>
    <w:p w:rsidR="00397E59" w:rsidRDefault="00397E59" w:rsidP="00397E59">
      <w:pPr>
        <w:pStyle w:val="ListParagraph"/>
        <w:spacing w:line="360" w:lineRule="auto"/>
        <w:ind w:left="360"/>
        <w:rPr>
          <w:u w:val="single"/>
        </w:rPr>
      </w:pPr>
    </w:p>
    <w:p w:rsidR="00397E59" w:rsidRDefault="005D6A21"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valuation PDE</w:t>
      </w:r>
    </w:p>
    <w:p w:rsidR="00397E59" w:rsidRDefault="00397E59" w:rsidP="00397E59">
      <w:pPr>
        <w:pStyle w:val="ListParagraph"/>
        <w:spacing w:line="360" w:lineRule="auto"/>
        <w:ind w:left="360"/>
        <w:rPr>
          <w:rFonts w:eastAsiaTheme="minorEastAsia"/>
        </w:rPr>
      </w:pPr>
    </w:p>
    <w:p w:rsidR="00397E59" w:rsidRDefault="005D6A21"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becomes</w:t>
      </w:r>
    </w:p>
    <w:p w:rsidR="00397E59" w:rsidRDefault="00397E59" w:rsidP="00397E59">
      <w:pPr>
        <w:pStyle w:val="ListParagraph"/>
        <w:spacing w:line="360" w:lineRule="auto"/>
        <w:ind w:left="360"/>
        <w:rPr>
          <w:rFonts w:eastAsiaTheme="minorEastAsia"/>
        </w:rPr>
      </w:pPr>
    </w:p>
    <w:p w:rsidR="00397E59" w:rsidRDefault="005D6A21"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5D6A2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Correspondingly the </w:t>
      </w:r>
      <m:oMath>
        <m:r>
          <w:rPr>
            <w:rFonts w:ascii="Cambria Math" w:hAnsi="Cambria Math"/>
          </w:rPr>
          <m:t>FCA</m:t>
        </m:r>
      </m:oMath>
      <w:r>
        <w:rPr>
          <w:rFonts w:eastAsiaTheme="minorEastAsia"/>
        </w:rPr>
        <w:t xml:space="preserve">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FCA=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Pr="00AF69F0" w:rsidRDefault="00397E59" w:rsidP="00397E59">
      <w:pPr>
        <w:pStyle w:val="ListParagraph"/>
        <w:spacing w:line="360" w:lineRule="auto"/>
        <w:ind w:left="360"/>
      </w:pPr>
      <w:r>
        <w:rPr>
          <w:rFonts w:eastAsiaTheme="minorEastAsia"/>
        </w:rPr>
        <w:t>vanishes.</w:t>
      </w:r>
    </w:p>
    <w:p w:rsidR="00397E59" w:rsidRPr="004005C3" w:rsidRDefault="00397E59" w:rsidP="00606173">
      <w:pPr>
        <w:pStyle w:val="ListParagraph"/>
        <w:numPr>
          <w:ilvl w:val="0"/>
          <w:numId w:val="86"/>
        </w:numPr>
        <w:spacing w:after="160" w:line="360" w:lineRule="auto"/>
      </w:pPr>
      <w:r>
        <w:rPr>
          <w:u w:val="single"/>
        </w:rPr>
        <w:lastRenderedPageBreak/>
        <w:t>Corresponding Own Portfolio Hedge Ratios</w:t>
      </w:r>
      <w:r>
        <w:t xml:space="preserve">: The hedge ratios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eastAsiaTheme="minorEastAsia"/>
        </w:rPr>
        <w:t xml:space="preserve"> that achieve this perfect replication are determined by the no-windfall condition</w:t>
      </w:r>
    </w:p>
    <w:p w:rsidR="00397E59" w:rsidRDefault="00397E59" w:rsidP="00397E59">
      <w:pPr>
        <w:pStyle w:val="ListParagraph"/>
        <w:spacing w:line="360" w:lineRule="auto"/>
        <w:ind w:left="360"/>
        <w:rPr>
          <w:u w:val="single"/>
        </w:rPr>
      </w:pPr>
    </w:p>
    <w:p w:rsidR="00397E59" w:rsidRDefault="005D6A21"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 the funding constraint</w:t>
      </w:r>
    </w:p>
    <w:p w:rsidR="00397E59" w:rsidRDefault="00397E59" w:rsidP="00397E59">
      <w:pPr>
        <w:pStyle w:val="ListParagraph"/>
        <w:spacing w:line="360" w:lineRule="auto"/>
        <w:ind w:left="360"/>
        <w:rPr>
          <w:rFonts w:eastAsiaTheme="minorEastAsia"/>
        </w:rPr>
      </w:pPr>
    </w:p>
    <w:p w:rsidR="00397E59" w:rsidRDefault="005D6A21"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These two conditions provide two equations that can be solved to find</w:t>
      </w:r>
    </w:p>
    <w:p w:rsidR="00397E59" w:rsidRDefault="00397E59" w:rsidP="00397E59">
      <w:pPr>
        <w:pStyle w:val="ListParagraph"/>
        <w:spacing w:line="360" w:lineRule="auto"/>
        <w:ind w:left="360"/>
        <w:rPr>
          <w:rFonts w:eastAsiaTheme="minorEastAsia"/>
        </w:rPr>
      </w:pPr>
    </w:p>
    <w:p w:rsidR="00397E59" w:rsidRPr="004005C3" w:rsidRDefault="005D6A21"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397E59" w:rsidRDefault="00397E59" w:rsidP="00397E59">
      <w:pPr>
        <w:pStyle w:val="ListParagraph"/>
        <w:spacing w:line="360" w:lineRule="auto"/>
        <w:ind w:left="360"/>
        <w:rPr>
          <w:rFonts w:eastAsiaTheme="minorEastAsia"/>
        </w:rPr>
      </w:pPr>
    </w:p>
    <w:p w:rsidR="00397E59" w:rsidRPr="004005C3" w:rsidRDefault="005D6A21"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397E59" w:rsidRPr="00C7229E" w:rsidRDefault="00397E59" w:rsidP="00397E59">
      <w:pPr>
        <w:pStyle w:val="ListParagraph"/>
        <w:spacing w:line="360" w:lineRule="auto"/>
        <w:ind w:left="360"/>
      </w:pPr>
    </w:p>
    <w:p w:rsidR="00397E59" w:rsidRDefault="00397E59" w:rsidP="00606173">
      <w:pPr>
        <w:pStyle w:val="ListParagraph"/>
        <w:numPr>
          <w:ilvl w:val="0"/>
          <w:numId w:val="86"/>
        </w:numPr>
        <w:tabs>
          <w:tab w:val="left" w:pos="7800"/>
        </w:tabs>
        <w:spacing w:after="160" w:line="360" w:lineRule="auto"/>
      </w:pPr>
      <w:r>
        <w:rPr>
          <w:u w:val="single"/>
        </w:rPr>
        <w:t>Valuation Adjustment Feynman-Kac Integrals</w:t>
      </w:r>
      <w:r>
        <w:t>: As an example, for the regular bilateral conditions</w:t>
      </w:r>
    </w:p>
    <w:p w:rsidR="00397E59" w:rsidRDefault="00397E59" w:rsidP="00397E59">
      <w:pPr>
        <w:pStyle w:val="ListParagraph"/>
        <w:tabs>
          <w:tab w:val="left" w:pos="7800"/>
        </w:tabs>
        <w:spacing w:line="360" w:lineRule="auto"/>
        <w:ind w:left="360"/>
        <w:rPr>
          <w:u w:val="single"/>
        </w:rPr>
      </w:pPr>
    </w:p>
    <w:p w:rsidR="00397E59" w:rsidRDefault="005D6A2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5D6A2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these adjustments specialize 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5C7E45"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if</w:t>
      </w:r>
    </w:p>
    <w:p w:rsidR="00397E59" w:rsidRDefault="00397E59" w:rsidP="00397E59">
      <w:pPr>
        <w:pStyle w:val="ListParagraph"/>
        <w:tabs>
          <w:tab w:val="left" w:pos="7800"/>
        </w:tabs>
        <w:spacing w:line="360" w:lineRule="auto"/>
        <w:ind w:left="360"/>
        <w:rPr>
          <w:rFonts w:eastAsiaTheme="minorEastAsia"/>
        </w:rPr>
      </w:pPr>
    </w:p>
    <w:p w:rsidR="00397E59" w:rsidRPr="005C7E45" w:rsidRDefault="005D6A2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Pr="004005C3" w:rsidRDefault="00397E59" w:rsidP="00397E59">
      <w:pPr>
        <w:pStyle w:val="ListParagraph"/>
        <w:tabs>
          <w:tab w:val="left" w:pos="7800"/>
        </w:tabs>
        <w:spacing w:line="360" w:lineRule="auto"/>
        <w:ind w:left="360"/>
      </w:pPr>
    </w:p>
    <w:p w:rsidR="00397E59" w:rsidRDefault="00397E59" w:rsidP="00606173">
      <w:pPr>
        <w:pStyle w:val="ListParagraph"/>
        <w:numPr>
          <w:ilvl w:val="0"/>
          <w:numId w:val="86"/>
        </w:numPr>
        <w:tabs>
          <w:tab w:val="left" w:pos="7800"/>
        </w:tabs>
        <w:spacing w:after="160" w:line="360" w:lineRule="auto"/>
      </w:pPr>
      <w:r>
        <w:rPr>
          <w:u w:val="single"/>
        </w:rPr>
        <w:t>Case of Classical Bilateral CVA</w:t>
      </w:r>
      <w:r>
        <w:t>: If the derivatives are not collateralized,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2D23D0" w:rsidRDefault="00397E59" w:rsidP="00397E59">
      <w:pPr>
        <w:pStyle w:val="ListParagraph"/>
        <w:tabs>
          <w:tab w:val="left" w:pos="7800"/>
        </w:tabs>
        <w:spacing w:line="360" w:lineRule="auto"/>
        <w:ind w:left="360"/>
      </w:pPr>
      <w:r>
        <w:rPr>
          <w:rFonts w:eastAsiaTheme="minorEastAsia"/>
        </w:rPr>
        <w:t xml:space="preserve">these adjustments correspond to the classical bilateral </w:t>
      </w:r>
      <m:oMath>
        <m:r>
          <w:rPr>
            <w:rFonts w:ascii="Cambria Math" w:hAnsi="Cambria Math"/>
          </w:rPr>
          <m:t>CVA</m:t>
        </m:r>
      </m:oMath>
      <w:r>
        <w:rPr>
          <w:rFonts w:eastAsiaTheme="minorEastAsia"/>
        </w:rPr>
        <w:t xml:space="preserve">. Thus the classical bilateral </w:t>
      </w:r>
      <m:oMath>
        <m:r>
          <w:rPr>
            <w:rFonts w:ascii="Cambria Math" w:hAnsi="Cambria Math"/>
          </w:rPr>
          <m:t>CVA</m:t>
        </m:r>
      </m:oMath>
      <w:r>
        <w:rPr>
          <w:rFonts w:eastAsiaTheme="minorEastAsia"/>
        </w:rPr>
        <w:t xml:space="preserve"> can be achieved when perfect replication is possible. As mentioned, in practice such a dynamic balance sheet management via actively traded spread options between junior and senior bonds is in general not a viable option.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No Shortfall at Own-Default</w:t>
      </w:r>
    </w:p>
    <w:p w:rsidR="00397E59" w:rsidRDefault="00397E59" w:rsidP="00397E59">
      <w:pPr>
        <w:tabs>
          <w:tab w:val="left" w:pos="7800"/>
        </w:tabs>
        <w:spacing w:line="360" w:lineRule="auto"/>
      </w:pPr>
    </w:p>
    <w:p w:rsidR="00397E59" w:rsidRDefault="00397E59" w:rsidP="00D83552">
      <w:pPr>
        <w:pStyle w:val="ListParagraph"/>
        <w:numPr>
          <w:ilvl w:val="0"/>
          <w:numId w:val="87"/>
        </w:numPr>
        <w:spacing w:after="160" w:line="360" w:lineRule="auto"/>
      </w:pPr>
      <w:r w:rsidRPr="00BA7197">
        <w:rPr>
          <w:u w:val="single"/>
        </w:rPr>
        <w:t>Collateralized without Shortfall at Default</w:t>
      </w:r>
      <w:r w:rsidRPr="00BA7197">
        <w:t xml:space="preserve">: Burgard and Kjaer (2013) demonstrate a bond portfolio and hedging strategy that constitute an equivalent to the one presented in Burgard </w:t>
      </w:r>
      <w:r w:rsidRPr="00BA7197">
        <w:lastRenderedPageBreak/>
        <w:t>and Kjaer (2012b) extended to more general conditions, including the possibility of collateral.</w:t>
      </w:r>
    </w:p>
    <w:p w:rsidR="00397E59" w:rsidRDefault="00397E59" w:rsidP="00D83552">
      <w:pPr>
        <w:pStyle w:val="ListParagraph"/>
        <w:numPr>
          <w:ilvl w:val="0"/>
          <w:numId w:val="87"/>
        </w:numPr>
        <w:spacing w:after="160" w:line="360" w:lineRule="auto"/>
      </w:pPr>
      <w:r>
        <w:rPr>
          <w:u w:val="single"/>
        </w:rPr>
        <w:t>Dynamic Trading of Two Bonds</w:t>
      </w:r>
      <w:r>
        <w:t>: It still involves dynamic trading of two bonds, but is more conservative than the dynamic trading strategy of the previous section as it does not aim at monetizing the potential windfall upon own default by entering into an offsetting position between the two bonds.</w:t>
      </w:r>
    </w:p>
    <w:p w:rsidR="00397E59" w:rsidRDefault="00397E59" w:rsidP="00D83552">
      <w:pPr>
        <w:pStyle w:val="ListParagraph"/>
        <w:numPr>
          <w:ilvl w:val="0"/>
          <w:numId w:val="87"/>
        </w:numPr>
        <w:spacing w:after="160" w:line="360" w:lineRule="auto"/>
      </w:pPr>
      <w:r>
        <w:rPr>
          <w:u w:val="single"/>
        </w:rPr>
        <w:t>Bilateral CVA Plus a DVA</w:t>
      </w:r>
      <w:r w:rsidRPr="00AD25B8">
        <w:t>:</w:t>
      </w:r>
      <w:r>
        <w:t xml:space="preserve"> While this generates potential windfalls at own default, it does not generate shortfalls, and has the additional advantage that for regular bilateral close-outs without collateral it results in the usual bilateral CVA adjustment plus a funding cost adjustment, so presents a simple extension to the existing framework, where the derivatives dealer does not think he can monetize the windfall.</w:t>
      </w:r>
    </w:p>
    <w:p w:rsidR="00397E59" w:rsidRPr="002D5569" w:rsidRDefault="005D6A21" w:rsidP="00D83552">
      <w:pPr>
        <w:pStyle w:val="ListParagraph"/>
        <w:numPr>
          <w:ilvl w:val="0"/>
          <w:numId w:val="87"/>
        </w:numPr>
        <w:spacing w:after="160"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00397E59" w:rsidRPr="00AD25B8">
        <w:rPr>
          <w:rFonts w:eastAsiaTheme="minorEastAsia"/>
          <w:u w:val="single"/>
        </w:rPr>
        <w:t xml:space="preserve"> Buy-Sell Strategy</w:t>
      </w:r>
      <w:r w:rsidR="00397E59">
        <w:rPr>
          <w:rFonts w:eastAsiaTheme="minorEastAsia"/>
        </w:rPr>
        <w:t xml:space="preserve">: The strategy involves a zero recovery bond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397E59">
        <w:rPr>
          <w:rFonts w:eastAsiaTheme="minorEastAsia"/>
        </w:rPr>
        <w:t xml:space="preserve"> with</w:t>
      </w:r>
    </w:p>
    <w:p w:rsidR="00397E59" w:rsidRPr="002D5569" w:rsidRDefault="00397E59" w:rsidP="00397E59">
      <w:pPr>
        <w:pStyle w:val="ListParagraph"/>
        <w:spacing w:line="360" w:lineRule="auto"/>
        <w:ind w:left="360"/>
        <w:rPr>
          <w:rFonts w:eastAsiaTheme="minorEastAsia"/>
          <w:u w:val="single"/>
        </w:rPr>
      </w:pPr>
    </w:p>
    <w:p w:rsidR="00397E59" w:rsidRDefault="005D6A21"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 a recovery bond</w:t>
      </w:r>
    </w:p>
    <w:p w:rsidR="00397E59" w:rsidRDefault="00397E59" w:rsidP="00397E59">
      <w:pPr>
        <w:pStyle w:val="ListParagraph"/>
        <w:spacing w:line="360" w:lineRule="auto"/>
        <w:ind w:left="360"/>
        <w:rPr>
          <w:rFonts w:eastAsiaTheme="minorEastAsia"/>
        </w:rPr>
      </w:pPr>
    </w:p>
    <w:p w:rsidR="00397E59" w:rsidRDefault="005D6A21"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2D5569" w:rsidRDefault="00397E59" w:rsidP="00397E59">
      <w:pPr>
        <w:pStyle w:val="ListParagraph"/>
        <w:spacing w:line="360" w:lineRule="auto"/>
        <w:ind w:left="360"/>
        <w:rPr>
          <w:rFonts w:eastAsiaTheme="minorEastAsia"/>
        </w:rPr>
      </w:pPr>
      <w:r>
        <w:rPr>
          <w:rFonts w:eastAsiaTheme="minorEastAsia"/>
        </w:rPr>
        <w:t>The issuer runs the following bond positions:</w:t>
      </w:r>
    </w:p>
    <w:p w:rsidR="00397E59" w:rsidRPr="00AD25B8" w:rsidRDefault="00397E59" w:rsidP="00D83552">
      <w:pPr>
        <w:pStyle w:val="ListParagraph"/>
        <w:numPr>
          <w:ilvl w:val="1"/>
          <w:numId w:val="87"/>
        </w:numPr>
        <w:spacing w:after="160" w:line="360" w:lineRule="auto"/>
      </w:pPr>
      <w:r>
        <w:t xml:space="preserve">Invest of fund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by buying 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bonds.</w:t>
      </w:r>
    </w:p>
    <w:p w:rsidR="00397E59" w:rsidRPr="002D5569" w:rsidRDefault="00397E59" w:rsidP="00D83552">
      <w:pPr>
        <w:pStyle w:val="ListParagraph"/>
        <w:numPr>
          <w:ilvl w:val="1"/>
          <w:numId w:val="87"/>
        </w:numPr>
        <w:spacing w:after="160" w:line="360" w:lineRule="auto"/>
      </w:pPr>
      <w:r>
        <w:rPr>
          <w:rFonts w:eastAsiaTheme="minorEastAsia"/>
        </w:rPr>
        <w:t xml:space="preserve">Hold the number of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given the following funding constraint:</w:t>
      </w:r>
    </w:p>
    <w:p w:rsidR="00397E59" w:rsidRDefault="00397E59" w:rsidP="00397E59">
      <w:pPr>
        <w:pStyle w:val="ListParagraph"/>
        <w:spacing w:line="360" w:lineRule="auto"/>
        <w:ind w:left="1080"/>
        <w:rPr>
          <w:rFonts w:eastAsiaTheme="minorEastAsia"/>
        </w:rPr>
      </w:pPr>
    </w:p>
    <w:p w:rsidR="00397E59" w:rsidRPr="002D5569" w:rsidRDefault="005D6A21" w:rsidP="00397E59">
      <w:pPr>
        <w:pStyle w:val="ListParagraph"/>
        <w:spacing w:line="360" w:lineRule="auto"/>
        <w:ind w:left="108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C8550B" w:rsidRDefault="00397E59" w:rsidP="00397E59">
      <w:pPr>
        <w:pStyle w:val="ListParagraph"/>
        <w:spacing w:line="360" w:lineRule="auto"/>
        <w:ind w:left="1080"/>
      </w:pPr>
    </w:p>
    <w:p w:rsidR="00397E59" w:rsidRPr="002D5569" w:rsidRDefault="00397E59" w:rsidP="00D83552">
      <w:pPr>
        <w:pStyle w:val="ListParagraph"/>
        <w:numPr>
          <w:ilvl w:val="0"/>
          <w:numId w:val="87"/>
        </w:numPr>
        <w:spacing w:after="160" w:line="360" w:lineRule="auto"/>
      </w:pPr>
      <w:r>
        <w:rPr>
          <w:rFonts w:eastAsiaTheme="minorEastAsia"/>
          <w:u w:val="single"/>
        </w:rPr>
        <w:t>Corresponding Own-Portfolio Hedge Ratios</w:t>
      </w:r>
      <w:r>
        <w:rPr>
          <w:rFonts w:eastAsiaTheme="minorEastAsia"/>
        </w:rPr>
        <w:t xml:space="preserve">: The strategy is this defined by the following values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w:t>
      </w:r>
    </w:p>
    <w:p w:rsidR="00397E59" w:rsidRDefault="00397E59" w:rsidP="00397E59">
      <w:pPr>
        <w:pStyle w:val="ListParagraph"/>
        <w:spacing w:line="360" w:lineRule="auto"/>
        <w:ind w:left="360"/>
        <w:rPr>
          <w:rFonts w:eastAsiaTheme="minorEastAsia"/>
          <w:u w:val="single"/>
        </w:rPr>
      </w:pPr>
    </w:p>
    <w:p w:rsidR="00397E59" w:rsidRPr="002D5569" w:rsidRDefault="005D6A2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m:t>
              </m:r>
            </m:e>
          </m:d>
          <m:r>
            <w:rPr>
              <w:rFonts w:ascii="Cambria Math" w:eastAsiaTheme="minorEastAsia" w:hAnsi="Cambria Math"/>
            </w:rPr>
            <m:t>=U</m:t>
          </m:r>
        </m:oMath>
      </m:oMathPara>
    </w:p>
    <w:p w:rsidR="00397E59" w:rsidRDefault="00397E59" w:rsidP="00397E59">
      <w:pPr>
        <w:pStyle w:val="ListParagraph"/>
        <w:spacing w:line="360" w:lineRule="auto"/>
        <w:ind w:left="360"/>
        <w:rPr>
          <w:rFonts w:eastAsiaTheme="minorEastAsia"/>
        </w:rPr>
      </w:pPr>
    </w:p>
    <w:p w:rsidR="00397E59" w:rsidRPr="002D5569" w:rsidRDefault="005D6A2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V-X</m:t>
              </m:r>
            </m:e>
          </m:d>
        </m:oMath>
      </m:oMathPara>
    </w:p>
    <w:p w:rsidR="00397E59" w:rsidRPr="00C8550B" w:rsidRDefault="00397E59" w:rsidP="00397E59">
      <w:pPr>
        <w:pStyle w:val="ListParagraph"/>
        <w:spacing w:line="360" w:lineRule="auto"/>
        <w:ind w:left="360"/>
      </w:pPr>
    </w:p>
    <w:p w:rsidR="00397E59" w:rsidRPr="00C8550B" w:rsidRDefault="00397E59" w:rsidP="00D83552">
      <w:pPr>
        <w:pStyle w:val="ListParagraph"/>
        <w:numPr>
          <w:ilvl w:val="0"/>
          <w:numId w:val="87"/>
        </w:numPr>
        <w:spacing w:after="160" w:line="360" w:lineRule="auto"/>
      </w:pPr>
      <w:r>
        <w:rPr>
          <w:rFonts w:eastAsiaTheme="minorEastAsia"/>
          <w:u w:val="single"/>
        </w:rPr>
        <w:t>Collateral Adjusted Junior Bond Hedge</w:t>
      </w:r>
      <w:r>
        <w:rPr>
          <w:rFonts w:eastAsiaTheme="minorEastAsia"/>
        </w:rPr>
        <w:t xml:space="preserve">: The strategy is thus symmetric between positive and negative funding, and the risk-free value </w:t>
      </w:r>
      <m:oMath>
        <m:r>
          <w:rPr>
            <w:rFonts w:ascii="Cambria Math" w:eastAsiaTheme="minorEastAsia" w:hAnsi="Cambria Math"/>
          </w:rPr>
          <m:t>V</m:t>
        </m:r>
      </m:oMath>
      <w:r>
        <w:rPr>
          <w:rFonts w:eastAsiaTheme="minorEastAsia"/>
        </w:rPr>
        <w:t xml:space="preserve"> not covered by the collateral </w:t>
      </w:r>
      <m:oMath>
        <m:r>
          <w:rPr>
            <w:rFonts w:ascii="Cambria Math" w:eastAsiaTheme="minorEastAsia" w:hAnsi="Cambria Math"/>
          </w:rPr>
          <m:t>X</m:t>
        </m:r>
      </m:oMath>
      <w:r>
        <w:rPr>
          <w:rFonts w:eastAsiaTheme="minorEastAsia"/>
        </w:rPr>
        <w:t xml:space="preserve"> is funded/invested via own unsecured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Only the adjustment </w:t>
      </w:r>
      <m:oMath>
        <m:r>
          <w:rPr>
            <w:rFonts w:ascii="Cambria Math" w:eastAsiaTheme="minorEastAsia" w:hAnsi="Cambria Math"/>
          </w:rPr>
          <m:t>U</m:t>
        </m:r>
      </m:oMath>
      <w:r>
        <w:rPr>
          <w:rFonts w:eastAsiaTheme="minorEastAsia"/>
        </w:rPr>
        <w:t>, which falls away on own-default, is funded/invested via a zero-recovery bond. As such this strategy looks more palatable from a regulatory and accounting perspective than the perfect replication strategy which attempts to actively extract the funding spread from the balance sheet by issuing own senior bonds to buy back own junior bonds.</w:t>
      </w:r>
    </w:p>
    <w:p w:rsidR="00397E59" w:rsidRDefault="00397E59" w:rsidP="00D83552">
      <w:pPr>
        <w:pStyle w:val="ListParagraph"/>
        <w:numPr>
          <w:ilvl w:val="0"/>
          <w:numId w:val="87"/>
        </w:numPr>
        <w:tabs>
          <w:tab w:val="left" w:pos="7800"/>
        </w:tabs>
        <w:spacing w:after="160" w:line="360" w:lineRule="auto"/>
      </w:pPr>
      <w:r>
        <w:rPr>
          <w:rFonts w:eastAsiaTheme="minorEastAsia"/>
          <w:u w:val="single"/>
        </w:rPr>
        <w:t>Regular Bilateral Close-out Case</w:t>
      </w:r>
      <w:r w:rsidRPr="00C8550B">
        <w:t>:</w:t>
      </w:r>
      <w:r>
        <w:t xml:space="preserve"> This bond portfolio is equivalent to the one described in Burgard and Kjaer (2012a, 2012b) for the bilateral close-outs considered there. This section analyzes the setup in more detail for the case of regular bilateral close-out given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5D6A2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5D6A2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this case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specializes to</w:t>
      </w:r>
    </w:p>
    <w:p w:rsidR="00397E59" w:rsidRDefault="00397E59" w:rsidP="00397E59">
      <w:pPr>
        <w:pStyle w:val="ListParagraph"/>
        <w:tabs>
          <w:tab w:val="left" w:pos="7800"/>
        </w:tabs>
        <w:spacing w:line="360" w:lineRule="auto"/>
        <w:ind w:left="360"/>
        <w:rPr>
          <w:rFonts w:eastAsiaTheme="minorEastAsia"/>
        </w:rPr>
      </w:pPr>
    </w:p>
    <w:p w:rsidR="00397E59" w:rsidRDefault="005D6A2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852175" w:rsidRDefault="00397E59" w:rsidP="00397E59">
      <w:pPr>
        <w:pStyle w:val="ListParagraph"/>
        <w:tabs>
          <w:tab w:val="left" w:pos="7800"/>
        </w:tabs>
        <w:spacing w:line="360" w:lineRule="auto"/>
        <w:ind w:left="360"/>
      </w:pPr>
      <w:r>
        <w:rPr>
          <w:rFonts w:eastAsiaTheme="minorEastAsia"/>
        </w:rPr>
        <w:t>which is always a windfall – possibly zero – to the bondholders of the issuer.</w:t>
      </w:r>
    </w:p>
    <w:p w:rsidR="00397E59" w:rsidRPr="001E1E35" w:rsidRDefault="00397E59" w:rsidP="00D83552">
      <w:pPr>
        <w:pStyle w:val="ListParagraph"/>
        <w:numPr>
          <w:ilvl w:val="0"/>
          <w:numId w:val="87"/>
        </w:numPr>
        <w:tabs>
          <w:tab w:val="left" w:pos="7800"/>
        </w:tabs>
        <w:spacing w:after="160" w:line="360" w:lineRule="auto"/>
      </w:pPr>
      <w:r>
        <w:rPr>
          <w:rFonts w:eastAsiaTheme="minorEastAsia"/>
          <w:u w:val="single"/>
        </w:rPr>
        <w:t>Zero-Recovery Own Bond Off-setter</w:t>
      </w:r>
      <w:r>
        <w:rPr>
          <w:rFonts w:eastAsiaTheme="minorEastAsia"/>
        </w:rPr>
        <w:t xml:space="preserve">: Therefore this strategy is characterized by the ability of the issuer to perfectly hedge out the difference </w:t>
      </w:r>
      <m:oMath>
        <m:r>
          <w:rPr>
            <w:rFonts w:ascii="Cambria Math" w:eastAsiaTheme="minorEastAsia" w:hAnsi="Cambria Math"/>
          </w:rPr>
          <m:t>U</m:t>
        </m:r>
      </m:oMath>
      <w:r>
        <w:rPr>
          <w:rFonts w:eastAsiaTheme="minorEastAsia"/>
        </w:rPr>
        <w:t xml:space="preserve"> between the risky value of the derivative before own default and the close-out amount after own default by means of trading own bonds at zero-recovery.</w:t>
      </w:r>
    </w:p>
    <w:p w:rsidR="00397E59" w:rsidRPr="00D84B0E" w:rsidRDefault="005D6A21" w:rsidP="00D83552">
      <w:pPr>
        <w:pStyle w:val="ListParagraph"/>
        <w:numPr>
          <w:ilvl w:val="0"/>
          <w:numId w:val="87"/>
        </w:numPr>
        <w:tabs>
          <w:tab w:val="left" w:pos="7800"/>
        </w:tabs>
        <w:spacing w:after="160" w:line="360" w:lineRule="auto"/>
      </w:pP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oMath>
      <w:r w:rsidR="00397E59">
        <w:rPr>
          <w:rFonts w:eastAsiaTheme="minorEastAsia"/>
          <w:u w:val="single"/>
        </w:rPr>
        <w:t xml:space="preserve"> Recovery Own Bond Balance</w:t>
      </w:r>
      <w:r w:rsidR="00397E59">
        <w:t xml:space="preserve">: The remainder, i.e., the difference between the close-out and the collateral is invested/funded using own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sidR="00397E59">
        <w:rPr>
          <w:rFonts w:eastAsiaTheme="minorEastAsia"/>
        </w:rPr>
        <w:t xml:space="preserve">.This part generates </w:t>
      </w:r>
      <w:r w:rsidR="00397E59">
        <w:rPr>
          <w:rFonts w:eastAsiaTheme="minorEastAsia"/>
        </w:rPr>
        <w:lastRenderedPageBreak/>
        <w:t xml:space="preserve">the windfall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sidR="00397E59">
        <w:rPr>
          <w:rFonts w:eastAsiaTheme="minorEastAsia"/>
        </w:rPr>
        <w:t xml:space="preserve"> to the issuer’s bondholders when </w:t>
      </w:r>
      <m:oMath>
        <m:r>
          <w:rPr>
            <w:rFonts w:ascii="Cambria Math" w:eastAsiaTheme="minorEastAsia" w:hAnsi="Cambria Math"/>
          </w:rPr>
          <m:t>V-X</m:t>
        </m:r>
      </m:oMath>
      <w:r w:rsidR="00397E59">
        <w:rPr>
          <w:rFonts w:eastAsiaTheme="minorEastAsia"/>
        </w:rPr>
        <w:t xml:space="preserve"> is in the money and the issuer defaults.</w:t>
      </w:r>
    </w:p>
    <w:p w:rsidR="00397E59" w:rsidRPr="002D5569" w:rsidRDefault="00397E59" w:rsidP="00D83552">
      <w:pPr>
        <w:pStyle w:val="ListParagraph"/>
        <w:numPr>
          <w:ilvl w:val="0"/>
          <w:numId w:val="87"/>
        </w:numPr>
        <w:tabs>
          <w:tab w:val="left" w:pos="7800"/>
        </w:tabs>
        <w:spacing w:after="160" w:line="360" w:lineRule="auto"/>
      </w:pPr>
      <m:oMath>
        <m:r>
          <w:rPr>
            <w:rFonts w:ascii="Cambria Math" w:eastAsiaTheme="minorEastAsia" w:hAnsi="Cambria Math"/>
            <w:u w:val="single"/>
          </w:rPr>
          <m:t>CVA</m:t>
        </m:r>
      </m:oMath>
      <w:r w:rsidRPr="00D84B0E">
        <w:rPr>
          <w:rFonts w:eastAsiaTheme="minorEastAsia"/>
          <w:u w:val="single"/>
        </w:rPr>
        <w:t xml:space="preserve">, </w:t>
      </w:r>
      <m:oMath>
        <m:r>
          <w:rPr>
            <w:rFonts w:ascii="Cambria Math" w:eastAsiaTheme="minorEastAsia" w:hAnsi="Cambria Math"/>
            <w:u w:val="single"/>
          </w:rPr>
          <m:t>DVA</m:t>
        </m:r>
      </m:oMath>
      <w:r w:rsidRPr="00D84B0E">
        <w:rPr>
          <w:rFonts w:eastAsiaTheme="minorEastAsia"/>
          <w:u w:val="single"/>
        </w:rPr>
        <w:t xml:space="preserve">, </w:t>
      </w:r>
      <m:oMath>
        <m:r>
          <w:rPr>
            <w:rFonts w:ascii="Cambria Math" w:eastAsiaTheme="minorEastAsia" w:hAnsi="Cambria Math"/>
            <w:u w:val="single"/>
          </w:rPr>
          <m:t>FCA</m:t>
        </m:r>
      </m:oMath>
      <w:r w:rsidRPr="00D84B0E">
        <w:rPr>
          <w:rFonts w:eastAsiaTheme="minorEastAsia"/>
          <w:u w:val="single"/>
        </w:rPr>
        <w:t xml:space="preserve">, and </w:t>
      </w:r>
      <m:oMath>
        <m:r>
          <w:rPr>
            <w:rFonts w:ascii="Cambria Math" w:eastAsiaTheme="minorEastAsia" w:hAnsi="Cambria Math"/>
            <w:u w:val="single"/>
          </w:rPr>
          <m:t>COLVA</m:t>
        </m:r>
      </m:oMath>
      <w:r>
        <w:rPr>
          <w:rFonts w:eastAsiaTheme="minorEastAsia"/>
        </w:rPr>
        <w:t xml:space="preserve">: The </w:t>
      </w:r>
      <m:oMath>
        <m:r>
          <w:rPr>
            <w:rFonts w:ascii="Cambria Math" w:eastAsiaTheme="minorEastAsia" w:hAnsi="Cambria Math"/>
          </w:rPr>
          <m:t>CVA</m:t>
        </m:r>
      </m:oMath>
      <w:r>
        <w:rPr>
          <w:rFonts w:eastAsiaTheme="minorEastAsia"/>
        </w:rPr>
        <w:t xml:space="preserve">, the </w:t>
      </w:r>
      <m:oMath>
        <m:r>
          <w:rPr>
            <w:rFonts w:ascii="Cambria Math" w:eastAsiaTheme="minorEastAsia" w:hAnsi="Cambria Math"/>
          </w:rPr>
          <m:t>DVA</m:t>
        </m:r>
      </m:oMath>
      <w:r>
        <w:rPr>
          <w:rFonts w:eastAsiaTheme="minorEastAsia"/>
        </w:rPr>
        <w:t xml:space="preserve">, the </w:t>
      </w:r>
      <m:oMath>
        <m:r>
          <w:rPr>
            <w:rFonts w:ascii="Cambria Math" w:eastAsiaTheme="minorEastAsia" w:hAnsi="Cambria Math"/>
          </w:rPr>
          <m:t>FCA</m:t>
        </m:r>
      </m:oMath>
      <w:r>
        <w:rPr>
          <w:rFonts w:eastAsiaTheme="minorEastAsia"/>
        </w:rPr>
        <w:t xml:space="preserve">, and the </w:t>
      </w:r>
      <m:oMath>
        <m:r>
          <w:rPr>
            <w:rFonts w:ascii="Cambria Math" w:eastAsiaTheme="minorEastAsia" w:hAnsi="Cambria Math"/>
          </w:rPr>
          <m:t>COLVA</m:t>
        </m:r>
      </m:oMath>
      <w:r>
        <w:rPr>
          <w:rFonts w:eastAsiaTheme="minorEastAsia"/>
        </w:rPr>
        <w:t xml:space="preserve"> specialize to</w:t>
      </w:r>
    </w:p>
    <w:p w:rsidR="00397E59" w:rsidRPr="002D556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2D5569" w:rsidRDefault="00397E59" w:rsidP="00397E59">
      <w:pPr>
        <w:pStyle w:val="ListParagraph"/>
        <w:tabs>
          <w:tab w:val="left" w:pos="7800"/>
        </w:tabs>
        <w:spacing w:line="360" w:lineRule="auto"/>
        <w:ind w:left="360"/>
        <w:rPr>
          <w:rFonts w:eastAsiaTheme="minorEastAsia"/>
        </w:rPr>
      </w:pPr>
    </w:p>
    <w:p w:rsidR="00397E59" w:rsidRPr="002D5569" w:rsidRDefault="00397E59" w:rsidP="00D83552">
      <w:pPr>
        <w:pStyle w:val="ListParagraph"/>
        <w:numPr>
          <w:ilvl w:val="0"/>
          <w:numId w:val="87"/>
        </w:numPr>
        <w:tabs>
          <w:tab w:val="left" w:pos="7800"/>
        </w:tabs>
        <w:spacing w:after="160" w:line="360" w:lineRule="auto"/>
      </w:pPr>
      <w:r w:rsidRPr="00703EBD">
        <w:rPr>
          <w:u w:val="single"/>
        </w:rPr>
        <w:t xml:space="preserve">Consolidation of the </w:t>
      </w:r>
      <m:oMath>
        <m:r>
          <w:rPr>
            <w:rFonts w:ascii="Cambria Math" w:hAnsi="Cambria Math"/>
            <w:u w:val="single"/>
          </w:rPr>
          <m:t>DVA</m:t>
        </m:r>
      </m:oMath>
      <w:r w:rsidRPr="00703EBD">
        <w:rPr>
          <w:rFonts w:eastAsiaTheme="minorEastAsia"/>
          <w:u w:val="single"/>
        </w:rPr>
        <w:t xml:space="preserve"> and the </w:t>
      </w:r>
      <m:oMath>
        <m:r>
          <w:rPr>
            <w:rFonts w:ascii="Cambria Math" w:hAnsi="Cambria Math"/>
            <w:u w:val="single"/>
          </w:rPr>
          <m:t>FCA</m:t>
        </m:r>
      </m:oMath>
      <w:r>
        <w:rPr>
          <w:rFonts w:eastAsiaTheme="minorEastAsia"/>
        </w:rPr>
        <w:t xml:space="preserve">: It is possible to combine the </w:t>
      </w:r>
      <m:oMath>
        <m:r>
          <w:rPr>
            <w:rFonts w:ascii="Cambria Math" w:hAnsi="Cambria Math"/>
          </w:rPr>
          <m:t>DVA</m:t>
        </m:r>
      </m:oMath>
      <w:r>
        <w:rPr>
          <w:rFonts w:eastAsiaTheme="minorEastAsia"/>
        </w:rPr>
        <w:t xml:space="preserve"> (a funding benefit) and </w:t>
      </w:r>
      <m:oMath>
        <m:r>
          <w:rPr>
            <w:rFonts w:ascii="Cambria Math" w:hAnsi="Cambria Math"/>
          </w:rPr>
          <m:t>FCA</m:t>
        </m:r>
      </m:oMath>
      <w:r>
        <w:rPr>
          <w:rFonts w:eastAsiaTheme="minorEastAsia"/>
        </w:rPr>
        <w:t xml:space="preserve"> (a funding cost) into a funding value </w:t>
      </w:r>
      <m:oMath>
        <m:r>
          <w:rPr>
            <w:rFonts w:ascii="Cambria Math" w:hAnsi="Cambria Math"/>
          </w:rPr>
          <m:t>FVA</m:t>
        </m:r>
      </m:oMath>
      <w:r>
        <w:rPr>
          <w:rFonts w:eastAsiaTheme="minorEastAsia"/>
        </w:rPr>
        <w:t xml:space="preserve">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FVA=DVA+FCA= -</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0F6F13" w:rsidRDefault="00397E59" w:rsidP="00397E59">
      <w:pPr>
        <w:pStyle w:val="ListParagraph"/>
        <w:tabs>
          <w:tab w:val="left" w:pos="7800"/>
        </w:tabs>
        <w:spacing w:line="360" w:lineRule="auto"/>
        <w:ind w:left="360"/>
      </w:pPr>
      <w:r>
        <w:rPr>
          <w:rFonts w:eastAsiaTheme="minorEastAsia"/>
        </w:rPr>
        <w:t xml:space="preserve">Note that Hull and White (2012a, 2012b) refer to this </w:t>
      </w:r>
      <m:oMath>
        <m:r>
          <w:rPr>
            <w:rFonts w:ascii="Cambria Math" w:hAnsi="Cambria Math"/>
          </w:rPr>
          <m:t>FC</m:t>
        </m:r>
        <m:r>
          <w:rPr>
            <w:rFonts w:ascii="Cambria Math" w:hAnsi="Cambria Math"/>
          </w:rPr>
          <m:t>A</m:t>
        </m:r>
      </m:oMath>
      <w:r>
        <w:rPr>
          <w:rFonts w:eastAsiaTheme="minorEastAsia"/>
        </w:rPr>
        <w:t xml:space="preserve"> as </w:t>
      </w:r>
      <m:oMath>
        <m:r>
          <w:rPr>
            <w:rFonts w:ascii="Cambria Math" w:hAnsi="Cambria Math"/>
          </w:rPr>
          <m:t>FVA</m:t>
        </m:r>
      </m:oMath>
      <w:r>
        <w:rPr>
          <w:rFonts w:eastAsiaTheme="minorEastAsia"/>
        </w:rPr>
        <w:t>. Burgard and Kjaer (2013) use the notation that is consistent with their previous papers and with Gregory (2012).</w:t>
      </w:r>
    </w:p>
    <w:p w:rsidR="00397E59" w:rsidRPr="002D5569" w:rsidRDefault="00397E59" w:rsidP="00D83552">
      <w:pPr>
        <w:pStyle w:val="ListParagraph"/>
        <w:numPr>
          <w:ilvl w:val="0"/>
          <w:numId w:val="87"/>
        </w:numPr>
        <w:tabs>
          <w:tab w:val="left" w:pos="7800"/>
        </w:tabs>
        <w:spacing w:after="160" w:line="360" w:lineRule="auto"/>
      </w:pPr>
      <w:r>
        <w:rPr>
          <w:u w:val="single"/>
        </w:rPr>
        <w:t xml:space="preserve">Uncollateralized Classical Bilateral </w:t>
      </w:r>
      <m:oMath>
        <m:r>
          <w:rPr>
            <w:rFonts w:ascii="Cambria Math" w:hAnsi="Cambria Math"/>
            <w:u w:val="single"/>
          </w:rPr>
          <m:t>CVA/DVA</m:t>
        </m:r>
      </m:oMath>
      <w:r>
        <w:rPr>
          <w:rFonts w:eastAsiaTheme="minorEastAsia"/>
        </w:rPr>
        <w:t>: For uncollateralized derivatives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 xml:space="preserve">and the </w:t>
      </w:r>
      <m:oMath>
        <m:r>
          <w:rPr>
            <w:rFonts w:ascii="Cambria Math" w:hAnsi="Cambria Math"/>
          </w:rPr>
          <m:t>COLVA</m:t>
        </m:r>
      </m:oMath>
      <w:r>
        <w:rPr>
          <w:rFonts w:eastAsiaTheme="minorEastAsia"/>
        </w:rPr>
        <w:t xml:space="preserve"> term vanishes. The </w:t>
      </w:r>
      <m:oMath>
        <m:r>
          <w:rPr>
            <w:rFonts w:ascii="Cambria Math" w:hAnsi="Cambria Math"/>
          </w:rPr>
          <m:t>CVA</m:t>
        </m:r>
      </m:oMath>
      <w:r>
        <w:rPr>
          <w:rFonts w:eastAsiaTheme="minorEastAsia"/>
        </w:rPr>
        <w:t xml:space="preserve"> and the </w:t>
      </w:r>
      <m:oMath>
        <m:r>
          <w:rPr>
            <w:rFonts w:ascii="Cambria Math" w:hAnsi="Cambria Math"/>
          </w:rPr>
          <m:t>DVA</m:t>
        </m:r>
      </m:oMath>
      <w:r>
        <w:rPr>
          <w:rFonts w:eastAsiaTheme="minorEastAsia"/>
        </w:rPr>
        <w:t xml:space="preserve"> then correspond to the classical bilateral </w:t>
      </w:r>
      <m:oMath>
        <m:r>
          <w:rPr>
            <w:rFonts w:ascii="Cambria Math" w:hAnsi="Cambria Math"/>
          </w:rPr>
          <m:t>CVA</m:t>
        </m:r>
      </m:oMath>
      <w:r>
        <w:rPr>
          <w:rFonts w:eastAsiaTheme="minorEastAsia"/>
        </w:rPr>
        <w:t xml:space="preserve">. The </w:t>
      </w:r>
      <m:oMath>
        <m:r>
          <w:rPr>
            <w:rFonts w:ascii="Cambria Math" w:hAnsi="Cambria Math"/>
          </w:rPr>
          <m:t>FCA</m:t>
        </m:r>
      </m:oMath>
      <w:r>
        <w:rPr>
          <w:rFonts w:eastAsiaTheme="minorEastAsia"/>
        </w:rPr>
        <w:t xml:space="preserve"> term provides the funding cost adjustment on top.</w:t>
      </w:r>
    </w:p>
    <w:p w:rsidR="00397E59" w:rsidRDefault="00397E59" w:rsidP="00D83552">
      <w:pPr>
        <w:pStyle w:val="ListParagraph"/>
        <w:numPr>
          <w:ilvl w:val="0"/>
          <w:numId w:val="87"/>
        </w:numPr>
        <w:tabs>
          <w:tab w:val="left" w:pos="7800"/>
        </w:tabs>
        <w:spacing w:after="160" w:line="360" w:lineRule="auto"/>
      </w:pPr>
      <w:r>
        <w:rPr>
          <w:u w:val="single"/>
        </w:rPr>
        <w:t>Gold-Plated Two-Way CSA</w:t>
      </w:r>
      <w:r>
        <w:t>: For gold-plated two-way CSAs where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FVA</m:t>
        </m:r>
      </m:oMath>
      <w:r>
        <w:rPr>
          <w:rFonts w:eastAsiaTheme="minorEastAsia"/>
        </w:rPr>
        <w:t xml:space="preserve"> terms are all zero. If the collateral rate is the risk-free rate, then the </w:t>
      </w:r>
      <m:oMath>
        <m:r>
          <w:rPr>
            <w:rFonts w:ascii="Cambria Math" w:hAnsi="Cambria Math"/>
          </w:rPr>
          <m:t>COLVA</m:t>
        </m:r>
      </m:oMath>
      <w:r>
        <w:rPr>
          <w:rFonts w:eastAsiaTheme="minorEastAsia"/>
        </w:rPr>
        <w:t xml:space="preserve"> – which represents the spread earned by the issuer – also vanishes. In this case the risky price </w:t>
      </w:r>
      <m:oMath>
        <m:acc>
          <m:accPr>
            <m:ctrlPr>
              <w:rPr>
                <w:rFonts w:ascii="Cambria Math" w:hAnsi="Cambria Math"/>
                <w:i/>
              </w:rPr>
            </m:ctrlPr>
          </m:accPr>
          <m:e>
            <m:r>
              <w:rPr>
                <w:rFonts w:ascii="Cambria Math" w:hAnsi="Cambria Math"/>
              </w:rPr>
              <m:t>V</m:t>
            </m:r>
          </m:e>
        </m:acc>
      </m:oMath>
      <w:r>
        <w:rPr>
          <w:rFonts w:eastAsiaTheme="minorEastAsia"/>
        </w:rPr>
        <w:t xml:space="preserve"> of the derivative becomes the risk-free price </w:t>
      </w:r>
      <m:oMath>
        <m:r>
          <w:rPr>
            <w:rFonts w:ascii="Cambria Math" w:hAnsi="Cambria Math"/>
          </w:rPr>
          <m:t>V</m:t>
        </m:r>
      </m:oMath>
      <w:r>
        <w:rPr>
          <w:rFonts w:eastAsiaTheme="minorEastAsia"/>
        </w:rPr>
        <w:t xml:space="preserve"> as well. The intuition is that the collateral cash is exactly what is needed to fund the hedge and eliminate all counterparty risk and as a consequence</w:t>
      </w:r>
    </w:p>
    <w:p w:rsidR="00397E59" w:rsidRDefault="00397E59" w:rsidP="00397E59">
      <w:pPr>
        <w:pStyle w:val="ListParagraph"/>
        <w:tabs>
          <w:tab w:val="left" w:pos="7800"/>
        </w:tabs>
        <w:spacing w:line="360" w:lineRule="auto"/>
        <w:ind w:left="360"/>
        <w:rPr>
          <w:rFonts w:eastAsiaTheme="minorEastAsia"/>
        </w:rPr>
      </w:pPr>
    </w:p>
    <w:p w:rsidR="00397E59" w:rsidRDefault="005D6A2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This corresponds to the result for fully collateralized trades of Piterbarg (2010).</w:t>
      </w:r>
    </w:p>
    <w:p w:rsidR="00397E59" w:rsidRDefault="00397E59" w:rsidP="00D83552">
      <w:pPr>
        <w:pStyle w:val="ListParagraph"/>
        <w:numPr>
          <w:ilvl w:val="0"/>
          <w:numId w:val="87"/>
        </w:numPr>
        <w:tabs>
          <w:tab w:val="left" w:pos="7800"/>
        </w:tabs>
        <w:spacing w:after="160" w:line="360" w:lineRule="auto"/>
      </w:pPr>
      <w:r>
        <w:rPr>
          <w:u w:val="single"/>
        </w:rPr>
        <w:t>One-Way CSA Issuer Posting</w:t>
      </w:r>
      <w:r>
        <w:t>: Another special case worth considering is that of a one-way CSA whereby the issuer only posts collateral when the risk-free value of the trade is out-of-the-money,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One-way CSAs are common when the issuer trades with sovereign counterparties or with sovereign-like public entities.</w:t>
      </w:r>
    </w:p>
    <w:p w:rsidR="00397E59" w:rsidRDefault="00397E59" w:rsidP="00D83552">
      <w:pPr>
        <w:pStyle w:val="ListParagraph"/>
        <w:numPr>
          <w:ilvl w:val="0"/>
          <w:numId w:val="87"/>
        </w:numPr>
        <w:tabs>
          <w:tab w:val="left" w:pos="7800"/>
        </w:tabs>
        <w:spacing w:after="160" w:line="360" w:lineRule="auto"/>
      </w:pPr>
      <w:r>
        <w:rPr>
          <w:u w:val="single"/>
        </w:rPr>
        <w:t>One-Way CSA Valuation Adjustments</w:t>
      </w:r>
      <w:r>
        <w:t>: In this case the adjustments specialize to</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5E3933" w:rsidRDefault="00397E59" w:rsidP="00397E59">
      <w:pPr>
        <w:pStyle w:val="ListParagraph"/>
        <w:tabs>
          <w:tab w:val="left" w:pos="7800"/>
        </w:tabs>
        <w:spacing w:line="360" w:lineRule="auto"/>
        <w:ind w:left="360"/>
      </w:pPr>
      <w:r>
        <w:rPr>
          <w:rFonts w:eastAsiaTheme="minorEastAsia"/>
        </w:rPr>
        <w:t xml:space="preserve">Unsurprisingly the introduction of one-way CSA makes the </w:t>
      </w:r>
      <m:oMath>
        <m:r>
          <w:rPr>
            <w:rFonts w:ascii="Cambria Math" w:hAnsi="Cambria Math"/>
          </w:rPr>
          <m:t>DVA</m:t>
        </m:r>
      </m:oMath>
      <w:r>
        <w:rPr>
          <w:rFonts w:eastAsiaTheme="minorEastAsia"/>
        </w:rPr>
        <w:t xml:space="preserve"> vanish while leaving the </w:t>
      </w:r>
      <m:oMath>
        <m:r>
          <w:rPr>
            <w:rFonts w:ascii="Cambria Math" w:hAnsi="Cambria Math"/>
          </w:rPr>
          <m:t>CVA</m:t>
        </m:r>
      </m:oMath>
      <w:r>
        <w:rPr>
          <w:rFonts w:eastAsiaTheme="minorEastAsia"/>
        </w:rPr>
        <w:t xml:space="preserve"> and the </w:t>
      </w:r>
      <m:oMath>
        <m:r>
          <w:rPr>
            <w:rFonts w:ascii="Cambria Math" w:hAnsi="Cambria Math"/>
          </w:rPr>
          <m:t>FCA</m:t>
        </m:r>
      </m:oMath>
      <w:r>
        <w:rPr>
          <w:rFonts w:eastAsiaTheme="minorEastAsia"/>
        </w:rPr>
        <w:t xml:space="preserve"> terms unchanged.</w:t>
      </w:r>
    </w:p>
    <w:p w:rsidR="00397E59" w:rsidRPr="00BA7197" w:rsidRDefault="00397E59" w:rsidP="00D83552">
      <w:pPr>
        <w:pStyle w:val="ListParagraph"/>
        <w:numPr>
          <w:ilvl w:val="0"/>
          <w:numId w:val="87"/>
        </w:numPr>
        <w:tabs>
          <w:tab w:val="left" w:pos="7800"/>
        </w:tabs>
        <w:spacing w:after="160" w:line="360" w:lineRule="auto"/>
      </w:pPr>
      <w:r>
        <w:rPr>
          <w:u w:val="single"/>
        </w:rPr>
        <w:t>Implication of One-Way CSA</w:t>
      </w:r>
      <w:r>
        <w:t>: Unlike the uncollateralized case any cash available when the derivative is out-of-the-money must be handed over as collateral and thus cannot be used to generate a funding benefit. And unlike two-way CSA there is no influx of collateral cash that can be used to fund the hedge when the derivative is in-the-money. The issuer is thus faced with the uncollateralized and the 2-way cases, and need to charge a higher price to the counterparty to compensate for that in order to break even.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Set-offs</w:t>
      </w:r>
    </w:p>
    <w:p w:rsidR="00397E59" w:rsidRDefault="00397E59" w:rsidP="00397E59">
      <w:pPr>
        <w:tabs>
          <w:tab w:val="left" w:pos="7800"/>
        </w:tabs>
        <w:spacing w:line="360" w:lineRule="auto"/>
      </w:pPr>
    </w:p>
    <w:p w:rsidR="00397E59" w:rsidRDefault="00397E59" w:rsidP="00D83552">
      <w:pPr>
        <w:pStyle w:val="ListParagraph"/>
        <w:numPr>
          <w:ilvl w:val="0"/>
          <w:numId w:val="88"/>
        </w:numPr>
        <w:tabs>
          <w:tab w:val="left" w:pos="7800"/>
        </w:tabs>
        <w:spacing w:after="160" w:line="360" w:lineRule="auto"/>
      </w:pPr>
      <w:r w:rsidRPr="00BE7332">
        <w:rPr>
          <w:u w:val="single"/>
        </w:rPr>
        <w:t>Definition of the Set-off Mechanism</w:t>
      </w:r>
      <w:r w:rsidRPr="00BE7332">
        <w:t>: It is also instructive to study the case of the so-called set-offs. A set-off is a legal agreement that allows the surviving party to settle the outstanding derivative claims of the defaulting party by means of supplying the bonds of the defaulting p</w:t>
      </w:r>
      <w:r>
        <w:t>arty at nominal value rather tha</w:t>
      </w:r>
      <w:r w:rsidRPr="00BE7332">
        <w:t>n cash.</w:t>
      </w:r>
    </w:p>
    <w:p w:rsidR="00397E59" w:rsidRDefault="00397E59" w:rsidP="00D83552">
      <w:pPr>
        <w:pStyle w:val="ListParagraph"/>
        <w:numPr>
          <w:ilvl w:val="0"/>
          <w:numId w:val="88"/>
        </w:numPr>
        <w:tabs>
          <w:tab w:val="left" w:pos="7800"/>
        </w:tabs>
        <w:spacing w:after="160" w:line="360" w:lineRule="auto"/>
      </w:pPr>
      <w:r>
        <w:rPr>
          <w:u w:val="single"/>
        </w:rPr>
        <w:t>Boundary Conditions for Set-offs</w:t>
      </w:r>
      <w:r w:rsidRPr="00BE7332">
        <w:t>:</w:t>
      </w:r>
      <w:r>
        <w:t xml:space="preserve"> Since post-default these bonds trade at their recoveries, this type of settlement is valuable to the surviving party. Explicitly for regular bilateral set-offs without collateral, the boundary conditions are given by</w:t>
      </w:r>
    </w:p>
    <w:p w:rsidR="00397E59" w:rsidRDefault="00397E59" w:rsidP="00397E59">
      <w:pPr>
        <w:pStyle w:val="ListParagraph"/>
        <w:tabs>
          <w:tab w:val="left" w:pos="7800"/>
        </w:tabs>
        <w:spacing w:line="360" w:lineRule="auto"/>
        <w:ind w:left="360"/>
        <w:rPr>
          <w:u w:val="single"/>
        </w:rPr>
      </w:pPr>
    </w:p>
    <w:p w:rsidR="00397E59" w:rsidRDefault="005D6A2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5D6A2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Inserting this into</w:t>
      </w:r>
    </w:p>
    <w:p w:rsidR="00397E59" w:rsidRDefault="00397E59" w:rsidP="00397E59">
      <w:pPr>
        <w:pStyle w:val="ListParagraph"/>
        <w:tabs>
          <w:tab w:val="left" w:pos="7800"/>
        </w:tabs>
        <w:spacing w:line="360" w:lineRule="auto"/>
        <w:ind w:left="360"/>
        <w:rPr>
          <w:rFonts w:eastAsiaTheme="minorEastAsia"/>
        </w:rPr>
      </w:pPr>
    </w:p>
    <w:p w:rsidR="00397E59" w:rsidRDefault="005D6A2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5D6A2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V-X</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r>
        <w:rPr>
          <w:rFonts w:eastAsiaTheme="minorEastAsia"/>
        </w:rPr>
        <w:t xml:space="preserve">implies that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disappears.</w:t>
      </w:r>
    </w:p>
    <w:p w:rsidR="00397E59" w:rsidRDefault="00397E59" w:rsidP="00D83552">
      <w:pPr>
        <w:pStyle w:val="ListParagraph"/>
        <w:numPr>
          <w:ilvl w:val="0"/>
          <w:numId w:val="88"/>
        </w:numPr>
        <w:tabs>
          <w:tab w:val="left" w:pos="7800"/>
        </w:tabs>
        <w:spacing w:after="160" w:line="360" w:lineRule="auto"/>
      </w:pPr>
      <w:r>
        <w:rPr>
          <w:u w:val="single"/>
        </w:rPr>
        <w:t>Set-offs CVA and DVA</w:t>
      </w:r>
      <w:r>
        <w:t>: The CVA and the DVA adjustments in this case are given by</w:t>
      </w:r>
    </w:p>
    <w:p w:rsidR="00397E59" w:rsidRDefault="00397E59" w:rsidP="00397E59">
      <w:pPr>
        <w:pStyle w:val="ListParagraph"/>
        <w:tabs>
          <w:tab w:val="left" w:pos="7800"/>
        </w:tabs>
        <w:spacing w:line="360" w:lineRule="auto"/>
        <w:ind w:left="360"/>
        <w:rPr>
          <w:u w:val="single"/>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BE7332" w:rsidRDefault="00397E59" w:rsidP="00397E59">
      <w:pPr>
        <w:pStyle w:val="ListParagraph"/>
        <w:tabs>
          <w:tab w:val="left" w:pos="7800"/>
        </w:tabs>
        <w:spacing w:line="360" w:lineRule="auto"/>
        <w:ind w:left="360"/>
      </w:pPr>
    </w:p>
    <w:p w:rsidR="00397E59" w:rsidRDefault="00397E59" w:rsidP="00D83552">
      <w:pPr>
        <w:pStyle w:val="ListParagraph"/>
        <w:numPr>
          <w:ilvl w:val="0"/>
          <w:numId w:val="88"/>
        </w:numPr>
        <w:tabs>
          <w:tab w:val="left" w:pos="7800"/>
        </w:tabs>
        <w:spacing w:after="160" w:line="360" w:lineRule="auto"/>
      </w:pPr>
      <w:r>
        <w:rPr>
          <w:u w:val="single"/>
        </w:rPr>
        <w:t>Issuer and Counterparty Price Symmetry</w:t>
      </w:r>
      <w:r>
        <w:t>: Significantly with</w:t>
      </w:r>
    </w:p>
    <w:p w:rsidR="00397E59" w:rsidRDefault="00397E59" w:rsidP="00397E59">
      <w:pPr>
        <w:pStyle w:val="ListParagraph"/>
        <w:tabs>
          <w:tab w:val="left" w:pos="7800"/>
        </w:tabs>
        <w:spacing w:line="360" w:lineRule="auto"/>
        <w:ind w:left="360"/>
        <w:rPr>
          <w:u w:val="single"/>
        </w:rPr>
      </w:pPr>
    </w:p>
    <w:p w:rsidR="00397E59" w:rsidRDefault="005D6A2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r>
        <w:rPr>
          <w:rFonts w:eastAsiaTheme="minorEastAsia"/>
        </w:rPr>
        <w:t>the FCA term vanishes resulting in symmetric prices between the issuer and the counterparty. Thus adoption of close-outs would mitigate the need for economic funding for adjustments.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a Single Bond</w:t>
      </w:r>
    </w:p>
    <w:p w:rsidR="00397E59" w:rsidRDefault="00397E59" w:rsidP="00397E59">
      <w:pPr>
        <w:tabs>
          <w:tab w:val="left" w:pos="7800"/>
        </w:tabs>
        <w:spacing w:line="360" w:lineRule="auto"/>
      </w:pPr>
    </w:p>
    <w:p w:rsidR="00397E59" w:rsidRDefault="00397E59" w:rsidP="00D83552">
      <w:pPr>
        <w:pStyle w:val="ListParagraph"/>
        <w:numPr>
          <w:ilvl w:val="0"/>
          <w:numId w:val="89"/>
        </w:numPr>
        <w:tabs>
          <w:tab w:val="left" w:pos="7800"/>
        </w:tabs>
        <w:spacing w:after="160" w:line="360" w:lineRule="auto"/>
        <w:rPr>
          <w:rFonts w:eastAsiaTheme="minorEastAsia"/>
        </w:rPr>
      </w:pPr>
      <w:r w:rsidRPr="00FF36C3">
        <w:rPr>
          <w:u w:val="single"/>
        </w:rPr>
        <w:t xml:space="preserve">Strategy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Pr="00FF36C3">
        <w:rPr>
          <w:rFonts w:eastAsiaTheme="minorEastAsia"/>
          <w:u w:val="single"/>
        </w:rPr>
        <w:t xml:space="preserve"> Hedge Ratios</w:t>
      </w:r>
      <w:r>
        <w:rPr>
          <w:rFonts w:eastAsiaTheme="minorEastAsia"/>
        </w:rPr>
        <w:t xml:space="preserve">: This section considers a very simple strategy where the issuer uses a single own bond with recovery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i.e.,</w:t>
      </w:r>
    </w:p>
    <w:p w:rsidR="00397E59" w:rsidRDefault="00397E59" w:rsidP="00397E59">
      <w:pPr>
        <w:pStyle w:val="ListParagraph"/>
        <w:tabs>
          <w:tab w:val="left" w:pos="7800"/>
        </w:tabs>
        <w:spacing w:line="360" w:lineRule="auto"/>
        <w:ind w:left="360"/>
        <w:rPr>
          <w:u w:val="single"/>
        </w:rPr>
      </w:pPr>
    </w:p>
    <w:p w:rsidR="00397E59" w:rsidRDefault="005D6A2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5D6A2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V+U-X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 the second line follows 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Default="005D6A21"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-X+</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aesthetic reasons the remaining bond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and its yield are relabeled</w:t>
      </w:r>
    </w:p>
    <w:p w:rsidR="00397E59" w:rsidRDefault="00397E59" w:rsidP="00397E59">
      <w:pPr>
        <w:pStyle w:val="ListParagraph"/>
        <w:tabs>
          <w:tab w:val="left" w:pos="7800"/>
        </w:tabs>
        <w:spacing w:line="360" w:lineRule="auto"/>
        <w:ind w:left="360"/>
        <w:rPr>
          <w:rFonts w:eastAsiaTheme="minorEastAsia"/>
        </w:rPr>
      </w:pPr>
    </w:p>
    <w:p w:rsidR="00397E59" w:rsidRDefault="005D6A2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hedge ratios imply that the issuer raises all necessary net cash by issuing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-bonds and invests any surplus net cash by repurchasing the same bonds.</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Insufficient Hedge Degrees of Freedom</w:t>
      </w:r>
      <w:r w:rsidRPr="0055465E">
        <w:rPr>
          <w:rFonts w:eastAsiaTheme="minorEastAsia"/>
        </w:rPr>
        <w:t>:</w:t>
      </w:r>
      <w:r>
        <w:rPr>
          <w:rFonts w:eastAsiaTheme="minorEastAsia"/>
        </w:rPr>
        <w:t xml:space="preserve"> With a single bond, once the funding constraint is fulfilled, there are no degrees of freedom left for the issuer to hedge out his own default. This is in contrast to the previous setup of strategy I where the issuer is able to hedge out its own default risk when the trade is out-of-the-money at least.</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Hedge Error Produced by the Strategy</w:t>
      </w:r>
      <w:r w:rsidRPr="0055465E">
        <w:rPr>
          <w:rFonts w:eastAsiaTheme="minorEastAsia"/>
        </w:rPr>
        <w:t>:</w:t>
      </w:r>
      <w:r>
        <w:rPr>
          <w:rFonts w:eastAsiaTheme="minorEastAsia"/>
        </w:rPr>
        <w:t xml:space="preserve"> For the own bond portfolios with the hedge ratios above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amount to</w:t>
      </w:r>
    </w:p>
    <w:p w:rsidR="00397E59" w:rsidRDefault="00397E59" w:rsidP="00397E59">
      <w:pPr>
        <w:pStyle w:val="ListParagraph"/>
        <w:tabs>
          <w:tab w:val="left" w:pos="7800"/>
        </w:tabs>
        <w:spacing w:line="360" w:lineRule="auto"/>
        <w:ind w:left="360"/>
        <w:rPr>
          <w:u w:val="single"/>
        </w:rPr>
      </w:pPr>
    </w:p>
    <w:p w:rsidR="00397E59" w:rsidRDefault="005D6A2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 the default value of the own bond portfolio given by</w:t>
      </w:r>
    </w:p>
    <w:p w:rsidR="00397E59" w:rsidRDefault="00397E59" w:rsidP="00397E59">
      <w:pPr>
        <w:pStyle w:val="ListParagraph"/>
        <w:tabs>
          <w:tab w:val="left" w:pos="7800"/>
        </w:tabs>
        <w:spacing w:line="360" w:lineRule="auto"/>
        <w:ind w:left="360"/>
        <w:rPr>
          <w:rFonts w:eastAsiaTheme="minorEastAsia"/>
        </w:rPr>
      </w:pPr>
    </w:p>
    <w:p w:rsidR="00397E59" w:rsidRDefault="005D6A2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has been used.</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Recursive Setup Formulation for the FCA</w:t>
      </w:r>
      <w:r w:rsidRPr="0072718C">
        <w:rPr>
          <w:rFonts w:eastAsiaTheme="minorEastAsia"/>
        </w:rPr>
        <w:t>:</w:t>
      </w:r>
      <w:r>
        <w:rPr>
          <w:rFonts w:eastAsiaTheme="minorEastAsia"/>
        </w:rPr>
        <w:t xml:space="preserve"> Using this hedge error in the general adjustment expression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yields a recursive relationship. This is because</w:t>
      </w:r>
    </w:p>
    <w:p w:rsidR="00397E59" w:rsidRDefault="00397E59" w:rsidP="00397E59">
      <w:pPr>
        <w:pStyle w:val="ListParagraph"/>
        <w:tabs>
          <w:tab w:val="left" w:pos="7800"/>
        </w:tabs>
        <w:spacing w:line="360" w:lineRule="auto"/>
        <w:ind w:left="360"/>
        <w:rPr>
          <w:rFonts w:eastAsiaTheme="minorEastAsia"/>
        </w:rPr>
      </w:pPr>
    </w:p>
    <w:p w:rsidR="00397E59" w:rsidRDefault="005D6A21"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appearing on the RHS of the expression for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above includes the contribution from </w:t>
      </w:r>
      <m:oMath>
        <m:r>
          <w:rPr>
            <w:rFonts w:ascii="Cambria Math" w:eastAsiaTheme="minorEastAsia" w:hAnsi="Cambria Math"/>
          </w:rPr>
          <m:t>U</m:t>
        </m:r>
      </m:oMath>
      <w:r>
        <w:rPr>
          <w:rFonts w:eastAsiaTheme="minorEastAsia"/>
        </w:rPr>
        <w:t xml:space="preserve"> and thus the FCA itself.</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 xml:space="preserve">Elimination of Recursion </w:t>
      </w:r>
      <w:r w:rsidR="00451A26">
        <w:rPr>
          <w:u w:val="single"/>
        </w:rPr>
        <w:t>w</w:t>
      </w:r>
      <w:r>
        <w:rPr>
          <w:u w:val="single"/>
        </w:rPr>
        <w:t>ith the Original PDE</w:t>
      </w:r>
      <w:r w:rsidRPr="00512AB6">
        <w:rPr>
          <w:rFonts w:eastAsiaTheme="minorEastAsia"/>
        </w:rPr>
        <w:t>:</w:t>
      </w:r>
      <w:r>
        <w:rPr>
          <w:rFonts w:eastAsiaTheme="minorEastAsia"/>
        </w:rPr>
        <w:t xml:space="preserve"> The best way to deal with this situation is by going back to the PDE</w:t>
      </w:r>
    </w:p>
    <w:p w:rsidR="00397E59" w:rsidRDefault="00397E59" w:rsidP="00397E59">
      <w:pPr>
        <w:pStyle w:val="ListParagraph"/>
        <w:tabs>
          <w:tab w:val="left" w:pos="7800"/>
        </w:tabs>
        <w:spacing w:line="360" w:lineRule="auto"/>
        <w:ind w:left="360"/>
        <w:rPr>
          <w:u w:val="single"/>
        </w:rPr>
      </w:pPr>
    </w:p>
    <w:p w:rsidR="00397E59" w:rsidRDefault="005D6A21"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insert the hedge error above to obtain</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5D6A21"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5D6A21"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D83552">
      <w:pPr>
        <w:pStyle w:val="ListParagraph"/>
        <w:numPr>
          <w:ilvl w:val="0"/>
          <w:numId w:val="89"/>
        </w:numPr>
        <w:tabs>
          <w:tab w:val="left" w:pos="7800"/>
        </w:tabs>
        <w:spacing w:after="160" w:line="360" w:lineRule="auto"/>
        <w:rPr>
          <w:rFonts w:eastAsiaTheme="minorEastAsia"/>
        </w:rPr>
      </w:pPr>
      <w:r>
        <w:rPr>
          <w:u w:val="single"/>
        </w:rPr>
        <w:t>Uncollateralized Discounting-with-</w:t>
      </w:r>
      <w:r w:rsidRPr="00512AB6">
        <w:rPr>
          <w:u w:val="single"/>
        </w:rPr>
        <w:t xml:space="preserve"> </w:t>
      </w:r>
      <w:r>
        <w:rPr>
          <w:u w:val="single"/>
        </w:rPr>
        <w:t>Funding Approach</w:t>
      </w:r>
      <w:r>
        <w:t xml:space="preserve">: The boundary condition </w:t>
      </w:r>
      <m:oMath>
        <m:sSub>
          <m:sSubPr>
            <m:ctrlPr>
              <w:rPr>
                <w:rFonts w:ascii="Cambria Math" w:hAnsi="Cambria Math"/>
                <w:i/>
              </w:rPr>
            </m:ctrlPr>
          </m:sSubPr>
          <m:e>
            <m:r>
              <w:rPr>
                <w:rFonts w:ascii="Cambria Math" w:hAnsi="Cambria Math"/>
              </w:rPr>
              <m:t>g</m:t>
            </m:r>
          </m:e>
          <m:sub>
            <m:r>
              <w:rPr>
                <w:rFonts w:ascii="Cambria Math" w:hAnsi="Cambria Math"/>
              </w:rPr>
              <m:t>B</m:t>
            </m:r>
          </m:sub>
        </m:sSub>
      </m:oMath>
      <w:r>
        <w:t xml:space="preserve"> does not enter – this is because in this strategy there is no attempt to hedge own default. It is worth noting that for uncollateralized trades, i.e., trades with</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zero counterparty risk –</w:t>
      </w:r>
    </w:p>
    <w:p w:rsidR="00397E59" w:rsidRDefault="00397E59" w:rsidP="00397E59">
      <w:pPr>
        <w:pStyle w:val="ListParagraph"/>
        <w:tabs>
          <w:tab w:val="left" w:pos="7800"/>
        </w:tabs>
        <w:spacing w:line="360" w:lineRule="auto"/>
        <w:ind w:left="360"/>
        <w:rPr>
          <w:rFonts w:eastAsiaTheme="minorEastAsia"/>
        </w:rPr>
      </w:pPr>
    </w:p>
    <w:p w:rsidR="00397E59" w:rsidRDefault="005D6A2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the PDE specializes to a simple funding-with-discounting approach as in Piterbarg (2010).</w:t>
      </w:r>
    </w:p>
    <w:p w:rsidR="00397E59" w:rsidRPr="00D223F9" w:rsidRDefault="00397E59" w:rsidP="00D83552">
      <w:pPr>
        <w:pStyle w:val="ListParagraph"/>
        <w:numPr>
          <w:ilvl w:val="0"/>
          <w:numId w:val="89"/>
        </w:numPr>
        <w:tabs>
          <w:tab w:val="left" w:pos="7800"/>
        </w:tabs>
        <w:spacing w:after="160" w:line="360" w:lineRule="auto"/>
        <w:rPr>
          <w:rFonts w:eastAsiaTheme="minorEastAsia"/>
        </w:rPr>
      </w:pPr>
      <w:r>
        <w:rPr>
          <w:u w:val="single"/>
        </w:rPr>
        <w:t>Special Case – Discounting-with-Funding</w:t>
      </w:r>
      <w:r>
        <w:t>: Thus discounting-with-funding is a special case of this strategy and assumes that the issuer deals with any funding requirement or surplus by using a single funding instrument and is happy to generate a windfall or shortfall upon own default.</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PDE for Gross Valuation Adjustment</w:t>
      </w:r>
      <w:r w:rsidRPr="00D223F9">
        <w:rPr>
          <w:rFonts w:eastAsiaTheme="minorEastAsia"/>
        </w:rPr>
        <w:t>:</w:t>
      </w:r>
      <w:r>
        <w:rPr>
          <w:rFonts w:eastAsiaTheme="minorEastAsia"/>
        </w:rPr>
        <w:t xml:space="preserve"> Similarly inserting the hedging error</w:t>
      </w:r>
    </w:p>
    <w:p w:rsidR="00397E59" w:rsidRDefault="00397E59" w:rsidP="00397E59">
      <w:pPr>
        <w:pStyle w:val="ListParagraph"/>
        <w:tabs>
          <w:tab w:val="left" w:pos="7800"/>
        </w:tabs>
        <w:spacing w:line="360" w:lineRule="auto"/>
        <w:ind w:left="360"/>
        <w:rPr>
          <w:u w:val="single"/>
        </w:rPr>
      </w:pPr>
    </w:p>
    <w:p w:rsidR="00397E59" w:rsidRDefault="005D6A2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into the PDE</w:t>
      </w:r>
    </w:p>
    <w:p w:rsidR="00397E59" w:rsidRDefault="00397E59" w:rsidP="00397E59">
      <w:pPr>
        <w:pStyle w:val="ListParagraph"/>
        <w:tabs>
          <w:tab w:val="left" w:pos="7800"/>
        </w:tabs>
        <w:spacing w:line="360" w:lineRule="auto"/>
        <w:ind w:left="360"/>
        <w:rPr>
          <w:rFonts w:eastAsiaTheme="minorEastAsia"/>
        </w:rPr>
      </w:pPr>
    </w:p>
    <w:p w:rsidR="00397E59" w:rsidRDefault="005D6A21"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gives the adjustment </w:t>
      </w:r>
      <m:oMath>
        <m:r>
          <w:rPr>
            <w:rFonts w:ascii="Cambria Math" w:hAnsi="Cambria Math"/>
          </w:rPr>
          <m:t>U</m:t>
        </m:r>
      </m:oMath>
      <w:r>
        <w:rPr>
          <w:rFonts w:eastAsiaTheme="minorEastAsia"/>
        </w:rPr>
        <w:t xml:space="preserve"> for this strategy as</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5D6A21"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V-X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D83552">
      <w:pPr>
        <w:pStyle w:val="ListParagraph"/>
        <w:numPr>
          <w:ilvl w:val="0"/>
          <w:numId w:val="89"/>
        </w:numPr>
        <w:tabs>
          <w:tab w:val="left" w:pos="7800"/>
        </w:tabs>
        <w:spacing w:after="160" w:line="360" w:lineRule="auto"/>
        <w:rPr>
          <w:rFonts w:eastAsiaTheme="minorEastAsia"/>
        </w:rPr>
      </w:pPr>
      <w:r>
        <w:rPr>
          <w:u w:val="single"/>
        </w:rPr>
        <w:t>Collateralized Regular Bilateral Close-outs</w:t>
      </w:r>
      <w:r>
        <w:t>: This step carries out an analysis of the regular bilateral close-outs with collateral as given in</w:t>
      </w:r>
    </w:p>
    <w:p w:rsidR="00397E59" w:rsidRDefault="00397E59" w:rsidP="00397E59">
      <w:pPr>
        <w:pStyle w:val="ListParagraph"/>
        <w:tabs>
          <w:tab w:val="left" w:pos="7800"/>
        </w:tabs>
        <w:spacing w:line="360" w:lineRule="auto"/>
        <w:ind w:left="360"/>
        <w:rPr>
          <w:u w:val="single"/>
        </w:rPr>
      </w:pPr>
    </w:p>
    <w:p w:rsidR="00397E59" w:rsidRDefault="005D6A2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5D6A2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For these</w:t>
      </w:r>
    </w:p>
    <w:p w:rsidR="00397E59" w:rsidRDefault="00397E59" w:rsidP="00397E59">
      <w:pPr>
        <w:pStyle w:val="ListParagraph"/>
        <w:tabs>
          <w:tab w:val="left" w:pos="7800"/>
        </w:tabs>
        <w:spacing w:line="360" w:lineRule="auto"/>
        <w:ind w:left="360"/>
        <w:rPr>
          <w:rFonts w:eastAsiaTheme="minorEastAsia"/>
        </w:rPr>
      </w:pPr>
    </w:p>
    <w:p w:rsidR="00397E59" w:rsidRDefault="005D6A2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Applying the Feynman-Kac theorem we obtain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5D6A2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5D6A2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5D6A2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OLVA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5D6A21" w:rsidP="00D83552">
      <w:pPr>
        <w:pStyle w:val="ListParagraph"/>
        <w:numPr>
          <w:ilvl w:val="0"/>
          <w:numId w:val="89"/>
        </w:numPr>
        <w:tabs>
          <w:tab w:val="left" w:pos="7800"/>
        </w:tabs>
        <w:spacing w:after="160" w:line="360" w:lineRule="auto"/>
        <w:rPr>
          <w:rFonts w:eastAsiaTheme="minorEastAsia"/>
        </w:rPr>
      </w:pPr>
      <m:oMath>
        <m:sSub>
          <m:sSubPr>
            <m:ctrlPr>
              <w:rPr>
                <w:rFonts w:ascii="Cambria Math" w:hAnsi="Cambria Math"/>
                <w:i/>
                <w:u w:val="single"/>
              </w:rPr>
            </m:ctrlPr>
          </m:sSubPr>
          <m:e>
            <m:r>
              <w:rPr>
                <w:rFonts w:ascii="Cambria Math" w:hAnsi="Cambria Math"/>
                <w:u w:val="single"/>
              </w:rPr>
              <m:t>DVA</m:t>
            </m:r>
          </m:e>
          <m:sub>
            <m:r>
              <w:rPr>
                <w:rFonts w:ascii="Cambria Math" w:hAnsi="Cambria Math"/>
                <w:u w:val="single"/>
              </w:rPr>
              <m:t>F</m:t>
            </m:r>
          </m:sub>
        </m:sSub>
      </m:oMath>
      <w:r w:rsidR="00397E59">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F</m:t>
            </m:r>
          </m:sub>
        </m:sSub>
      </m:oMath>
      <w:r w:rsidR="00397E59" w:rsidRPr="00C43AC6">
        <w:rPr>
          <w:rFonts w:eastAsiaTheme="minorEastAsia"/>
          <w:u w:val="single"/>
        </w:rPr>
        <w:t xml:space="preserve"> as </w:t>
      </w:r>
      <m:oMath>
        <m:sSub>
          <m:sSubPr>
            <m:ctrlPr>
              <w:rPr>
                <w:rFonts w:ascii="Cambria Math" w:hAnsi="Cambria Math"/>
                <w:i/>
                <w:u w:val="single"/>
              </w:rPr>
            </m:ctrlPr>
          </m:sSubPr>
          <m:e>
            <m:r>
              <w:rPr>
                <w:rFonts w:ascii="Cambria Math" w:hAnsi="Cambria Math"/>
                <w:u w:val="single"/>
              </w:rPr>
              <m:t>FVA</m:t>
            </m:r>
          </m:e>
          <m:sub>
            <m:r>
              <w:rPr>
                <w:rFonts w:ascii="Cambria Math" w:hAnsi="Cambria Math"/>
                <w:u w:val="single"/>
              </w:rPr>
              <m:t>F</m:t>
            </m:r>
          </m:sub>
        </m:sSub>
      </m:oMath>
      <w:r w:rsidR="00397E59">
        <w:rPr>
          <w:rFonts w:eastAsiaTheme="minorEastAsia"/>
        </w:rPr>
        <w:t xml:space="preserve">: Combining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sidR="00397E59">
        <w:rPr>
          <w:rFonts w:eastAsiaTheme="minorEastAsia"/>
        </w:rPr>
        <w:t xml:space="preserve"> and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sidR="00397E59">
        <w:rPr>
          <w:rFonts w:eastAsiaTheme="minorEastAsia"/>
        </w:rPr>
        <w:t xml:space="preserve"> into </w:t>
      </w:r>
      <m:oMath>
        <m:sSub>
          <m:sSubPr>
            <m:ctrlPr>
              <w:rPr>
                <w:rFonts w:ascii="Cambria Math" w:hAnsi="Cambria Math"/>
                <w:i/>
              </w:rPr>
            </m:ctrlPr>
          </m:sSubPr>
          <m:e>
            <m:r>
              <w:rPr>
                <w:rFonts w:ascii="Cambria Math" w:hAnsi="Cambria Math"/>
              </w:rPr>
              <m:t>FVA</m:t>
            </m:r>
          </m:e>
          <m:sub>
            <m:r>
              <w:rPr>
                <w:rFonts w:ascii="Cambria Math" w:hAnsi="Cambria Math"/>
              </w:rPr>
              <m:t>F</m:t>
            </m:r>
          </m:sub>
        </m:sSub>
      </m:oMath>
      <w:r w:rsidR="00397E59">
        <w:rPr>
          <w:rFonts w:eastAsiaTheme="minorEastAsia"/>
        </w:rPr>
        <w:t xml:space="preserve"> results in</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Pr="007F27A3" w:rsidRDefault="005D6A2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7F27A3" w:rsidRDefault="00397E59" w:rsidP="00397E59">
      <w:pPr>
        <w:pStyle w:val="ListParagraph"/>
        <w:tabs>
          <w:tab w:val="left" w:pos="7800"/>
        </w:tabs>
        <w:spacing w:line="360" w:lineRule="auto"/>
        <w:ind w:left="360"/>
        <w:rPr>
          <w:rFonts w:eastAsiaTheme="minorEastAsia"/>
        </w:rPr>
      </w:pPr>
    </w:p>
    <w:p w:rsidR="00397E59" w:rsidRDefault="00397E59" w:rsidP="00D83552">
      <w:pPr>
        <w:pStyle w:val="ListParagraph"/>
        <w:numPr>
          <w:ilvl w:val="0"/>
          <w:numId w:val="89"/>
        </w:numPr>
        <w:tabs>
          <w:tab w:val="left" w:pos="7800"/>
        </w:tabs>
        <w:spacing w:after="160" w:line="360" w:lineRule="auto"/>
        <w:rPr>
          <w:rFonts w:eastAsiaTheme="minorEastAsia"/>
        </w:rPr>
      </w:pPr>
      <w:r w:rsidRPr="00D90DF8">
        <w:rPr>
          <w:rFonts w:eastAsiaTheme="minorEastAsia"/>
          <w:u w:val="single"/>
        </w:rPr>
        <w:t>Comparison with the No Shortfall Case</w:t>
      </w:r>
      <w:r>
        <w:rPr>
          <w:rFonts w:eastAsiaTheme="minorEastAsia"/>
        </w:rPr>
        <w:t xml:space="preserve">: These adjustments are very similar to the ones in the strategy described in </w:t>
      </w:r>
      <w:r>
        <w:rPr>
          <w:rFonts w:eastAsiaTheme="minorEastAsia"/>
          <w:i/>
        </w:rPr>
        <w:t>semi-replication with no shortfall at own default</w:t>
      </w:r>
      <w:r>
        <w:rPr>
          <w:rFonts w:eastAsiaTheme="minorEastAsia"/>
        </w:rPr>
        <w:t xml:space="preserve"> except that the discounting used is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rather than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There is no reference to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only to the funding rate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xml:space="preserve"> of the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bond used in the own-bond portfolio of the semi-replication strategy.</w:t>
      </w:r>
    </w:p>
    <w:p w:rsidR="00397E59" w:rsidRDefault="00397E59" w:rsidP="00D83552">
      <w:pPr>
        <w:pStyle w:val="ListParagraph"/>
        <w:numPr>
          <w:ilvl w:val="0"/>
          <w:numId w:val="89"/>
        </w:numPr>
        <w:tabs>
          <w:tab w:val="left" w:pos="7800"/>
        </w:tabs>
        <w:spacing w:after="160" w:line="360" w:lineRule="auto"/>
        <w:rPr>
          <w:rFonts w:eastAsiaTheme="minorEastAsia"/>
        </w:rPr>
      </w:pPr>
      <w:r>
        <w:rPr>
          <w:rFonts w:eastAsiaTheme="minorEastAsia"/>
          <w:u w:val="single"/>
        </w:rPr>
        <w:t>Inapplicability as Generalized Valuation Adjustment</w:t>
      </w:r>
      <w:r w:rsidRPr="00D90DF8">
        <w:rPr>
          <w:rFonts w:eastAsiaTheme="minorEastAsia"/>
        </w:rPr>
        <w:t>:</w:t>
      </w:r>
      <w:r>
        <w:rPr>
          <w:rFonts w:eastAsiaTheme="minorEastAsia"/>
        </w:rPr>
        <w:t xml:space="preserve"> It should be noted that the adjustments </w:t>
      </w:r>
      <m:oMath>
        <m:sSub>
          <m:sSubPr>
            <m:ctrlPr>
              <w:rPr>
                <w:rFonts w:ascii="Cambria Math" w:hAnsi="Cambria Math"/>
                <w:i/>
              </w:rPr>
            </m:ctrlPr>
          </m:sSubPr>
          <m:e>
            <m:r>
              <w:rPr>
                <w:rFonts w:ascii="Cambria Math" w:hAnsi="Cambria Math"/>
              </w:rPr>
              <m:t>CVA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and </w:t>
      </w:r>
      <m:oMath>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are not direct specializations of the general adjustments defined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particular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does not correspond anymore to the discounted expectation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upon default.</w:t>
      </w:r>
    </w:p>
    <w:p w:rsidR="00397E59" w:rsidRDefault="00397E59" w:rsidP="00D83552">
      <w:pPr>
        <w:pStyle w:val="ListParagraph"/>
        <w:numPr>
          <w:ilvl w:val="0"/>
          <w:numId w:val="89"/>
        </w:numPr>
        <w:tabs>
          <w:tab w:val="left" w:pos="7800"/>
        </w:tabs>
        <w:spacing w:after="160" w:line="360" w:lineRule="auto"/>
        <w:rPr>
          <w:rFonts w:eastAsiaTheme="minorEastAsia"/>
        </w:rPr>
      </w:pPr>
      <m:oMath>
        <m:r>
          <w:rPr>
            <w:rFonts w:ascii="Cambria Math" w:eastAsiaTheme="minorEastAsia" w:hAnsi="Cambria Math"/>
            <w:u w:val="single"/>
          </w:rPr>
          <m:t>F</m:t>
        </m:r>
        <m:r>
          <w:rPr>
            <w:rFonts w:ascii="Cambria Math" w:hAnsi="Cambria Math"/>
            <w:u w:val="single"/>
          </w:rPr>
          <m:t>CA</m:t>
        </m:r>
      </m:oMath>
      <w:r>
        <w:rPr>
          <w:rFonts w:eastAsiaTheme="minorEastAsia"/>
          <w:u w:val="single"/>
        </w:rPr>
        <w:t xml:space="preserve"> As Collateralized Adjustment Difference</w:t>
      </w:r>
      <w:r w:rsidRPr="00D90DF8">
        <w:rPr>
          <w:rFonts w:eastAsiaTheme="minorEastAsia"/>
        </w:rPr>
        <w:t>:</w:t>
      </w:r>
      <w:r>
        <w:rPr>
          <w:rFonts w:eastAsiaTheme="minorEastAsia"/>
        </w:rPr>
        <w:t xml:space="preserve"> Obviously the expectation above for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still equals the difference between </w:t>
      </w:r>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and the classical bilateral </w:t>
      </w:r>
      <m:oMath>
        <m:r>
          <w:rPr>
            <w:rFonts w:ascii="Cambria Math" w:hAnsi="Cambria Math"/>
          </w:rPr>
          <m:t>CVA</m:t>
        </m:r>
      </m:oMath>
      <w:r>
        <w:rPr>
          <w:rFonts w:eastAsiaTheme="minorEastAsia"/>
        </w:rPr>
        <w:t xml:space="preserve"> with collateral. The </w:t>
      </w:r>
      <m:oMath>
        <m:r>
          <w:rPr>
            <w:rFonts w:ascii="Cambria Math" w:hAnsi="Cambria Math"/>
          </w:rPr>
          <m:t>FCA</m:t>
        </m:r>
      </m:oMath>
      <w:r>
        <w:rPr>
          <w:rFonts w:eastAsiaTheme="minorEastAsia"/>
        </w:rPr>
        <w:t xml:space="preserve"> of</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can thus be calculated as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w:r>
        <w:rPr>
          <w:rFonts w:eastAsiaTheme="minorEastAsia"/>
        </w:rPr>
        <w:t xml:space="preserve">The adjustments of the special cases of uncollateralized, gold-plated 2-way CSA, and 1-way CSA can then be derived easily equivalently to those in the strategy </w:t>
      </w:r>
      <w:r>
        <w:rPr>
          <w:rFonts w:eastAsiaTheme="minorEastAsia"/>
          <w:i/>
        </w:rPr>
        <w:t>semi-replication with no shortfall at own default</w:t>
      </w:r>
      <w:r>
        <w:rPr>
          <w:rFonts w:eastAsiaTheme="minorEastAsia"/>
        </w:rPr>
        <w:t>.</w:t>
      </w:r>
    </w:p>
    <w:p w:rsidR="00397E59" w:rsidRPr="0072532A" w:rsidRDefault="00397E59" w:rsidP="00D83552">
      <w:pPr>
        <w:pStyle w:val="ListParagraph"/>
        <w:numPr>
          <w:ilvl w:val="0"/>
          <w:numId w:val="89"/>
        </w:numPr>
        <w:tabs>
          <w:tab w:val="left" w:pos="7800"/>
        </w:tabs>
        <w:spacing w:after="160" w:line="360" w:lineRule="auto"/>
        <w:rPr>
          <w:rFonts w:eastAsiaTheme="minorEastAsia"/>
        </w:rPr>
      </w:pPr>
      <w:r w:rsidRPr="0072532A">
        <w:rPr>
          <w:rFonts w:eastAsiaTheme="minorEastAsia"/>
          <w:u w:val="single"/>
        </w:rPr>
        <w:t>Simplicity and Relevance of the Strategy</w:t>
      </w:r>
      <w:r>
        <w:rPr>
          <w:rFonts w:eastAsiaTheme="minorEastAsia"/>
        </w:rPr>
        <w:t>: The strategy specified above is thus very simple to understand and implement. It is also of practical relevance not least because dealers who simply discount by the funding rate assume this strategy implicitly (for zero counterparty risk), including potential windfalls and shortfalls to their estate upon own default.</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Burgard and Kjaer (2013) Case Study</w:t>
      </w:r>
    </w:p>
    <w:p w:rsidR="00397E59" w:rsidRDefault="00397E59" w:rsidP="00397E59">
      <w:pPr>
        <w:tabs>
          <w:tab w:val="left" w:pos="7800"/>
        </w:tabs>
        <w:spacing w:line="360" w:lineRule="auto"/>
      </w:pPr>
    </w:p>
    <w:p w:rsidR="00397E59" w:rsidRDefault="00397E59" w:rsidP="00D83552">
      <w:pPr>
        <w:pStyle w:val="ListParagraph"/>
        <w:numPr>
          <w:ilvl w:val="0"/>
          <w:numId w:val="90"/>
        </w:numPr>
        <w:tabs>
          <w:tab w:val="left" w:pos="7800"/>
        </w:tabs>
        <w:spacing w:after="160" w:line="360" w:lineRule="auto"/>
      </w:pPr>
      <w:r w:rsidRPr="00B81761">
        <w:rPr>
          <w:u w:val="single"/>
        </w:rPr>
        <w:lastRenderedPageBreak/>
        <w:t>Strategy Specific Valuation Asymmetry Estimation</w:t>
      </w:r>
      <w:r w:rsidRPr="00B81761">
        <w:t>: Burgard and Kjaer (2013) provide an illustrative case study for the generalized bilateral CVA – the sum of CVA from</w:t>
      </w:r>
    </w:p>
    <w:p w:rsidR="00397E59" w:rsidRDefault="00397E59" w:rsidP="00397E59">
      <w:pPr>
        <w:pStyle w:val="ListParagraph"/>
        <w:tabs>
          <w:tab w:val="left" w:pos="7800"/>
        </w:tabs>
        <w:spacing w:after="160" w:line="360" w:lineRule="auto"/>
        <w:ind w:left="360"/>
        <w:rPr>
          <w:u w:val="single"/>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DVA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and the generalized FCA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 xml:space="preserve">and the valuation asymmetries for strategies I and II computed from the perspective of the issuer and the counterparty (i.e., with counterparty’s FCA) respectively together with the issuer’s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rsidRPr="00B81761">
        <w:rPr>
          <w:rFonts w:eastAsiaTheme="minorEastAsia"/>
        </w:rPr>
        <w:t xml:space="preserve"> in case of immediate default of the issuer for three sample trades. For strategy II the FCA is computed as per</w:t>
      </w:r>
    </w:p>
    <w:p w:rsidR="00397E59" w:rsidRDefault="00397E59" w:rsidP="00397E59">
      <w:pPr>
        <w:pStyle w:val="ListParagraph"/>
        <w:tabs>
          <w:tab w:val="left" w:pos="7800"/>
        </w:tabs>
        <w:spacing w:after="160" w:line="360" w:lineRule="auto"/>
        <w:ind w:left="360"/>
        <w:rPr>
          <w:rFonts w:eastAsiaTheme="minorEastAsia"/>
        </w:rPr>
      </w:pPr>
    </w:p>
    <w:p w:rsidR="00397E59" w:rsidRPr="009A4F17" w:rsidRDefault="00397E59" w:rsidP="00397E59">
      <w:pPr>
        <w:pStyle w:val="ListParagraph"/>
        <w:tabs>
          <w:tab w:val="left" w:pos="7800"/>
        </w:tabs>
        <w:spacing w:after="160" w:line="360" w:lineRule="auto"/>
        <w:ind w:left="360"/>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m:t>
              </m:r>
              <m:r>
                <w:rPr>
                  <w:rFonts w:ascii="Cambria Math" w:hAnsi="Cambria Math"/>
                </w:rPr>
                <m:t>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Pr="00B81761" w:rsidRDefault="00397E59" w:rsidP="00397E59">
      <w:pPr>
        <w:pStyle w:val="ListParagraph"/>
        <w:tabs>
          <w:tab w:val="left" w:pos="7800"/>
        </w:tabs>
        <w:spacing w:after="160" w:line="360" w:lineRule="auto"/>
        <w:ind w:left="360"/>
      </w:pPr>
    </w:p>
    <w:p w:rsidR="00397E59" w:rsidRDefault="00397E59" w:rsidP="00D83552">
      <w:pPr>
        <w:pStyle w:val="ListParagraph"/>
        <w:numPr>
          <w:ilvl w:val="0"/>
          <w:numId w:val="90"/>
        </w:numPr>
        <w:tabs>
          <w:tab w:val="left" w:pos="7800"/>
        </w:tabs>
        <w:spacing w:after="160" w:line="360" w:lineRule="auto"/>
      </w:pPr>
      <w:r>
        <w:rPr>
          <w:u w:val="single"/>
        </w:rPr>
        <w:t>ITM, ATM, and OTM Swaps</w:t>
      </w:r>
      <w:r>
        <w:t>: The sample trades are 10Y swaps with $100m notional where the issuer pays fixed and receives 6M LIBOR floating. Burgard and Kjaer (2013) consider different close-out provisions for 3 fixed rates – 3.093% (OTM), 2.693% (ATM), and 2.293% (ITM).</w:t>
      </w:r>
    </w:p>
    <w:p w:rsidR="00397E59" w:rsidRDefault="00397E59" w:rsidP="00D83552">
      <w:pPr>
        <w:pStyle w:val="ListParagraph"/>
        <w:numPr>
          <w:ilvl w:val="0"/>
          <w:numId w:val="90"/>
        </w:numPr>
        <w:tabs>
          <w:tab w:val="left" w:pos="7800"/>
        </w:tabs>
        <w:spacing w:after="160" w:line="360" w:lineRule="auto"/>
      </w:pPr>
      <w:r>
        <w:rPr>
          <w:u w:val="single"/>
        </w:rPr>
        <w:t>Dealer Specific Funding Value Adjustments</w:t>
      </w:r>
      <w:r w:rsidRPr="00B81761">
        <w:t>:</w:t>
      </w:r>
      <w:r>
        <w:t xml:space="preserve"> The adjustments computed from the perspective of the counterparty show that if both sides include their funding costs their economic values </w:t>
      </w:r>
      <w:r>
        <w:lastRenderedPageBreak/>
        <w:t>may be far apart and the two parties may not agree on the deal. If the counterparty does not include the funding costs in general it will deal with the issuer with the lowest funding costs.</w:t>
      </w:r>
    </w:p>
    <w:p w:rsidR="00397E59" w:rsidRDefault="00397E59" w:rsidP="00D83552">
      <w:pPr>
        <w:pStyle w:val="ListParagraph"/>
        <w:numPr>
          <w:ilvl w:val="0"/>
          <w:numId w:val="90"/>
        </w:numPr>
        <w:tabs>
          <w:tab w:val="left" w:pos="7800"/>
        </w:tabs>
        <w:spacing w:after="160" w:line="360" w:lineRule="auto"/>
      </w:pPr>
      <w:r>
        <w:rPr>
          <w:u w:val="single"/>
        </w:rPr>
        <w:t>Differences between Strategies I and II</w:t>
      </w:r>
      <w:r w:rsidRPr="00B81761">
        <w:t>:</w:t>
      </w:r>
      <w:r>
        <w:t xml:space="preserve"> As shown in Burgard and Kjaer (2013) the differences between the adjustments of the strategies I and II are in general not particularly big (they increase with funding rate), but as expected strategy II has potentially significant shortfalls upon issuer default, whereas strategy I only generates windfalls.</w:t>
      </w:r>
    </w:p>
    <w:p w:rsidR="00397E59" w:rsidRDefault="00397E59" w:rsidP="00D83552">
      <w:pPr>
        <w:pStyle w:val="ListParagraph"/>
        <w:numPr>
          <w:ilvl w:val="0"/>
          <w:numId w:val="90"/>
        </w:numPr>
        <w:tabs>
          <w:tab w:val="left" w:pos="7800"/>
        </w:tabs>
        <w:spacing w:after="160" w:line="360" w:lineRule="auto"/>
      </w:pPr>
      <w:r>
        <w:rPr>
          <w:u w:val="single"/>
        </w:rPr>
        <w:t>Impact of using Setoffs</w:t>
      </w:r>
      <w:r w:rsidRPr="00B81761">
        <w:t>:</w:t>
      </w:r>
      <w:r>
        <w:t xml:space="preserve"> As discussed earlier, when using set-offs the impact of the funding cost is mitigated. When following the strategy I the FCA vanishes completely and symmetric prices are obtained. Even when implementing strategy II the FCA prices are pretty small and the prices are close to being symmetric. Setoff close-outs are an attractive way of mitigating the need for funding cost adjustments.</w:t>
      </w:r>
    </w:p>
    <w:p w:rsidR="00397E59" w:rsidRDefault="00397E59" w:rsidP="00D83552">
      <w:pPr>
        <w:pStyle w:val="ListParagraph"/>
        <w:numPr>
          <w:ilvl w:val="0"/>
          <w:numId w:val="90"/>
        </w:numPr>
        <w:tabs>
          <w:tab w:val="left" w:pos="7800"/>
        </w:tabs>
        <w:spacing w:after="160" w:line="360" w:lineRule="auto"/>
      </w:pPr>
      <w:r>
        <w:rPr>
          <w:u w:val="single"/>
        </w:rPr>
        <w:t>Asymmetric Valuation and Hedge Error</w:t>
      </w:r>
      <w:r w:rsidRPr="002947BD">
        <w:t>:</w:t>
      </w:r>
      <w:r>
        <w:t xml:space="preserve"> Burgard and Kjaer (2013) show how asymmetric valuation and hedging error can vary across funding strategies I and II outlined above, and how they interact with CSA’s and set-offs. Each in turn prices an out-of-the money (OTM), at-the-money (ATM), and in-the-money (ITM) 10Y $100m swap with the OTM and the ITM swaps 40 bp either side of the ATM level.</w:t>
      </w:r>
    </w:p>
    <w:p w:rsidR="00397E59" w:rsidRDefault="00397E59" w:rsidP="00D83552">
      <w:pPr>
        <w:pStyle w:val="ListParagraph"/>
        <w:numPr>
          <w:ilvl w:val="0"/>
          <w:numId w:val="90"/>
        </w:numPr>
        <w:tabs>
          <w:tab w:val="left" w:pos="7800"/>
        </w:tabs>
        <w:spacing w:after="160" w:line="360" w:lineRule="auto"/>
      </w:pPr>
      <w:r>
        <w:rPr>
          <w:u w:val="single"/>
        </w:rPr>
        <w:t>Impact of the Issuer Bond Spread</w:t>
      </w:r>
      <w:r w:rsidRPr="00657BB1">
        <w:t>:</w:t>
      </w:r>
      <w:r>
        <w:t xml:space="preserve"> Issuer bond spreads are considered at 100 bp and 500 bp respectively, while the counterparty spread is set constant at 300 bp. Total adjustments are calculated for the issuer and the counterparty as well as the bilateral CVA and the hedging error. Uncollateralized one-way CSAs in the counterparty’s favor, as well as cases including a set-off are also considered.</w:t>
      </w:r>
    </w:p>
    <w:p w:rsidR="00397E59" w:rsidRDefault="00397E59" w:rsidP="00D83552">
      <w:pPr>
        <w:pStyle w:val="ListParagraph"/>
        <w:numPr>
          <w:ilvl w:val="0"/>
          <w:numId w:val="90"/>
        </w:numPr>
        <w:tabs>
          <w:tab w:val="left" w:pos="7800"/>
        </w:tabs>
        <w:spacing w:after="160" w:line="360" w:lineRule="auto"/>
      </w:pPr>
      <w:r>
        <w:rPr>
          <w:u w:val="single"/>
        </w:rPr>
        <w:t>Adjustment Impact between the Sides</w:t>
      </w:r>
      <w:r w:rsidRPr="00657BB1">
        <w:t>:</w:t>
      </w:r>
      <w:r>
        <w:t xml:space="preserve"> The adjustments differ between the two counterparties creating an asymmetry in the derivative’s valuation. The degree of this and the resulting hedging error depends on the funding and the collateralization strategy. In the 100 bp case the uncollateralized swap has a valuation asymmetry of 50 bp of the notional with the magnitude decreasing from OTM through ATM to ITM.</w:t>
      </w:r>
    </w:p>
    <w:p w:rsidR="00397E59" w:rsidRDefault="00397E59" w:rsidP="00D83552">
      <w:pPr>
        <w:pStyle w:val="ListParagraph"/>
        <w:numPr>
          <w:ilvl w:val="0"/>
          <w:numId w:val="90"/>
        </w:numPr>
        <w:tabs>
          <w:tab w:val="left" w:pos="7800"/>
        </w:tabs>
        <w:spacing w:after="160" w:line="360" w:lineRule="auto"/>
      </w:pPr>
      <w:r>
        <w:rPr>
          <w:u w:val="single"/>
        </w:rPr>
        <w:t>One-Way CSA Adjustment Impact</w:t>
      </w:r>
      <w:r w:rsidRPr="00657BB1">
        <w:t>:</w:t>
      </w:r>
      <w:r>
        <w:t xml:space="preserve"> The introduction of the one-way CSA increases the size of the issuer’s adjustment but reduces the asymmetry to 20-30 bp with the amount of reduction skewed from the opposite direction from ITM to OTM. This is because under the </w:t>
      </w:r>
      <w:r>
        <w:lastRenderedPageBreak/>
        <w:t>one-way CSA the issuer has to post more collateral for an OTC swap, thus reducing the funding benefit.</w:t>
      </w:r>
    </w:p>
    <w:p w:rsidR="00397E59" w:rsidRDefault="00397E59" w:rsidP="00D83552">
      <w:pPr>
        <w:pStyle w:val="ListParagraph"/>
        <w:numPr>
          <w:ilvl w:val="0"/>
          <w:numId w:val="90"/>
        </w:numPr>
        <w:tabs>
          <w:tab w:val="left" w:pos="7800"/>
        </w:tabs>
        <w:spacing w:after="160" w:line="360" w:lineRule="auto"/>
      </w:pPr>
      <w:r>
        <w:rPr>
          <w:u w:val="single"/>
        </w:rPr>
        <w:t>XVA Metrics for Strategy I</w:t>
      </w:r>
      <w:r w:rsidRPr="009A13EA">
        <w:t>:</w:t>
      </w:r>
      <w:r>
        <w:t xml:space="preserve"> Strategy I has zero hedge error for OTM and ITM, but produces roughly 2% notional hedging error in the ITM case regardless of the existence of the CSA. In the presence of the set-off the FCA is eliminated, and so the total adjustment is equal to the bilateral CVA.</w:t>
      </w:r>
    </w:p>
    <w:p w:rsidR="00397E59" w:rsidRDefault="00397E59" w:rsidP="00D83552">
      <w:pPr>
        <w:pStyle w:val="ListParagraph"/>
        <w:numPr>
          <w:ilvl w:val="0"/>
          <w:numId w:val="90"/>
        </w:numPr>
        <w:tabs>
          <w:tab w:val="left" w:pos="7800"/>
        </w:tabs>
        <w:spacing w:after="160" w:line="360" w:lineRule="auto"/>
      </w:pPr>
      <w:r>
        <w:rPr>
          <w:u w:val="single"/>
        </w:rPr>
        <w:t>XVA Metrics for Strategy II</w:t>
      </w:r>
      <w:r w:rsidRPr="00B01D41">
        <w:t>:</w:t>
      </w:r>
      <w:r>
        <w:t xml:space="preserve"> Strategy II is more complex, but the valuation asymmetry is dramatically reduced – by roughly a factor of 10 in the case study. The hedging error is also reduced with the biggest reduction coming for the ITM case. When the issuer is ITM and defaults, the setoff implies that the counterparty can pay back the full present value of the trade using the issuer bond notional rather than cash, which reduces the post-default bond-holder windfall.</w:t>
      </w:r>
    </w:p>
    <w:p w:rsidR="00397E59" w:rsidRPr="00B81761" w:rsidRDefault="00397E59" w:rsidP="00D83552">
      <w:pPr>
        <w:pStyle w:val="ListParagraph"/>
        <w:numPr>
          <w:ilvl w:val="0"/>
          <w:numId w:val="90"/>
        </w:numPr>
        <w:tabs>
          <w:tab w:val="left" w:pos="7800"/>
        </w:tabs>
        <w:spacing w:after="160" w:line="360" w:lineRule="auto"/>
      </w:pPr>
      <w:r>
        <w:rPr>
          <w:u w:val="single"/>
        </w:rPr>
        <w:t>Directional Dependence on the Issuer Spread</w:t>
      </w:r>
      <w:r w:rsidRPr="00B01D41">
        <w:t>:</w:t>
      </w:r>
      <w:r>
        <w:t xml:space="preserve"> The interesting point is that the quantitative findings of the study are independent of the issuer’s bond spread – only the magnitudes change with a greater proportional reduction in the valuation asymmetry and the hedging error of the strategy II in the presence of a set-off, for instance – as can be seen from the results for the 500 bp case.</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References</w:t>
      </w:r>
    </w:p>
    <w:p w:rsidR="00397E59" w:rsidRDefault="00397E59" w:rsidP="00397E59">
      <w:pPr>
        <w:tabs>
          <w:tab w:val="left" w:pos="7800"/>
        </w:tabs>
        <w:spacing w:line="360" w:lineRule="auto"/>
      </w:pPr>
      <w:r>
        <w:tab/>
      </w:r>
    </w:p>
    <w:p w:rsidR="00397E59" w:rsidRDefault="00397E59" w:rsidP="008A18B1">
      <w:pPr>
        <w:pStyle w:val="ListParagraph"/>
        <w:numPr>
          <w:ilvl w:val="0"/>
          <w:numId w:val="71"/>
        </w:numPr>
        <w:spacing w:after="160" w:line="360" w:lineRule="auto"/>
      </w:pPr>
      <w:r>
        <w:t>Alavian</w:t>
      </w:r>
      <w:r w:rsidRPr="0084037E">
        <w:t xml:space="preserve">, </w:t>
      </w:r>
      <w:r>
        <w:t>S.</w:t>
      </w:r>
      <w:r w:rsidRPr="0084037E">
        <w:t>,</w:t>
      </w:r>
      <w:r>
        <w:t xml:space="preserve"> J. Ding, P. Whitehead,</w:t>
      </w:r>
      <w:r w:rsidRPr="0084037E">
        <w:t xml:space="preserve"> and </w:t>
      </w:r>
      <w:r>
        <w:t>L</w:t>
      </w:r>
      <w:r w:rsidRPr="0084037E">
        <w:t xml:space="preserve">. </w:t>
      </w:r>
      <w:r>
        <w:t>Laiddicina</w:t>
      </w:r>
      <w:r w:rsidRPr="0084037E">
        <w:t xml:space="preserve"> (20</w:t>
      </w:r>
      <w:r>
        <w:t>08</w:t>
      </w:r>
      <w:r w:rsidRPr="0084037E">
        <w:t xml:space="preserve">): </w:t>
      </w:r>
      <w:hyperlink r:id="rId35" w:history="1">
        <w:r>
          <w:rPr>
            <w:rStyle w:val="Hyperlink"/>
          </w:rPr>
          <w:t>Credit Valuation Adjustment (CVA)</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397E59" w:rsidRDefault="00397E59" w:rsidP="008A18B1">
      <w:pPr>
        <w:pStyle w:val="ListParagraph"/>
        <w:numPr>
          <w:ilvl w:val="0"/>
          <w:numId w:val="71"/>
        </w:numPr>
        <w:spacing w:after="160" w:line="360" w:lineRule="auto"/>
      </w:pPr>
      <w:r>
        <w:t xml:space="preserve">Brigo, D., and M. Morini (2011): Close-out Convention Tensions </w:t>
      </w:r>
      <w:r>
        <w:rPr>
          <w:i/>
        </w:rPr>
        <w:t>Risk</w:t>
      </w:r>
      <w:r>
        <w:t xml:space="preserve"> 86-90.</w:t>
      </w:r>
    </w:p>
    <w:p w:rsidR="00397E59" w:rsidRDefault="00397E59" w:rsidP="008A18B1">
      <w:pPr>
        <w:pStyle w:val="ListParagraph"/>
        <w:numPr>
          <w:ilvl w:val="0"/>
          <w:numId w:val="71"/>
        </w:numPr>
        <w:spacing w:after="160" w:line="360" w:lineRule="auto"/>
      </w:pPr>
      <w:r>
        <w:t>Brigo</w:t>
      </w:r>
      <w:r w:rsidRPr="0084037E">
        <w:t xml:space="preserve">, </w:t>
      </w:r>
      <w:r>
        <w:t>D.</w:t>
      </w:r>
      <w:r w:rsidRPr="0084037E">
        <w:t>,</w:t>
      </w:r>
      <w:r>
        <w:t xml:space="preserve"> C. Buescu, A. Pallavicini, </w:t>
      </w:r>
      <w:r w:rsidRPr="0084037E">
        <w:t xml:space="preserve">and </w:t>
      </w:r>
      <w:r>
        <w:t>Q. D</w:t>
      </w:r>
      <w:r w:rsidRPr="0084037E">
        <w:t xml:space="preserve">. </w:t>
      </w:r>
      <w:r>
        <w:t>Liu</w:t>
      </w:r>
      <w:r w:rsidRPr="0084037E">
        <w:t xml:space="preserve"> (20</w:t>
      </w:r>
      <w:r>
        <w:t>12</w:t>
      </w:r>
      <w:r w:rsidRPr="0084037E">
        <w:t xml:space="preserve">): </w:t>
      </w:r>
      <w:hyperlink r:id="rId36" w:history="1">
        <w:r>
          <w:rPr>
            <w:rStyle w:val="Hyperlink"/>
          </w:rPr>
          <w:t>Illustrating a Problem in the Self-financing Condition in Two 2010-20111 Papers on Funding, Collateral, and Discounting</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lastRenderedPageBreak/>
        <w:t>Brigo</w:t>
      </w:r>
      <w:r w:rsidRPr="0084037E">
        <w:t xml:space="preserve">, </w:t>
      </w:r>
      <w:r>
        <w:t xml:space="preserve">D., A. Pallavicini, </w:t>
      </w:r>
      <w:r w:rsidRPr="0084037E">
        <w:t xml:space="preserve">and </w:t>
      </w:r>
      <w:r>
        <w:t>D</w:t>
      </w:r>
      <w:r w:rsidRPr="0084037E">
        <w:t xml:space="preserve">. </w:t>
      </w:r>
      <w:r>
        <w:t>Perini</w:t>
      </w:r>
      <w:r w:rsidRPr="0084037E">
        <w:t xml:space="preserve"> (20</w:t>
      </w:r>
      <w:r>
        <w:t>12</w:t>
      </w:r>
      <w:r w:rsidRPr="0084037E">
        <w:t xml:space="preserve">): </w:t>
      </w:r>
      <w:hyperlink r:id="rId37" w:history="1">
        <w:r>
          <w:rPr>
            <w:rStyle w:val="Hyperlink"/>
          </w:rPr>
          <w:t>Funding, Collateral and Hedging: Uncovering the Mechanics and the Subtleties of Funding Valuation Adjustments</w:t>
        </w:r>
      </w:hyperlink>
      <w:r w:rsidRPr="0084037E">
        <w:t xml:space="preserve"> </w:t>
      </w:r>
      <w:r>
        <w:rPr>
          <w:b/>
        </w:rPr>
        <w:t>arXiv</w:t>
      </w:r>
      <w:r w:rsidRPr="0084037E">
        <w:t>.</w:t>
      </w:r>
    </w:p>
    <w:p w:rsidR="00397E59" w:rsidRDefault="00397E59" w:rsidP="008A18B1">
      <w:pPr>
        <w:pStyle w:val="ListParagraph"/>
        <w:numPr>
          <w:ilvl w:val="0"/>
          <w:numId w:val="71"/>
        </w:numPr>
        <w:spacing w:after="160" w:line="360" w:lineRule="auto"/>
      </w:pPr>
      <w:r w:rsidRPr="0084037E">
        <w:t xml:space="preserve">Burgard, C., and M. Kjaer (2012a): </w:t>
      </w:r>
      <w:hyperlink r:id="rId38" w:history="1">
        <w:r>
          <w:rPr>
            <w:rStyle w:val="Hyperlink"/>
          </w:rPr>
          <w:t>Partial Differential Equation Representations of Derivatives with Bilateral Counterparty Risk and Funding Costs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b</w:t>
      </w:r>
      <w:r w:rsidRPr="0084037E">
        <w:t xml:space="preserve">): </w:t>
      </w:r>
      <w:hyperlink r:id="rId39" w:history="1">
        <w:r>
          <w:rPr>
            <w:rStyle w:val="Hyperlink"/>
          </w:rPr>
          <w:t>In the Balance</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c</w:t>
      </w:r>
      <w:r w:rsidRPr="0084037E">
        <w:t xml:space="preserve">): </w:t>
      </w:r>
      <w:hyperlink r:id="rId40" w:history="1">
        <w:r>
          <w:rPr>
            <w:rStyle w:val="Hyperlink"/>
          </w:rPr>
          <w:t>CVA and FVA with Funding Aware Close-outs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w:t>
      </w:r>
      <w:r>
        <w:t>3</w:t>
      </w:r>
      <w:r w:rsidRPr="0084037E">
        <w:t xml:space="preserve">): </w:t>
      </w:r>
      <w:hyperlink r:id="rId41" w:history="1">
        <w:r>
          <w:rPr>
            <w:rStyle w:val="Hyperlink"/>
          </w:rPr>
          <w:t>Funding Costs, Funding Strategies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Cesari, G., J. Aquilina, N. Charpillon, X. Filipovic, G. Lee, and L. Manda (2009): </w:t>
      </w:r>
      <w:r>
        <w:rPr>
          <w:i/>
        </w:rPr>
        <w:t>Modeling, Pricing, and Hedging Counterparty Credit Exposure – A Technical Guide</w:t>
      </w:r>
      <w:r>
        <w:t xml:space="preserve"> </w:t>
      </w:r>
      <w:r>
        <w:rPr>
          <w:b/>
        </w:rPr>
        <w:t>Springer Finance</w:t>
      </w:r>
      <w:r>
        <w:t xml:space="preserve"> New York.</w:t>
      </w:r>
    </w:p>
    <w:p w:rsidR="00397E59" w:rsidRDefault="00397E59" w:rsidP="008A18B1">
      <w:pPr>
        <w:pStyle w:val="ListParagraph"/>
        <w:numPr>
          <w:ilvl w:val="0"/>
          <w:numId w:val="71"/>
        </w:numPr>
        <w:spacing w:after="160" w:line="360" w:lineRule="auto"/>
      </w:pPr>
      <w:r>
        <w:t xml:space="preserve">Crepey, S. (2013a): </w:t>
      </w:r>
      <w:hyperlink r:id="rId42" w:history="1">
        <w:r w:rsidRPr="003C7B1E">
          <w:rPr>
            <w:rStyle w:val="Hyperlink"/>
          </w:rPr>
          <w:t>Bilateral Counterparty Risk Under Funding Constraints – Part I: Pricing</w:t>
        </w:r>
      </w:hyperlink>
      <w:r>
        <w:t>.</w:t>
      </w:r>
    </w:p>
    <w:p w:rsidR="00397E59" w:rsidRDefault="00397E59" w:rsidP="008A18B1">
      <w:pPr>
        <w:pStyle w:val="ListParagraph"/>
        <w:numPr>
          <w:ilvl w:val="0"/>
          <w:numId w:val="71"/>
        </w:numPr>
        <w:spacing w:after="160" w:line="360" w:lineRule="auto"/>
      </w:pPr>
      <w:r>
        <w:t xml:space="preserve">Crepey, S. (2013b): </w:t>
      </w:r>
      <w:hyperlink r:id="rId43" w:history="1">
        <w:r>
          <w:rPr>
            <w:rStyle w:val="Hyperlink"/>
          </w:rPr>
          <w:t>Bilateral Counterparty Risk Under Funding Constraints – Part II: CVA</w:t>
        </w:r>
      </w:hyperlink>
      <w:r>
        <w:t>.</w:t>
      </w:r>
    </w:p>
    <w:p w:rsidR="00397E59" w:rsidRDefault="00397E59" w:rsidP="008A18B1">
      <w:pPr>
        <w:pStyle w:val="ListParagraph"/>
        <w:numPr>
          <w:ilvl w:val="0"/>
          <w:numId w:val="71"/>
        </w:numPr>
        <w:spacing w:after="160" w:line="360" w:lineRule="auto"/>
      </w:pPr>
      <w:r>
        <w:t xml:space="preserve">Gregory, J. (2009): Being Two-faced Over Counter-party Risk </w:t>
      </w:r>
      <w:proofErr w:type="spellStart"/>
      <w:r>
        <w:rPr>
          <w:i/>
        </w:rPr>
        <w:t>Risk</w:t>
      </w:r>
      <w:proofErr w:type="spellEnd"/>
      <w:r>
        <w:t xml:space="preserve"> 86-90.</w:t>
      </w:r>
    </w:p>
    <w:p w:rsidR="00397E59" w:rsidRDefault="00397E59" w:rsidP="008A18B1">
      <w:pPr>
        <w:pStyle w:val="ListParagraph"/>
        <w:numPr>
          <w:ilvl w:val="0"/>
          <w:numId w:val="71"/>
        </w:numPr>
        <w:spacing w:after="160" w:line="360" w:lineRule="auto"/>
      </w:pPr>
      <w:r>
        <w:t xml:space="preserve">Gregory, J. (2012): </w:t>
      </w:r>
      <w:r>
        <w:rPr>
          <w:i/>
        </w:rPr>
        <w:t>Counterparty Credit Risk and Credit Value Adjustment 2</w:t>
      </w:r>
      <w:r w:rsidRPr="000F6F13">
        <w:rPr>
          <w:i/>
          <w:vertAlign w:val="superscript"/>
        </w:rPr>
        <w:t>nd</w:t>
      </w:r>
      <w:r>
        <w:rPr>
          <w:i/>
        </w:rPr>
        <w:t xml:space="preserve"> Edition</w:t>
      </w:r>
      <w:r>
        <w:t xml:space="preserve"> </w:t>
      </w:r>
      <w:r>
        <w:rPr>
          <w:b/>
        </w:rPr>
        <w:t>Wiley</w:t>
      </w:r>
      <w:r>
        <w:t>.</w:t>
      </w:r>
    </w:p>
    <w:p w:rsidR="00397E59" w:rsidRDefault="00397E59" w:rsidP="008A18B1">
      <w:pPr>
        <w:pStyle w:val="ListParagraph"/>
        <w:numPr>
          <w:ilvl w:val="0"/>
          <w:numId w:val="71"/>
        </w:numPr>
        <w:spacing w:after="160" w:line="360" w:lineRule="auto"/>
      </w:pPr>
      <w:r>
        <w:t xml:space="preserve">Hull, J., and A. White (2012a): The FVA Debate </w:t>
      </w:r>
      <w:r>
        <w:rPr>
          <w:i/>
        </w:rPr>
        <w:t>Risk</w:t>
      </w:r>
      <w:r>
        <w:t xml:space="preserve"> 83-85.</w:t>
      </w:r>
    </w:p>
    <w:p w:rsidR="00397E59" w:rsidRDefault="00397E59" w:rsidP="008A18B1">
      <w:pPr>
        <w:pStyle w:val="ListParagraph"/>
        <w:numPr>
          <w:ilvl w:val="0"/>
          <w:numId w:val="71"/>
        </w:numPr>
        <w:spacing w:after="160" w:line="360" w:lineRule="auto"/>
      </w:pPr>
      <w:r>
        <w:t xml:space="preserve">Hull, J., and A. White (2012b): </w:t>
      </w:r>
      <w:hyperlink r:id="rId44" w:history="1">
        <w:r w:rsidRPr="000F6F13">
          <w:rPr>
            <w:rStyle w:val="Hyperlink"/>
          </w:rPr>
          <w:t>CVA, DVA, FVA, and Black-Scholes-Merton Arguments</w:t>
        </w:r>
      </w:hyperlink>
      <w:r>
        <w:t>.</w:t>
      </w:r>
    </w:p>
    <w:p w:rsidR="00397E59" w:rsidRDefault="00397E59" w:rsidP="008A18B1">
      <w:pPr>
        <w:pStyle w:val="ListParagraph"/>
        <w:numPr>
          <w:ilvl w:val="0"/>
          <w:numId w:val="71"/>
        </w:numPr>
        <w:spacing w:after="160" w:line="360" w:lineRule="auto"/>
      </w:pPr>
      <w:r>
        <w:t xml:space="preserve">Jarrow, R., and S. Turnbull (1995): Pricing Derivative on Financial Securities Subject to Credit Risk </w:t>
      </w:r>
      <w:r>
        <w:rPr>
          <w:i/>
        </w:rPr>
        <w:t>The Journal of Finance</w:t>
      </w:r>
      <w:r>
        <w:t xml:space="preserve"> </w:t>
      </w:r>
      <w:r>
        <w:rPr>
          <w:b/>
        </w:rPr>
        <w:t>50 (1)</w:t>
      </w:r>
      <w:r>
        <w:t xml:space="preserve"> 53-85.</w:t>
      </w:r>
    </w:p>
    <w:p w:rsidR="00397E59" w:rsidRDefault="00397E59" w:rsidP="008A18B1">
      <w:pPr>
        <w:pStyle w:val="ListParagraph"/>
        <w:numPr>
          <w:ilvl w:val="0"/>
          <w:numId w:val="71"/>
        </w:numPr>
        <w:spacing w:after="160" w:line="360" w:lineRule="auto"/>
      </w:pPr>
      <w:r>
        <w:t xml:space="preserve">Jarrow, R., and F. Yu (2001): Counterparty Risk and Pricing of Defaultable Securities </w:t>
      </w:r>
      <w:r>
        <w:rPr>
          <w:i/>
        </w:rPr>
        <w:t>The Journal of Finance</w:t>
      </w:r>
      <w:r>
        <w:t xml:space="preserve"> </w:t>
      </w:r>
      <w:r>
        <w:rPr>
          <w:b/>
        </w:rPr>
        <w:t>56 (1)</w:t>
      </w:r>
      <w:r>
        <w:t xml:space="preserve"> 1765-1799.</w:t>
      </w:r>
    </w:p>
    <w:p w:rsidR="00397E59" w:rsidRDefault="00397E59" w:rsidP="008A18B1">
      <w:pPr>
        <w:pStyle w:val="ListParagraph"/>
        <w:numPr>
          <w:ilvl w:val="0"/>
          <w:numId w:val="71"/>
        </w:numPr>
        <w:spacing w:after="160" w:line="360" w:lineRule="auto"/>
      </w:pPr>
      <w:r>
        <w:t xml:space="preserve">Kjaer, M. (2011): The Generalized Credit Value Adjustment </w:t>
      </w:r>
      <w:r>
        <w:rPr>
          <w:i/>
        </w:rPr>
        <w:t>The Journal of Credit Risk</w:t>
      </w:r>
      <w:r>
        <w:t xml:space="preserve"> </w:t>
      </w:r>
      <w:r>
        <w:rPr>
          <w:b/>
        </w:rPr>
        <w:t>7 (1)</w:t>
      </w:r>
      <w:r>
        <w:t xml:space="preserve"> 1-28.</w:t>
      </w:r>
    </w:p>
    <w:p w:rsidR="00397E59" w:rsidRDefault="00397E59" w:rsidP="008A18B1">
      <w:pPr>
        <w:pStyle w:val="ListParagraph"/>
        <w:numPr>
          <w:ilvl w:val="0"/>
          <w:numId w:val="71"/>
        </w:numPr>
        <w:spacing w:after="160" w:line="360" w:lineRule="auto"/>
      </w:pPr>
      <w:r>
        <w:t xml:space="preserve">Li, B., and Y. Tang (2007): </w:t>
      </w:r>
      <w:r>
        <w:rPr>
          <w:i/>
        </w:rPr>
        <w:t>Quantitative Analysis, Derivatives Modeling, and Trading Strategies in the Presence of Counterparty Credit Risk for the Fixed-Income Market</w:t>
      </w:r>
      <w:r>
        <w:t xml:space="preserve"> </w:t>
      </w:r>
      <w:r>
        <w:rPr>
          <w:b/>
        </w:rPr>
        <w:t>World Scientific Publishing</w:t>
      </w:r>
      <w:r>
        <w:t xml:space="preserve"> Singapore.</w:t>
      </w:r>
    </w:p>
    <w:p w:rsidR="00397E59" w:rsidRDefault="00397E59" w:rsidP="008A18B1">
      <w:pPr>
        <w:pStyle w:val="ListParagraph"/>
        <w:numPr>
          <w:ilvl w:val="0"/>
          <w:numId w:val="71"/>
        </w:numPr>
        <w:spacing w:after="160" w:line="360" w:lineRule="auto"/>
      </w:pPr>
      <w:r>
        <w:t xml:space="preserve">Morini, M., and A. Prampolini (2011): Risky Funding with Counterparty and Liquidity Charges </w:t>
      </w:r>
      <w:r>
        <w:rPr>
          <w:i/>
        </w:rPr>
        <w:t>Risk</w:t>
      </w:r>
      <w:r>
        <w:t xml:space="preserve"> 70-75.</w:t>
      </w:r>
    </w:p>
    <w:p w:rsidR="00397E59" w:rsidRDefault="00397E59" w:rsidP="008A18B1">
      <w:pPr>
        <w:pStyle w:val="ListParagraph"/>
        <w:numPr>
          <w:ilvl w:val="0"/>
          <w:numId w:val="71"/>
        </w:numPr>
        <w:spacing w:after="160" w:line="360" w:lineRule="auto"/>
      </w:pPr>
      <w:r>
        <w:t xml:space="preserve">Piterbarg, V. (2010): Funding Beyond Discounting – Collateral Agreements and Derivatives Pricing </w:t>
      </w:r>
      <w:r>
        <w:rPr>
          <w:i/>
        </w:rPr>
        <w:t>Risk</w:t>
      </w:r>
      <w:r>
        <w:t xml:space="preserve"> 97-102.</w:t>
      </w:r>
    </w:p>
    <w:p w:rsidR="00397E59" w:rsidRPr="0084037E" w:rsidRDefault="00397E59" w:rsidP="008A18B1">
      <w:pPr>
        <w:pStyle w:val="ListParagraph"/>
        <w:numPr>
          <w:ilvl w:val="0"/>
          <w:numId w:val="71"/>
        </w:numPr>
        <w:spacing w:after="160" w:line="360" w:lineRule="auto"/>
      </w:pPr>
      <w:r>
        <w:lastRenderedPageBreak/>
        <w:t xml:space="preserve">Pykhtin, M., and S. Zhu (2007): </w:t>
      </w:r>
      <w:r>
        <w:rPr>
          <w:i/>
        </w:rPr>
        <w:t>A Guide to Modeling Counterparty Risk</w:t>
      </w:r>
      <w:r>
        <w:t xml:space="preserve"> </w:t>
      </w:r>
      <w:r>
        <w:rPr>
          <w:b/>
        </w:rPr>
        <w:t>GARP Risk Review.</w:t>
      </w:r>
    </w:p>
    <w:p w:rsidR="00397E59" w:rsidRDefault="00397E59" w:rsidP="00397E59">
      <w:pPr>
        <w:spacing w:after="160" w:line="259" w:lineRule="auto"/>
        <w:rPr>
          <w:sz w:val="32"/>
        </w:rPr>
      </w:pPr>
      <w:r>
        <w:rPr>
          <w:sz w:val="32"/>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for OTC Derivatives: Funding Adjustments and Re-hypothecation Option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Status of Current FCA/FBA Accounting</w:t>
      </w:r>
    </w:p>
    <w:p w:rsidR="00397E59" w:rsidRDefault="00397E59" w:rsidP="00397E59">
      <w:pPr>
        <w:spacing w:line="360" w:lineRule="auto"/>
      </w:pPr>
    </w:p>
    <w:p w:rsidR="00397E59" w:rsidRDefault="00397E59" w:rsidP="008A18B1">
      <w:pPr>
        <w:pStyle w:val="ListParagraph"/>
        <w:numPr>
          <w:ilvl w:val="0"/>
          <w:numId w:val="9"/>
        </w:numPr>
        <w:spacing w:line="360" w:lineRule="auto"/>
      </w:pPr>
      <w:r>
        <w:rPr>
          <w:u w:val="single"/>
        </w:rPr>
        <w:t>Motivation</w:t>
      </w:r>
      <w:r>
        <w:t>: Banks hold and routinely exercise the option of freely re-hypothecating variation margin across counter-parties and trades.</w:t>
      </w:r>
    </w:p>
    <w:p w:rsidR="00397E59" w:rsidRDefault="00397E59" w:rsidP="008A18B1">
      <w:pPr>
        <w:pStyle w:val="ListParagraph"/>
        <w:numPr>
          <w:ilvl w:val="0"/>
          <w:numId w:val="9"/>
        </w:numPr>
        <w:spacing w:line="360" w:lineRule="auto"/>
      </w:pPr>
      <w:r>
        <w:rPr>
          <w:u w:val="single"/>
        </w:rPr>
        <w:t>FCA/FBA Accounting Standards</w:t>
      </w:r>
      <w:r w:rsidRPr="000C0D60">
        <w:t>:</w:t>
      </w:r>
      <w:r>
        <w:t xml:space="preserve"> However, the emerging FCA/FBA cost accounting metrics for funding costs are mostly formulated in terms of netting set specific metrics that fail to properly account for re-hypothecation benefits to common Equity Tier 1 Capital (CET1).</w:t>
      </w:r>
    </w:p>
    <w:p w:rsidR="00397E59" w:rsidRDefault="00397E59" w:rsidP="008A18B1">
      <w:pPr>
        <w:pStyle w:val="ListParagraph"/>
        <w:numPr>
          <w:ilvl w:val="0"/>
          <w:numId w:val="9"/>
        </w:numPr>
        <w:spacing w:line="360" w:lineRule="auto"/>
      </w:pPr>
      <w:r>
        <w:rPr>
          <w:u w:val="single"/>
        </w:rPr>
        <w:t>Double Counting in FCA/FBA</w:t>
      </w:r>
      <w:r w:rsidRPr="000C0D60">
        <w:t>:</w:t>
      </w:r>
      <w:r>
        <w:t xml:space="preserve"> Additionally, the FCA/FBA standard introduces a double counting issue between the funding benefits and the DVA which leads ultimately to the violation of the fundamental accounting tenet of asset-liability symmetry.</w:t>
      </w:r>
    </w:p>
    <w:p w:rsidR="00397E59" w:rsidRDefault="00397E59" w:rsidP="008A18B1">
      <w:pPr>
        <w:pStyle w:val="ListParagraph"/>
        <w:numPr>
          <w:ilvl w:val="0"/>
          <w:numId w:val="9"/>
        </w:numPr>
        <w:spacing w:line="360" w:lineRule="auto"/>
      </w:pPr>
      <w:r>
        <w:rPr>
          <w:u w:val="single"/>
        </w:rPr>
        <w:t>FVA/FDA Accounting Objectives</w:t>
      </w:r>
      <w:r w:rsidRPr="000C0D60">
        <w:t>:</w:t>
      </w:r>
      <w:r>
        <w:t xml:space="preserve"> Albanese and Andersen (2014) propose an alternative accounting framework meant to rectify some of the problems in existing standards. This new accounting method, which they call FVA/FDA, explicitly incorporates the re-hypothecation option into its definition of funding costs, and maintains consistency with the Modigliani-Miller Theorem, with fair-value and asset-liability symmetry principles, and with Basel III rules for DVA and equity capital.</w:t>
      </w:r>
    </w:p>
    <w:p w:rsidR="00397E59" w:rsidRDefault="00397E59" w:rsidP="008A18B1">
      <w:pPr>
        <w:pStyle w:val="ListParagraph"/>
        <w:numPr>
          <w:ilvl w:val="0"/>
          <w:numId w:val="9"/>
        </w:numPr>
        <w:spacing w:line="360" w:lineRule="auto"/>
      </w:pPr>
      <w:r>
        <w:rPr>
          <w:u w:val="single"/>
        </w:rPr>
        <w:t>Pricing at the CET1 Indifference Level</w:t>
      </w:r>
      <w:r w:rsidRPr="005A6502">
        <w:t>:</w:t>
      </w:r>
      <w:r>
        <w:t xml:space="preserve"> They argue that derivative pricing necessitates an incremental assessment of capital structure impact on new trades and propose that the entry prices should be struck at the indifference level for CET1.</w:t>
      </w:r>
    </w:p>
    <w:p w:rsidR="00397E59" w:rsidRDefault="00397E59" w:rsidP="008A18B1">
      <w:pPr>
        <w:pStyle w:val="ListParagraph"/>
        <w:numPr>
          <w:ilvl w:val="0"/>
          <w:numId w:val="9"/>
        </w:numPr>
        <w:spacing w:line="360" w:lineRule="auto"/>
      </w:pPr>
      <w:r>
        <w:rPr>
          <w:u w:val="single"/>
        </w:rPr>
        <w:t>Departure From FCA/FBA Accounting</w:t>
      </w:r>
      <w:r w:rsidRPr="005A6502">
        <w:t>:</w:t>
      </w:r>
      <w:r>
        <w:t xml:space="preserve"> Unlike the FCA/FBA method, the FVA/FDA accounting does not result in outright net-income write-offs due to funding costs.</w:t>
      </w:r>
    </w:p>
    <w:p w:rsidR="00397E59" w:rsidRDefault="00397E59" w:rsidP="00397E59">
      <w:pPr>
        <w:spacing w:after="160" w:line="360" w:lineRule="auto"/>
        <w:rPr>
          <w:b/>
          <w:bCs/>
          <w:sz w:val="32"/>
        </w:rPr>
      </w:pPr>
    </w:p>
    <w:p w:rsidR="00397E59" w:rsidRPr="005A6502" w:rsidRDefault="00397E59" w:rsidP="00397E59">
      <w:pPr>
        <w:spacing w:after="160" w:line="360" w:lineRule="auto"/>
        <w:rPr>
          <w:b/>
          <w:bCs/>
          <w:sz w:val="28"/>
          <w:szCs w:val="28"/>
        </w:rPr>
      </w:pPr>
      <w:r w:rsidRPr="005A6502">
        <w:rPr>
          <w:b/>
          <w:bCs/>
          <w:sz w:val="28"/>
          <w:szCs w:val="28"/>
        </w:rPr>
        <w:t>Comparison Between FCA</w:t>
      </w:r>
      <w:r>
        <w:rPr>
          <w:b/>
          <w:bCs/>
          <w:sz w:val="28"/>
          <w:szCs w:val="28"/>
        </w:rPr>
        <w:t>/FBA and FDA/FVA</w:t>
      </w:r>
    </w:p>
    <w:p w:rsidR="00397E59" w:rsidRDefault="00397E59" w:rsidP="00397E59">
      <w:pPr>
        <w:spacing w:after="160" w:line="360" w:lineRule="auto"/>
        <w:rPr>
          <w:bCs/>
        </w:rPr>
      </w:pPr>
    </w:p>
    <w:p w:rsidR="00397E59" w:rsidRDefault="00397E59" w:rsidP="008A18B1">
      <w:pPr>
        <w:pStyle w:val="ListParagraph"/>
        <w:numPr>
          <w:ilvl w:val="0"/>
          <w:numId w:val="10"/>
        </w:numPr>
        <w:spacing w:after="160" w:line="360" w:lineRule="auto"/>
        <w:rPr>
          <w:bCs/>
        </w:rPr>
      </w:pPr>
      <w:r w:rsidRPr="005A6502">
        <w:rPr>
          <w:bCs/>
          <w:u w:val="single"/>
        </w:rPr>
        <w:t>Where are they similar</w:t>
      </w:r>
      <w:r>
        <w:rPr>
          <w:bCs/>
        </w:rPr>
        <w:t>: FCA/FBA accounting and FVA/FDA accounting lead to very similar and quantitatively close conclusions in the particular case of a portfolio consisting of a single netting set and a single trade.</w:t>
      </w:r>
    </w:p>
    <w:p w:rsidR="00397E59" w:rsidRDefault="00397E59" w:rsidP="008A18B1">
      <w:pPr>
        <w:pStyle w:val="ListParagraph"/>
        <w:numPr>
          <w:ilvl w:val="0"/>
          <w:numId w:val="10"/>
        </w:numPr>
        <w:spacing w:after="160" w:line="360" w:lineRule="auto"/>
        <w:rPr>
          <w:bCs/>
        </w:rPr>
      </w:pPr>
      <w:r>
        <w:rPr>
          <w:bCs/>
          <w:u w:val="single"/>
        </w:rPr>
        <w:t>Portfolio Sets and Portfolio Sizing</w:t>
      </w:r>
      <w:r w:rsidRPr="00F75B92">
        <w:rPr>
          <w:bCs/>
        </w:rPr>
        <w:t>:</w:t>
      </w:r>
      <w:r>
        <w:rPr>
          <w:bCs/>
        </w:rPr>
        <w:t xml:space="preserve"> However material differences arise in the case of large portfolios. Albanese and Andersen (2014) discuss a case study with a representative portfolio whereby the CET1 adjustments for funding are 3 times as large as the ones required in FVA/FDA accounting.</w:t>
      </w:r>
    </w:p>
    <w:p w:rsidR="00397E59" w:rsidRDefault="00397E59" w:rsidP="008A18B1">
      <w:pPr>
        <w:pStyle w:val="ListParagraph"/>
        <w:numPr>
          <w:ilvl w:val="0"/>
          <w:numId w:val="10"/>
        </w:numPr>
        <w:spacing w:after="160" w:line="360" w:lineRule="auto"/>
        <w:rPr>
          <w:bCs/>
        </w:rPr>
      </w:pPr>
      <w:r>
        <w:rPr>
          <w:bCs/>
          <w:u w:val="single"/>
        </w:rPr>
        <w:t>Impact on Prices and VAs</w:t>
      </w:r>
      <w:r w:rsidRPr="00F75B92">
        <w:rPr>
          <w:bCs/>
        </w:rPr>
        <w:t>:</w:t>
      </w:r>
      <w:r>
        <w:rPr>
          <w:bCs/>
        </w:rPr>
        <w:t xml:space="preserve"> After the portfolio effects are accounted for, incremental entry prices for individual trades differ materially between the FCA/FBA and the FVA/FDA methods, with the FCA/FBA accounting often displaying sizeable and risky pricing biases between derivative payables and receivables.</w:t>
      </w:r>
    </w:p>
    <w:p w:rsidR="00397E59" w:rsidRDefault="00397E59" w:rsidP="008A18B1">
      <w:pPr>
        <w:pStyle w:val="ListParagraph"/>
        <w:numPr>
          <w:ilvl w:val="0"/>
          <w:numId w:val="10"/>
        </w:numPr>
        <w:spacing w:after="160" w:line="360" w:lineRule="auto"/>
        <w:rPr>
          <w:bCs/>
        </w:rPr>
      </w:pPr>
      <w:r>
        <w:rPr>
          <w:bCs/>
          <w:u w:val="single"/>
        </w:rPr>
        <w:t>Abbreviations and Expansions</w:t>
      </w:r>
      <w:r w:rsidRPr="00F75B92">
        <w:rPr>
          <w:bCs/>
        </w:rPr>
        <w:t>:</w:t>
      </w:r>
    </w:p>
    <w:tbl>
      <w:tblPr>
        <w:tblStyle w:val="TableGrid"/>
        <w:tblW w:w="0" w:type="auto"/>
        <w:jc w:val="center"/>
        <w:tblLook w:val="04A0" w:firstRow="1" w:lastRow="0" w:firstColumn="1" w:lastColumn="0" w:noHBand="0" w:noVBand="1"/>
      </w:tblPr>
      <w:tblGrid>
        <w:gridCol w:w="2155"/>
        <w:gridCol w:w="7195"/>
      </w:tblGrid>
      <w:tr w:rsidR="00397E59" w:rsidTr="00397E59">
        <w:trPr>
          <w:jc w:val="center"/>
        </w:trPr>
        <w:tc>
          <w:tcPr>
            <w:tcW w:w="2155" w:type="dxa"/>
            <w:vAlign w:val="center"/>
          </w:tcPr>
          <w:p w:rsidR="00397E59" w:rsidRPr="00F75B92" w:rsidRDefault="00397E59" w:rsidP="00397E59">
            <w:pPr>
              <w:spacing w:after="160" w:line="360" w:lineRule="auto"/>
              <w:jc w:val="center"/>
              <w:rPr>
                <w:b/>
                <w:bCs/>
                <w:sz w:val="28"/>
                <w:szCs w:val="28"/>
              </w:rPr>
            </w:pPr>
            <w:r>
              <w:rPr>
                <w:b/>
                <w:bCs/>
                <w:sz w:val="28"/>
                <w:szCs w:val="28"/>
              </w:rPr>
              <w:t>Abbreviation</w:t>
            </w:r>
          </w:p>
        </w:tc>
        <w:tc>
          <w:tcPr>
            <w:tcW w:w="7195" w:type="dxa"/>
            <w:vAlign w:val="center"/>
          </w:tcPr>
          <w:p w:rsidR="00397E59" w:rsidRPr="00F75B92" w:rsidRDefault="00397E59" w:rsidP="00397E59">
            <w:pPr>
              <w:spacing w:after="160" w:line="360" w:lineRule="auto"/>
              <w:jc w:val="center"/>
              <w:rPr>
                <w:b/>
                <w:bCs/>
                <w:sz w:val="28"/>
                <w:szCs w:val="28"/>
              </w:rPr>
            </w:pPr>
            <w:r>
              <w:rPr>
                <w:b/>
                <w:bCs/>
                <w:sz w:val="28"/>
                <w:szCs w:val="28"/>
              </w:rPr>
              <w:t>Expansion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A</w:t>
            </w:r>
          </w:p>
        </w:tc>
        <w:tc>
          <w:tcPr>
            <w:tcW w:w="7195" w:type="dxa"/>
            <w:vAlign w:val="center"/>
          </w:tcPr>
          <w:p w:rsidR="00397E59" w:rsidRDefault="00397E59" w:rsidP="00397E59">
            <w:pPr>
              <w:spacing w:after="160" w:line="360" w:lineRule="auto"/>
              <w:jc w:val="center"/>
              <w:rPr>
                <w:bCs/>
              </w:rPr>
            </w:pPr>
            <w:r>
              <w:rPr>
                <w:bCs/>
              </w:rPr>
              <w:t>Asset Account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BCBS</w:t>
            </w:r>
          </w:p>
        </w:tc>
        <w:tc>
          <w:tcPr>
            <w:tcW w:w="7195" w:type="dxa"/>
            <w:vAlign w:val="center"/>
          </w:tcPr>
          <w:p w:rsidR="00397E59" w:rsidRDefault="00397E59" w:rsidP="00397E59">
            <w:pPr>
              <w:spacing w:after="160" w:line="360" w:lineRule="auto"/>
              <w:jc w:val="center"/>
              <w:rPr>
                <w:bCs/>
              </w:rPr>
            </w:pPr>
            <w:r>
              <w:rPr>
                <w:bCs/>
              </w:rPr>
              <w:t>Basel Committee on Banking Supervision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CA</w:t>
            </w:r>
          </w:p>
        </w:tc>
        <w:tc>
          <w:tcPr>
            <w:tcW w:w="7195" w:type="dxa"/>
            <w:vAlign w:val="center"/>
          </w:tcPr>
          <w:p w:rsidR="00397E59" w:rsidRDefault="00397E59" w:rsidP="00397E59">
            <w:pPr>
              <w:spacing w:after="160" w:line="360" w:lineRule="auto"/>
              <w:jc w:val="center"/>
              <w:rPr>
                <w:bCs/>
              </w:rPr>
            </w:pPr>
            <w:r>
              <w:rPr>
                <w:bCs/>
              </w:rPr>
              <w:t>Contra-Asset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CCP</w:t>
            </w:r>
          </w:p>
        </w:tc>
        <w:tc>
          <w:tcPr>
            <w:tcW w:w="7195" w:type="dxa"/>
            <w:vAlign w:val="center"/>
          </w:tcPr>
          <w:p w:rsidR="00397E59" w:rsidRDefault="00397E59" w:rsidP="00397E59">
            <w:pPr>
              <w:spacing w:after="160" w:line="360" w:lineRule="auto"/>
              <w:jc w:val="center"/>
              <w:rPr>
                <w:bCs/>
              </w:rPr>
            </w:pPr>
            <w:r>
              <w:rPr>
                <w:bCs/>
              </w:rPr>
              <w:t>Central Counter-party (i.e., a Clearing House)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CDS</w:t>
            </w:r>
          </w:p>
        </w:tc>
        <w:tc>
          <w:tcPr>
            <w:tcW w:w="7195" w:type="dxa"/>
            <w:vAlign w:val="center"/>
          </w:tcPr>
          <w:p w:rsidR="00397E59" w:rsidRDefault="00397E59" w:rsidP="00397E59">
            <w:pPr>
              <w:spacing w:after="160" w:line="360" w:lineRule="auto"/>
              <w:jc w:val="center"/>
              <w:rPr>
                <w:bCs/>
              </w:rPr>
            </w:pPr>
            <w:r>
              <w:rPr>
                <w:bCs/>
              </w:rPr>
              <w:t>Credit Default Swap</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CET1</w:t>
            </w:r>
          </w:p>
        </w:tc>
        <w:tc>
          <w:tcPr>
            <w:tcW w:w="7195" w:type="dxa"/>
            <w:vAlign w:val="center"/>
          </w:tcPr>
          <w:p w:rsidR="00397E59" w:rsidRDefault="00397E59" w:rsidP="00397E59">
            <w:pPr>
              <w:spacing w:after="160" w:line="360" w:lineRule="auto"/>
              <w:jc w:val="center"/>
              <w:rPr>
                <w:bCs/>
              </w:rPr>
            </w:pPr>
            <w:r>
              <w:rPr>
                <w:bCs/>
              </w:rPr>
              <w:t>Common Equity Tier 1 Capital</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CL</w:t>
            </w:r>
          </w:p>
        </w:tc>
        <w:tc>
          <w:tcPr>
            <w:tcW w:w="7195" w:type="dxa"/>
            <w:vAlign w:val="center"/>
          </w:tcPr>
          <w:p w:rsidR="00397E59" w:rsidRDefault="00397E59" w:rsidP="00397E59">
            <w:pPr>
              <w:spacing w:after="160" w:line="360" w:lineRule="auto"/>
              <w:jc w:val="center"/>
              <w:rPr>
                <w:bCs/>
              </w:rPr>
            </w:pPr>
            <w:r>
              <w:rPr>
                <w:bCs/>
              </w:rPr>
              <w:t>Contra-Liability</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CFD</w:t>
            </w:r>
          </w:p>
        </w:tc>
        <w:tc>
          <w:tcPr>
            <w:tcW w:w="7195" w:type="dxa"/>
            <w:vAlign w:val="center"/>
          </w:tcPr>
          <w:p w:rsidR="00397E59" w:rsidRDefault="00397E59" w:rsidP="00397E59">
            <w:pPr>
              <w:spacing w:after="160" w:line="360" w:lineRule="auto"/>
              <w:jc w:val="center"/>
              <w:rPr>
                <w:bCs/>
              </w:rPr>
            </w:pPr>
            <w:r>
              <w:rPr>
                <w:bCs/>
              </w:rPr>
              <w:t>Central Funding Desk</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CSA</w:t>
            </w:r>
          </w:p>
        </w:tc>
        <w:tc>
          <w:tcPr>
            <w:tcW w:w="7195" w:type="dxa"/>
            <w:vAlign w:val="center"/>
          </w:tcPr>
          <w:p w:rsidR="00397E59" w:rsidRDefault="00397E59" w:rsidP="00397E59">
            <w:pPr>
              <w:spacing w:after="160" w:line="360" w:lineRule="auto"/>
              <w:jc w:val="center"/>
              <w:rPr>
                <w:bCs/>
              </w:rPr>
            </w:pPr>
            <w:r>
              <w:rPr>
                <w:bCs/>
              </w:rPr>
              <w:t>ISDA Credit Support Annex Agreement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CVA</w:t>
            </w:r>
          </w:p>
        </w:tc>
        <w:tc>
          <w:tcPr>
            <w:tcW w:w="7195" w:type="dxa"/>
            <w:vAlign w:val="center"/>
          </w:tcPr>
          <w:p w:rsidR="00397E59" w:rsidRDefault="00397E59" w:rsidP="00397E59">
            <w:pPr>
              <w:spacing w:after="160" w:line="360" w:lineRule="auto"/>
              <w:jc w:val="center"/>
              <w:rPr>
                <w:bCs/>
              </w:rPr>
            </w:pPr>
            <w:r>
              <w:rPr>
                <w:bCs/>
              </w:rPr>
              <w:t>Credit Valuation Adjustment, same as FTDCVA</w:t>
            </w:r>
          </w:p>
        </w:tc>
      </w:tr>
      <w:tr w:rsidR="00397E59" w:rsidTr="00397E59">
        <w:trPr>
          <w:jc w:val="center"/>
        </w:trPr>
        <w:tc>
          <w:tcPr>
            <w:tcW w:w="2155" w:type="dxa"/>
            <w:vAlign w:val="center"/>
          </w:tcPr>
          <w:p w:rsidR="00397E59" w:rsidRDefault="005D6A21" w:rsidP="00397E59">
            <w:pPr>
              <w:spacing w:after="160" w:line="360" w:lineRule="auto"/>
              <w:jc w:val="center"/>
              <w:rPr>
                <w:bCs/>
              </w:rPr>
            </w:pPr>
            <m:oMathPara>
              <m:oMath>
                <m:sSub>
                  <m:sSubPr>
                    <m:ctrlPr>
                      <w:rPr>
                        <w:rFonts w:ascii="Cambria Math" w:hAnsi="Cambria Math"/>
                        <w:bCs/>
                        <w:i/>
                      </w:rPr>
                    </m:ctrlPr>
                  </m:sSubPr>
                  <m:e>
                    <m:r>
                      <w:rPr>
                        <w:rFonts w:ascii="Cambria Math" w:hAnsi="Cambria Math"/>
                      </w:rPr>
                      <m:t>CVA</m:t>
                    </m:r>
                  </m:e>
                  <m:sub>
                    <m:r>
                      <w:rPr>
                        <w:rFonts w:ascii="Cambria Math" w:hAnsi="Cambria Math"/>
                      </w:rPr>
                      <m:t>CL</m:t>
                    </m:r>
                  </m:sub>
                </m:sSub>
              </m:oMath>
            </m:oMathPara>
          </w:p>
        </w:tc>
        <w:tc>
          <w:tcPr>
            <w:tcW w:w="7195" w:type="dxa"/>
            <w:vAlign w:val="center"/>
          </w:tcPr>
          <w:p w:rsidR="00397E59" w:rsidRDefault="00397E59" w:rsidP="00397E59">
            <w:pPr>
              <w:spacing w:after="160" w:line="360" w:lineRule="auto"/>
              <w:jc w:val="center"/>
              <w:rPr>
                <w:bCs/>
              </w:rPr>
            </w:pPr>
            <w:r>
              <w:rPr>
                <w:bCs/>
              </w:rPr>
              <w:t>Contra-Liability entry for Credit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w:t>
            </w:r>
          </w:p>
        </w:tc>
        <w:tc>
          <w:tcPr>
            <w:tcW w:w="7195" w:type="dxa"/>
            <w:vAlign w:val="center"/>
          </w:tcPr>
          <w:p w:rsidR="00397E59" w:rsidRDefault="00397E59" w:rsidP="00397E59">
            <w:pPr>
              <w:spacing w:after="160" w:line="360" w:lineRule="auto"/>
              <w:jc w:val="center"/>
              <w:rPr>
                <w:bCs/>
              </w:rPr>
            </w:pPr>
            <w:r>
              <w:rPr>
                <w:bCs/>
              </w:rPr>
              <w:t>Debt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DVA2</w:t>
            </w:r>
          </w:p>
        </w:tc>
        <w:tc>
          <w:tcPr>
            <w:tcW w:w="7195" w:type="dxa"/>
            <w:vAlign w:val="center"/>
          </w:tcPr>
          <w:p w:rsidR="00397E59" w:rsidRDefault="00397E59" w:rsidP="00397E59">
            <w:pPr>
              <w:spacing w:after="160" w:line="360" w:lineRule="auto"/>
              <w:jc w:val="center"/>
              <w:rPr>
                <w:bCs/>
              </w:rPr>
            </w:pPr>
            <w:r>
              <w:rPr>
                <w:bCs/>
              </w:rPr>
              <w:t>Funding Debt Adjustment (same as FDA)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EE</w:t>
            </w:r>
          </w:p>
        </w:tc>
        <w:tc>
          <w:tcPr>
            <w:tcW w:w="7195" w:type="dxa"/>
            <w:vAlign w:val="center"/>
          </w:tcPr>
          <w:p w:rsidR="00397E59" w:rsidRDefault="00397E59" w:rsidP="00397E59">
            <w:pPr>
              <w:spacing w:after="160" w:line="360" w:lineRule="auto"/>
              <w:jc w:val="center"/>
              <w:rPr>
                <w:bCs/>
              </w:rPr>
            </w:pPr>
            <w:r>
              <w:rPr>
                <w:bCs/>
              </w:rPr>
              <w:t>Expected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ENE</w:t>
            </w:r>
          </w:p>
        </w:tc>
        <w:tc>
          <w:tcPr>
            <w:tcW w:w="7195" w:type="dxa"/>
            <w:vAlign w:val="center"/>
          </w:tcPr>
          <w:p w:rsidR="00397E59" w:rsidRDefault="00397E59" w:rsidP="00397E59">
            <w:pPr>
              <w:spacing w:after="160" w:line="360" w:lineRule="auto"/>
              <w:jc w:val="center"/>
              <w:rPr>
                <w:bCs/>
              </w:rPr>
            </w:pPr>
            <w:r>
              <w:rPr>
                <w:bCs/>
              </w:rPr>
              <w:t>Expected Negative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EPE</w:t>
            </w:r>
          </w:p>
        </w:tc>
        <w:tc>
          <w:tcPr>
            <w:tcW w:w="7195" w:type="dxa"/>
            <w:vAlign w:val="center"/>
          </w:tcPr>
          <w:p w:rsidR="00397E59" w:rsidRDefault="00397E59" w:rsidP="00397E59">
            <w:pPr>
              <w:spacing w:after="160" w:line="360" w:lineRule="auto"/>
              <w:jc w:val="center"/>
              <w:rPr>
                <w:bCs/>
              </w:rPr>
            </w:pPr>
            <w:r>
              <w:rPr>
                <w:bCs/>
              </w:rPr>
              <w:t>Expected Positive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FBA</w:t>
            </w:r>
          </w:p>
        </w:tc>
        <w:tc>
          <w:tcPr>
            <w:tcW w:w="7195" w:type="dxa"/>
            <w:vAlign w:val="center"/>
          </w:tcPr>
          <w:p w:rsidR="00397E59" w:rsidRDefault="00397E59" w:rsidP="00397E59">
            <w:pPr>
              <w:spacing w:after="160" w:line="360" w:lineRule="auto"/>
              <w:jc w:val="center"/>
              <w:rPr>
                <w:bCs/>
              </w:rPr>
            </w:pPr>
            <w:r>
              <w:rPr>
                <w:bCs/>
              </w:rPr>
              <w:t>Funding Benefit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FCA</w:t>
            </w:r>
          </w:p>
        </w:tc>
        <w:tc>
          <w:tcPr>
            <w:tcW w:w="7195" w:type="dxa"/>
            <w:vAlign w:val="center"/>
          </w:tcPr>
          <w:p w:rsidR="00397E59" w:rsidRDefault="00397E59" w:rsidP="00397E59">
            <w:pPr>
              <w:spacing w:after="160" w:line="360" w:lineRule="auto"/>
              <w:jc w:val="center"/>
              <w:rPr>
                <w:bCs/>
              </w:rPr>
            </w:pPr>
            <w:r>
              <w:rPr>
                <w:bCs/>
              </w:rPr>
              <w:t>Funding Cost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FDA</w:t>
            </w:r>
          </w:p>
        </w:tc>
        <w:tc>
          <w:tcPr>
            <w:tcW w:w="7195" w:type="dxa"/>
            <w:vAlign w:val="center"/>
          </w:tcPr>
          <w:p w:rsidR="00397E59" w:rsidRDefault="00397E59" w:rsidP="00397E59">
            <w:pPr>
              <w:spacing w:after="160" w:line="360" w:lineRule="auto"/>
              <w:jc w:val="center"/>
              <w:rPr>
                <w:bCs/>
              </w:rPr>
            </w:pPr>
            <w:r>
              <w:rPr>
                <w:bCs/>
              </w:rPr>
              <w:t>Funding Liability Adjustment (same as DVA2)</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FTDCVA</w:t>
            </w:r>
          </w:p>
        </w:tc>
        <w:tc>
          <w:tcPr>
            <w:tcW w:w="7195" w:type="dxa"/>
            <w:vAlign w:val="center"/>
          </w:tcPr>
          <w:p w:rsidR="00397E59" w:rsidRDefault="00397E59" w:rsidP="00397E59">
            <w:pPr>
              <w:spacing w:after="160" w:line="360" w:lineRule="auto"/>
              <w:jc w:val="center"/>
              <w:rPr>
                <w:bCs/>
              </w:rPr>
            </w:pPr>
            <w:r>
              <w:rPr>
                <w:bCs/>
              </w:rPr>
              <w:t>First-to-default CVA, same as CVA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FTP</w:t>
            </w:r>
          </w:p>
        </w:tc>
        <w:tc>
          <w:tcPr>
            <w:tcW w:w="7195" w:type="dxa"/>
            <w:vAlign w:val="center"/>
          </w:tcPr>
          <w:p w:rsidR="00397E59" w:rsidRDefault="00397E59" w:rsidP="00397E59">
            <w:pPr>
              <w:spacing w:after="160" w:line="360" w:lineRule="auto"/>
              <w:jc w:val="center"/>
              <w:rPr>
                <w:bCs/>
              </w:rPr>
            </w:pPr>
            <w:r>
              <w:rPr>
                <w:bCs/>
              </w:rPr>
              <w:t>Funding Transfer Pricing</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FVA</w:t>
            </w:r>
          </w:p>
        </w:tc>
        <w:tc>
          <w:tcPr>
            <w:tcW w:w="7195" w:type="dxa"/>
            <w:vAlign w:val="center"/>
          </w:tcPr>
          <w:p w:rsidR="00397E59" w:rsidRDefault="00397E59" w:rsidP="00397E59">
            <w:pPr>
              <w:spacing w:after="160" w:line="360" w:lineRule="auto"/>
              <w:jc w:val="center"/>
              <w:rPr>
                <w:bCs/>
              </w:rPr>
            </w:pPr>
            <w:r>
              <w:rPr>
                <w:bCs/>
              </w:rPr>
              <w:t>Funding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PFV</w:t>
            </w:r>
          </w:p>
        </w:tc>
        <w:tc>
          <w:tcPr>
            <w:tcW w:w="7195" w:type="dxa"/>
            <w:vAlign w:val="center"/>
          </w:tcPr>
          <w:p w:rsidR="00397E59" w:rsidRDefault="00397E59" w:rsidP="00397E59">
            <w:pPr>
              <w:spacing w:after="160" w:line="360" w:lineRule="auto"/>
              <w:jc w:val="center"/>
              <w:rPr>
                <w:bCs/>
              </w:rPr>
            </w:pPr>
            <w:r>
              <w:rPr>
                <w:bCs/>
              </w:rPr>
              <w:t>Portfolio Fair Valuation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KVA</w:t>
            </w:r>
          </w:p>
        </w:tc>
        <w:tc>
          <w:tcPr>
            <w:tcW w:w="7195" w:type="dxa"/>
            <w:vAlign w:val="center"/>
          </w:tcPr>
          <w:p w:rsidR="00397E59" w:rsidRDefault="00397E59" w:rsidP="00397E59">
            <w:pPr>
              <w:spacing w:after="160" w:line="360" w:lineRule="auto"/>
              <w:jc w:val="center"/>
              <w:rPr>
                <w:bCs/>
              </w:rPr>
            </w:pPr>
            <w:r>
              <w:rPr>
                <w:bCs/>
              </w:rPr>
              <w:t>Capital Valuation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L</w:t>
            </w:r>
          </w:p>
        </w:tc>
        <w:tc>
          <w:tcPr>
            <w:tcW w:w="7195" w:type="dxa"/>
          </w:tcPr>
          <w:p w:rsidR="00397E59" w:rsidRDefault="00397E59" w:rsidP="00397E59">
            <w:pPr>
              <w:spacing w:after="160" w:line="360" w:lineRule="auto"/>
              <w:jc w:val="center"/>
              <w:rPr>
                <w:bCs/>
              </w:rPr>
            </w:pPr>
            <w:r>
              <w:rPr>
                <w:bCs/>
              </w:rPr>
              <w:t>Liability Account</w:t>
            </w:r>
          </w:p>
        </w:tc>
      </w:tr>
      <w:tr w:rsidR="00397E59" w:rsidTr="00397E59">
        <w:tblPrEx>
          <w:jc w:val="left"/>
        </w:tblPrEx>
        <w:tc>
          <w:tcPr>
            <w:tcW w:w="2155" w:type="dxa"/>
          </w:tcPr>
          <w:p w:rsidR="00397E59" w:rsidRDefault="00397E59" w:rsidP="00397E59">
            <w:pPr>
              <w:spacing w:after="160" w:line="360" w:lineRule="auto"/>
              <w:jc w:val="center"/>
              <w:rPr>
                <w:bCs/>
              </w:rPr>
            </w:pPr>
            <w:r>
              <w:rPr>
                <w:bCs/>
              </w:rPr>
              <w:t>OIS Rate</w:t>
            </w:r>
          </w:p>
        </w:tc>
        <w:tc>
          <w:tcPr>
            <w:tcW w:w="7195" w:type="dxa"/>
          </w:tcPr>
          <w:p w:rsidR="00397E59" w:rsidRDefault="00397E59" w:rsidP="00397E59">
            <w:pPr>
              <w:spacing w:after="160" w:line="360" w:lineRule="auto"/>
              <w:jc w:val="center"/>
              <w:rPr>
                <w:bCs/>
              </w:rPr>
            </w:pPr>
            <w:r>
              <w:rPr>
                <w:bCs/>
              </w:rPr>
              <w:t>Overnight Index Swap Rate</w:t>
            </w:r>
          </w:p>
        </w:tc>
      </w:tr>
      <w:tr w:rsidR="00397E59" w:rsidTr="00397E59">
        <w:tblPrEx>
          <w:jc w:val="left"/>
        </w:tblPrEx>
        <w:tc>
          <w:tcPr>
            <w:tcW w:w="2155" w:type="dxa"/>
          </w:tcPr>
          <w:p w:rsidR="00397E59" w:rsidRDefault="00397E59" w:rsidP="00397E59">
            <w:pPr>
              <w:spacing w:after="160" w:line="360" w:lineRule="auto"/>
              <w:jc w:val="center"/>
              <w:rPr>
                <w:bCs/>
              </w:rPr>
            </w:pPr>
            <w:r>
              <w:rPr>
                <w:bCs/>
              </w:rPr>
              <w:t>OTC</w:t>
            </w:r>
          </w:p>
        </w:tc>
        <w:tc>
          <w:tcPr>
            <w:tcW w:w="7195" w:type="dxa"/>
          </w:tcPr>
          <w:p w:rsidR="00397E59" w:rsidRDefault="00397E59" w:rsidP="00397E59">
            <w:pPr>
              <w:spacing w:after="160" w:line="360" w:lineRule="auto"/>
              <w:jc w:val="center"/>
              <w:rPr>
                <w:bCs/>
              </w:rPr>
            </w:pPr>
            <w:r>
              <w:rPr>
                <w:bCs/>
              </w:rPr>
              <w:t>Over-the-Counter</w:t>
            </w:r>
          </w:p>
        </w:tc>
      </w:tr>
      <w:tr w:rsidR="00397E59" w:rsidTr="00397E59">
        <w:tblPrEx>
          <w:jc w:val="left"/>
        </w:tblPrEx>
        <w:tc>
          <w:tcPr>
            <w:tcW w:w="2155" w:type="dxa"/>
          </w:tcPr>
          <w:p w:rsidR="00397E59" w:rsidRDefault="00397E59" w:rsidP="00397E59">
            <w:pPr>
              <w:spacing w:after="160" w:line="360" w:lineRule="auto"/>
              <w:jc w:val="center"/>
              <w:rPr>
                <w:bCs/>
              </w:rPr>
            </w:pPr>
            <w:r>
              <w:rPr>
                <w:bCs/>
              </w:rPr>
              <w:t>RE</w:t>
            </w:r>
          </w:p>
        </w:tc>
        <w:tc>
          <w:tcPr>
            <w:tcW w:w="7195" w:type="dxa"/>
          </w:tcPr>
          <w:p w:rsidR="00397E59" w:rsidRDefault="00397E59" w:rsidP="00397E59">
            <w:pPr>
              <w:spacing w:after="160" w:line="360" w:lineRule="auto"/>
              <w:jc w:val="center"/>
              <w:rPr>
                <w:bCs/>
              </w:rPr>
            </w:pPr>
            <w:r>
              <w:rPr>
                <w:bCs/>
              </w:rPr>
              <w:t>Retained Earnings</w:t>
            </w:r>
          </w:p>
        </w:tc>
      </w:tr>
      <w:tr w:rsidR="00397E59" w:rsidTr="00397E59">
        <w:tblPrEx>
          <w:jc w:val="left"/>
        </w:tblPrEx>
        <w:tc>
          <w:tcPr>
            <w:tcW w:w="2155" w:type="dxa"/>
          </w:tcPr>
          <w:p w:rsidR="00397E59" w:rsidRDefault="00397E59" w:rsidP="00397E59">
            <w:pPr>
              <w:spacing w:after="160" w:line="360" w:lineRule="auto"/>
              <w:jc w:val="center"/>
              <w:rPr>
                <w:bCs/>
              </w:rPr>
            </w:pPr>
            <w:r>
              <w:rPr>
                <w:bCs/>
              </w:rPr>
              <w:t>REPO</w:t>
            </w:r>
          </w:p>
        </w:tc>
        <w:tc>
          <w:tcPr>
            <w:tcW w:w="7195" w:type="dxa"/>
          </w:tcPr>
          <w:p w:rsidR="00397E59" w:rsidRDefault="00397E59" w:rsidP="00397E59">
            <w:pPr>
              <w:spacing w:after="160" w:line="360" w:lineRule="auto"/>
              <w:jc w:val="center"/>
              <w:rPr>
                <w:bCs/>
              </w:rPr>
            </w:pPr>
            <w:r>
              <w:rPr>
                <w:bCs/>
              </w:rPr>
              <w:t>Re-purchase Agreement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RHO</w:t>
            </w:r>
          </w:p>
        </w:tc>
        <w:tc>
          <w:tcPr>
            <w:tcW w:w="7195" w:type="dxa"/>
          </w:tcPr>
          <w:p w:rsidR="00397E59" w:rsidRDefault="00397E59" w:rsidP="00397E59">
            <w:pPr>
              <w:spacing w:after="160" w:line="360" w:lineRule="auto"/>
              <w:jc w:val="center"/>
              <w:rPr>
                <w:bCs/>
              </w:rPr>
            </w:pPr>
            <w:r>
              <w:rPr>
                <w:bCs/>
              </w:rPr>
              <w:t>Re-hypothecation Option Benefit</w:t>
            </w:r>
          </w:p>
        </w:tc>
      </w:tr>
      <w:tr w:rsidR="00397E59" w:rsidTr="00397E59">
        <w:tblPrEx>
          <w:jc w:val="left"/>
        </w:tblPrEx>
        <w:tc>
          <w:tcPr>
            <w:tcW w:w="2155" w:type="dxa"/>
          </w:tcPr>
          <w:p w:rsidR="00397E59" w:rsidRDefault="00397E59" w:rsidP="00397E59">
            <w:pPr>
              <w:spacing w:after="160" w:line="360" w:lineRule="auto"/>
              <w:jc w:val="center"/>
              <w:rPr>
                <w:bCs/>
              </w:rPr>
            </w:pPr>
            <w:r>
              <w:rPr>
                <w:bCs/>
              </w:rPr>
              <w:t>SFVA</w:t>
            </w:r>
          </w:p>
        </w:tc>
        <w:tc>
          <w:tcPr>
            <w:tcW w:w="7195" w:type="dxa"/>
          </w:tcPr>
          <w:p w:rsidR="00397E59" w:rsidRDefault="00397E59" w:rsidP="00397E59">
            <w:pPr>
              <w:spacing w:after="160" w:line="360" w:lineRule="auto"/>
              <w:jc w:val="center"/>
              <w:rPr>
                <w:bCs/>
              </w:rPr>
            </w:pPr>
            <w:r>
              <w:rPr>
                <w:bCs/>
              </w:rPr>
              <w:t>Symmetric Funding Value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lastRenderedPageBreak/>
              <w:t>UCVA</w:t>
            </w:r>
          </w:p>
        </w:tc>
        <w:tc>
          <w:tcPr>
            <w:tcW w:w="7195" w:type="dxa"/>
          </w:tcPr>
          <w:p w:rsidR="00397E59" w:rsidRDefault="00397E59" w:rsidP="00397E59">
            <w:pPr>
              <w:spacing w:after="160" w:line="360" w:lineRule="auto"/>
              <w:jc w:val="center"/>
              <w:rPr>
                <w:bCs/>
              </w:rPr>
            </w:pPr>
            <w:r>
              <w:rPr>
                <w:bCs/>
              </w:rPr>
              <w:t>Unilateral CVA</w:t>
            </w:r>
          </w:p>
        </w:tc>
      </w:tr>
      <w:tr w:rsidR="00397E59" w:rsidTr="00397E59">
        <w:tblPrEx>
          <w:jc w:val="left"/>
        </w:tblPrEx>
        <w:tc>
          <w:tcPr>
            <w:tcW w:w="2155" w:type="dxa"/>
          </w:tcPr>
          <w:p w:rsidR="00397E59" w:rsidRDefault="00397E59" w:rsidP="00397E59">
            <w:pPr>
              <w:spacing w:after="160" w:line="360" w:lineRule="auto"/>
              <w:jc w:val="center"/>
              <w:rPr>
                <w:bCs/>
              </w:rPr>
            </w:pPr>
            <w:r>
              <w:rPr>
                <w:bCs/>
              </w:rPr>
              <w:t>VM</w:t>
            </w:r>
          </w:p>
        </w:tc>
        <w:tc>
          <w:tcPr>
            <w:tcW w:w="7195" w:type="dxa"/>
          </w:tcPr>
          <w:p w:rsidR="00397E59" w:rsidRDefault="00397E59" w:rsidP="00397E59">
            <w:pPr>
              <w:spacing w:after="160" w:line="360" w:lineRule="auto"/>
              <w:jc w:val="center"/>
              <w:rPr>
                <w:bCs/>
              </w:rPr>
            </w:pPr>
            <w:r>
              <w:rPr>
                <w:bCs/>
              </w:rPr>
              <w:t>Variation Margin</w:t>
            </w:r>
          </w:p>
        </w:tc>
      </w:tr>
      <w:tr w:rsidR="00397E59" w:rsidTr="00397E59">
        <w:tblPrEx>
          <w:jc w:val="left"/>
        </w:tblPrEx>
        <w:tc>
          <w:tcPr>
            <w:tcW w:w="2155" w:type="dxa"/>
          </w:tcPr>
          <w:p w:rsidR="00397E59" w:rsidRDefault="00397E59" w:rsidP="00397E59">
            <w:pPr>
              <w:spacing w:after="160" w:line="360" w:lineRule="auto"/>
              <w:jc w:val="center"/>
              <w:rPr>
                <w:bCs/>
              </w:rPr>
            </w:pPr>
            <w:r>
              <w:rPr>
                <w:bCs/>
              </w:rPr>
              <w:t>XVA</w:t>
            </w:r>
          </w:p>
        </w:tc>
        <w:tc>
          <w:tcPr>
            <w:tcW w:w="7195" w:type="dxa"/>
          </w:tcPr>
          <w:p w:rsidR="00397E59" w:rsidRDefault="00397E59" w:rsidP="00397E59">
            <w:pPr>
              <w:spacing w:after="160" w:line="360" w:lineRule="auto"/>
              <w:jc w:val="center"/>
              <w:rPr>
                <w:bCs/>
              </w:rPr>
            </w:pPr>
            <w:r>
              <w:rPr>
                <w:bCs/>
              </w:rPr>
              <w:t>“X” Valuation Adjustment (short-hand for all valuation adjustments, such as CVA, DVA, FVA, etc.)</w:t>
            </w:r>
          </w:p>
        </w:tc>
      </w:tr>
    </w:tbl>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Pr="002D19A5" w:rsidRDefault="00397E59" w:rsidP="008A18B1">
      <w:pPr>
        <w:pStyle w:val="Footer"/>
        <w:numPr>
          <w:ilvl w:val="0"/>
          <w:numId w:val="1"/>
        </w:numPr>
        <w:tabs>
          <w:tab w:val="clear" w:pos="4320"/>
          <w:tab w:val="clear" w:pos="8640"/>
        </w:tabs>
        <w:spacing w:line="360" w:lineRule="auto"/>
      </w:pPr>
      <w:r>
        <w:t xml:space="preserve">Albanese, C., and L. Andersen (2014): </w:t>
      </w:r>
      <w:hyperlink r:id="rId45"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Funding and Re-Hypothecation Adjustment - Motivation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vs. Repo Markets</w:t>
      </w:r>
    </w:p>
    <w:p w:rsidR="00397E59" w:rsidRDefault="00397E59" w:rsidP="00397E59">
      <w:pPr>
        <w:spacing w:line="360" w:lineRule="auto"/>
      </w:pPr>
    </w:p>
    <w:p w:rsidR="00397E59" w:rsidRDefault="00397E59" w:rsidP="008A18B1">
      <w:pPr>
        <w:pStyle w:val="ListParagraph"/>
        <w:numPr>
          <w:ilvl w:val="0"/>
          <w:numId w:val="11"/>
        </w:numPr>
        <w:spacing w:after="160" w:line="360" w:lineRule="auto"/>
        <w:rPr>
          <w:bCs/>
        </w:rPr>
      </w:pPr>
      <w:r w:rsidRPr="00F276D4">
        <w:rPr>
          <w:bCs/>
          <w:u w:val="single"/>
        </w:rPr>
        <w:t>Repo Market Infrastructure</w:t>
      </w:r>
      <w:r w:rsidRPr="00F276D4">
        <w:rPr>
          <w:bCs/>
        </w:rPr>
        <w:t>: One key indicator of trade liquidity is the existence of an efficient REPO market infrastructure in support of market-making activities. In a liquid markets, such as those trading government bonds, security acquisitions may be financed by reverse REPO trades.</w:t>
      </w:r>
    </w:p>
    <w:p w:rsidR="00397E59" w:rsidRDefault="00397E59" w:rsidP="008A18B1">
      <w:pPr>
        <w:pStyle w:val="ListParagraph"/>
        <w:numPr>
          <w:ilvl w:val="0"/>
          <w:numId w:val="11"/>
        </w:numPr>
        <w:spacing w:after="160" w:line="360" w:lineRule="auto"/>
        <w:rPr>
          <w:bCs/>
        </w:rPr>
      </w:pPr>
      <w:r>
        <w:rPr>
          <w:bCs/>
          <w:u w:val="single"/>
        </w:rPr>
        <w:t>Funding in OTC Derivatives Market</w:t>
      </w:r>
      <w:r w:rsidRPr="00F276D4">
        <w:rPr>
          <w:bCs/>
        </w:rPr>
        <w:t>:</w:t>
      </w:r>
      <w:r>
        <w:rPr>
          <w:bCs/>
        </w:rPr>
        <w:t xml:space="preserve"> The OTC derivatives market, on the other hand, is not directly supported by a REPO infrastructure, and uncollateralized derivatives must instead be financed by other means.</w:t>
      </w:r>
    </w:p>
    <w:p w:rsidR="00397E59" w:rsidRDefault="00397E59" w:rsidP="008A18B1">
      <w:pPr>
        <w:pStyle w:val="ListParagraph"/>
        <w:numPr>
          <w:ilvl w:val="0"/>
          <w:numId w:val="11"/>
        </w:numPr>
        <w:spacing w:after="160" w:line="360" w:lineRule="auto"/>
        <w:rPr>
          <w:bCs/>
        </w:rPr>
      </w:pPr>
      <w:r>
        <w:rPr>
          <w:bCs/>
          <w:u w:val="single"/>
        </w:rPr>
        <w:t>OTC Hedges Variation Margin Funding</w:t>
      </w:r>
      <w:r w:rsidRPr="00FA01D6">
        <w:rPr>
          <w:bCs/>
        </w:rPr>
        <w:t>:</w:t>
      </w:r>
      <w:r>
        <w:rPr>
          <w:bCs/>
        </w:rPr>
        <w:t xml:space="preserve"> As derivatives receivables are an inefficient form of collateral, the rates banks face when funding variation margin (VM) for their hedges for uncollateralized derivatives are typically close to those for unsecured funding.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Modus Operandi of Funding Desks</w:t>
      </w:r>
    </w:p>
    <w:p w:rsidR="00397E59" w:rsidRDefault="00397E59" w:rsidP="00397E59">
      <w:pPr>
        <w:spacing w:line="360" w:lineRule="auto"/>
      </w:pPr>
    </w:p>
    <w:p w:rsidR="00397E59" w:rsidRDefault="00397E59" w:rsidP="008A18B1">
      <w:pPr>
        <w:pStyle w:val="ListParagraph"/>
        <w:numPr>
          <w:ilvl w:val="0"/>
          <w:numId w:val="12"/>
        </w:numPr>
        <w:spacing w:after="160" w:line="360" w:lineRule="auto"/>
        <w:rPr>
          <w:bCs/>
        </w:rPr>
      </w:pPr>
      <w:r w:rsidRPr="00FA01D6">
        <w:rPr>
          <w:bCs/>
          <w:u w:val="single"/>
        </w:rPr>
        <w:t>Funding the Derivatives Hedging Cost</w:t>
      </w:r>
      <w:r w:rsidRPr="00FA01D6">
        <w:rPr>
          <w:bCs/>
        </w:rPr>
        <w:t>: Without an efficient REPO market infrastructure, managers cannot prevent or hedge the wealth transfer with unsecured derivatives trading. Instead they must seek to recoup the loss to shareholders by passing on the cost to the clients.</w:t>
      </w:r>
    </w:p>
    <w:p w:rsidR="00397E59" w:rsidRDefault="00397E59" w:rsidP="008A18B1">
      <w:pPr>
        <w:pStyle w:val="ListParagraph"/>
        <w:numPr>
          <w:ilvl w:val="0"/>
          <w:numId w:val="12"/>
        </w:numPr>
        <w:spacing w:after="160" w:line="360" w:lineRule="auto"/>
        <w:rPr>
          <w:bCs/>
        </w:rPr>
      </w:pPr>
      <w:r>
        <w:rPr>
          <w:bCs/>
          <w:u w:val="single"/>
        </w:rPr>
        <w:t>The Funding Cost Transfer Chain</w:t>
      </w:r>
      <w:r w:rsidRPr="00FA01D6">
        <w:rPr>
          <w:bCs/>
        </w:rPr>
        <w:t>:</w:t>
      </w:r>
      <w:r>
        <w:rPr>
          <w:bCs/>
        </w:rPr>
        <w:t xml:space="preserve"> At a more granular level, this cost transfer commonly goes through a chain that starts when a bank treasury issues unsecured debt to raise funds needed for uncollateralized derivatives trading activities.</w:t>
      </w:r>
    </w:p>
    <w:p w:rsidR="00397E59" w:rsidRDefault="00397E59" w:rsidP="008A18B1">
      <w:pPr>
        <w:pStyle w:val="ListParagraph"/>
        <w:numPr>
          <w:ilvl w:val="0"/>
          <w:numId w:val="12"/>
        </w:numPr>
        <w:spacing w:after="160" w:line="360" w:lineRule="auto"/>
        <w:rPr>
          <w:bCs/>
        </w:rPr>
      </w:pPr>
      <w:r>
        <w:rPr>
          <w:bCs/>
          <w:u w:val="single"/>
        </w:rPr>
        <w:t>The CFD/CVA Desks</w:t>
      </w:r>
      <w:r w:rsidRPr="00FA01D6">
        <w:rPr>
          <w:bCs/>
        </w:rPr>
        <w:t>:</w:t>
      </w:r>
      <w:r>
        <w:rPr>
          <w:bCs/>
        </w:rPr>
        <w:t xml:space="preserve"> In the standard bank setup, the running spread cost of the bank issuance is subsequently passed by the treasury to a central funding desk (CFD) which </w:t>
      </w:r>
      <w:r>
        <w:rPr>
          <w:bCs/>
        </w:rPr>
        <w:lastRenderedPageBreak/>
        <w:t>consolidates the management of the funding costs on behalf of the bank’s trading functions. In many cases the CFD is merged with the CVA desk in a unified trading operation.</w:t>
      </w:r>
    </w:p>
    <w:p w:rsidR="00397E59" w:rsidRDefault="00397E59" w:rsidP="008A18B1">
      <w:pPr>
        <w:pStyle w:val="ListParagraph"/>
        <w:numPr>
          <w:ilvl w:val="0"/>
          <w:numId w:val="12"/>
        </w:numPr>
        <w:spacing w:after="160" w:line="360" w:lineRule="auto"/>
        <w:rPr>
          <w:bCs/>
        </w:rPr>
      </w:pPr>
      <w:r>
        <w:rPr>
          <w:bCs/>
          <w:u w:val="single"/>
        </w:rPr>
        <w:t>FTP Policy and Client Pricing</w:t>
      </w:r>
      <w:r w:rsidRPr="00FA01D6">
        <w:rPr>
          <w:bCs/>
        </w:rPr>
        <w:t>:</w:t>
      </w:r>
      <w:r>
        <w:rPr>
          <w:bCs/>
        </w:rPr>
        <w:t xml:space="preserve"> The CFD, in turn, transfers costs of funding to business line desks on an upfront basis by implementing a funding transfer pricing policy. Finally business line desks charge the costs to clients by embedding them into deal structures.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MMT And Asset-Liability Symmetry</w:t>
      </w:r>
    </w:p>
    <w:p w:rsidR="00397E59" w:rsidRDefault="00397E59" w:rsidP="00397E59">
      <w:pPr>
        <w:spacing w:line="360" w:lineRule="auto"/>
      </w:pPr>
    </w:p>
    <w:p w:rsidR="00397E59" w:rsidRDefault="00397E59" w:rsidP="008A18B1">
      <w:pPr>
        <w:pStyle w:val="ListParagraph"/>
        <w:numPr>
          <w:ilvl w:val="0"/>
          <w:numId w:val="13"/>
        </w:numPr>
        <w:spacing w:after="160" w:line="360" w:lineRule="auto"/>
        <w:rPr>
          <w:bCs/>
        </w:rPr>
      </w:pPr>
      <w:r w:rsidRPr="00283121">
        <w:rPr>
          <w:bCs/>
          <w:u w:val="single"/>
        </w:rPr>
        <w:t>Modigliani-Miller Theorem and Indifference Pricing</w:t>
      </w:r>
      <w:r w:rsidRPr="00283121">
        <w:rPr>
          <w:bCs/>
        </w:rPr>
        <w:t>: According to the famous Modigliani-Miller Theorem (MMT – Modigliani and Miller (1958)) the indifference price of new trade should not depend the rate on which the bank funds the VM on the hedges.</w:t>
      </w:r>
    </w:p>
    <w:p w:rsidR="00397E59" w:rsidRDefault="00397E59" w:rsidP="008A18B1">
      <w:pPr>
        <w:pStyle w:val="ListParagraph"/>
        <w:numPr>
          <w:ilvl w:val="0"/>
          <w:numId w:val="13"/>
        </w:numPr>
        <w:spacing w:after="160" w:line="360" w:lineRule="auto"/>
        <w:rPr>
          <w:bCs/>
        </w:rPr>
      </w:pPr>
      <w:r>
        <w:rPr>
          <w:bCs/>
          <w:u w:val="single"/>
        </w:rPr>
        <w:t>Wealth Transfer Across the Capital Structure</w:t>
      </w:r>
      <w:r>
        <w:rPr>
          <w:bCs/>
        </w:rPr>
        <w:t>: However, inefficient funding strategies may still give rise to wealth transfer across the capital structure of the bank, directed from the shareholders to the senior creditors (Albanese and Iabichino (2013)).</w:t>
      </w:r>
    </w:p>
    <w:p w:rsidR="00397E59" w:rsidRDefault="00397E59" w:rsidP="008A18B1">
      <w:pPr>
        <w:pStyle w:val="ListParagraph"/>
        <w:numPr>
          <w:ilvl w:val="0"/>
          <w:numId w:val="13"/>
        </w:numPr>
        <w:spacing w:after="160" w:line="360" w:lineRule="auto"/>
        <w:rPr>
          <w:bCs/>
        </w:rPr>
      </w:pPr>
      <w:r>
        <w:rPr>
          <w:bCs/>
          <w:u w:val="single"/>
        </w:rPr>
        <w:t>Funding Charges in Accounting Statements</w:t>
      </w:r>
      <w:r w:rsidRPr="0024234F">
        <w:rPr>
          <w:bCs/>
        </w:rPr>
        <w:t>:</w:t>
      </w:r>
      <w:r>
        <w:rPr>
          <w:bCs/>
        </w:rPr>
        <w:t xml:space="preserve"> While estimates for funding costs have been used and incorporated into funding costs informally for decades, it is only post-crisis that the banks have attempted to recognize these costs in official accounting statements by adding funding related valuation adjustments (FVA) to the existing CVA and DVA credit risk adjustments.</w:t>
      </w:r>
    </w:p>
    <w:p w:rsidR="00397E59" w:rsidRPr="007500BA" w:rsidRDefault="00397E59" w:rsidP="008A18B1">
      <w:pPr>
        <w:pStyle w:val="ListParagraph"/>
        <w:numPr>
          <w:ilvl w:val="0"/>
          <w:numId w:val="13"/>
        </w:numPr>
        <w:spacing w:after="160" w:line="360" w:lineRule="auto"/>
        <w:rPr>
          <w:bCs/>
        </w:rPr>
      </w:pPr>
      <w:r>
        <w:rPr>
          <w:bCs/>
          <w:u w:val="single"/>
        </w:rPr>
        <w:t>FVAs and Asset Write-downs</w:t>
      </w:r>
      <w:r w:rsidRPr="007500BA">
        <w:rPr>
          <w:bCs/>
        </w:rPr>
        <w:t>:</w:t>
      </w:r>
      <w:r>
        <w:rPr>
          <w:bCs/>
        </w:rPr>
        <w:t xml:space="preserve"> Despite unresolved controversies in the literature, in the last quarter of 2013 funding costs were reflected in the accounts at various banks including JP Morgan, Deutsche Bank, Nomura, and others. Not only did these give rise to very material adjustments to CET1, they also led to, due to asymmetries in the fair-value adjustments, asset write-downs that at least in one case exceeded $1 billion (JP Morgan Press Release (2013)).</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Rigorous Framework For Funding Costs</w:t>
      </w:r>
    </w:p>
    <w:p w:rsidR="00397E59" w:rsidRDefault="00397E59" w:rsidP="00397E59">
      <w:pPr>
        <w:spacing w:line="360" w:lineRule="auto"/>
      </w:pPr>
    </w:p>
    <w:p w:rsidR="00397E59" w:rsidRDefault="00397E59" w:rsidP="008A18B1">
      <w:pPr>
        <w:pStyle w:val="ListParagraph"/>
        <w:numPr>
          <w:ilvl w:val="0"/>
          <w:numId w:val="14"/>
        </w:numPr>
        <w:spacing w:line="360" w:lineRule="auto"/>
      </w:pPr>
      <w:r w:rsidRPr="00A56DC8">
        <w:rPr>
          <w:u w:val="single"/>
        </w:rPr>
        <w:lastRenderedPageBreak/>
        <w:t>Impact of Basel Committee Recommendations</w:t>
      </w:r>
      <w:r>
        <w:t>: The question of how and whether to include funding costs in accounts is complicated by the recent decision of the national regulators to accept the recommendation by the Basel Committee (Basel Committee On Banking Supervision (2012)) and mandate the exclusion of the DVA and other own-credit benefits from CET1.</w:t>
      </w:r>
    </w:p>
    <w:p w:rsidR="00397E59" w:rsidRDefault="00397E59" w:rsidP="008A18B1">
      <w:pPr>
        <w:pStyle w:val="ListParagraph"/>
        <w:numPr>
          <w:ilvl w:val="0"/>
          <w:numId w:val="14"/>
        </w:numPr>
        <w:spacing w:line="360" w:lineRule="auto"/>
      </w:pPr>
      <w:r>
        <w:rPr>
          <w:u w:val="single"/>
        </w:rPr>
        <w:t>Impact of DVA Capital Exclusion</w:t>
      </w:r>
      <w:r w:rsidRPr="00A56DC8">
        <w:t>:</w:t>
      </w:r>
      <w:r>
        <w:t xml:space="preserve"> The decision is relevant in the context of funding strategies as popular accounting methods for funding costs are inter-twined with the definition (or sometimes re-definition) of the DVA. In a realistic case-study example, Albanese and Andersen (2014) show that the impact of the DVA capital exclusion is to triple the CET1 deductions for funding whenever the FCA/FBA accounting method is used.</w:t>
      </w:r>
    </w:p>
    <w:p w:rsidR="00397E59" w:rsidRDefault="00397E59" w:rsidP="008A18B1">
      <w:pPr>
        <w:pStyle w:val="ListParagraph"/>
        <w:numPr>
          <w:ilvl w:val="0"/>
          <w:numId w:val="14"/>
        </w:numPr>
        <w:spacing w:line="360" w:lineRule="auto"/>
      </w:pPr>
      <w:r>
        <w:rPr>
          <w:u w:val="single"/>
        </w:rPr>
        <w:t>Motivation for the Rigorous Funding Valuation</w:t>
      </w:r>
      <w:r w:rsidRPr="00A56DC8">
        <w:t>:</w:t>
      </w:r>
      <w:r>
        <w:t xml:space="preserve"> Further, Albanese and Andersen (2014) show that such adverse impacts are to a large extent due to logical faults in the FCA/FBA accounting, and are not justified in a more rigorous framework for funding costs.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Funding Set VM RHO Computation</w:t>
      </w:r>
    </w:p>
    <w:p w:rsidR="00397E59" w:rsidRDefault="00397E59" w:rsidP="00397E59">
      <w:pPr>
        <w:spacing w:line="360" w:lineRule="auto"/>
      </w:pPr>
    </w:p>
    <w:p w:rsidR="00397E59" w:rsidRDefault="00397E59" w:rsidP="008A18B1">
      <w:pPr>
        <w:pStyle w:val="ListParagraph"/>
        <w:numPr>
          <w:ilvl w:val="0"/>
          <w:numId w:val="15"/>
        </w:numPr>
        <w:spacing w:line="360" w:lineRule="auto"/>
      </w:pPr>
      <w:r w:rsidRPr="00C27C3C">
        <w:rPr>
          <w:u w:val="single"/>
        </w:rPr>
        <w:t>Rationale Behind the VM RHO Computation</w:t>
      </w:r>
      <w:r>
        <w:t>: The calculation of the CET1 deductions and the FTP amounts within lines of businesses are essentially always model based and depend strongly on a variety of assumptions and approximations.</w:t>
      </w:r>
    </w:p>
    <w:p w:rsidR="00397E59" w:rsidRDefault="00397E59" w:rsidP="008A18B1">
      <w:pPr>
        <w:pStyle w:val="ListParagraph"/>
        <w:numPr>
          <w:ilvl w:val="0"/>
          <w:numId w:val="15"/>
        </w:numPr>
        <w:spacing w:line="360" w:lineRule="auto"/>
      </w:pPr>
      <w:r>
        <w:rPr>
          <w:u w:val="single"/>
        </w:rPr>
        <w:t>VM Re-hypothecation Across Netting Sets</w:t>
      </w:r>
      <w:r w:rsidRPr="00C27C3C">
        <w:t>:</w:t>
      </w:r>
      <w:r>
        <w:t xml:space="preserve"> Of particular relevance here is how the re-hypothecation option (RHO) for the VM is treated. As banks are allowed to re-hypothecate across netting sets in the same business line portfolio, the RHO is valuable and routinely exercised through the shifting of the cash collateral hedges from receivable hedges to payable hedges.</w:t>
      </w:r>
    </w:p>
    <w:p w:rsidR="00397E59" w:rsidRDefault="00397E59" w:rsidP="008A18B1">
      <w:pPr>
        <w:pStyle w:val="ListParagraph"/>
        <w:numPr>
          <w:ilvl w:val="0"/>
          <w:numId w:val="15"/>
        </w:numPr>
        <w:spacing w:line="360" w:lineRule="auto"/>
      </w:pPr>
      <w:r>
        <w:rPr>
          <w:u w:val="single"/>
        </w:rPr>
        <w:t>Funding Set Portfolio RHO Valuation</w:t>
      </w:r>
      <w:r w:rsidRPr="00C27C3C">
        <w:t>:</w:t>
      </w:r>
      <w:r>
        <w:t xml:space="preserve"> As a consequence, rigorously computed funding cost adjustment is an aggregate portfolio level amount that cannot be linearly decomposed across netting sets. Specifically re-hypothecation dictates that funding costs be calculated through a portfolio level simulation with scenarios that are shared at the </w:t>
      </w:r>
      <w:r>
        <w:rPr>
          <w:i/>
        </w:rPr>
        <w:t>finding set</w:t>
      </w:r>
      <w:r>
        <w:t xml:space="preserve"> level, whereby a </w:t>
      </w:r>
      <w:r>
        <w:lastRenderedPageBreak/>
        <w:t>funding set is defined as a portfolio of unsecured or partly collateralized trades and their corresponding hedges among which the variation margin can be re-hypothecated.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Shortcomings of Traditional CVA Systems</w:t>
      </w:r>
    </w:p>
    <w:p w:rsidR="00397E59" w:rsidRDefault="00397E59" w:rsidP="00397E59">
      <w:pPr>
        <w:spacing w:line="360" w:lineRule="auto"/>
      </w:pPr>
    </w:p>
    <w:p w:rsidR="00397E59" w:rsidRDefault="00397E59" w:rsidP="008A18B1">
      <w:pPr>
        <w:pStyle w:val="ListParagraph"/>
        <w:numPr>
          <w:ilvl w:val="0"/>
          <w:numId w:val="16"/>
        </w:numPr>
        <w:spacing w:line="360" w:lineRule="auto"/>
      </w:pPr>
      <w:r w:rsidRPr="00A23232">
        <w:rPr>
          <w:u w:val="single"/>
        </w:rPr>
        <w:t>Funding Cost Valuation Implementation Challenges</w:t>
      </w:r>
      <w:r>
        <w:t>: Modeling challenges here get intertwined with technology implementation difficulties. Funding cost calculations that require aggregation of trade and collateral values across netting are rarely a good fit for traditional CVA systems optimized for individual netting sets.</w:t>
      </w:r>
    </w:p>
    <w:p w:rsidR="00397E59" w:rsidRDefault="00397E59" w:rsidP="008A18B1">
      <w:pPr>
        <w:pStyle w:val="ListParagraph"/>
        <w:numPr>
          <w:ilvl w:val="0"/>
          <w:numId w:val="16"/>
        </w:numPr>
        <w:spacing w:line="360" w:lineRule="auto"/>
      </w:pPr>
      <w:r>
        <w:rPr>
          <w:u w:val="single"/>
        </w:rPr>
        <w:t>CVA Systems Retrofit for RHO</w:t>
      </w:r>
      <w:r w:rsidRPr="00A23232">
        <w:t>:</w:t>
      </w:r>
      <w:r>
        <w:t xml:space="preserve"> In particular modeling of re-hypothecation using common distributed computing setups is often awkward compared to an in-memory architecture where all counter-party credits are simulated dynamically and all scenarios are shared.</w:t>
      </w:r>
    </w:p>
    <w:p w:rsidR="00397E59" w:rsidRDefault="00397E59" w:rsidP="008A18B1">
      <w:pPr>
        <w:pStyle w:val="ListParagraph"/>
        <w:numPr>
          <w:ilvl w:val="0"/>
          <w:numId w:val="16"/>
        </w:numPr>
        <w:spacing w:line="360" w:lineRule="auto"/>
      </w:pPr>
      <w:r>
        <w:rPr>
          <w:u w:val="single"/>
        </w:rPr>
        <w:t>Approximations to Funding Cost Calculations</w:t>
      </w:r>
      <w:r w:rsidRPr="00A23232">
        <w:t>:</w:t>
      </w:r>
      <w:r>
        <w:t xml:space="preserve"> To bypass technical implementation difficulties and to re-use grid-based CVA systems, many market participants have implemented an approximate accounting method for funding costs based on metrics that are additive over netting sets.</w:t>
      </w:r>
    </w:p>
    <w:p w:rsidR="00397E59" w:rsidRDefault="00397E59" w:rsidP="008A18B1">
      <w:pPr>
        <w:pStyle w:val="ListParagraph"/>
        <w:numPr>
          <w:ilvl w:val="0"/>
          <w:numId w:val="16"/>
        </w:numPr>
        <w:spacing w:line="360" w:lineRule="auto"/>
      </w:pPr>
      <w:r>
        <w:rPr>
          <w:u w:val="single"/>
        </w:rPr>
        <w:t>FCA/FBA Netting Set Additivity</w:t>
      </w:r>
      <w:r w:rsidRPr="00A23232">
        <w:t>:</w:t>
      </w:r>
      <w:r>
        <w:t xml:space="preserve"> The popular FCA/FBA accounting method was designed with linear aggregation in mind. However the netting set additivity inherent in the FCA/FBA accounting typically overlaps between the funding benefits (as captured by the FBA) and the DVA on the derivative payables.</w:t>
      </w:r>
    </w:p>
    <w:p w:rsidR="00397E59" w:rsidRDefault="00397E59" w:rsidP="008A18B1">
      <w:pPr>
        <w:pStyle w:val="ListParagraph"/>
        <w:numPr>
          <w:ilvl w:val="0"/>
          <w:numId w:val="16"/>
        </w:numPr>
        <w:spacing w:line="360" w:lineRule="auto"/>
      </w:pPr>
      <w:r>
        <w:rPr>
          <w:u w:val="single"/>
        </w:rPr>
        <w:t>Adjusting for DVA Double Counting</w:t>
      </w:r>
      <w:r w:rsidRPr="00A23232">
        <w:t>:</w:t>
      </w:r>
      <w:r>
        <w:t xml:space="preserve"> The resulting double-counting is handled normally by an outright replacement of DVA with FBA (Castagna (2011), Caccia (2013)). This replacement inevitably intertwines the DVA on payables (a CET1 deduction) with the RHO (which should instead </w:t>
      </w:r>
      <w:r>
        <w:rPr>
          <w:i/>
        </w:rPr>
        <w:t>add</w:t>
      </w:r>
      <w:r>
        <w:t xml:space="preserve"> to CET1).</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Addressing the Shortcomings of FCA/FBA Accounting</w:t>
      </w:r>
    </w:p>
    <w:p w:rsidR="00397E59" w:rsidRDefault="00397E59" w:rsidP="00397E59">
      <w:pPr>
        <w:spacing w:line="360" w:lineRule="auto"/>
      </w:pPr>
    </w:p>
    <w:p w:rsidR="00397E59" w:rsidRDefault="00397E59" w:rsidP="008A18B1">
      <w:pPr>
        <w:pStyle w:val="ListParagraph"/>
        <w:numPr>
          <w:ilvl w:val="0"/>
          <w:numId w:val="17"/>
        </w:numPr>
        <w:spacing w:line="360" w:lineRule="auto"/>
      </w:pPr>
      <w:r w:rsidRPr="003D7934">
        <w:rPr>
          <w:u w:val="single"/>
        </w:rPr>
        <w:lastRenderedPageBreak/>
        <w:t>Rigorous Modeling of the RHO</w:t>
      </w:r>
      <w:r>
        <w:t>: To address the shortcomings of the FCA/FBA accounting, Albanese and Andersen (2014) examine an alternate accounting method – denoted FVA/FDA – on which the RHO is modeled rigorously and care is taken to make entries of financial statements as meaningful as possible.</w:t>
      </w:r>
    </w:p>
    <w:p w:rsidR="00397E59" w:rsidRDefault="00397E59" w:rsidP="008A18B1">
      <w:pPr>
        <w:pStyle w:val="ListParagraph"/>
        <w:numPr>
          <w:ilvl w:val="0"/>
          <w:numId w:val="17"/>
        </w:numPr>
        <w:spacing w:line="360" w:lineRule="auto"/>
      </w:pPr>
      <w:r>
        <w:rPr>
          <w:u w:val="single"/>
        </w:rPr>
        <w:t>“Going Concern” Viewpoint of Accounting</w:t>
      </w:r>
      <w:r w:rsidRPr="003D7934">
        <w:t>:</w:t>
      </w:r>
      <w:r>
        <w:t xml:space="preserve"> Reconciling financial statements is often a delicate task as the accrual principles and the “going concern” viewpoint of financial accounting inevitably clashes with the notion of fair market value, DVA, and balance-sheet wealth transfers.</w:t>
      </w:r>
    </w:p>
    <w:p w:rsidR="00397E59" w:rsidRDefault="00397E59" w:rsidP="008A18B1">
      <w:pPr>
        <w:pStyle w:val="ListParagraph"/>
        <w:numPr>
          <w:ilvl w:val="0"/>
          <w:numId w:val="17"/>
        </w:numPr>
        <w:spacing w:line="360" w:lineRule="auto"/>
      </w:pPr>
      <w:r>
        <w:rPr>
          <w:u w:val="single"/>
        </w:rPr>
        <w:t>Accounting Theory Consistency of the FVA/FDA</w:t>
      </w:r>
      <w:r w:rsidRPr="003D7934">
        <w:t>:</w:t>
      </w:r>
      <w:r>
        <w:t xml:space="preserve"> Unlike the FCA/FBA Accounting method, the FVA/FDA accounting method is simultaneously consistent with the MMT, the risk-neutral pricing, and the general accounting principles such as asset-liability symmetry. Further in FVA/FDA accounting there is no double-counting of the DVA, and the funding cost adjustment to CET1 has the correct directional dependence with respect to the bank’s own credit spread.</w:t>
      </w:r>
    </w:p>
    <w:p w:rsidR="00397E59" w:rsidRDefault="00397E59" w:rsidP="008A18B1">
      <w:pPr>
        <w:pStyle w:val="ListParagraph"/>
        <w:numPr>
          <w:ilvl w:val="0"/>
          <w:numId w:val="17"/>
        </w:numPr>
        <w:spacing w:line="360" w:lineRule="auto"/>
      </w:pPr>
      <w:r>
        <w:rPr>
          <w:u w:val="single"/>
        </w:rPr>
        <w:t>Impact on Income, CET1, and Price</w:t>
      </w:r>
      <w:r w:rsidRPr="003D7934">
        <w:t>:</w:t>
      </w:r>
      <w:r>
        <w:t xml:space="preserve"> Consistently with the MMT, the FVA/FDA funding value adjustments do not impact income, but do affect both CET1 and the entry price levels. This should provide sufficient incentives for the trading personnel to manage their funding costs properly, something that cannot be said for classical accounting principles that ignore funding costs entirely.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Pr="002D19A5" w:rsidRDefault="00397E59" w:rsidP="008A18B1">
      <w:pPr>
        <w:pStyle w:val="Footer"/>
        <w:numPr>
          <w:ilvl w:val="0"/>
          <w:numId w:val="1"/>
        </w:numPr>
        <w:tabs>
          <w:tab w:val="clear" w:pos="4320"/>
          <w:tab w:val="clear" w:pos="8640"/>
        </w:tabs>
        <w:spacing w:line="360" w:lineRule="auto"/>
      </w:pPr>
      <w:r>
        <w:t xml:space="preserve">Albanese, C., and S. Iabichino (2013): </w:t>
      </w:r>
      <w:hyperlink r:id="rId46" w:history="1">
        <w:r>
          <w:rPr>
            <w:rStyle w:val="Hyperlink"/>
          </w:rPr>
          <w:t>The FVA-DVA Puzzle: Risk Management and Collateral Trading Strategies</w:t>
        </w:r>
      </w:hyperlink>
      <w:r>
        <w:t>.</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7"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Caccia, R. (2013): </w:t>
      </w:r>
      <w:hyperlink r:id="rId48" w:history="1">
        <w:r w:rsidRPr="00AB5723">
          <w:rPr>
            <w:rStyle w:val="Hyperlink"/>
          </w:rPr>
          <w:t>CVA-DVA-FVA-FDA – A Funding (Instead of Defaulting) Approach to Bring Symmetry between Asset Side and Liability Side of Credit-Related Adjustments for Derivatives Valuation</w:t>
        </w:r>
      </w:hyperlink>
      <w:r>
        <w:t xml:space="preserve"> 99-120.</w:t>
      </w:r>
    </w:p>
    <w:p w:rsidR="00397E59" w:rsidRDefault="00397E59" w:rsidP="008A18B1">
      <w:pPr>
        <w:pStyle w:val="Footer"/>
        <w:numPr>
          <w:ilvl w:val="0"/>
          <w:numId w:val="1"/>
        </w:numPr>
        <w:tabs>
          <w:tab w:val="clear" w:pos="4320"/>
          <w:tab w:val="clear" w:pos="8640"/>
        </w:tabs>
        <w:spacing w:line="360" w:lineRule="auto"/>
      </w:pPr>
      <w:r>
        <w:t xml:space="preserve">Castagna, A. (2011): </w:t>
      </w:r>
      <w:hyperlink r:id="rId49" w:history="1">
        <w:r>
          <w:rPr>
            <w:rStyle w:val="Hyperlink"/>
          </w:rPr>
          <w:t>Funding, Liquidity, Credit, and Counterparty Risk: Links and Implications</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JP Morgan Press Release (2013): </w:t>
      </w:r>
      <w:hyperlink r:id="rId50" w:history="1">
        <w:r w:rsidRPr="007500BA">
          <w:rPr>
            <w:rStyle w:val="Hyperlink"/>
          </w:rPr>
          <w:t>JP Morgan Chase Reports 4</w:t>
        </w:r>
        <w:r w:rsidRPr="007500BA">
          <w:rPr>
            <w:rStyle w:val="Hyperlink"/>
            <w:vertAlign w:val="superscript"/>
          </w:rPr>
          <w:t>th</w:t>
        </w:r>
        <w:r w:rsidRPr="007500BA">
          <w:rPr>
            <w:rStyle w:val="Hyperlink"/>
          </w:rPr>
          <w:t xml:space="preserve"> Quarter 2013 Net Income of $5.3 billion, or $1.30 per share, on Revenue of $24.1 Billion</w:t>
        </w:r>
      </w:hyperlink>
      <w:r>
        <w:t xml:space="preserve"> </w:t>
      </w:r>
      <w:r>
        <w:rPr>
          <w:b/>
        </w:rPr>
        <w:t>Release ID 819017</w:t>
      </w:r>
      <w:r>
        <w:t>.</w:t>
      </w:r>
    </w:p>
    <w:p w:rsidR="00397E59" w:rsidRPr="002D19A5" w:rsidRDefault="00397E59" w:rsidP="008A18B1">
      <w:pPr>
        <w:pStyle w:val="Footer"/>
        <w:numPr>
          <w:ilvl w:val="0"/>
          <w:numId w:val="1"/>
        </w:numPr>
        <w:tabs>
          <w:tab w:val="clear" w:pos="4320"/>
          <w:tab w:val="clear" w:pos="8640"/>
        </w:tabs>
        <w:spacing w:line="360" w:lineRule="auto"/>
      </w:pPr>
      <w:r>
        <w:t xml:space="preserve">Modigliani, F., and M. Miller (1958): The Cost of Capital, Corporation Finance, and the Theory of Investment </w:t>
      </w:r>
      <w:r>
        <w:rPr>
          <w:i/>
        </w:rPr>
        <w:t>Economic Review</w:t>
      </w:r>
      <w:r>
        <w:t xml:space="preserve"> </w:t>
      </w:r>
      <w:r>
        <w:rPr>
          <w:b/>
        </w:rPr>
        <w:t>48</w:t>
      </w:r>
      <w:r>
        <w:t xml:space="preserve"> 261-297.</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Results Summary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Valuation Adjustment Estimation Framework Setup</w:t>
      </w:r>
    </w:p>
    <w:p w:rsidR="00397E59" w:rsidRDefault="00397E59" w:rsidP="00397E59">
      <w:pPr>
        <w:spacing w:line="360" w:lineRule="auto"/>
      </w:pPr>
    </w:p>
    <w:p w:rsidR="00397E59" w:rsidRDefault="00397E59" w:rsidP="008A18B1">
      <w:pPr>
        <w:pStyle w:val="ListParagraph"/>
        <w:numPr>
          <w:ilvl w:val="0"/>
          <w:numId w:val="18"/>
        </w:numPr>
        <w:spacing w:line="360" w:lineRule="auto"/>
      </w:pPr>
      <w:r w:rsidRPr="00B32206">
        <w:rPr>
          <w:u w:val="single"/>
        </w:rPr>
        <w:t>Book of Uncollateralized OTC Trades</w:t>
      </w:r>
      <w:r>
        <w:t>: Albanese and Andersen (2014) consider an OTC book containing trades with multiple unsecured counterparties, alongside back-to-back hedges with dealers or clearing houses. The unsecured counterparties do not post VM in full while hedges are fully collateralized.</w:t>
      </w:r>
    </w:p>
    <w:p w:rsidR="00397E59" w:rsidRDefault="00397E59" w:rsidP="008A18B1">
      <w:pPr>
        <w:pStyle w:val="ListParagraph"/>
        <w:numPr>
          <w:ilvl w:val="0"/>
          <w:numId w:val="18"/>
        </w:numPr>
        <w:spacing w:line="360" w:lineRule="auto"/>
      </w:pPr>
      <w:r>
        <w:rPr>
          <w:u w:val="single"/>
        </w:rPr>
        <w:t>Rate on the VM Collateral</w:t>
      </w:r>
      <w:r w:rsidRPr="00B32206">
        <w:t>:</w:t>
      </w:r>
      <w:r>
        <w:t xml:space="preserve"> In case the unsecured book is a net receivable, the hedge book is net payable, and the bank needs to procure VM to hedge counterparties. In this situation the bank receives a rate of OIS on the collateral posted as VM.</w:t>
      </w:r>
    </w:p>
    <w:p w:rsidR="00397E59" w:rsidRDefault="00397E59" w:rsidP="008A18B1">
      <w:pPr>
        <w:pStyle w:val="ListParagraph"/>
        <w:numPr>
          <w:ilvl w:val="0"/>
          <w:numId w:val="18"/>
        </w:numPr>
        <w:spacing w:line="360" w:lineRule="auto"/>
      </w:pPr>
      <w:r>
        <w:rPr>
          <w:u w:val="single"/>
        </w:rPr>
        <w:t>Definition of Funding Value Adjustment</w:t>
      </w:r>
      <w:r w:rsidRPr="00B32206">
        <w:t>:</w:t>
      </w:r>
      <w:r>
        <w:t xml:space="preserve"> The funding value adjustment (FVA) is defined as the PV of the carry cost of funding VM, net of the OIS receipts on the posted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Books Funding Set Decomposition</w:t>
      </w:r>
    </w:p>
    <w:p w:rsidR="00397E59" w:rsidRDefault="00397E59" w:rsidP="00397E59">
      <w:pPr>
        <w:spacing w:line="360" w:lineRule="auto"/>
      </w:pPr>
    </w:p>
    <w:p w:rsidR="00397E59" w:rsidRDefault="00397E59" w:rsidP="008A18B1">
      <w:pPr>
        <w:pStyle w:val="ListParagraph"/>
        <w:numPr>
          <w:ilvl w:val="0"/>
          <w:numId w:val="19"/>
        </w:numPr>
        <w:spacing w:line="360" w:lineRule="auto"/>
      </w:pPr>
      <w:r w:rsidRPr="00006B7D">
        <w:rPr>
          <w:u w:val="single"/>
        </w:rPr>
        <w:t>Definition of the Derivative Funding Sets</w:t>
      </w:r>
      <w:r>
        <w:t xml:space="preserve">: OTC books are decomposed into </w:t>
      </w:r>
      <w:r w:rsidRPr="00006B7D">
        <w:rPr>
          <w:i/>
        </w:rPr>
        <w:t>funding sets</w:t>
      </w:r>
      <w:r>
        <w:t>, defined as trade sets for which VM for hedges can be re-hypothecated across all trades. Funding sets may span a large number (possibly thousands) of netting sets.</w:t>
      </w:r>
    </w:p>
    <w:p w:rsidR="00397E59" w:rsidRDefault="00397E59" w:rsidP="008A18B1">
      <w:pPr>
        <w:pStyle w:val="ListParagraph"/>
        <w:numPr>
          <w:ilvl w:val="0"/>
          <w:numId w:val="19"/>
        </w:numPr>
        <w:spacing w:line="360" w:lineRule="auto"/>
      </w:pPr>
      <w:r>
        <w:rPr>
          <w:u w:val="single"/>
        </w:rPr>
        <w:t>FVA Additivity over Funding Sets</w:t>
      </w:r>
      <w:r w:rsidRPr="00006B7D">
        <w:t>:</w:t>
      </w:r>
      <w:r>
        <w:t xml:space="preserve"> The FVA is additive over funding sets, but not over netting sets. Therefore the valuation is difficult to carry out with standard CVA systems, and the industry is currently focused on using simpler alternatives which are linear over netting sets.</w:t>
      </w:r>
    </w:p>
    <w:p w:rsidR="00397E59" w:rsidRDefault="00397E59" w:rsidP="008A18B1">
      <w:pPr>
        <w:pStyle w:val="ListParagraph"/>
        <w:numPr>
          <w:ilvl w:val="0"/>
          <w:numId w:val="19"/>
        </w:numPr>
        <w:spacing w:line="360" w:lineRule="auto"/>
      </w:pPr>
      <w:r>
        <w:rPr>
          <w:u w:val="single"/>
        </w:rPr>
        <w:t>Funding Costs over Netting Sets</w:t>
      </w:r>
      <w:r w:rsidRPr="00006B7D">
        <w:t>:</w:t>
      </w:r>
      <w:r>
        <w:t xml:space="preserve"> Funding costs would be additive over netting sets if either one of the following two mutually exclusive hypothesis hold:</w:t>
      </w:r>
    </w:p>
    <w:p w:rsidR="00397E59" w:rsidRDefault="00397E59" w:rsidP="008A18B1">
      <w:pPr>
        <w:pStyle w:val="ListParagraph"/>
        <w:numPr>
          <w:ilvl w:val="1"/>
          <w:numId w:val="19"/>
        </w:numPr>
        <w:spacing w:line="360" w:lineRule="auto"/>
      </w:pPr>
      <w:r>
        <w:lastRenderedPageBreak/>
        <w:t>HY1 =&gt; Re-hypothecation is possible only between hedges to trades in individual netting sets;</w:t>
      </w:r>
    </w:p>
    <w:p w:rsidR="00397E59" w:rsidRPr="00006B7D" w:rsidRDefault="00397E59" w:rsidP="008A18B1">
      <w:pPr>
        <w:pStyle w:val="ListParagraph"/>
        <w:numPr>
          <w:ilvl w:val="1"/>
          <w:numId w:val="19"/>
        </w:numPr>
        <w:spacing w:line="360" w:lineRule="auto"/>
      </w:pPr>
      <w:r>
        <w:t>HY2 =&gt; The collateral received from hedges to each payable netting set can be fully re-hypothecated as VM for hedges against other receivable netting sets.</w:t>
      </w:r>
    </w:p>
    <w:p w:rsidR="00397E59" w:rsidRDefault="00397E59" w:rsidP="008A18B1">
      <w:pPr>
        <w:pStyle w:val="ListParagraph"/>
        <w:numPr>
          <w:ilvl w:val="0"/>
          <w:numId w:val="19"/>
        </w:numPr>
        <w:spacing w:line="360" w:lineRule="auto"/>
      </w:pPr>
      <w:r>
        <w:rPr>
          <w:u w:val="single"/>
        </w:rPr>
        <w:t>Complete Cross netting Set Re-hypothecation</w:t>
      </w:r>
      <w:r>
        <w:t>: This leads to a symmetric FVA (SFVA) which recognizes a re-hypothecation benefit to all VM received, whereas HY1 leads to the FCA metric that aggregates funding costs linearly over all netting sets. The metric</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FBA=FCA-SFVA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measures the difference between the funding costs under assumptions HY1 and HY2.</w:t>
      </w:r>
    </w:p>
    <w:p w:rsidR="00397E59" w:rsidRDefault="00397E59" w:rsidP="008A18B1">
      <w:pPr>
        <w:pStyle w:val="ListParagraph"/>
        <w:numPr>
          <w:ilvl w:val="0"/>
          <w:numId w:val="19"/>
        </w:numPr>
        <w:spacing w:line="360" w:lineRule="auto"/>
      </w:pPr>
      <w:r>
        <w:rPr>
          <w:u w:val="single"/>
        </w:rPr>
        <w:t>Shortcomings of FCA and SFVA</w:t>
      </w:r>
      <w:r w:rsidRPr="00006B7D">
        <w:t>:</w:t>
      </w:r>
      <w:r>
        <w:t xml:space="preserve"> Note that in the above expression the FCA generally overstates the funding costs because it neglects the RHO for hedges to unsecured trades in different netting sets. The SFVA on the other hand has errors of opposite sign since it overvalues the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Inconsistent Booking Under the FCA/FBA</w:t>
      </w:r>
    </w:p>
    <w:p w:rsidR="00397E59" w:rsidRDefault="00397E59" w:rsidP="00397E59">
      <w:pPr>
        <w:spacing w:line="360" w:lineRule="auto"/>
      </w:pPr>
    </w:p>
    <w:p w:rsidR="00397E59" w:rsidRDefault="00397E59" w:rsidP="008A18B1">
      <w:pPr>
        <w:pStyle w:val="ListParagraph"/>
        <w:numPr>
          <w:ilvl w:val="0"/>
          <w:numId w:val="20"/>
        </w:numPr>
        <w:spacing w:line="360" w:lineRule="auto"/>
      </w:pPr>
      <w:r w:rsidRPr="000A1F17">
        <w:rPr>
          <w:u w:val="single"/>
        </w:rPr>
        <w:t>Overlap of FBA and DVA</w:t>
      </w:r>
      <w:r>
        <w:t>: In the interpretation of the FBA, it is often noted that the FBA overlaps with the DVA on payables – in their case study, Albanese and Andersen (2014) note that the FBA is about 20% larger than the standard DVA on payables.</w:t>
      </w:r>
    </w:p>
    <w:p w:rsidR="00397E59" w:rsidRDefault="00397E59" w:rsidP="008A18B1">
      <w:pPr>
        <w:pStyle w:val="ListParagraph"/>
        <w:numPr>
          <w:ilvl w:val="0"/>
          <w:numId w:val="20"/>
        </w:numPr>
        <w:spacing w:line="360" w:lineRule="auto"/>
      </w:pPr>
      <w:r w:rsidRPr="000A1F17">
        <w:rPr>
          <w:u w:val="single"/>
        </w:rPr>
        <w:t>DVA CL Replacement with the FBA</w:t>
      </w:r>
      <w:r>
        <w:t xml:space="preserve">: As a result advocates of FCA/FBA accounting remove the regular DVA contra-liability (CL) entry on the financial accounting statement and effectively replace it with the FBA number. In fact to better comply with the accounting laws, the CL entry may be broken into two pieces – the DVA, plus a new “funding” term equal to </w:t>
      </w:r>
      <m:oMath>
        <m:r>
          <w:rPr>
            <w:rFonts w:ascii="Cambria Math" w:hAnsi="Cambria Math"/>
          </w:rPr>
          <m:t>FBA-DVA</m:t>
        </m:r>
      </m:oMath>
      <w:r>
        <w:t>. The net CL entry, however, is still FBA.</w:t>
      </w:r>
    </w:p>
    <w:p w:rsidR="00397E59" w:rsidRDefault="00397E59" w:rsidP="008A18B1">
      <w:pPr>
        <w:pStyle w:val="ListParagraph"/>
        <w:numPr>
          <w:ilvl w:val="0"/>
          <w:numId w:val="20"/>
        </w:numPr>
        <w:spacing w:line="360" w:lineRule="auto"/>
      </w:pPr>
      <w:r>
        <w:rPr>
          <w:u w:val="single"/>
        </w:rPr>
        <w:t>New Accounting Rules on DVA</w:t>
      </w:r>
      <w:r w:rsidRPr="000A1F17">
        <w:t>:</w:t>
      </w:r>
      <w:r>
        <w:t xml:space="preserve"> DVA on payables is always recognized as a gain on the income statement and until 2012 could theoretically be considered a contribution to CET1. </w:t>
      </w:r>
      <w:r>
        <w:lastRenderedPageBreak/>
        <w:t>Under FCA/FBA accounting, this would ultimately lead to a net CET1 reduction relating to funding equal to the SFVA.</w:t>
      </w:r>
    </w:p>
    <w:p w:rsidR="00397E59" w:rsidRDefault="00397E59" w:rsidP="008A18B1">
      <w:pPr>
        <w:pStyle w:val="ListParagraph"/>
        <w:numPr>
          <w:ilvl w:val="0"/>
          <w:numId w:val="20"/>
        </w:numPr>
        <w:spacing w:line="360" w:lineRule="auto"/>
      </w:pPr>
      <w:r>
        <w:rPr>
          <w:u w:val="single"/>
        </w:rPr>
        <w:t>Payables DVA Contribution to CET1</w:t>
      </w:r>
      <w:r w:rsidRPr="00D06F32">
        <w:t>:</w:t>
      </w:r>
      <w:r>
        <w:t xml:space="preserve"> In 2012, the DVA on payables was de-recognized as contributing to CET1 (Basel Committee On Banking Supervision (2012)). As the FBA is basically re-classified as DVA, this effectively prevents the FBA from contributing to CET1 and sets the overall CET1 deduction for funding equal to the FCA.</w:t>
      </w:r>
    </w:p>
    <w:p w:rsidR="00397E59" w:rsidRDefault="00397E59" w:rsidP="008A18B1">
      <w:pPr>
        <w:pStyle w:val="ListParagraph"/>
        <w:numPr>
          <w:ilvl w:val="0"/>
          <w:numId w:val="20"/>
        </w:numPr>
        <w:spacing w:line="360" w:lineRule="auto"/>
      </w:pPr>
      <w:r>
        <w:rPr>
          <w:u w:val="single"/>
        </w:rPr>
        <w:t>DVA Cross Netting Set Re-hypothecation Benefit</w:t>
      </w:r>
      <w:r w:rsidRPr="00D06F32">
        <w:t>:</w:t>
      </w:r>
      <w:r>
        <w:t xml:space="preserve"> As a consequence the re-hypothecation benefits across netting sets are ignored altogether in CET1. As discussed in Albanese and Andersen (2014), this has material impact on both accounting, management, and trading decisions.</w:t>
      </w:r>
    </w:p>
    <w:p w:rsidR="00397E59" w:rsidRDefault="00397E59" w:rsidP="008A18B1">
      <w:pPr>
        <w:pStyle w:val="ListParagraph"/>
        <w:numPr>
          <w:ilvl w:val="0"/>
          <w:numId w:val="20"/>
        </w:numPr>
        <w:spacing w:line="360" w:lineRule="auto"/>
      </w:pPr>
      <w:r>
        <w:rPr>
          <w:u w:val="single"/>
        </w:rPr>
        <w:t>FCA/FBA Accounting Compromise Solution</w:t>
      </w:r>
      <w:r w:rsidRPr="00D06F32">
        <w:t>:</w:t>
      </w:r>
      <w:r>
        <w:t xml:space="preserve"> The compromise solution in FCA/FBA accounting includes the following:</w:t>
      </w:r>
    </w:p>
    <w:p w:rsidR="00397E59" w:rsidRDefault="00397E59" w:rsidP="008A18B1">
      <w:pPr>
        <w:pStyle w:val="ListParagraph"/>
        <w:numPr>
          <w:ilvl w:val="1"/>
          <w:numId w:val="20"/>
        </w:numPr>
        <w:spacing w:line="360" w:lineRule="auto"/>
      </w:pPr>
      <w:r>
        <w:t>Enter FCA and unilateral CVA (UCVA) as CET1 deductions.</w:t>
      </w:r>
    </w:p>
    <w:p w:rsidR="00397E59" w:rsidRDefault="00397E59" w:rsidP="008A18B1">
      <w:pPr>
        <w:pStyle w:val="ListParagraph"/>
        <w:numPr>
          <w:ilvl w:val="1"/>
          <w:numId w:val="20"/>
        </w:numPr>
        <w:spacing w:line="360" w:lineRule="auto"/>
      </w:pPr>
      <w:r>
        <w:t>Eliminate DVA on payables from accounts, replace it with FBA, and enter this amount as a contra-liability (CL) adjustment not contributing to CET1.</w:t>
      </w:r>
    </w:p>
    <w:p w:rsidR="00397E59" w:rsidRDefault="00397E59" w:rsidP="008A18B1">
      <w:pPr>
        <w:pStyle w:val="ListParagraph"/>
        <w:numPr>
          <w:ilvl w:val="1"/>
          <w:numId w:val="20"/>
        </w:numPr>
        <w:spacing w:line="360" w:lineRule="auto"/>
      </w:pPr>
      <w:r>
        <w:t>Transfer UCVA and SFVA to clients.</w:t>
      </w:r>
    </w:p>
    <w:p w:rsidR="00397E59" w:rsidRDefault="00397E59" w:rsidP="008A18B1">
      <w:pPr>
        <w:pStyle w:val="ListParagraph"/>
        <w:numPr>
          <w:ilvl w:val="1"/>
          <w:numId w:val="20"/>
        </w:numPr>
        <w:spacing w:line="360" w:lineRule="auto"/>
      </w:pPr>
      <w:r>
        <w:t>As we explain later in the paper, the end result is that the FTP’s are struck at the indifference levels to the income.</w:t>
      </w:r>
    </w:p>
    <w:p w:rsidR="00397E59" w:rsidRDefault="00397E59" w:rsidP="008A18B1">
      <w:pPr>
        <w:pStyle w:val="ListParagraph"/>
        <w:numPr>
          <w:ilvl w:val="0"/>
          <w:numId w:val="20"/>
        </w:numPr>
        <w:spacing w:line="360" w:lineRule="auto"/>
      </w:pPr>
      <w:r w:rsidRPr="0070684E">
        <w:rPr>
          <w:u w:val="single"/>
        </w:rPr>
        <w:t>Breakage of the Asset Liability Symmetry</w:t>
      </w:r>
      <w:r>
        <w:t>: Besides the issues that have already been mentioned, it is clear from the booking rules above that the FCA/FBA accounting implies a loss of asset-liability symmetry, since the DVA on payables is eliminated on favor of the FBA even though CVA is supplemented with (rather eliminated in favor of) FCA. The lack of symmetry is problematic from an accounting standpoint and contradicts FASB 159 adopted in 2007.</w:t>
      </w:r>
    </w:p>
    <w:p w:rsidR="00397E59" w:rsidRDefault="00397E59" w:rsidP="008A18B1">
      <w:pPr>
        <w:pStyle w:val="ListParagraph"/>
        <w:numPr>
          <w:ilvl w:val="0"/>
          <w:numId w:val="20"/>
        </w:numPr>
        <w:spacing w:line="360" w:lineRule="auto"/>
      </w:pPr>
      <w:r>
        <w:rPr>
          <w:u w:val="single"/>
        </w:rPr>
        <w:t>SFVA as a CET1 Deduction</w:t>
      </w:r>
      <w:r w:rsidRPr="0070684E">
        <w:t>:</w:t>
      </w:r>
      <w:r>
        <w:t xml:space="preserve"> A possible way around this asymmetry involves deducting SFVA (rather than FCA) from the equity capital. In this case the DVA double counting issue manifests itself by the fact that the SFVA inherits from the DVA a wrong-way sensitivity with respect to the own-credit of the bank, i.e., it may decrease (causing the CET1 to increase) whenever the bank credit deteriorates.</w:t>
      </w:r>
    </w:p>
    <w:p w:rsidR="00397E59" w:rsidRDefault="00397E59" w:rsidP="008A18B1">
      <w:pPr>
        <w:pStyle w:val="ListParagraph"/>
        <w:numPr>
          <w:ilvl w:val="0"/>
          <w:numId w:val="20"/>
        </w:numPr>
        <w:spacing w:line="360" w:lineRule="auto"/>
      </w:pPr>
      <w:r>
        <w:rPr>
          <w:u w:val="single"/>
        </w:rPr>
        <w:lastRenderedPageBreak/>
        <w:t>FTP Policies in FCA/FBA Accounting</w:t>
      </w:r>
      <w:r w:rsidRPr="0070684E">
        <w:t>:</w:t>
      </w:r>
      <w:r>
        <w:t xml:space="preserve"> As mentioned above, the funding related FTP policies in FCA/FBA accounting normally pass through the SFVA amount, i.e., include FBA benefits. Prior to 2012 rules, this could be argued to be reasonable from a share-holder perspective (as proxied by CET1, at least). Yet, since FBA has been currently demoted to the status of contra-liability that is not recognized in equity capital considerations, the FCA/FBA FTP policy induces deal-flow volatility to CET1.</w:t>
      </w:r>
    </w:p>
    <w:p w:rsidR="00397E59" w:rsidRDefault="00397E59" w:rsidP="008A18B1">
      <w:pPr>
        <w:pStyle w:val="ListParagraph"/>
        <w:numPr>
          <w:ilvl w:val="0"/>
          <w:numId w:val="20"/>
        </w:numPr>
        <w:spacing w:line="360" w:lineRule="auto"/>
      </w:pPr>
      <w:r>
        <w:rPr>
          <w:u w:val="single"/>
        </w:rPr>
        <w:t>Interpretation of the FCA/FBA FTP Policy</w:t>
      </w:r>
      <w:r w:rsidRPr="004A0DA3">
        <w:t>:</w:t>
      </w:r>
      <w:r>
        <w:t xml:space="preserve"> One way to interpret the effect above is that the FCA/FBA FTP policies are based on indifference pricing to the overall firm (including senior creditors), rather than just share-holders as is normally desired.</w:t>
      </w:r>
    </w:p>
    <w:p w:rsidR="00397E59" w:rsidRDefault="00397E59" w:rsidP="008A18B1">
      <w:pPr>
        <w:pStyle w:val="ListParagraph"/>
        <w:numPr>
          <w:ilvl w:val="0"/>
          <w:numId w:val="20"/>
        </w:numPr>
        <w:spacing w:line="360" w:lineRule="auto"/>
      </w:pPr>
      <w:r>
        <w:rPr>
          <w:u w:val="single"/>
        </w:rPr>
        <w:t>Inaccuracies of the FCA/FBA Accounting</w:t>
      </w:r>
      <w:r w:rsidRPr="004A0DA3">
        <w:t>:</w:t>
      </w:r>
      <w:r>
        <w:t xml:space="preserve"> In addition to the above-mentioned undesirable side-effects, numerical experiments show that the net FTP amounts are often too large in absolute value, despite the inclusion of the FBA benefits. This effect is due to large inaccuracies in modeling VM re-hypothecation and leads to incorrect firm-level hedge ratios for market risk.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Improvements Offered by the FVA/FDA Accounting</w:t>
      </w:r>
    </w:p>
    <w:p w:rsidR="00397E59" w:rsidRDefault="00397E59" w:rsidP="00397E59">
      <w:pPr>
        <w:spacing w:line="360" w:lineRule="auto"/>
      </w:pPr>
    </w:p>
    <w:p w:rsidR="00397E59" w:rsidRDefault="00397E59" w:rsidP="008A18B1">
      <w:pPr>
        <w:pStyle w:val="ListParagraph"/>
        <w:numPr>
          <w:ilvl w:val="0"/>
          <w:numId w:val="21"/>
        </w:numPr>
        <w:spacing w:line="360" w:lineRule="auto"/>
      </w:pPr>
      <w:r w:rsidRPr="000D4D54">
        <w:rPr>
          <w:u w:val="single"/>
        </w:rPr>
        <w:t>Proposals to Overcome the FCA/FBA Drawbacks</w:t>
      </w:r>
      <w:r>
        <w:t>: To overcome the shortcomings of the FCA/FBA accounting, Albanese and Andersen (2014) propose an accounting methodology that:</w:t>
      </w:r>
    </w:p>
    <w:p w:rsidR="00397E59" w:rsidRDefault="00397E59" w:rsidP="008A18B1">
      <w:pPr>
        <w:pStyle w:val="ListParagraph"/>
        <w:numPr>
          <w:ilvl w:val="1"/>
          <w:numId w:val="21"/>
        </w:numPr>
        <w:spacing w:line="360" w:lineRule="auto"/>
      </w:pPr>
      <w:r>
        <w:t>Reflects and justifies Basel III regulatory requirements regarding counterparty credit risk;</w:t>
      </w:r>
    </w:p>
    <w:p w:rsidR="00397E59" w:rsidRDefault="00397E59" w:rsidP="008A18B1">
      <w:pPr>
        <w:pStyle w:val="ListParagraph"/>
        <w:numPr>
          <w:ilvl w:val="1"/>
          <w:numId w:val="21"/>
        </w:numPr>
        <w:spacing w:line="360" w:lineRule="auto"/>
      </w:pPr>
      <w:r>
        <w:t>Is consistent with generally accepted accounting principles;</w:t>
      </w:r>
    </w:p>
    <w:p w:rsidR="00397E59" w:rsidRDefault="00397E59" w:rsidP="008A18B1">
      <w:pPr>
        <w:pStyle w:val="ListParagraph"/>
        <w:numPr>
          <w:ilvl w:val="1"/>
          <w:numId w:val="21"/>
        </w:numPr>
        <w:spacing w:line="360" w:lineRule="auto"/>
      </w:pPr>
      <w:r>
        <w:t>Is consistent with the tenets of classical finance theory, such as the MMT and risk neutral valuation.</w:t>
      </w:r>
    </w:p>
    <w:p w:rsidR="00397E59" w:rsidRDefault="00397E59" w:rsidP="00397E59">
      <w:pPr>
        <w:pStyle w:val="ListParagraph"/>
        <w:spacing w:line="360" w:lineRule="auto"/>
        <w:ind w:left="360"/>
      </w:pPr>
      <w:r>
        <w:t>Within this framework they then consistently value cash flow streams for VM funding and re-hypothecation strategies.</w:t>
      </w:r>
    </w:p>
    <w:p w:rsidR="00397E59" w:rsidRDefault="00397E59" w:rsidP="008A18B1">
      <w:pPr>
        <w:pStyle w:val="ListParagraph"/>
        <w:numPr>
          <w:ilvl w:val="0"/>
          <w:numId w:val="21"/>
        </w:numPr>
        <w:spacing w:line="360" w:lineRule="auto"/>
      </w:pPr>
      <w:r>
        <w:rPr>
          <w:u w:val="single"/>
        </w:rPr>
        <w:t>CET1 as a Shareholder Proxy</w:t>
      </w:r>
      <w:r>
        <w:t xml:space="preserve">: Their proposal fundamentally uses CET1 as a proxy for shareholder value and defines FVA as a discounted expectation of future funding costs </w:t>
      </w:r>
      <w:r>
        <w:lastRenderedPageBreak/>
        <w:t xml:space="preserve">occurring whenever there is an overall deficit of the VM at the book level. Future scenarios where there is a net excess of OTC collateral do </w:t>
      </w:r>
      <w:r>
        <w:rPr>
          <w:i/>
        </w:rPr>
        <w:t>not</w:t>
      </w:r>
      <w:r>
        <w:t xml:space="preserve"> contribute to the FVA.</w:t>
      </w:r>
    </w:p>
    <w:p w:rsidR="00397E59" w:rsidRDefault="00397E59" w:rsidP="008A18B1">
      <w:pPr>
        <w:pStyle w:val="ListParagraph"/>
        <w:numPr>
          <w:ilvl w:val="0"/>
          <w:numId w:val="21"/>
        </w:numPr>
        <w:spacing w:line="360" w:lineRule="auto"/>
      </w:pPr>
      <w:r>
        <w:rPr>
          <w:u w:val="single"/>
        </w:rPr>
        <w:t>Corporate Finance Interpretation of FVA/FDA</w:t>
      </w:r>
      <w:r w:rsidRPr="000D4D54">
        <w:t>:</w:t>
      </w:r>
      <w:r>
        <w:t xml:space="preserve"> A corporate finance interpretation of this FVA metric equates it to the present value of the wealth transfer from the bank shareholders to the bank senior creditors as a result of the bank entering into OTC trades with unsecured funding.</w:t>
      </w:r>
    </w:p>
    <w:p w:rsidR="00397E59" w:rsidRDefault="00397E59" w:rsidP="008A18B1">
      <w:pPr>
        <w:pStyle w:val="ListParagraph"/>
        <w:numPr>
          <w:ilvl w:val="0"/>
          <w:numId w:val="21"/>
        </w:numPr>
        <w:spacing w:line="360" w:lineRule="auto"/>
      </w:pPr>
      <w:r>
        <w:rPr>
          <w:u w:val="single"/>
        </w:rPr>
        <w:t>Validity of Asset Liability Symmetry</w:t>
      </w:r>
      <w:r w:rsidRPr="00AA3450">
        <w:t>:</w:t>
      </w:r>
      <w:r>
        <w:t xml:space="preserve"> Importantly the FVA definition is such the funding adjustments are entirely divorced from the DVA on payables, wherefore the asset-liability symmetry still holds and the own-credit metric of the FVA has the correct sign.</w:t>
      </w:r>
    </w:p>
    <w:p w:rsidR="00397E59" w:rsidRDefault="00397E59" w:rsidP="008A18B1">
      <w:pPr>
        <w:pStyle w:val="ListParagraph"/>
        <w:numPr>
          <w:ilvl w:val="0"/>
          <w:numId w:val="21"/>
        </w:numPr>
        <w:spacing w:line="360" w:lineRule="auto"/>
      </w:pPr>
      <w:r>
        <w:rPr>
          <w:u w:val="single"/>
        </w:rPr>
        <w:t>Embedding of RHO in FVA</w:t>
      </w:r>
      <w:r w:rsidRPr="00AA3450">
        <w:t>:</w:t>
      </w:r>
      <w:r>
        <w:t xml:space="preserve"> Since the RHO is embedded in the valuation of the FVA, the FVA amount is much smaller than the FVA amount in the case of portfolios of realistic size – about one third as large in the case study portfolio of Albanese and Andersen (2014).</w:t>
      </w:r>
    </w:p>
    <w:p w:rsidR="00397E59" w:rsidRDefault="00397E59" w:rsidP="008A18B1">
      <w:pPr>
        <w:pStyle w:val="ListParagraph"/>
        <w:numPr>
          <w:ilvl w:val="0"/>
          <w:numId w:val="21"/>
        </w:numPr>
        <w:spacing w:line="360" w:lineRule="auto"/>
      </w:pPr>
      <w:r>
        <w:rPr>
          <w:u w:val="single"/>
        </w:rPr>
        <w:t>Consistency of the FVA/FDA with MMT</w:t>
      </w:r>
      <w:r w:rsidRPr="00AA3450">
        <w:t>:</w:t>
      </w:r>
      <w:r>
        <w:t xml:space="preserve"> In FVA accounting, the MMT is satisfied, as the FVA is accompanied by an offsetting CL adjustment which does not overlap with the DVA on payables. This contra-liability is named DVA2 by Hull and White (2014) and is referred to as FDA by Albanese and Andersen (2014). In the case of FCA/FBA accounting the term DVA2 is not meaningful because the approximations involved break the MMT and compromise a rigorous capital structure interpretation.</w:t>
      </w:r>
    </w:p>
    <w:p w:rsidR="00397E59" w:rsidRDefault="00397E59" w:rsidP="008A18B1">
      <w:pPr>
        <w:pStyle w:val="ListParagraph"/>
        <w:numPr>
          <w:ilvl w:val="0"/>
          <w:numId w:val="21"/>
        </w:numPr>
        <w:spacing w:line="360" w:lineRule="auto"/>
      </w:pPr>
      <w:r>
        <w:rPr>
          <w:u w:val="single"/>
        </w:rPr>
        <w:t>CVA Fair Valuation in FVA/FDA</w:t>
      </w:r>
      <w:r w:rsidRPr="009F4CFA">
        <w:t>:</w:t>
      </w:r>
      <w:r>
        <w:t xml:space="preserve"> Within the FVA/FDA framework, the fair valuation of CVA is most naturally a bilateral one (sometimes known as first-to-default CVA, or FTDCVA). As this fair value contains a DVA-like element of self-default benefit, guidelines in the Basel Committee On Banking Supervision (2012) suggest that FTDCVA cannot be directly deducted from CET1.</w:t>
      </w:r>
    </w:p>
    <w:p w:rsidR="00397E59" w:rsidRDefault="00397E59" w:rsidP="008A18B1">
      <w:pPr>
        <w:pStyle w:val="ListParagraph"/>
        <w:numPr>
          <w:ilvl w:val="0"/>
          <w:numId w:val="21"/>
        </w:numPr>
        <w:spacing w:line="360" w:lineRule="auto"/>
      </w:pPr>
      <w:r>
        <w:rPr>
          <w:u w:val="single"/>
        </w:rPr>
        <w:t>UCVA, FTDCVA, and CVA-CL Metrics</w:t>
      </w:r>
      <w:r w:rsidRPr="009F4CFA">
        <w:t>:</w:t>
      </w:r>
      <w:r>
        <w:t xml:space="preserve"> From the FTDCVA number a unilateral CVA (UCVA) number can be split out and it may be recorded as a contra-asset (CA) adjustment that is subtracted from CET1. The remaining “self-CVA” term is listed as a contra-liability (CL) and is to be excluded from CET1.</w:t>
      </w:r>
    </w:p>
    <w:p w:rsidR="00397E59" w:rsidRDefault="00397E59" w:rsidP="008A18B1">
      <w:pPr>
        <w:pStyle w:val="ListParagraph"/>
        <w:numPr>
          <w:ilvl w:val="0"/>
          <w:numId w:val="21"/>
        </w:numPr>
        <w:spacing w:line="360" w:lineRule="auto"/>
      </w:pPr>
      <w:r>
        <w:rPr>
          <w:u w:val="single"/>
        </w:rPr>
        <w:t>Elements of FVA/FDA Accounting - Summary</w:t>
      </w:r>
      <w:r w:rsidRPr="009F4CFA">
        <w:t>:</w:t>
      </w:r>
      <w:r>
        <w:t xml:space="preserve"> In summary the FVA/FDA accounting with rigorous RHO modeling includes the following elements:</w:t>
      </w:r>
    </w:p>
    <w:p w:rsidR="00397E59" w:rsidRDefault="00397E59" w:rsidP="008A18B1">
      <w:pPr>
        <w:pStyle w:val="ListParagraph"/>
        <w:numPr>
          <w:ilvl w:val="1"/>
          <w:numId w:val="21"/>
        </w:numPr>
        <w:spacing w:line="360" w:lineRule="auto"/>
      </w:pPr>
      <w:r>
        <w:lastRenderedPageBreak/>
        <w:t>The UCVA and the FVA are both entered as CA adjustments and CET1 deductions recognizing the full benefit of the RHO to CET1;</w:t>
      </w:r>
    </w:p>
    <w:p w:rsidR="00397E59" w:rsidRDefault="00397E59" w:rsidP="008A18B1">
      <w:pPr>
        <w:pStyle w:val="ListParagraph"/>
        <w:numPr>
          <w:ilvl w:val="1"/>
          <w:numId w:val="21"/>
        </w:numPr>
        <w:spacing w:line="360" w:lineRule="auto"/>
      </w:pPr>
      <w:r>
        <w:t>The DVA and the FDA are both entered as CL adjustments, as is the part of the FTDCVA that involves benefits from the bank defaults. None of the CL adjustments are to be counted for the CET1 purposes.</w:t>
      </w:r>
    </w:p>
    <w:p w:rsidR="00397E59" w:rsidRDefault="00397E59" w:rsidP="008A18B1">
      <w:pPr>
        <w:pStyle w:val="ListParagraph"/>
        <w:numPr>
          <w:ilvl w:val="1"/>
          <w:numId w:val="21"/>
        </w:numPr>
        <w:spacing w:line="360" w:lineRule="auto"/>
      </w:pPr>
      <w:r>
        <w:t>The FTP is designed to immunize the CET1 from deal-flow volatility and to transfer the incremental costs of FVA and UCVA capital deductions to clients.</w:t>
      </w:r>
    </w:p>
    <w:p w:rsidR="00397E59" w:rsidRDefault="00397E59" w:rsidP="008A18B1">
      <w:pPr>
        <w:pStyle w:val="ListParagraph"/>
        <w:numPr>
          <w:ilvl w:val="0"/>
          <w:numId w:val="21"/>
        </w:numPr>
        <w:spacing w:line="360" w:lineRule="auto"/>
      </w:pPr>
      <w:r>
        <w:rPr>
          <w:u w:val="single"/>
        </w:rPr>
        <w:t>Income, CET1, and MMT Impact</w:t>
      </w:r>
      <w:r>
        <w:t>: Note that a) and b) preserve the standard CVA-DVA accounting at the net income level, as the FVA and the FDA adjustments cancel against each other. CET1, however, is affected by the funding costs.</w:t>
      </w:r>
    </w:p>
    <w:p w:rsidR="00397E59" w:rsidRDefault="00397E59" w:rsidP="008A18B1">
      <w:pPr>
        <w:pStyle w:val="ListParagraph"/>
        <w:numPr>
          <w:ilvl w:val="0"/>
          <w:numId w:val="21"/>
        </w:numPr>
        <w:spacing w:line="360" w:lineRule="auto"/>
      </w:pPr>
      <w:r>
        <w:rPr>
          <w:u w:val="single"/>
        </w:rPr>
        <w:t>Conservative Computation of the FTP</w:t>
      </w:r>
      <w:r>
        <w:t>: The FTP rule in the FVA/FDA accounting aims at preserving the CET1 capital, a principal that is fundamentally more conservative than the one followed in FCA/FBA accounting, where one only insists that new trades not have a negative impact on the income.</w:t>
      </w:r>
    </w:p>
    <w:p w:rsidR="00397E59" w:rsidRDefault="00397E59" w:rsidP="008A18B1">
      <w:pPr>
        <w:pStyle w:val="ListParagraph"/>
        <w:numPr>
          <w:ilvl w:val="0"/>
          <w:numId w:val="21"/>
        </w:numPr>
        <w:spacing w:line="360" w:lineRule="auto"/>
      </w:pPr>
      <w:r>
        <w:rPr>
          <w:u w:val="single"/>
        </w:rPr>
        <w:t>CET1 Impact from Deal Flow Volatility</w:t>
      </w:r>
      <w:r w:rsidRPr="00943B5C">
        <w:t>:</w:t>
      </w:r>
      <w:r>
        <w:t xml:space="preserve"> In FVA/FDA accounting, deal flow still engenders volatility of the contra-liabilities (such as the DVA) as well as the fair value of the bank itself. However, due to our alignment of CET1 and the shareholder value, mitigating this volatility is irrelevant from the viewpoint of the shareholder.</w:t>
      </w:r>
    </w:p>
    <w:p w:rsidR="00397E59" w:rsidRDefault="00397E59" w:rsidP="008A18B1">
      <w:pPr>
        <w:pStyle w:val="ListParagraph"/>
        <w:numPr>
          <w:ilvl w:val="0"/>
          <w:numId w:val="21"/>
        </w:numPr>
        <w:spacing w:line="360" w:lineRule="auto"/>
      </w:pPr>
      <w:r>
        <w:rPr>
          <w:u w:val="single"/>
        </w:rPr>
        <w:t>FCA/FBA vs. FVA/FDA FTP Comparison</w:t>
      </w:r>
      <w:r w:rsidRPr="00943B5C">
        <w:t>:</w:t>
      </w:r>
      <w:r>
        <w:t xml:space="preserve"> Notwithstanding the stronger FTP requirement, the fact that the RHO is properly modeled means that the FTP amounts obtained in the FVA/FDA accounting are generally quiet reasonable and often materially smaller than those in the FCA/FBA methodology.</w:t>
      </w:r>
    </w:p>
    <w:p w:rsidR="00397E59" w:rsidRDefault="00397E59" w:rsidP="008A18B1">
      <w:pPr>
        <w:pStyle w:val="ListParagraph"/>
        <w:numPr>
          <w:ilvl w:val="0"/>
          <w:numId w:val="21"/>
        </w:numPr>
        <w:spacing w:line="360" w:lineRule="auto"/>
      </w:pPr>
      <w:r>
        <w:rPr>
          <w:u w:val="single"/>
        </w:rPr>
        <w:t>FCA/FBA vs. FVA/FDA Derivatives Valuation</w:t>
      </w:r>
      <w:r>
        <w:t>: Relative to FVA/FDA, FCA/FBA accounting is observed to systematically undervalue the derivatives payables and over-value derivatives receivables, thus potentially giving rise to biased sub-optimal positioning of the OTC book.</w:t>
      </w:r>
    </w:p>
    <w:p w:rsidR="00397E59" w:rsidRDefault="00397E59" w:rsidP="008A18B1">
      <w:pPr>
        <w:pStyle w:val="ListParagraph"/>
        <w:numPr>
          <w:ilvl w:val="0"/>
          <w:numId w:val="21"/>
        </w:numPr>
        <w:spacing w:line="360" w:lineRule="auto"/>
      </w:pPr>
      <w:r>
        <w:rPr>
          <w:u w:val="single"/>
        </w:rPr>
        <w:t>Non-linear RHO Funding Set Contribution</w:t>
      </w:r>
      <w:r w:rsidRPr="007C7B52">
        <w:t>:</w:t>
      </w:r>
      <w:r>
        <w:t xml:space="preserve"> It should be emphasized that under the FVA/FDA accounting, the notion of an individual unsecured trade price loses its meaning because all trades within the same funding set contribute non linearly to the RHO of the </w:t>
      </w:r>
      <w:r>
        <w:lastRenderedPageBreak/>
        <w:t>funding set. To a lesser extent, individual unsecured trade price loses its meaning in FCA/FBA accounting as well, since here the smallest possible additive unit is a netting set.</w:t>
      </w:r>
    </w:p>
    <w:p w:rsidR="00397E59" w:rsidRDefault="00397E59" w:rsidP="008A18B1">
      <w:pPr>
        <w:pStyle w:val="ListParagraph"/>
        <w:numPr>
          <w:ilvl w:val="0"/>
          <w:numId w:val="21"/>
        </w:numPr>
        <w:spacing w:line="360" w:lineRule="auto"/>
      </w:pPr>
      <w:r>
        <w:rPr>
          <w:u w:val="single"/>
        </w:rPr>
        <w:t>Valuation Across Entire Funding Sets</w:t>
      </w:r>
      <w:r w:rsidRPr="007C7B52">
        <w:t>:</w:t>
      </w:r>
      <w:r>
        <w:t xml:space="preserve"> It is therefore possible to conclude that in order to correctly account for funding adjustments, one needs to value derivatives in the context of </w:t>
      </w:r>
      <w:r>
        <w:rPr>
          <w:i/>
        </w:rPr>
        <w:t>entire</w:t>
      </w:r>
      <w:r>
        <w:t xml:space="preserve"> funding sets.</w:t>
      </w:r>
    </w:p>
    <w:p w:rsidR="00397E59" w:rsidRDefault="00397E59" w:rsidP="008A18B1">
      <w:pPr>
        <w:pStyle w:val="ListParagraph"/>
        <w:numPr>
          <w:ilvl w:val="0"/>
          <w:numId w:val="21"/>
        </w:numPr>
        <w:spacing w:line="360" w:lineRule="auto"/>
      </w:pPr>
      <w:r>
        <w:rPr>
          <w:u w:val="single"/>
        </w:rPr>
        <w:t>Funding Set Level Scenario Simulation</w:t>
      </w:r>
      <w:r w:rsidRPr="007C7B52">
        <w:t>:</w:t>
      </w:r>
      <w:r>
        <w:t xml:space="preserve"> In FVA/FDA accounting, in order to account for collateral thresholds and to model re-hypothecation benefits correctly, whenever w new possible trade is priced, one needs to evolve dynamically the full portfolio valuation along with all the CDS curves for all counterparties and compute book level incremental statistics.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1"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Hull, J., and A. White (2014): </w:t>
      </w:r>
      <w:hyperlink r:id="rId52" w:history="1">
        <w:r w:rsidRPr="009F4CFA">
          <w:rPr>
            <w:rStyle w:val="Hyperlink"/>
          </w:rPr>
          <w:t>Valuing Derivatives: Funding Value Adjustment and Fair Value</w:t>
        </w:r>
      </w:hyperlink>
      <w:r>
        <w:t xml:space="preserve"> </w:t>
      </w:r>
      <w:r w:rsidRPr="009F4CFA">
        <w:rPr>
          <w:b/>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CET1 Capital Deductions in Basel III and Capital Structure Considerations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CET1 Deductions</w:t>
      </w:r>
    </w:p>
    <w:p w:rsidR="00397E59" w:rsidRDefault="00397E59" w:rsidP="00397E59">
      <w:pPr>
        <w:spacing w:line="360" w:lineRule="auto"/>
      </w:pPr>
    </w:p>
    <w:p w:rsidR="00397E59" w:rsidRDefault="00397E59" w:rsidP="008A18B1">
      <w:pPr>
        <w:pStyle w:val="ListParagraph"/>
        <w:numPr>
          <w:ilvl w:val="0"/>
          <w:numId w:val="22"/>
        </w:numPr>
        <w:spacing w:after="160" w:line="360" w:lineRule="auto"/>
        <w:rPr>
          <w:bCs/>
        </w:rPr>
      </w:pPr>
      <w:r w:rsidRPr="00A56AEC">
        <w:rPr>
          <w:bCs/>
          <w:u w:val="single"/>
        </w:rPr>
        <w:t>DVA as Full CET1 Deduction</w:t>
      </w:r>
      <w:r w:rsidRPr="00A56AEC">
        <w:rPr>
          <w:bCs/>
        </w:rPr>
        <w:t>: The BCBS recommended in 2012 that the DVA be fully deducted from CET1.</w:t>
      </w:r>
    </w:p>
    <w:p w:rsidR="00397E59" w:rsidRDefault="00397E59" w:rsidP="008A18B1">
      <w:pPr>
        <w:pStyle w:val="ListParagraph"/>
        <w:numPr>
          <w:ilvl w:val="0"/>
          <w:numId w:val="22"/>
        </w:numPr>
        <w:spacing w:after="160" w:line="360" w:lineRule="auto"/>
        <w:rPr>
          <w:bCs/>
        </w:rPr>
      </w:pPr>
      <w:r>
        <w:rPr>
          <w:bCs/>
          <w:u w:val="single"/>
        </w:rPr>
        <w:t>BCBS Statement on DVA Impact</w:t>
      </w:r>
      <w:r w:rsidRPr="00A56AEC">
        <w:rPr>
          <w:bCs/>
        </w:rPr>
        <w:t>:</w:t>
      </w:r>
      <w:r>
        <w:rPr>
          <w:bCs/>
        </w:rPr>
        <w:t xml:space="preserve"> The relevant wording from the Basel Committee on Banking Supervision (2012) is:</w:t>
      </w:r>
    </w:p>
    <w:p w:rsidR="00397E59" w:rsidRPr="00A56AEC" w:rsidRDefault="00397E59" w:rsidP="00397E59">
      <w:pPr>
        <w:pStyle w:val="ListParagraph"/>
        <w:spacing w:after="160" w:line="360" w:lineRule="auto"/>
        <w:rPr>
          <w:bCs/>
          <w:i/>
        </w:rPr>
      </w:pPr>
      <w:r>
        <w:rPr>
          <w:bCs/>
          <w:i/>
        </w:rPr>
        <w:t>Therefore, after considering all the views, the Basel Committee is of the view that all DVA’s for derivatives should be fully deducted in the calculation of CET1. The deduction of the DVA’s is to occur at each reporting date and requires deducting the spread premium over the risk-free rate for derivative liabilities. In effect, this would require banks to value their derivatives for CET1 purposes as if they (but not their counterparties) were risk free, and to deduct unrealized gains both at the inception of the derivative trade and afterwards, when the creditworthiness of the bank deteriorates.</w:t>
      </w:r>
    </w:p>
    <w:p w:rsidR="00397E59" w:rsidRDefault="00397E59" w:rsidP="008A18B1">
      <w:pPr>
        <w:pStyle w:val="ListParagraph"/>
        <w:numPr>
          <w:ilvl w:val="0"/>
          <w:numId w:val="22"/>
        </w:numPr>
        <w:spacing w:after="160" w:line="360" w:lineRule="auto"/>
        <w:rPr>
          <w:bCs/>
        </w:rPr>
      </w:pPr>
      <w:r>
        <w:rPr>
          <w:bCs/>
          <w:u w:val="single"/>
        </w:rPr>
        <w:t>Credit Quality Impact On CET1</w:t>
      </w:r>
      <w:r w:rsidRPr="00A56AEC">
        <w:rPr>
          <w:bCs/>
        </w:rPr>
        <w:t xml:space="preserve">: </w:t>
      </w:r>
      <w:r>
        <w:rPr>
          <w:bCs/>
        </w:rPr>
        <w:t>The BCBS rule ensures that a bank cannot claim increases in CET1 solely due to the deterioration in its own credit quality, consistently with the spirit of Basel III accord (</w:t>
      </w:r>
      <w:r>
        <w:t>Basel Committee On Banking Supervision (2011)</w:t>
      </w:r>
      <w:r>
        <w:rPr>
          <w:bCs/>
        </w:rPr>
        <w:t>)</w:t>
      </w:r>
      <w:r w:rsidRPr="00A56AEC">
        <w:rPr>
          <w:bCs/>
        </w:rPr>
        <w:t>.</w:t>
      </w:r>
    </w:p>
    <w:p w:rsidR="00397E59" w:rsidRDefault="00397E59" w:rsidP="008A18B1">
      <w:pPr>
        <w:pStyle w:val="ListParagraph"/>
        <w:numPr>
          <w:ilvl w:val="0"/>
          <w:numId w:val="22"/>
        </w:numPr>
        <w:spacing w:after="160" w:line="360" w:lineRule="auto"/>
        <w:rPr>
          <w:bCs/>
        </w:rPr>
      </w:pPr>
      <w:r>
        <w:rPr>
          <w:bCs/>
          <w:u w:val="single"/>
        </w:rPr>
        <w:t>Impact on CVA and FVA</w:t>
      </w:r>
      <w:r w:rsidRPr="00E20C58">
        <w:rPr>
          <w:bCs/>
        </w:rPr>
        <w:t>:</w:t>
      </w:r>
      <w:r>
        <w:rPr>
          <w:bCs/>
        </w:rPr>
        <w:t xml:space="preserve"> While </w:t>
      </w:r>
      <w:r>
        <w:t>Basel Committee On Banking Supervision (2012) nominally only deals with the derivatives liability and the DVA, it is generally understood that the disallowance of the CET1 increases from deteriorating bank credit is a universal principal that extends to CVA and FVA as well.</w:t>
      </w:r>
    </w:p>
    <w:p w:rsidR="00397E59" w:rsidRDefault="00397E59" w:rsidP="008A18B1">
      <w:pPr>
        <w:pStyle w:val="ListParagraph"/>
        <w:numPr>
          <w:ilvl w:val="0"/>
          <w:numId w:val="22"/>
        </w:numPr>
        <w:spacing w:after="160" w:line="360" w:lineRule="auto"/>
        <w:rPr>
          <w:bCs/>
        </w:rPr>
      </w:pPr>
      <w:r>
        <w:rPr>
          <w:bCs/>
          <w:u w:val="single"/>
        </w:rPr>
        <w:t>BCBS Language Relevant to CVA</w:t>
      </w:r>
      <w:r w:rsidRPr="00A56AEC">
        <w:rPr>
          <w:bCs/>
        </w:rPr>
        <w:t>:</w:t>
      </w:r>
      <w:r>
        <w:rPr>
          <w:bCs/>
        </w:rPr>
        <w:t xml:space="preserve"> For instance, for CVA some relevant language is (from Federal Register (2014)):</w:t>
      </w:r>
    </w:p>
    <w:p w:rsidR="00397E59" w:rsidRPr="00A56AEC" w:rsidRDefault="00397E59" w:rsidP="00397E59">
      <w:pPr>
        <w:pStyle w:val="ListParagraph"/>
        <w:spacing w:after="160" w:line="360" w:lineRule="auto"/>
        <w:rPr>
          <w:bCs/>
          <w:i/>
        </w:rPr>
      </w:pPr>
      <w:r>
        <w:rPr>
          <w:bCs/>
          <w:i/>
        </w:rPr>
        <w:t xml:space="preserve">CVA equals the credit valuation adjustment that the bank has recognized in its balance sheet valuation of any OTC derivatives contract in its netting set. For the purposes of this </w:t>
      </w:r>
      <w:r>
        <w:rPr>
          <w:bCs/>
          <w:i/>
        </w:rPr>
        <w:lastRenderedPageBreak/>
        <w:t>paragraph, CVA does not include any adjustments to CET1 attributable to changes in its own credit risk since the inception of the transaction with the counterparty.</w:t>
      </w:r>
    </w:p>
    <w:p w:rsidR="00397E59" w:rsidRDefault="00397E59" w:rsidP="008A18B1">
      <w:pPr>
        <w:pStyle w:val="ListParagraph"/>
        <w:numPr>
          <w:ilvl w:val="0"/>
          <w:numId w:val="22"/>
        </w:numPr>
        <w:spacing w:after="160" w:line="360" w:lineRule="auto"/>
        <w:rPr>
          <w:bCs/>
        </w:rPr>
      </w:pPr>
      <w:r>
        <w:rPr>
          <w:bCs/>
          <w:u w:val="single"/>
        </w:rPr>
        <w:t>Unilateral CVA vs. Bilateral FTDCVA</w:t>
      </w:r>
      <w:r w:rsidRPr="00A56AEC">
        <w:rPr>
          <w:bCs/>
        </w:rPr>
        <w:t xml:space="preserve">: </w:t>
      </w:r>
      <w:r>
        <w:rPr>
          <w:bCs/>
        </w:rPr>
        <w:t>From a modeling standpoint, adherence to this particular language can be achieved by deducting from the capital a unilateral UCVA metric as opposed to a smaller bilateral FTDCVA</w:t>
      </w:r>
      <w:r w:rsidRPr="00A56AEC">
        <w:rPr>
          <w:bCs/>
        </w:rPr>
        <w: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“Going Concern” or Defaultable Banks?</w:t>
      </w:r>
    </w:p>
    <w:p w:rsidR="00397E59" w:rsidRDefault="00397E59" w:rsidP="00397E59">
      <w:pPr>
        <w:spacing w:line="360" w:lineRule="auto"/>
      </w:pPr>
    </w:p>
    <w:p w:rsidR="00397E59" w:rsidRDefault="00397E59" w:rsidP="008A18B1">
      <w:pPr>
        <w:pStyle w:val="ListParagraph"/>
        <w:numPr>
          <w:ilvl w:val="0"/>
          <w:numId w:val="23"/>
        </w:numPr>
        <w:spacing w:line="360" w:lineRule="auto"/>
      </w:pPr>
      <w:r w:rsidRPr="00381FE2">
        <w:rPr>
          <w:u w:val="single"/>
        </w:rPr>
        <w:t>Regulatory Intent Behind the Deductions</w:t>
      </w:r>
      <w:r>
        <w:t>: The intent of the regulator regarding both the DVA and the CVA capital deductions is to exclude from CET1 the present value of the cash flows that benefit the bank after the default.</w:t>
      </w:r>
    </w:p>
    <w:p w:rsidR="00397E59" w:rsidRDefault="00397E59" w:rsidP="008A18B1">
      <w:pPr>
        <w:pStyle w:val="ListParagraph"/>
        <w:numPr>
          <w:ilvl w:val="0"/>
          <w:numId w:val="23"/>
        </w:numPr>
        <w:spacing w:line="360" w:lineRule="auto"/>
      </w:pPr>
      <w:r w:rsidRPr="00381FE2">
        <w:rPr>
          <w:u w:val="single"/>
        </w:rPr>
        <w:t>Regulatory Notion of “Going Concern”</w:t>
      </w:r>
      <w:r>
        <w:t>: Care must be taken to not extend the regulatory exclusion to a fair value setting. For instance, the regulatory notion of valuation from the viewpoint of “going concern”, in which the bank is assumed to be unable to default, is clearly at odds with both the reality and with the objective of consistent market pricing.</w:t>
      </w:r>
    </w:p>
    <w:p w:rsidR="00397E59" w:rsidRDefault="00397E59" w:rsidP="008A18B1">
      <w:pPr>
        <w:pStyle w:val="ListParagraph"/>
        <w:numPr>
          <w:ilvl w:val="0"/>
          <w:numId w:val="23"/>
        </w:numPr>
        <w:spacing w:line="360" w:lineRule="auto"/>
      </w:pPr>
      <w:r>
        <w:rPr>
          <w:u w:val="single"/>
        </w:rPr>
        <w:t>Unintended Consequence of “Going Concern”</w:t>
      </w:r>
      <w:r w:rsidRPr="00EA4B14">
        <w:t>:</w:t>
      </w:r>
      <w:r>
        <w:t xml:space="preserve"> If taken literally and applied out the intended context, this no-default assumption has the unwanted and undesirable side effect of increasing the prices on the bank-issued debt and significantly lowering the bank’s funding costs.</w:t>
      </w:r>
    </w:p>
    <w:p w:rsidR="00397E59" w:rsidRDefault="00397E59" w:rsidP="008A18B1">
      <w:pPr>
        <w:pStyle w:val="ListParagraph"/>
        <w:numPr>
          <w:ilvl w:val="0"/>
          <w:numId w:val="23"/>
        </w:numPr>
        <w:spacing w:line="360" w:lineRule="auto"/>
      </w:pPr>
      <w:r>
        <w:rPr>
          <w:u w:val="single"/>
        </w:rPr>
        <w:t>Funding Spread as a Liquidity Spread</w:t>
      </w:r>
      <w:r w:rsidRPr="00EA4B14">
        <w:t>:</w:t>
      </w:r>
      <w:r>
        <w:t xml:space="preserve"> We note in particular that if one were to consistently assume that the bank cannot default, then the spread separating the bank funding rates from the OIS rates would need to be interpreted as a liquidity spread. This is one of the possible financial interpretation behind the FCA/FBA accounting rules, along with an alternate approach based on modeling debt buy-back strategies.</w:t>
      </w:r>
    </w:p>
    <w:p w:rsidR="00397E59" w:rsidRDefault="00397E59" w:rsidP="008A18B1">
      <w:pPr>
        <w:pStyle w:val="ListParagraph"/>
        <w:numPr>
          <w:ilvl w:val="0"/>
          <w:numId w:val="23"/>
        </w:numPr>
        <w:spacing w:line="360" w:lineRule="auto"/>
      </w:pPr>
      <w:r>
        <w:rPr>
          <w:u w:val="single"/>
        </w:rPr>
        <w:t>Trouble with the Liquidity Spread Approach</w:t>
      </w:r>
      <w:r w:rsidRPr="00B3211A">
        <w:t>:</w:t>
      </w:r>
      <w:r>
        <w:t xml:space="preserve"> The liquidity spread assumption is hardly defensible; typical funding spreads are in the range of 50-400 bp while typical liquidity spreads are below 5 bp.</w:t>
      </w:r>
    </w:p>
    <w:p w:rsidR="00397E59" w:rsidRDefault="00397E59" w:rsidP="008A18B1">
      <w:pPr>
        <w:pStyle w:val="ListParagraph"/>
        <w:numPr>
          <w:ilvl w:val="0"/>
          <w:numId w:val="23"/>
        </w:numPr>
        <w:spacing w:line="360" w:lineRule="auto"/>
      </w:pPr>
      <w:r>
        <w:rPr>
          <w:u w:val="single"/>
        </w:rPr>
        <w:lastRenderedPageBreak/>
        <w:t>Funding Spread without Credit Risk</w:t>
      </w:r>
      <w:r w:rsidRPr="00B3211A">
        <w:t>:</w:t>
      </w:r>
      <w:r>
        <w:t xml:space="preserve"> It would be very difficult to construct a financial interpretation to funding spreads which does not involve the credit risk of the bank. The debt buy-back argument is more subtle and is discussed later.</w:t>
      </w:r>
    </w:p>
    <w:p w:rsidR="00397E59" w:rsidRDefault="00397E59" w:rsidP="008A18B1">
      <w:pPr>
        <w:pStyle w:val="ListParagraph"/>
        <w:numPr>
          <w:ilvl w:val="0"/>
          <w:numId w:val="23"/>
        </w:numPr>
        <w:spacing w:line="360" w:lineRule="auto"/>
      </w:pPr>
      <w:r>
        <w:rPr>
          <w:u w:val="single"/>
        </w:rPr>
        <w:t>No-default View on Funding Considerations</w:t>
      </w:r>
      <w:r w:rsidRPr="00B3211A">
        <w:t>:</w:t>
      </w:r>
      <w:r>
        <w:t xml:space="preserve"> Besides making fair-value considerations awkward, the no bank default view is not reasonable for funding considerations either. Specifically the FVA is a fair valuation of a cash flow stream resulting from a funding strategy that the bank clearly cannot implement past its own default; once the bank is in a state of default, its funding spread ins infinite, and the bank is unable to borrow funds on an unsecured basis or to conduct most other trading activities. As such any correct measure for funding costs must inescapably reference default by the bank (and its counterparties, for that matter).</w:t>
      </w:r>
    </w:p>
    <w:p w:rsidR="00397E59" w:rsidRPr="0097351D" w:rsidRDefault="00397E59" w:rsidP="008A18B1">
      <w:pPr>
        <w:pStyle w:val="ListParagraph"/>
        <w:numPr>
          <w:ilvl w:val="0"/>
          <w:numId w:val="23"/>
        </w:numPr>
        <w:spacing w:line="360" w:lineRule="auto"/>
      </w:pPr>
      <w:r>
        <w:rPr>
          <w:u w:val="single"/>
        </w:rPr>
        <w:t>Wealth Transfer across the Capital Structure</w:t>
      </w:r>
      <w:r w:rsidRPr="00B3211A">
        <w:t>:</w:t>
      </w:r>
      <w:r>
        <w:t xml:space="preserve"> From yet another angle, FVA admits the financial interpretation as an internal wealth transfer across the capital structure of the bank resulting from the implementation of a funding strategy and is not the price of an asset sold to the counterparty on which the bank can default. However, wealth transfers can stop once the default occurs and the equity holders are wiped out.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Categorization of Cash-flow Streams</w:t>
      </w:r>
    </w:p>
    <w:p w:rsidR="00397E59" w:rsidRDefault="00397E59" w:rsidP="00397E59">
      <w:pPr>
        <w:spacing w:line="360" w:lineRule="auto"/>
      </w:pPr>
    </w:p>
    <w:p w:rsidR="00397E59" w:rsidRDefault="00397E59" w:rsidP="008A18B1">
      <w:pPr>
        <w:pStyle w:val="ListParagraph"/>
        <w:numPr>
          <w:ilvl w:val="0"/>
          <w:numId w:val="24"/>
        </w:numPr>
        <w:spacing w:line="360" w:lineRule="auto"/>
      </w:pPr>
      <w:r w:rsidRPr="00722F5C">
        <w:rPr>
          <w:u w:val="single"/>
        </w:rPr>
        <w:t>Accounting Merger/Unification Viewpoint Framework</w:t>
      </w:r>
      <w:r>
        <w:t>: Since a straight “going concern” assumption is inadequate for evolving a comprehensive accounting framework, Albanese and Andersen (2014) put together an alternate framework which reproduces and justifies the regulator mandated CET1 deductions for CVA and DVA, but which is also meaningful from the viewpoints of funding costs, classical Finance Theory, and the generally accepted accounting principles.</w:t>
      </w:r>
    </w:p>
    <w:p w:rsidR="00397E59" w:rsidRDefault="00397E59" w:rsidP="008A18B1">
      <w:pPr>
        <w:pStyle w:val="ListParagraph"/>
        <w:numPr>
          <w:ilvl w:val="0"/>
          <w:numId w:val="24"/>
        </w:numPr>
        <w:spacing w:line="360" w:lineRule="auto"/>
      </w:pPr>
      <w:r>
        <w:rPr>
          <w:u w:val="single"/>
        </w:rPr>
        <w:t>Fundamental Cash flow Steam Types</w:t>
      </w:r>
      <w:r w:rsidRPr="00722F5C">
        <w:t>:</w:t>
      </w:r>
      <w:r>
        <w:t xml:space="preserve"> For this purpose, Albanese and Andersen (2014) propose that the cash-flow streams be fundamentally classified into the following 5 types:</w:t>
      </w:r>
    </w:p>
    <w:p w:rsidR="00397E59" w:rsidRDefault="00397E59" w:rsidP="008A18B1">
      <w:pPr>
        <w:pStyle w:val="ListParagraph"/>
        <w:numPr>
          <w:ilvl w:val="1"/>
          <w:numId w:val="24"/>
        </w:numPr>
        <w:spacing w:line="360" w:lineRule="auto"/>
      </w:pPr>
      <w:r>
        <w:t>CF1 =&gt; Contractually promised cash flow streams excluding all bank and counterparty credit risk events;</w:t>
      </w:r>
    </w:p>
    <w:p w:rsidR="00397E59" w:rsidRDefault="00397E59" w:rsidP="008A18B1">
      <w:pPr>
        <w:pStyle w:val="ListParagraph"/>
        <w:numPr>
          <w:ilvl w:val="1"/>
          <w:numId w:val="24"/>
        </w:numPr>
        <w:spacing w:line="360" w:lineRule="auto"/>
      </w:pPr>
      <w:r>
        <w:lastRenderedPageBreak/>
        <w:t>CF2 =&gt; Trade-related cash flows resulting from counter party defaults, but excluding bank default events;</w:t>
      </w:r>
    </w:p>
    <w:p w:rsidR="00397E59" w:rsidRDefault="00397E59" w:rsidP="008A18B1">
      <w:pPr>
        <w:pStyle w:val="ListParagraph"/>
        <w:numPr>
          <w:ilvl w:val="1"/>
          <w:numId w:val="24"/>
        </w:numPr>
        <w:spacing w:line="360" w:lineRule="auto"/>
      </w:pPr>
      <w:r>
        <w:t>CF3 =&gt; Trade related cash flows resulting from the bank default;</w:t>
      </w:r>
    </w:p>
    <w:p w:rsidR="00397E59" w:rsidRDefault="00397E59" w:rsidP="008A18B1">
      <w:pPr>
        <w:pStyle w:val="ListParagraph"/>
        <w:numPr>
          <w:ilvl w:val="1"/>
          <w:numId w:val="24"/>
        </w:numPr>
        <w:spacing w:line="360" w:lineRule="auto"/>
      </w:pPr>
      <w:r>
        <w:t>CF4 =&gt; Cash flows streams derived from dynamic trading strategies (such as funding strategies) implemented by the banks and taking place prior to the bank default;</w:t>
      </w:r>
    </w:p>
    <w:p w:rsidR="00397E59" w:rsidRDefault="00397E59" w:rsidP="008A18B1">
      <w:pPr>
        <w:pStyle w:val="ListParagraph"/>
        <w:numPr>
          <w:ilvl w:val="1"/>
          <w:numId w:val="24"/>
        </w:numPr>
        <w:spacing w:line="360" w:lineRule="auto"/>
      </w:pPr>
      <w:r>
        <w:t>CF5 =&gt; Cash flow steams deriving from dynamic trading strategies (such as funding strategies) implemented by the bank and taking place at or after the default of the bank.</w:t>
      </w:r>
    </w:p>
    <w:p w:rsidR="00397E59" w:rsidRDefault="00397E59" w:rsidP="008A18B1">
      <w:pPr>
        <w:pStyle w:val="ListParagraph"/>
        <w:numPr>
          <w:ilvl w:val="0"/>
          <w:numId w:val="24"/>
        </w:numPr>
        <w:spacing w:line="360" w:lineRule="auto"/>
      </w:pPr>
      <w:r>
        <w:rPr>
          <w:u w:val="single"/>
        </w:rPr>
        <w:t>Derivative Contractual Agreement Cash Flows</w:t>
      </w:r>
      <w:r>
        <w:t>: Any derivatives contract can always be split into separate contractual agreements generating cash flows to types CF1, CF2, and CF3.</w:t>
      </w:r>
    </w:p>
    <w:p w:rsidR="00397E59" w:rsidRDefault="00397E59" w:rsidP="008A18B1">
      <w:pPr>
        <w:pStyle w:val="ListParagraph"/>
        <w:numPr>
          <w:ilvl w:val="0"/>
          <w:numId w:val="24"/>
        </w:numPr>
        <w:spacing w:line="360" w:lineRule="auto"/>
      </w:pPr>
      <w:r>
        <w:rPr>
          <w:u w:val="single"/>
        </w:rPr>
        <w:t>Dynamic Trading Strategy Cash Flows</w:t>
      </w:r>
      <w:r w:rsidRPr="00A91C4B">
        <w:t>:</w:t>
      </w:r>
      <w:r>
        <w:t xml:space="preserve"> Similarly cash flows arising from any dynamic trading strategy can be modeled as a split between types CF4 and CF5.</w:t>
      </w:r>
    </w:p>
    <w:p w:rsidR="00397E59" w:rsidRDefault="00397E59" w:rsidP="008A18B1">
      <w:pPr>
        <w:pStyle w:val="ListParagraph"/>
        <w:numPr>
          <w:ilvl w:val="0"/>
          <w:numId w:val="24"/>
        </w:numPr>
        <w:spacing w:line="360" w:lineRule="auto"/>
      </w:pPr>
      <w:r>
        <w:rPr>
          <w:u w:val="single"/>
        </w:rPr>
        <w:t>Cash Flows Contributing to CET1</w:t>
      </w:r>
      <w:r w:rsidRPr="00A91C4B">
        <w:t>:</w:t>
      </w:r>
      <w:r>
        <w:t xml:space="preserve"> We assume that the splits have been carried out such that each unit of account referring to either a counter party contract or a trading strategy is matched to the relevant cash flow stream. We then designate the units of account whose underlying cash flow streams are of the types CF1, CF2, and CF4 as contributing to CET1, while units of account whose cash flow streams are of type CF3 and CF5 do not contribute to CET1.</w:t>
      </w:r>
    </w:p>
    <w:p w:rsidR="00397E59" w:rsidRDefault="00397E59" w:rsidP="008A18B1">
      <w:pPr>
        <w:pStyle w:val="ListParagraph"/>
        <w:numPr>
          <w:ilvl w:val="0"/>
          <w:numId w:val="24"/>
        </w:numPr>
        <w:spacing w:line="360" w:lineRule="auto"/>
      </w:pPr>
      <w:r>
        <w:rPr>
          <w:u w:val="single"/>
        </w:rPr>
        <w:t>Counterparty Contract vs. Trading Strategy</w:t>
      </w:r>
      <w:r w:rsidRPr="00A91C4B">
        <w:t>:</w:t>
      </w:r>
      <w:r>
        <w:t xml:space="preserve"> A key difference between a counterparty contract and a trading strategy is that the former is settled with a counterparty at the time of the bank default while the latter simply terminates at that point in time. The reason why the 2 cases are treated differently is that a contractually promised cash flow reflects an obligation by the bank that extends to the last maturity, independently of whether a bank defaults or remains a going concern until then.</w:t>
      </w:r>
    </w:p>
    <w:p w:rsidR="00397E59" w:rsidRDefault="00397E59" w:rsidP="008A18B1">
      <w:pPr>
        <w:pStyle w:val="ListParagraph"/>
        <w:numPr>
          <w:ilvl w:val="0"/>
          <w:numId w:val="24"/>
        </w:numPr>
        <w:spacing w:line="360" w:lineRule="auto"/>
      </w:pPr>
      <w:r>
        <w:rPr>
          <w:u w:val="single"/>
        </w:rPr>
        <w:t>Trading Flows at Bank Default</w:t>
      </w:r>
      <w:r w:rsidRPr="00522303">
        <w:t>:</w:t>
      </w:r>
      <w:r>
        <w:t xml:space="preserve"> Cash flows deriving from trading strategies cannot be implemented past the time of the default of the bank, at which time the bank goes into receivership and is unable to carry out normal trading activities. Nevertheless the implementation of the trading strategies prior to default has consequences on a post-default basis which have an impact on the default claim held by senior creditors. These are cash flows of type CF4.</w:t>
      </w:r>
    </w:p>
    <w:p w:rsidR="00397E59" w:rsidRDefault="00397E59" w:rsidP="008A18B1">
      <w:pPr>
        <w:pStyle w:val="ListParagraph"/>
        <w:numPr>
          <w:ilvl w:val="0"/>
          <w:numId w:val="24"/>
        </w:numPr>
        <w:spacing w:line="360" w:lineRule="auto"/>
      </w:pPr>
      <w:r>
        <w:rPr>
          <w:u w:val="single"/>
        </w:rPr>
        <w:lastRenderedPageBreak/>
        <w:t>Cash Flow Streams</w:t>
      </w:r>
      <w:r w:rsidRPr="00522303">
        <w:t>:</w:t>
      </w:r>
    </w:p>
    <w:p w:rsidR="00397E59" w:rsidRDefault="00397E59" w:rsidP="008A18B1">
      <w:pPr>
        <w:pStyle w:val="ListParagraph"/>
        <w:numPr>
          <w:ilvl w:val="1"/>
          <w:numId w:val="24"/>
        </w:numPr>
        <w:spacing w:line="360" w:lineRule="auto"/>
      </w:pPr>
      <w:r>
        <w:t>Collateralized Transactions =&gt; Collateralized transactions involve the cash flow streams of type CF1 which are immune from counterparty credit risk.</w:t>
      </w:r>
    </w:p>
    <w:p w:rsidR="00397E59" w:rsidRDefault="00397E59" w:rsidP="008A18B1">
      <w:pPr>
        <w:pStyle w:val="ListParagraph"/>
        <w:numPr>
          <w:ilvl w:val="1"/>
          <w:numId w:val="24"/>
        </w:numPr>
        <w:spacing w:line="360" w:lineRule="auto"/>
      </w:pPr>
      <w:r>
        <w:t>UCVA =&gt; The UCVA refers to a cash flow stream of type CF2 and is, effectively, the price of a CVA protection contract promised by the bank, excluding the effects of bank default.</w:t>
      </w:r>
    </w:p>
    <w:p w:rsidR="00397E59" w:rsidRDefault="00397E59" w:rsidP="008A18B1">
      <w:pPr>
        <w:pStyle w:val="ListParagraph"/>
        <w:numPr>
          <w:ilvl w:val="1"/>
          <w:numId w:val="24"/>
        </w:numPr>
        <w:spacing w:line="360" w:lineRule="auto"/>
      </w:pPr>
      <w:r>
        <w:t>DVA =&gt; The DVA refers to cash flow streams of the type CF3 as it represents the benefit the senior creditors of the bank obtain from the default of the bank on derivative liabilities.</w:t>
      </w:r>
    </w:p>
    <w:p w:rsidR="00397E59" w:rsidRDefault="00397E59" w:rsidP="008A18B1">
      <w:pPr>
        <w:pStyle w:val="ListParagraph"/>
        <w:numPr>
          <w:ilvl w:val="1"/>
          <w:numId w:val="24"/>
        </w:numPr>
        <w:spacing w:line="360" w:lineRule="auto"/>
      </w:pPr>
      <w:r>
        <w:t>CVA CL =&gt; The CVA contra-liability is the DVA component of the CVA; like the ordinary DVA on liabilities it is a cash flow of type CF3.</w:t>
      </w:r>
    </w:p>
    <w:p w:rsidR="00397E59" w:rsidRDefault="00397E59" w:rsidP="008A18B1">
      <w:pPr>
        <w:pStyle w:val="ListParagraph"/>
        <w:numPr>
          <w:ilvl w:val="1"/>
          <w:numId w:val="24"/>
        </w:numPr>
        <w:spacing w:line="360" w:lineRule="auto"/>
      </w:pPr>
      <w:r>
        <w:t>FVA =&gt; The FVA can be interpreted as the price of the strategy of borrowing VM collateral up to the time the defaults (after which it becomes impossible to borrow any further). This is a cash flow stream of type CF4.</w:t>
      </w:r>
    </w:p>
    <w:p w:rsidR="00397E59" w:rsidRDefault="00397E59" w:rsidP="008A18B1">
      <w:pPr>
        <w:pStyle w:val="ListParagraph"/>
        <w:numPr>
          <w:ilvl w:val="1"/>
          <w:numId w:val="24"/>
        </w:numPr>
        <w:spacing w:line="360" w:lineRule="auto"/>
      </w:pPr>
      <w:r>
        <w:t>FDA =&gt; The FDA is the post-default benefit to the senior creditors deriving from owning a title to the portfolio of derivative receivables whose hedges were funded on an unsecured basis. The FDA corresponds to a cash flow steam of type CF5.</w:t>
      </w:r>
    </w:p>
    <w:p w:rsidR="00397E59" w:rsidRDefault="00397E59" w:rsidP="008A18B1">
      <w:pPr>
        <w:pStyle w:val="ListParagraph"/>
        <w:numPr>
          <w:ilvl w:val="0"/>
          <w:numId w:val="24"/>
        </w:numPr>
        <w:spacing w:line="360" w:lineRule="auto"/>
      </w:pPr>
      <w:r>
        <w:rPr>
          <w:u w:val="single"/>
        </w:rPr>
        <w:t>Corporate Finance Interpretation of CET1</w:t>
      </w:r>
      <w:r>
        <w:t>: The cash flow rules above are designed to allow for a Corporate Finance Interpretation of CET1 as a proxy for the value of the bank assets to the shareholders – or at least the contributions to CET1 from derivatives trading activities.</w:t>
      </w:r>
    </w:p>
    <w:p w:rsidR="00397E59" w:rsidRDefault="00397E59" w:rsidP="008A18B1">
      <w:pPr>
        <w:pStyle w:val="ListParagraph"/>
        <w:numPr>
          <w:ilvl w:val="0"/>
          <w:numId w:val="24"/>
        </w:numPr>
        <w:spacing w:line="360" w:lineRule="auto"/>
      </w:pPr>
      <w:r>
        <w:rPr>
          <w:u w:val="single"/>
        </w:rPr>
        <w:t>Cash Flows after Bank Default</w:t>
      </w:r>
      <w:r w:rsidRPr="0007794D">
        <w:t>:</w:t>
      </w:r>
      <w:r>
        <w:t xml:space="preserve"> In particular, since the shareholders are indifferent to the cash flows occurring at or after the bank default, such cash flow streams should not contribute to CET1 – excluding here the feedback effects of the type discussed in Burgard and Kjaer (2011). Also note that by ensuring that the cash flow types of CF3 have no impact on CET1, we achieve the stated regulatory objective of deducting both FVA and UCVA from CET1.</w:t>
      </w:r>
    </w:p>
    <w:p w:rsidR="00397E59" w:rsidRDefault="00397E59" w:rsidP="008A18B1">
      <w:pPr>
        <w:pStyle w:val="ListParagraph"/>
        <w:numPr>
          <w:ilvl w:val="0"/>
          <w:numId w:val="24"/>
        </w:numPr>
        <w:spacing w:line="360" w:lineRule="auto"/>
      </w:pPr>
      <w:r>
        <w:rPr>
          <w:u w:val="single"/>
        </w:rPr>
        <w:t>RHO Exercise Impact on CET1</w:t>
      </w:r>
      <w:r w:rsidRPr="0007794D">
        <w:t>:</w:t>
      </w:r>
      <w:r>
        <w:t xml:space="preserve"> By the same token, funding costs are assessed at the market level, and the benefits resulting from the exercise of the RHO at times prior to the bank default contributes positively to CET1.</w:t>
      </w:r>
    </w:p>
    <w:p w:rsidR="00397E59" w:rsidRDefault="00397E59" w:rsidP="008A18B1">
      <w:pPr>
        <w:pStyle w:val="ListParagraph"/>
        <w:numPr>
          <w:ilvl w:val="0"/>
          <w:numId w:val="24"/>
        </w:numPr>
        <w:spacing w:line="360" w:lineRule="auto"/>
      </w:pPr>
      <w:r>
        <w:rPr>
          <w:u w:val="single"/>
        </w:rPr>
        <w:lastRenderedPageBreak/>
        <w:t>Self-Default Benefit - Unilateral CVA</w:t>
      </w:r>
      <w:r w:rsidRPr="0007794D">
        <w:t>:</w:t>
      </w:r>
      <w:r>
        <w:t xml:space="preserve"> One particular rationale for the regulatory mandate to deduct full UCVA from CET1 was to avoid the scenario where an increase in the bank’s own credit spread could lead to a higher CET1.</w:t>
      </w:r>
    </w:p>
    <w:p w:rsidR="00397E59" w:rsidRDefault="00397E59" w:rsidP="008A18B1">
      <w:pPr>
        <w:pStyle w:val="ListParagraph"/>
        <w:numPr>
          <w:ilvl w:val="0"/>
          <w:numId w:val="24"/>
        </w:numPr>
        <w:spacing w:line="360" w:lineRule="auto"/>
      </w:pPr>
      <w:r>
        <w:rPr>
          <w:u w:val="single"/>
        </w:rPr>
        <w:t>Bank Default Continuation Funding Spread</w:t>
      </w:r>
      <w:r w:rsidRPr="00D12E2A">
        <w:t>:</w:t>
      </w:r>
      <w:r>
        <w:t xml:space="preserve"> One may ask whether a similar principle applies to FVA, necessitating the definition of a unilateral FVA. However such a remedy would be difficult to justify within a consistent modeling framework, since we would have to introduce the notion of continuation funding spread for the bank at and after its own default.</w:t>
      </w:r>
    </w:p>
    <w:p w:rsidR="00397E59" w:rsidRDefault="00397E59" w:rsidP="008A18B1">
      <w:pPr>
        <w:pStyle w:val="ListParagraph"/>
        <w:numPr>
          <w:ilvl w:val="0"/>
          <w:numId w:val="24"/>
        </w:numPr>
        <w:spacing w:line="360" w:lineRule="auto"/>
      </w:pPr>
      <w:r>
        <w:rPr>
          <w:u w:val="single"/>
        </w:rPr>
        <w:t>Peer Proxy Continuation Funding Spread</w:t>
      </w:r>
      <w:r w:rsidRPr="00D12E2A">
        <w:t>:</w:t>
      </w:r>
      <w:r>
        <w:t xml:space="preserve"> While such a notion could potentially be based on average or minimum peer spreads (post bank default), satisfying the Basel III principles does not depend on it as the FVA defined here normally increases as a function of the bank’s own credit spread.</w:t>
      </w:r>
    </w:p>
    <w:p w:rsidR="00397E59" w:rsidRDefault="00397E59" w:rsidP="008A18B1">
      <w:pPr>
        <w:pStyle w:val="ListParagraph"/>
        <w:numPr>
          <w:ilvl w:val="0"/>
          <w:numId w:val="24"/>
        </w:numPr>
        <w:spacing w:line="360" w:lineRule="auto"/>
      </w:pPr>
      <w:r>
        <w:rPr>
          <w:u w:val="single"/>
        </w:rPr>
        <w:t>Credit Spread Impact on FVA</w:t>
      </w:r>
      <w:r w:rsidRPr="00D12E2A">
        <w:t>:</w:t>
      </w:r>
      <w:r>
        <w:t xml:space="preserve"> The FVA is impacted by rising bank credit spreads in 2 different directions; rising spreads tend to decrease FVA because funding costs are cut short by a bank default; yet rising spreads also tend to increase the FVA as the spread paid on unsecured lending increases. Albanese and Andersen (2014) show that in normal circumstances the latter effect dominates.</w:t>
      </w:r>
    </w:p>
    <w:p w:rsidR="00397E59" w:rsidRDefault="00397E59" w:rsidP="008A18B1">
      <w:pPr>
        <w:pStyle w:val="ListParagraph"/>
        <w:numPr>
          <w:ilvl w:val="0"/>
          <w:numId w:val="24"/>
        </w:numPr>
        <w:spacing w:line="360" w:lineRule="auto"/>
      </w:pPr>
      <w:r>
        <w:rPr>
          <w:u w:val="single"/>
        </w:rPr>
        <w:t>Own-Credit Sensitivity in FCA/FBA</w:t>
      </w:r>
      <w:r w:rsidRPr="00D12E2A">
        <w:t>:</w:t>
      </w:r>
      <w:r>
        <w:t xml:space="preserve"> Albanese and Andersen (2014) also show that this </w:t>
      </w:r>
      <w:r w:rsidRPr="00D12E2A">
        <w:rPr>
          <w:i/>
        </w:rPr>
        <w:t>not</w:t>
      </w:r>
      <w:r>
        <w:t xml:space="preserve"> the case for SFVA, which is the metric for funding costs that are transferred to the clients in the form of FTP in FCA/FBA accounting. Since the SFVA can be shown to have own-credit sensitivities of the wrong sign when applied to portfolios containing mostly payables, its use as a CET1 deduction would be problematic from a regulatory standpoint. For this reason alone, the CET1 deduction in FCA/FBA accounting must be the full FCA.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3"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Basel Committee On Banking Supervision (2011): Basel III: A Global Regulatory Framework for more Resilient Banks and Banking Systems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Federal Register (2014): </w:t>
      </w:r>
      <w:r>
        <w:rPr>
          <w:i/>
        </w:rPr>
        <w:t>Rules and Regulations</w:t>
      </w:r>
      <w:r>
        <w:t xml:space="preserve"> </w:t>
      </w:r>
      <w:r>
        <w:rPr>
          <w:b/>
        </w:rPr>
        <w:t>79</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Principles, Units of Accounts, and Valuation Adjustment Metrics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Rules</w:t>
      </w:r>
    </w:p>
    <w:p w:rsidR="00397E59" w:rsidRDefault="00397E59" w:rsidP="00397E59">
      <w:pPr>
        <w:spacing w:line="360" w:lineRule="auto"/>
      </w:pPr>
    </w:p>
    <w:p w:rsidR="00397E59" w:rsidRDefault="00397E59" w:rsidP="008A18B1">
      <w:pPr>
        <w:pStyle w:val="ListParagraph"/>
        <w:numPr>
          <w:ilvl w:val="0"/>
          <w:numId w:val="25"/>
        </w:numPr>
        <w:spacing w:after="160" w:line="360" w:lineRule="auto"/>
        <w:rPr>
          <w:bCs/>
        </w:rPr>
      </w:pPr>
      <w:r w:rsidRPr="00E242D6">
        <w:rPr>
          <w:bCs/>
          <w:u w:val="single"/>
        </w:rPr>
        <w:t>Accounting Principles for Derivative Portfolios</w:t>
      </w:r>
      <w:r w:rsidRPr="00E242D6">
        <w:rPr>
          <w:bCs/>
        </w:rPr>
        <w:t>: We list here the key accounting principles for derivatives portfolios. KPMG (2011) and PWC (2011) contain a discussion on them.</w:t>
      </w:r>
    </w:p>
    <w:p w:rsidR="00397E59" w:rsidRDefault="00397E59" w:rsidP="008A18B1">
      <w:pPr>
        <w:pStyle w:val="ListParagraph"/>
        <w:numPr>
          <w:ilvl w:val="0"/>
          <w:numId w:val="25"/>
        </w:numPr>
        <w:spacing w:after="160" w:line="360" w:lineRule="auto"/>
        <w:rPr>
          <w:bCs/>
        </w:rPr>
      </w:pPr>
      <w:r>
        <w:rPr>
          <w:bCs/>
          <w:u w:val="single"/>
        </w:rPr>
        <w:t>Units of Account</w:t>
      </w:r>
      <w:r w:rsidRPr="00E242D6">
        <w:rPr>
          <w:bCs/>
        </w:rPr>
        <w:t>:</w:t>
      </w:r>
    </w:p>
    <w:p w:rsidR="00397E59" w:rsidRDefault="00397E59" w:rsidP="008A18B1">
      <w:pPr>
        <w:pStyle w:val="ListParagraph"/>
        <w:numPr>
          <w:ilvl w:val="1"/>
          <w:numId w:val="25"/>
        </w:numPr>
        <w:spacing w:after="160" w:line="360" w:lineRule="auto"/>
        <w:rPr>
          <w:bCs/>
        </w:rPr>
      </w:pPr>
      <w:r>
        <w:rPr>
          <w:bCs/>
        </w:rPr>
        <w:t>Trading Securities (AP0) =&gt; Derivatives contracts are categorized as trading securities and must be listed on the balance sheet on their fair market value. Changes to the fair market value are registered as income or loss on the income statement.</w:t>
      </w:r>
    </w:p>
    <w:p w:rsidR="00397E59" w:rsidRDefault="00397E59" w:rsidP="008A18B1">
      <w:pPr>
        <w:pStyle w:val="ListParagraph"/>
        <w:numPr>
          <w:ilvl w:val="1"/>
          <w:numId w:val="25"/>
        </w:numPr>
        <w:spacing w:after="160" w:line="360" w:lineRule="auto"/>
        <w:rPr>
          <w:bCs/>
        </w:rPr>
      </w:pPr>
      <w:r>
        <w:rPr>
          <w:bCs/>
        </w:rPr>
        <w:t xml:space="preserve">Units of Account and Linearity (AP1) =&gt; Financial portfolios are decomposed into elementary </w:t>
      </w:r>
      <w:r>
        <w:rPr>
          <w:bCs/>
          <w:i/>
        </w:rPr>
        <w:t>units of account</w:t>
      </w:r>
      <w:r>
        <w:rPr>
          <w:bCs/>
        </w:rPr>
        <w:t xml:space="preserve"> satisfying a linearity property, in the sense that the fair valuation of the portfolio is the sum of the fair valuations of the units of account.</w:t>
      </w:r>
    </w:p>
    <w:p w:rsidR="00397E59" w:rsidRDefault="00397E59" w:rsidP="008A18B1">
      <w:pPr>
        <w:pStyle w:val="ListParagraph"/>
        <w:numPr>
          <w:ilvl w:val="1"/>
          <w:numId w:val="25"/>
        </w:numPr>
        <w:spacing w:after="160" w:line="360" w:lineRule="auto"/>
        <w:rPr>
          <w:bCs/>
        </w:rPr>
      </w:pPr>
      <w:r>
        <w:rPr>
          <w:bCs/>
        </w:rPr>
        <w:t xml:space="preserve">Fair Value as an Exit Price (AP2) =&gt; The </w:t>
      </w:r>
      <w:r>
        <w:rPr>
          <w:bCs/>
          <w:i/>
        </w:rPr>
        <w:t>fair value</w:t>
      </w:r>
      <w:r>
        <w:rPr>
          <w:bCs/>
        </w:rPr>
        <w:t xml:space="preserve"> of a unit of account is defined in IFRS13 as the price that would be received if one were to sell the unit of account in an orderly trade between the market participants at the measurement date. This is called the </w:t>
      </w:r>
      <w:r>
        <w:rPr>
          <w:bCs/>
          <w:i/>
        </w:rPr>
        <w:t>exit price</w:t>
      </w:r>
      <w:r>
        <w:rPr>
          <w:bCs/>
        </w:rPr>
        <w:t xml:space="preserve"> of the unit of account. In the determination of the exit prices neither transaction costs (such as broker commissions) nor entity-specific production costs are considered as part of the fair valuation.</w:t>
      </w:r>
    </w:p>
    <w:p w:rsidR="00397E59" w:rsidRDefault="00397E59" w:rsidP="008A18B1">
      <w:pPr>
        <w:pStyle w:val="ListParagraph"/>
        <w:numPr>
          <w:ilvl w:val="1"/>
          <w:numId w:val="25"/>
        </w:numPr>
        <w:spacing w:after="160" w:line="360" w:lineRule="auto"/>
        <w:rPr>
          <w:bCs/>
        </w:rPr>
      </w:pPr>
      <w:r>
        <w:rPr>
          <w:bCs/>
        </w:rPr>
        <w:t>Model Based Valuation (AP3) =&gt; When a unit of account is not tradeable in the active market, its fair value may be determined using a model based valuation technique. In this case an income based approach is allowed, where the cash flows of the trades present valued. This includes cash flows associated with the default of one of the counterparties.</w:t>
      </w:r>
    </w:p>
    <w:p w:rsidR="00397E59" w:rsidRDefault="00397E59" w:rsidP="008A18B1">
      <w:pPr>
        <w:pStyle w:val="ListParagraph"/>
        <w:numPr>
          <w:ilvl w:val="1"/>
          <w:numId w:val="25"/>
        </w:numPr>
        <w:spacing w:after="160" w:line="360" w:lineRule="auto"/>
        <w:rPr>
          <w:bCs/>
        </w:rPr>
      </w:pPr>
      <w:r>
        <w:rPr>
          <w:bCs/>
        </w:rPr>
        <w:lastRenderedPageBreak/>
        <w:t>Symmetry Principle (AP4) =&gt; When (as is often the case) there is no active market for the liability transfer, IASB accounting standards require that the fair value of the liability be determined from the perspective of the asset investor.</w:t>
      </w:r>
    </w:p>
    <w:p w:rsidR="00397E59" w:rsidRDefault="00397E59" w:rsidP="008A18B1">
      <w:pPr>
        <w:pStyle w:val="ListParagraph"/>
        <w:numPr>
          <w:ilvl w:val="1"/>
          <w:numId w:val="25"/>
        </w:numPr>
        <w:spacing w:after="160" w:line="360" w:lineRule="auto"/>
        <w:rPr>
          <w:bCs/>
        </w:rPr>
      </w:pPr>
      <w:r>
        <w:rPr>
          <w:bCs/>
        </w:rPr>
        <w:t>Non-Performance Risk (AP5) =&gt; According to FASB 157, the benefit to senior creditors on the non-performance of the liabilities should be captured. Non-performance risk includes the effects of credit risk, as well as any other factors the influence the likelihood of fulfilling contractual obligations.</w:t>
      </w:r>
    </w:p>
    <w:p w:rsidR="00397E59" w:rsidRDefault="00397E59" w:rsidP="008A18B1">
      <w:pPr>
        <w:pStyle w:val="ListParagraph"/>
        <w:numPr>
          <w:ilvl w:val="0"/>
          <w:numId w:val="25"/>
        </w:numPr>
        <w:spacing w:after="160" w:line="360" w:lineRule="auto"/>
        <w:rPr>
          <w:bCs/>
        </w:rPr>
      </w:pPr>
      <w:r>
        <w:rPr>
          <w:bCs/>
          <w:u w:val="single"/>
        </w:rPr>
        <w:t>Application to Derivative Security Accounting</w:t>
      </w:r>
      <w:r>
        <w:rPr>
          <w:bCs/>
        </w:rPr>
        <w:t xml:space="preserve">: To consider the application of these principles for derivatives securities accounting, Albanese and Andersen (2014) consider the situation where a bank </w:t>
      </w:r>
      <m:oMath>
        <m:r>
          <w:rPr>
            <w:rFonts w:ascii="Cambria Math" w:hAnsi="Cambria Math"/>
          </w:rPr>
          <m:t>B</m:t>
        </m:r>
      </m:oMath>
      <w:r>
        <w:rPr>
          <w:bCs/>
        </w:rPr>
        <w:t xml:space="preserve"> transacts in partially collateralized OTC derivatives with a set of </w:t>
      </w:r>
      <m:oMath>
        <m:r>
          <w:rPr>
            <w:rFonts w:ascii="Cambria Math" w:hAnsi="Cambria Math"/>
          </w:rPr>
          <m:t>n</m:t>
        </m:r>
      </m:oMath>
      <w:r>
        <w:rPr>
          <w:bCs/>
        </w:rPr>
        <w:t xml:space="preserve">  credit-risky counterparties.</w:t>
      </w:r>
    </w:p>
    <w:p w:rsidR="00397E59" w:rsidRDefault="00397E59" w:rsidP="008A18B1">
      <w:pPr>
        <w:pStyle w:val="ListParagraph"/>
        <w:numPr>
          <w:ilvl w:val="0"/>
          <w:numId w:val="25"/>
        </w:numPr>
        <w:spacing w:after="160" w:line="360" w:lineRule="auto"/>
        <w:rPr>
          <w:bCs/>
        </w:rPr>
      </w:pPr>
      <w:r>
        <w:rPr>
          <w:bCs/>
          <w:u w:val="single"/>
        </w:rPr>
        <w:t>Collateral Posting and CSA Agreements</w:t>
      </w:r>
      <w:r w:rsidRPr="00A84A79">
        <w:rPr>
          <w:bCs/>
        </w:rPr>
        <w:t>:</w:t>
      </w:r>
      <w:r>
        <w:rPr>
          <w:bCs/>
        </w:rPr>
        <w:t xml:space="preserve"> Each counterparty holds a portfolio of derivatives under an over-arching CSA agreement involving a netting clause, and possibly, but not necessarily, collateral posting obligations for the variation margin (VM).</w:t>
      </w:r>
    </w:p>
    <w:p w:rsidR="00397E59" w:rsidRDefault="00397E59" w:rsidP="008A18B1">
      <w:pPr>
        <w:pStyle w:val="ListParagraph"/>
        <w:numPr>
          <w:ilvl w:val="0"/>
          <w:numId w:val="25"/>
        </w:numPr>
        <w:spacing w:after="160" w:line="360" w:lineRule="auto"/>
        <w:rPr>
          <w:bCs/>
        </w:rPr>
      </w:pPr>
      <w:r>
        <w:rPr>
          <w:bCs/>
          <w:u w:val="single"/>
        </w:rPr>
        <w:t>ISDA 2009 Closeout Amount Protocols</w:t>
      </w:r>
      <w:r w:rsidRPr="00A84A79">
        <w:rPr>
          <w:bCs/>
        </w:rPr>
        <w:t>:</w:t>
      </w:r>
      <w:r>
        <w:rPr>
          <w:bCs/>
        </w:rPr>
        <w:t xml:space="preserve"> In the absence of full collateralization, closeout protocols in place to govern settlements whenever a bank or a counterparty defaults need to be explicitly considered; standard protocols are the ISDA Market Quotation Close-out Convention of 1992 (most common) and the ISDA Close-out Amount Protocol of 2009. Note that closeout protocols are relevant for the fair valuation because of the accounting principles AP3 and AP5 above.</w:t>
      </w:r>
    </w:p>
    <w:p w:rsidR="00397E59" w:rsidRDefault="00397E59" w:rsidP="008A18B1">
      <w:pPr>
        <w:pStyle w:val="ListParagraph"/>
        <w:numPr>
          <w:ilvl w:val="0"/>
          <w:numId w:val="25"/>
        </w:numPr>
        <w:spacing w:after="160" w:line="360" w:lineRule="auto"/>
        <w:rPr>
          <w:bCs/>
        </w:rPr>
      </w:pPr>
      <w:r>
        <w:rPr>
          <w:bCs/>
          <w:u w:val="single"/>
        </w:rPr>
        <w:t>Decomposition of the Bank OTC Portfolio</w:t>
      </w:r>
      <w:r w:rsidRPr="00A84A79">
        <w:rPr>
          <w:bCs/>
        </w:rPr>
        <w:t>:</w:t>
      </w:r>
      <w:r>
        <w:rPr>
          <w:bCs/>
        </w:rPr>
        <w:t xml:space="preserve"> Before discussing any valuation metrics, it needs to be clarified how the bank OTC portfolio is linearly decomposed into units of account.</w:t>
      </w:r>
    </w:p>
    <w:p w:rsidR="00397E59" w:rsidRDefault="00397E59" w:rsidP="008A18B1">
      <w:pPr>
        <w:pStyle w:val="ListParagraph"/>
        <w:numPr>
          <w:ilvl w:val="0"/>
          <w:numId w:val="25"/>
        </w:numPr>
        <w:spacing w:after="160" w:line="360" w:lineRule="auto"/>
        <w:rPr>
          <w:bCs/>
        </w:rPr>
      </w:pPr>
      <w:r>
        <w:rPr>
          <w:bCs/>
          <w:u w:val="single"/>
        </w:rPr>
        <w:t>Decomposition of the Unsecured Derivative Contract</w:t>
      </w:r>
      <w:r w:rsidRPr="001E3C60">
        <w:rPr>
          <w:bCs/>
        </w:rPr>
        <w:t>:</w:t>
      </w:r>
      <w:r>
        <w:rPr>
          <w:bCs/>
        </w:rPr>
        <w:t xml:space="preserve"> The above question is non-trivial as an unsecured derivative contract in isolation generally cannot be considered a proper unit of account= because netting clauses cause valuations to depend on the netting set to which the trade belongs.</w:t>
      </w:r>
    </w:p>
    <w:p w:rsidR="00397E59" w:rsidRDefault="00397E59" w:rsidP="008A18B1">
      <w:pPr>
        <w:pStyle w:val="ListParagraph"/>
        <w:numPr>
          <w:ilvl w:val="0"/>
          <w:numId w:val="25"/>
        </w:numPr>
        <w:spacing w:after="160" w:line="360" w:lineRule="auto"/>
        <w:rPr>
          <w:bCs/>
        </w:rPr>
      </w:pPr>
      <w:r>
        <w:rPr>
          <w:bCs/>
          <w:u w:val="single"/>
        </w:rPr>
        <w:t>Funding Sets vs. Netting Sets</w:t>
      </w:r>
      <w:r w:rsidRPr="001E3C60">
        <w:rPr>
          <w:bCs/>
        </w:rPr>
        <w:t>:</w:t>
      </w:r>
      <w:r>
        <w:rPr>
          <w:bCs/>
        </w:rPr>
        <w:t xml:space="preserve"> The RHO for VM causes valuation to depend on funding sets defined as the largest set of trades among which re-hypothecation is possible. Notice that funding sets can cut across netting sets as it is entirely possible that the VM is re-hypothecated separately across distinct business lines contributing to the same netting sets.</w:t>
      </w:r>
    </w:p>
    <w:p w:rsidR="00397E59" w:rsidRDefault="00397E59" w:rsidP="008A18B1">
      <w:pPr>
        <w:pStyle w:val="ListParagraph"/>
        <w:numPr>
          <w:ilvl w:val="0"/>
          <w:numId w:val="25"/>
        </w:numPr>
        <w:spacing w:after="160" w:line="360" w:lineRule="auto"/>
        <w:rPr>
          <w:bCs/>
        </w:rPr>
      </w:pPr>
      <w:r>
        <w:rPr>
          <w:bCs/>
          <w:u w:val="single"/>
        </w:rPr>
        <w:lastRenderedPageBreak/>
        <w:t>Fully Collateralized Counterparty Derivative Trades</w:t>
      </w:r>
      <w:r w:rsidRPr="001E3C60">
        <w:rPr>
          <w:bCs/>
        </w:rPr>
        <w:t>:</w:t>
      </w:r>
      <w:r>
        <w:rPr>
          <w:bCs/>
        </w:rPr>
        <w:t xml:space="preserve"> Fully collateralized trades done with traders or with CCP’s generally have negligible credit risk, and shall be considered here to be default free; fir valuation of such trades is additive at the trade level. The valuation of the unsecured derivative assumed to be fully collateralized in cash is referred to as its </w:t>
      </w:r>
      <w:r>
        <w:rPr>
          <w:bCs/>
          <w:i/>
        </w:rPr>
        <w:t>default-free valuation</w:t>
      </w:r>
      <w:r>
        <w:rPr>
          <w:bCs/>
        </w:rPr>
        <w:t>.</w:t>
      </w:r>
    </w:p>
    <w:p w:rsidR="00397E59" w:rsidRDefault="00397E59" w:rsidP="008A18B1">
      <w:pPr>
        <w:pStyle w:val="ListParagraph"/>
        <w:numPr>
          <w:ilvl w:val="0"/>
          <w:numId w:val="25"/>
        </w:numPr>
        <w:spacing w:after="160" w:line="360" w:lineRule="auto"/>
        <w:rPr>
          <w:bCs/>
        </w:rPr>
      </w:pPr>
      <w:r>
        <w:rPr>
          <w:bCs/>
          <w:u w:val="single"/>
        </w:rPr>
        <w:t>Bank Counterparty Credit Valuation Adjustments</w:t>
      </w:r>
      <w:r w:rsidRPr="001E3C60">
        <w:rPr>
          <w:bCs/>
        </w:rPr>
        <w:t>:</w:t>
      </w:r>
      <w:r>
        <w:rPr>
          <w:bCs/>
        </w:rPr>
        <w:t xml:space="preserve"> The impact of the counterparty and the bank credit risk on valuations is then captured by other units of accounts called </w:t>
      </w:r>
      <w:r>
        <w:rPr>
          <w:bCs/>
          <w:i/>
        </w:rPr>
        <w:t>adjustments</w:t>
      </w:r>
      <w:r>
        <w:rPr>
          <w:bCs/>
        </w:rPr>
        <w:t>. Adjustments make reference to sub-portfolios as opposed to individual trades and can be interpreted as the valuation of derivatives referring to sub-portfolios as underlying.</w:t>
      </w:r>
    </w:p>
    <w:p w:rsidR="00397E59" w:rsidRDefault="00397E59" w:rsidP="008A18B1">
      <w:pPr>
        <w:pStyle w:val="ListParagraph"/>
        <w:numPr>
          <w:ilvl w:val="0"/>
          <w:numId w:val="25"/>
        </w:numPr>
        <w:spacing w:after="160" w:line="360" w:lineRule="auto"/>
        <w:rPr>
          <w:bCs/>
        </w:rPr>
      </w:pPr>
      <w:r>
        <w:rPr>
          <w:bCs/>
          <w:u w:val="single"/>
        </w:rPr>
        <w:t>The Asset Account (A)</w:t>
      </w:r>
      <w:r w:rsidRPr="003C138A">
        <w:rPr>
          <w:bCs/>
        </w:rPr>
        <w:t>:</w:t>
      </w:r>
      <w:r>
        <w:rPr>
          <w:bCs/>
        </w:rPr>
        <w:t xml:space="preserve"> Albanese and Andersen (2014) construct a reference to stream-lined accounting framework of OTC derivatives based on six balance sheet accounts. The Asset Account (A) refers to the receivable units of account referring to cash-flow streams of the type CF1.</w:t>
      </w:r>
    </w:p>
    <w:p w:rsidR="00397E59" w:rsidRDefault="00397E59" w:rsidP="008A18B1">
      <w:pPr>
        <w:pStyle w:val="ListParagraph"/>
        <w:numPr>
          <w:ilvl w:val="0"/>
          <w:numId w:val="25"/>
        </w:numPr>
        <w:spacing w:after="160" w:line="360" w:lineRule="auto"/>
        <w:rPr>
          <w:bCs/>
        </w:rPr>
      </w:pPr>
      <w:r>
        <w:rPr>
          <w:bCs/>
          <w:u w:val="single"/>
        </w:rPr>
        <w:t>The Liabilities Account (L)</w:t>
      </w:r>
      <w:r w:rsidRPr="003C138A">
        <w:rPr>
          <w:bCs/>
        </w:rPr>
        <w:t>:</w:t>
      </w:r>
      <w:r>
        <w:rPr>
          <w:bCs/>
        </w:rPr>
        <w:t xml:space="preserve"> This balance sheet account includes payable units of account referring to cash flow streams of type CF1.</w:t>
      </w:r>
    </w:p>
    <w:p w:rsidR="00397E59" w:rsidRDefault="00397E59" w:rsidP="008A18B1">
      <w:pPr>
        <w:pStyle w:val="ListParagraph"/>
        <w:numPr>
          <w:ilvl w:val="0"/>
          <w:numId w:val="25"/>
        </w:numPr>
        <w:spacing w:after="160" w:line="360" w:lineRule="auto"/>
        <w:rPr>
          <w:bCs/>
        </w:rPr>
      </w:pPr>
      <w:r>
        <w:rPr>
          <w:bCs/>
          <w:u w:val="single"/>
        </w:rPr>
        <w:t>The Contra Asset Account (CA)</w:t>
      </w:r>
      <w:r w:rsidRPr="003C138A">
        <w:rPr>
          <w:bCs/>
        </w:rPr>
        <w:t>:</w:t>
      </w:r>
      <w:r>
        <w:rPr>
          <w:bCs/>
        </w:rPr>
        <w:t xml:space="preserve"> This balance sheet account includes payables adjustments with underlying cash-flow streams of types CF2 and CF4; these are deducted from CET1.</w:t>
      </w:r>
    </w:p>
    <w:p w:rsidR="00397E59" w:rsidRDefault="00397E59" w:rsidP="008A18B1">
      <w:pPr>
        <w:pStyle w:val="ListParagraph"/>
        <w:numPr>
          <w:ilvl w:val="0"/>
          <w:numId w:val="25"/>
        </w:numPr>
        <w:spacing w:after="160" w:line="360" w:lineRule="auto"/>
        <w:rPr>
          <w:bCs/>
        </w:rPr>
      </w:pPr>
      <w:r>
        <w:rPr>
          <w:bCs/>
          <w:u w:val="single"/>
        </w:rPr>
        <w:t>The Contra Liabilities Account (CL)</w:t>
      </w:r>
      <w:r w:rsidRPr="003C138A">
        <w:rPr>
          <w:bCs/>
        </w:rPr>
        <w:t>:</w:t>
      </w:r>
      <w:r>
        <w:rPr>
          <w:bCs/>
        </w:rPr>
        <w:t xml:space="preserve"> This balance sheet account includes receivable adjustments referring to the cash flow streams of the type CF3 and CF5; these do not contribute to CET1.</w:t>
      </w:r>
    </w:p>
    <w:p w:rsidR="00397E59" w:rsidRDefault="00397E59" w:rsidP="008A18B1">
      <w:pPr>
        <w:pStyle w:val="ListParagraph"/>
        <w:numPr>
          <w:ilvl w:val="0"/>
          <w:numId w:val="25"/>
        </w:numPr>
        <w:spacing w:after="160" w:line="360" w:lineRule="auto"/>
        <w:rPr>
          <w:bCs/>
        </w:rPr>
      </w:pPr>
      <w:r>
        <w:rPr>
          <w:bCs/>
          <w:u w:val="single"/>
        </w:rPr>
        <w:t>The Retained Earnings Account (RE)</w:t>
      </w:r>
      <w:r w:rsidRPr="003C138A">
        <w:rPr>
          <w:bCs/>
        </w:rPr>
        <w:t>:</w:t>
      </w:r>
      <w:r>
        <w:rPr>
          <w:bCs/>
        </w:rPr>
        <w:t xml:space="preserve"> This balance sheet account includes provisions that are set aside to meet future obligations such as funding costs and credit default losses. These entries do contribute to CET1.</w:t>
      </w:r>
    </w:p>
    <w:p w:rsidR="00397E59" w:rsidRDefault="00397E59" w:rsidP="008A18B1">
      <w:pPr>
        <w:pStyle w:val="ListParagraph"/>
        <w:numPr>
          <w:ilvl w:val="0"/>
          <w:numId w:val="25"/>
        </w:numPr>
        <w:spacing w:after="160" w:line="360" w:lineRule="auto"/>
        <w:rPr>
          <w:bCs/>
        </w:rPr>
      </w:pPr>
      <w:r>
        <w:rPr>
          <w:bCs/>
          <w:u w:val="single"/>
        </w:rPr>
        <w:t>The Equity Account (PFV)</w:t>
      </w:r>
      <w:r w:rsidRPr="003C138A">
        <w:rPr>
          <w:bCs/>
        </w:rPr>
        <w:t>:</w:t>
      </w:r>
      <w:r>
        <w:rPr>
          <w:bCs/>
        </w:rPr>
        <w:t xml:space="preserve"> This balance sheet account is defined in such a way that the basic accounting equation</w:t>
      </w:r>
    </w:p>
    <w:p w:rsidR="00397E59" w:rsidRDefault="00397E59" w:rsidP="00397E59">
      <w:pPr>
        <w:pStyle w:val="ListParagraph"/>
        <w:spacing w:after="160" w:line="360" w:lineRule="auto"/>
        <w:ind w:left="360"/>
        <w:rPr>
          <w:bCs/>
          <w:u w:val="single"/>
        </w:rPr>
      </w:pPr>
    </w:p>
    <w:p w:rsidR="00397E59" w:rsidRDefault="00397E59" w:rsidP="00397E59">
      <w:pPr>
        <w:pStyle w:val="ListParagraph"/>
        <w:spacing w:after="160" w:line="360" w:lineRule="auto"/>
        <w:ind w:left="360"/>
        <w:rPr>
          <w:bCs/>
        </w:rPr>
      </w:pPr>
      <m:oMathPara>
        <m:oMath>
          <m:r>
            <w:rPr>
              <w:rFonts w:ascii="Cambria Math" w:hAnsi="Cambria Math"/>
            </w:rPr>
            <m:t>A+RE-CA=PFV+L-CL</m:t>
          </m:r>
        </m:oMath>
      </m:oMathPara>
    </w:p>
    <w:p w:rsidR="00397E59" w:rsidRDefault="00397E59" w:rsidP="00397E59">
      <w:pPr>
        <w:pStyle w:val="ListParagraph"/>
        <w:spacing w:after="160" w:line="360" w:lineRule="auto"/>
        <w:ind w:left="360"/>
        <w:rPr>
          <w:bCs/>
        </w:rPr>
      </w:pPr>
    </w:p>
    <w:p w:rsidR="00397E59" w:rsidRDefault="00397E59" w:rsidP="00397E59">
      <w:pPr>
        <w:pStyle w:val="ListParagraph"/>
        <w:spacing w:after="160" w:line="360" w:lineRule="auto"/>
        <w:ind w:left="360"/>
        <w:rPr>
          <w:bCs/>
        </w:rPr>
      </w:pPr>
      <w:r>
        <w:rPr>
          <w:bCs/>
        </w:rPr>
        <w:t xml:space="preserve">is satisfied. The Equity Account has the meaning of Portfolio Fair Valuation and the variation of the PFV over an accounting period is called the </w:t>
      </w:r>
      <w:r>
        <w:rPr>
          <w:bCs/>
          <w:i/>
        </w:rPr>
        <w:t>Income</w:t>
      </w:r>
      <w:r>
        <w:rPr>
          <w:bCs/>
        </w:rPr>
        <w:t>.</w:t>
      </w:r>
    </w:p>
    <w:p w:rsidR="00397E59" w:rsidRDefault="00397E59" w:rsidP="008A18B1">
      <w:pPr>
        <w:pStyle w:val="ListParagraph"/>
        <w:numPr>
          <w:ilvl w:val="0"/>
          <w:numId w:val="25"/>
        </w:numPr>
        <w:spacing w:after="160" w:line="360" w:lineRule="auto"/>
        <w:rPr>
          <w:bCs/>
        </w:rPr>
      </w:pPr>
      <w:r w:rsidRPr="004D6DA4">
        <w:rPr>
          <w:bCs/>
          <w:u w:val="single"/>
        </w:rPr>
        <w:lastRenderedPageBreak/>
        <w:t>The CET1</w:t>
      </w:r>
      <w:r>
        <w:rPr>
          <w:bCs/>
          <w:u w:val="single"/>
        </w:rPr>
        <w:t xml:space="preserve"> </w:t>
      </w:r>
      <w:r w:rsidRPr="004D6DA4">
        <w:rPr>
          <w:bCs/>
          <w:u w:val="single"/>
        </w:rPr>
        <w:t>Capital Measure Components</w:t>
      </w:r>
      <w:r>
        <w:rPr>
          <w:bCs/>
        </w:rPr>
        <w:t>: The CET1 is a capital measure that requires the exclusion of the value of units of accounts referencing cash-flows of the type CF3 and CF5 taking place at or after the time of default of the bank B. As those types of cash flows are captured in the CL account, we exclude this account from the common equity and write</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CET1=PFV-CL=A-L-CA+RE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CET1 as Bank Shareholder Value</w:t>
      </w:r>
      <w:r w:rsidRPr="004D6DA4">
        <w:rPr>
          <w:bCs/>
        </w:rPr>
        <w:t>:</w:t>
      </w:r>
      <w:r>
        <w:rPr>
          <w:bCs/>
        </w:rPr>
        <w:t xml:space="preserve"> Within their framework, Albanese and Andersen (2014) interpret CET1 as the value of the bank to the shareholders, while PFV is the combined value to the shareholders and the senior creditors. Here the term “senior creditors” is used to refer to a class of creditors which is different from collateral lenders, and which either have priority or are at the same level of seniority as the collateral lenders.</w:t>
      </w:r>
    </w:p>
    <w:p w:rsidR="00397E59" w:rsidRDefault="00397E59" w:rsidP="008A18B1">
      <w:pPr>
        <w:pStyle w:val="ListParagraph"/>
        <w:numPr>
          <w:ilvl w:val="0"/>
          <w:numId w:val="25"/>
        </w:numPr>
        <w:spacing w:after="160" w:line="360" w:lineRule="auto"/>
        <w:rPr>
          <w:bCs/>
        </w:rPr>
      </w:pPr>
      <w:r>
        <w:rPr>
          <w:bCs/>
          <w:u w:val="single"/>
        </w:rPr>
        <w:t>Computation of the CET1 Deduction</w:t>
      </w:r>
      <w:r w:rsidRPr="004D6DA4">
        <w:rPr>
          <w:bCs/>
        </w:rPr>
        <w:t>:</w:t>
      </w:r>
      <w:r>
        <w:rPr>
          <w:bCs/>
        </w:rPr>
        <w:t xml:space="preserve"> Upon entering into a derivative transaction, the CET1 is subjected to an incremental deduction denoted by </w:t>
      </w:r>
      <m:oMath>
        <m:r>
          <w:rPr>
            <w:rFonts w:ascii="Cambria Math" w:hAnsi="Cambria Math"/>
          </w:rPr>
          <m:t>∆CA</m:t>
        </m:r>
      </m:oMath>
      <w:r>
        <w:rPr>
          <w:bCs/>
        </w:rPr>
        <w:t xml:space="preserve"> and is augmented through earnings by the FTP amount received from the clients over and above the default-free valuation. Attributing the FTP to the Retained Earnings (RE) account the CET1 variation is given by</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Computation of the Income Increment</w:t>
      </w:r>
      <w:r w:rsidRPr="00F93E06">
        <w:rPr>
          <w:bCs/>
        </w:rPr>
        <w:t>:</w:t>
      </w:r>
      <w:r>
        <w:rPr>
          <w:bCs/>
        </w:rPr>
        <w:t xml:space="preserve"> A nee trade also affects the CL adjustments by an incremental amount </w:t>
      </w:r>
      <m:oMath>
        <m:r>
          <w:rPr>
            <w:rFonts w:ascii="Cambria Math" w:hAnsi="Cambria Math"/>
          </w:rPr>
          <m:t>∆CL</m:t>
        </m:r>
      </m:oMath>
      <w:r>
        <w:rPr>
          <w:bCs/>
        </w:rPr>
        <w:t xml:space="preserve">, an amount tied to the benefits of the bank default and therefore only having an impact on the senior creditors’ wealth. The </w:t>
      </w:r>
      <m:oMath>
        <m:r>
          <w:rPr>
            <w:rFonts w:ascii="Cambria Math" w:hAnsi="Cambria Math"/>
          </w:rPr>
          <m:t>∆CL</m:t>
        </m:r>
      </m:oMath>
      <w:r>
        <w:rPr>
          <w:bCs/>
        </w:rPr>
        <w:t xml:space="preserve"> term is excluded from CET1, but affects the income and the fair valuation of the bank.</w:t>
      </w:r>
    </w:p>
    <w:p w:rsidR="00397E59" w:rsidRDefault="00397E59" w:rsidP="00397E59">
      <w:pPr>
        <w:pStyle w:val="ListParagraph"/>
        <w:spacing w:after="160" w:line="360" w:lineRule="auto"/>
        <w:ind w:left="360"/>
        <w:rPr>
          <w:bCs/>
          <w:u w:val="single"/>
        </w:rPr>
      </w:pPr>
    </w:p>
    <w:p w:rsidR="00397E59" w:rsidRPr="00E242D6" w:rsidRDefault="00397E59" w:rsidP="00397E59">
      <w:pPr>
        <w:pStyle w:val="ListParagraph"/>
        <w:spacing w:after="160" w:line="360" w:lineRule="auto"/>
        <w:ind w:left="360"/>
        <w:rPr>
          <w:bCs/>
        </w:rPr>
      </w:pPr>
      <m:oMathPara>
        <m:oMath>
          <m:r>
            <w:rPr>
              <w:rFonts w:ascii="Cambria Math" w:hAnsi="Cambria Math"/>
            </w:rPr>
            <m:t>∆PFV=∆Income=∆CET1+∆CL=-∆CA+∆CL+∆RE</m:t>
          </m:r>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Credit Risk</w:t>
      </w:r>
    </w:p>
    <w:p w:rsidR="00397E59" w:rsidRDefault="00397E59" w:rsidP="00397E59">
      <w:pPr>
        <w:spacing w:line="360" w:lineRule="auto"/>
      </w:pPr>
    </w:p>
    <w:p w:rsidR="00397E59" w:rsidRDefault="00397E59" w:rsidP="008A18B1">
      <w:pPr>
        <w:pStyle w:val="ListParagraph"/>
        <w:numPr>
          <w:ilvl w:val="0"/>
          <w:numId w:val="26"/>
        </w:numPr>
        <w:spacing w:line="360" w:lineRule="auto"/>
      </w:pPr>
      <w:r w:rsidRPr="008575BF">
        <w:rPr>
          <w:u w:val="single"/>
        </w:rPr>
        <w:lastRenderedPageBreak/>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sidRPr="008575BF">
        <w:rPr>
          <w:u w:val="single"/>
        </w:rPr>
        <w:t xml:space="preserve"> Netting Set</w:t>
      </w:r>
      <w:r>
        <w:t xml:space="preserve">: To examine the CA and the CL accounts more closely, consider first the fair valuation of the credit risk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netting set, denoted by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The quantity can be interpreted as the value of the default protection contract implicitly sold by the bank to the counterparty </w:t>
      </w:r>
      <m:oMath>
        <m:r>
          <w:rPr>
            <w:rFonts w:ascii="Cambria Math" w:hAnsi="Cambria Math"/>
          </w:rPr>
          <m:t>i</m:t>
        </m:r>
      </m:oMath>
      <w:r>
        <w:t>, with the notional set to the netting set value at the time of the counterparty default.</w:t>
      </w:r>
    </w:p>
    <w:p w:rsidR="00397E59" w:rsidRDefault="00397E59" w:rsidP="008A18B1">
      <w:pPr>
        <w:pStyle w:val="ListParagraph"/>
        <w:numPr>
          <w:ilvl w:val="0"/>
          <w:numId w:val="26"/>
        </w:numPr>
        <w:spacing w:line="360" w:lineRule="auto"/>
      </w:pPr>
      <w:r>
        <w:rPr>
          <w:u w:val="single"/>
        </w:rPr>
        <w:t>Decomposition of the CVA Components</w:t>
      </w:r>
      <w:r w:rsidRPr="008575BF">
        <w:t>:</w:t>
      </w:r>
      <w:r>
        <w:t xml:space="preserve"> As shown in Albanese and Andersen (2014), the precise valuation methodology to be used depends on the closeout rules. The total CVA is computed by summing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across </w:t>
      </w:r>
      <m:oMath>
        <m:r>
          <w:rPr>
            <w:rFonts w:ascii="Cambria Math" w:hAnsi="Cambria Math"/>
          </w:rPr>
          <m:t>n</m:t>
        </m:r>
      </m:oMath>
      <w:r>
        <w:t xml:space="preserve"> netting sets and is commonly split into 2 components:</w:t>
      </w:r>
    </w:p>
    <w:p w:rsidR="00397E59" w:rsidRDefault="00397E59" w:rsidP="00397E59">
      <w:pPr>
        <w:pStyle w:val="ListParagraph"/>
        <w:spacing w:line="360" w:lineRule="auto"/>
        <w:ind w:left="360"/>
      </w:pPr>
    </w:p>
    <w:p w:rsidR="00397E59" w:rsidRPr="0074322F" w:rsidRDefault="00397E59" w:rsidP="00397E59">
      <w:pPr>
        <w:pStyle w:val="ListParagraph"/>
        <w:spacing w:line="360" w:lineRule="auto"/>
        <w:ind w:left="360"/>
      </w:pPr>
      <m:oMathPara>
        <m:oMath>
          <m:r>
            <w:rPr>
              <w:rFonts w:ascii="Cambria Math" w:hAnsi="Cambria Math"/>
            </w:rPr>
            <m:t>CVA=FTDCVA=UCVA-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8A18B1">
      <w:pPr>
        <w:pStyle w:val="ListParagraph"/>
        <w:numPr>
          <w:ilvl w:val="0"/>
          <w:numId w:val="26"/>
        </w:numPr>
        <w:spacing w:line="360" w:lineRule="auto"/>
      </w:pPr>
      <w:r>
        <w:rPr>
          <w:u w:val="single"/>
        </w:rPr>
        <w:t>The Unilateral CVA Component – UCVA</w:t>
      </w:r>
      <w:r>
        <w:t>: The UCVA component is booked as a CA adjustment and is a unilateral CVA metric independent of the closeout rules, i.e., it is the present value of all the counterparty credit risk losses resulting from the default of the counterparty computed under the assumption that the bank does not default.</w:t>
      </w:r>
    </w:p>
    <w:p w:rsidR="00397E59" w:rsidRDefault="00397E59" w:rsidP="008A18B1">
      <w:pPr>
        <w:pStyle w:val="ListParagraph"/>
        <w:numPr>
          <w:ilvl w:val="0"/>
          <w:numId w:val="26"/>
        </w:numPr>
        <w:spacing w:line="360" w:lineRule="auto"/>
      </w:pPr>
      <w:r>
        <w:rPr>
          <w:u w:val="single"/>
        </w:rPr>
        <w:t xml:space="preserve">The CL CVA Component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CL</m:t>
            </m:r>
          </m:sub>
        </m:sSub>
      </m:oMath>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loosely speaking the DVA component of the CVA, i.e., it is the benefit the bank senior creditors receive at the time of the bank default by, in effect, no longer accepting to sustain future counterparty credit losses. It is booked as a CL adjustment. The magnitude of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closely linked to the closeout specifications; Albanese and Andersen (2014) give the relevant equation for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using the ISDA 1992 closeout rules.</w:t>
      </w:r>
    </w:p>
    <w:p w:rsidR="00397E59" w:rsidRDefault="00397E59" w:rsidP="008A18B1">
      <w:pPr>
        <w:pStyle w:val="ListParagraph"/>
        <w:numPr>
          <w:ilvl w:val="0"/>
          <w:numId w:val="26"/>
        </w:numPr>
        <w:spacing w:line="360" w:lineRule="auto"/>
      </w:pPr>
      <w:r>
        <w:rPr>
          <w:u w:val="single"/>
        </w:rPr>
        <w:t>Non-Performance Risk Accounting Principle</w:t>
      </w:r>
      <w:r w:rsidRPr="0074322F">
        <w:t>:</w:t>
      </w:r>
      <w:r>
        <w:t xml:space="preserve"> According to the accounting principle AP5 on non-performance risk, cash flows taking place at or after the default of the bank should be present valued and accounted for.</w:t>
      </w:r>
    </w:p>
    <w:p w:rsidR="00397E59" w:rsidRDefault="00397E59" w:rsidP="008A18B1">
      <w:pPr>
        <w:pStyle w:val="ListParagraph"/>
        <w:numPr>
          <w:ilvl w:val="0"/>
          <w:numId w:val="26"/>
        </w:numPr>
        <w:spacing w:line="360" w:lineRule="auto"/>
      </w:pPr>
      <w:r>
        <w:rPr>
          <w:u w:val="single"/>
        </w:rPr>
        <w:t>Symmetry Principle Applied towards DVA</w:t>
      </w:r>
      <w:r w:rsidRPr="0074322F">
        <w:t>:</w:t>
      </w:r>
      <w:r>
        <w:t xml:space="preserve"> By virtue of principle AP4, the value of the default protection sold implicitly by the unsecured counterparty to the bank should be valued as the CVA assessed by the counterparty against the bank. This amount is the DVA for payables, the reporting of which was mandated by FASB 159 in 2007.</w:t>
      </w:r>
    </w:p>
    <w:p w:rsidR="00397E59" w:rsidRDefault="00397E59" w:rsidP="008A18B1">
      <w:pPr>
        <w:pStyle w:val="ListParagraph"/>
        <w:numPr>
          <w:ilvl w:val="0"/>
          <w:numId w:val="26"/>
        </w:numPr>
        <w:spacing w:line="360" w:lineRule="auto"/>
      </w:pPr>
      <w:r>
        <w:rPr>
          <w:u w:val="single"/>
        </w:rPr>
        <w:lastRenderedPageBreak/>
        <w:t>DVA Impact on CET1 Numbers</w:t>
      </w:r>
      <w:r w:rsidRPr="0074322F">
        <w:t>:</w:t>
      </w:r>
      <w:r>
        <w:t xml:space="preserve"> DVA enters accounts as a CL adjustment, and as is references cash flows ensuing a bank default, it is excluded from CET1. A split such as the one seen for CVA is not meaningful for DVA, as this quantity only involves post-default cash flows (with no direct relevance to equity holders and to the capital).</w:t>
      </w:r>
    </w:p>
    <w:p w:rsidR="00397E59" w:rsidRDefault="00397E59" w:rsidP="008A18B1">
      <w:pPr>
        <w:pStyle w:val="ListParagraph"/>
        <w:numPr>
          <w:ilvl w:val="0"/>
          <w:numId w:val="26"/>
        </w:numPr>
        <w:spacing w:line="360" w:lineRule="auto"/>
      </w:pPr>
      <w:r w:rsidRPr="00E87F84">
        <w:rPr>
          <w:u w:val="single"/>
        </w:rPr>
        <w:t>“Going Concern” Impact on the CVA</w:t>
      </w:r>
      <w:r>
        <w:t xml:space="preserve">: It should be noted here in passing that not all banks account for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as they effectively equate the CVA with the UCVA term. While this “going concern” definition is convenient in a number of ways (e.g., regulatory and accounting definitions of CVA are better aligned), it is hard to argue that it is correct or consistent with DVA accounting.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Funding</w:t>
      </w:r>
    </w:p>
    <w:p w:rsidR="00397E59" w:rsidRDefault="00397E59" w:rsidP="00397E59">
      <w:pPr>
        <w:spacing w:line="360" w:lineRule="auto"/>
      </w:pPr>
    </w:p>
    <w:p w:rsidR="00397E59" w:rsidRDefault="00397E59" w:rsidP="008A18B1">
      <w:pPr>
        <w:pStyle w:val="ListParagraph"/>
        <w:numPr>
          <w:ilvl w:val="0"/>
          <w:numId w:val="27"/>
        </w:numPr>
        <w:spacing w:line="360" w:lineRule="auto"/>
      </w:pPr>
      <w:r w:rsidRPr="00C63F85">
        <w:rPr>
          <w:u w:val="single"/>
        </w:rPr>
        <w:t>CA and CL Credit Risk</w:t>
      </w:r>
      <w:r>
        <w:t xml:space="preserve">: Accounting for the credit risk through the UCVA (contra-asset entry) and the </w:t>
      </w:r>
      <m:oMath>
        <m:r>
          <w:rPr>
            <w:rFonts w:ascii="Cambria Math" w:hAnsi="Cambria Math"/>
          </w:rPr>
          <m:t>DVA+</m:t>
        </m:r>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(the contra-liability term) as seen before is a fairly well-established practice even if there are minor differences in the way banks sometimes define CVA and DVA.</w:t>
      </w:r>
    </w:p>
    <w:p w:rsidR="00397E59" w:rsidRDefault="00397E59" w:rsidP="008A18B1">
      <w:pPr>
        <w:pStyle w:val="ListParagraph"/>
        <w:numPr>
          <w:ilvl w:val="0"/>
          <w:numId w:val="27"/>
        </w:numPr>
        <w:spacing w:line="360" w:lineRule="auto"/>
      </w:pPr>
      <w:r>
        <w:rPr>
          <w:u w:val="single"/>
        </w:rPr>
        <w:t>Supplementing the CVA and the DVA Metrics</w:t>
      </w:r>
      <w:r w:rsidRPr="00C63F85">
        <w:t>:</w:t>
      </w:r>
      <w:r>
        <w:t xml:space="preserve"> As discussed before, recently the CVA and the DVA risk metrics have been supplemented by the quantities meant to account for funding cash flows to which the banks are subject to through their postings of the VM on the hedges.</w:t>
      </w:r>
    </w:p>
    <w:p w:rsidR="00397E59" w:rsidRDefault="00397E59" w:rsidP="008A18B1">
      <w:pPr>
        <w:pStyle w:val="ListParagraph"/>
        <w:numPr>
          <w:ilvl w:val="0"/>
          <w:numId w:val="27"/>
        </w:numPr>
        <w:spacing w:line="360" w:lineRule="auto"/>
      </w:pPr>
      <w:r>
        <w:rPr>
          <w:u w:val="single"/>
        </w:rPr>
        <w:t>Nature of the Posted VM</w:t>
      </w:r>
      <w:r w:rsidRPr="00C63F85">
        <w:t>:</w:t>
      </w:r>
      <w:r>
        <w:t xml:space="preserve"> VM is normally paid in cash (or to a lesser extent) in highly liquid short term government debt and maybe re-hypothecated across trades within the same funding set. The bank posts VM on collateralized derivative liabilities and receives VM on collateralized derivative assets.</w:t>
      </w:r>
    </w:p>
    <w:p w:rsidR="00397E59" w:rsidRDefault="00397E59" w:rsidP="008A18B1">
      <w:pPr>
        <w:pStyle w:val="ListParagraph"/>
        <w:numPr>
          <w:ilvl w:val="0"/>
          <w:numId w:val="27"/>
        </w:numPr>
        <w:spacing w:line="360" w:lineRule="auto"/>
      </w:pPr>
      <w:r>
        <w:rPr>
          <w:u w:val="single"/>
        </w:rPr>
        <w:t>Funding Adjustment Unit of Account</w:t>
      </w:r>
      <w:r w:rsidRPr="00C63F85">
        <w:t>:</w:t>
      </w:r>
      <w:r>
        <w:t xml:space="preserve"> For funding costs, we work with a unit of account at the funding set level and define FVA as the discounted value of the book level funding costs arising whenever the funding set has a net collateral deficit. Future states of the world whereby the funding set is a net receiver of the VM are modeled as </w:t>
      </w:r>
      <w:r>
        <w:rPr>
          <w:i/>
        </w:rPr>
        <w:t>not</w:t>
      </w:r>
      <w:r>
        <w:t xml:space="preserve"> contributing to funding assets.</w:t>
      </w:r>
    </w:p>
    <w:p w:rsidR="00397E59" w:rsidRDefault="00397E59" w:rsidP="008A18B1">
      <w:pPr>
        <w:pStyle w:val="ListParagraph"/>
        <w:numPr>
          <w:ilvl w:val="0"/>
          <w:numId w:val="27"/>
        </w:numPr>
        <w:spacing w:line="360" w:lineRule="auto"/>
      </w:pPr>
      <w:r>
        <w:rPr>
          <w:u w:val="single"/>
        </w:rPr>
        <w:lastRenderedPageBreak/>
        <w:t>Handling the Different VM States</w:t>
      </w:r>
      <w:r w:rsidRPr="00C84670">
        <w:t>:</w:t>
      </w:r>
      <w:r>
        <w:t xml:space="preserve"> On the one hand the excess cash deposited as VM can earn a riskless rate of OIS. But on the other hand, derivative counterparties pledging VM are also entitled to interest rate payments at a matching OIS rate. In total, the states of the world where the bank enjoys accumulation of excess VM collateral are modeled as having zero funding costs.</w:t>
      </w:r>
    </w:p>
    <w:p w:rsidR="00397E59" w:rsidRDefault="00397E59" w:rsidP="008A18B1">
      <w:pPr>
        <w:pStyle w:val="ListParagraph"/>
        <w:numPr>
          <w:ilvl w:val="0"/>
          <w:numId w:val="27"/>
        </w:numPr>
        <w:spacing w:line="360" w:lineRule="auto"/>
      </w:pPr>
      <w:r>
        <w:rPr>
          <w:u w:val="single"/>
        </w:rPr>
        <w:t>Alternate VM Cash Management Strategies</w:t>
      </w:r>
      <w:r w:rsidRPr="00CF4258">
        <w:t>:</w:t>
      </w:r>
      <w:r>
        <w:t xml:space="preserve"> As discussed in Albanese and Andersen (2014), the zero benefit assumption around excess collateral maybe considered a conservative assumption, and some researchers have considered strategies where the bank buys back long-term debt with excess VM (Burgard and Kjaer (2011a, 2011b, 2011c, 2013)).</w:t>
      </w:r>
    </w:p>
    <w:p w:rsidR="00397E59" w:rsidRDefault="00397E59" w:rsidP="008A18B1">
      <w:pPr>
        <w:pStyle w:val="ListParagraph"/>
        <w:numPr>
          <w:ilvl w:val="0"/>
          <w:numId w:val="27"/>
        </w:numPr>
        <w:spacing w:line="360" w:lineRule="auto"/>
      </w:pPr>
      <w:r>
        <w:rPr>
          <w:u w:val="single"/>
        </w:rPr>
        <w:t>VM Strategies Capital Structure Impact</w:t>
      </w:r>
      <w:r w:rsidRPr="007725BC">
        <w:t>:</w:t>
      </w:r>
      <w:r>
        <w:t xml:space="preserve"> However these strategies are not very difficult to implement in practice because the VM is very volatile, they also have zero impact on income if one insists on MMT consistency. As a consequence, if the deleveraging transactions occur at fair valuation, wealth is not transferred between share-holders and the senior creditors, i.e., the benefit is not truly there.</w:t>
      </w:r>
    </w:p>
    <w:p w:rsidR="00397E59" w:rsidRDefault="00397E59" w:rsidP="008A18B1">
      <w:pPr>
        <w:pStyle w:val="ListParagraph"/>
        <w:numPr>
          <w:ilvl w:val="0"/>
          <w:numId w:val="27"/>
        </w:numPr>
        <w:spacing w:line="360" w:lineRule="auto"/>
      </w:pPr>
      <w:r>
        <w:rPr>
          <w:u w:val="single"/>
        </w:rPr>
        <w:t>Origin of the Funding Cost Impact</w:t>
      </w:r>
      <w:r w:rsidRPr="007725BC">
        <w:t>:</w:t>
      </w:r>
      <w:r>
        <w:t xml:space="preserve"> Neglecting basis spreads, funding costs for the VM procurement are non-zero because the collateral lenders receive only partial recovery upon bank default. If we denote the recovery rate to collateral lenders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then the case where there is a perfectly functioning REPO market for derivatives would have</w:t>
      </w:r>
    </w:p>
    <w:p w:rsidR="00397E59" w:rsidRDefault="00397E59" w:rsidP="00397E59">
      <w:pPr>
        <w:pStyle w:val="ListParagraph"/>
        <w:spacing w:line="360" w:lineRule="auto"/>
        <w:ind w:left="360"/>
        <w:rPr>
          <w:u w:val="single"/>
        </w:rPr>
      </w:pPr>
    </w:p>
    <w:p w:rsidR="00397E59" w:rsidRPr="00746E27" w:rsidRDefault="005D6A21"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7"/>
        </w:numPr>
        <w:spacing w:line="360" w:lineRule="auto"/>
      </w:pPr>
      <w:r>
        <w:rPr>
          <w:u w:val="single"/>
        </w:rPr>
        <w:t>FVA Definition and CET1 Impact</w:t>
      </w:r>
      <w:r w:rsidRPr="00746E27">
        <w:t>:</w:t>
      </w:r>
      <w:r>
        <w:t xml:space="preserve"> In reality</w:t>
      </w:r>
    </w:p>
    <w:p w:rsidR="00397E59" w:rsidRDefault="00397E59" w:rsidP="00397E59">
      <w:pPr>
        <w:pStyle w:val="ListParagraph"/>
        <w:spacing w:line="360" w:lineRule="auto"/>
        <w:ind w:left="360"/>
        <w:rPr>
          <w:u w:val="single"/>
        </w:rPr>
      </w:pPr>
    </w:p>
    <w:p w:rsidR="00397E59" w:rsidRDefault="005D6A21"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&lt;1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i.e., recovery is only partial because of market inefficiencies and the spreads for collateralized borrowing are very close the spreads for unsecured borrowing. The FVA is defined as the discounted expectation of the funding costs up until the time of bank default. Hence the FVA is booked as a CA adjustment and a CET1 deduction.</w:t>
      </w:r>
    </w:p>
    <w:p w:rsidR="00397E59" w:rsidRDefault="00397E59" w:rsidP="008A18B1">
      <w:pPr>
        <w:pStyle w:val="ListParagraph"/>
        <w:numPr>
          <w:ilvl w:val="0"/>
          <w:numId w:val="27"/>
        </w:numPr>
        <w:spacing w:line="360" w:lineRule="auto"/>
      </w:pPr>
      <w:r>
        <w:rPr>
          <w:u w:val="single"/>
        </w:rPr>
        <w:lastRenderedPageBreak/>
        <w:t>Origin of the Funding Benefit Impact</w:t>
      </w:r>
      <w:r w:rsidRPr="00746E27">
        <w:t>:</w:t>
      </w:r>
      <w:r>
        <w:t xml:space="preserve"> When short term debt is issued to fund the VM collateral, the lenders providing the funds are exposed to the bank default risk. The flip-side of the risk is the DVA-like benefit held by the bank. To account for it, we introduce an FDA entry as the present value of the depreciation of the collateral debt at the time of the bank default, due to incomplete recovery.</w:t>
      </w:r>
    </w:p>
    <w:p w:rsidR="00397E59" w:rsidRDefault="00397E59" w:rsidP="008A18B1">
      <w:pPr>
        <w:pStyle w:val="ListParagraph"/>
        <w:numPr>
          <w:ilvl w:val="0"/>
          <w:numId w:val="27"/>
        </w:numPr>
        <w:spacing w:line="360" w:lineRule="auto"/>
      </w:pPr>
      <w:r>
        <w:rPr>
          <w:u w:val="single"/>
        </w:rPr>
        <w:t>FDA Definitions and the CET1 Impact</w:t>
      </w:r>
      <w:r>
        <w:t xml:space="preserve">: That is the FDA is the present value of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times the notional borrowed for VM funding purposes, received at the time of the bank default. Since the FDA makes reference to cash flows happening at or after the bank default, the FDA is booked as a CL adjustment and excluded from the CET1.</w:t>
      </w:r>
    </w:p>
    <w:p w:rsidR="00397E59" w:rsidRDefault="00397E59" w:rsidP="008A18B1">
      <w:pPr>
        <w:pStyle w:val="ListParagraph"/>
        <w:numPr>
          <w:ilvl w:val="0"/>
          <w:numId w:val="27"/>
        </w:numPr>
        <w:spacing w:line="360" w:lineRule="auto"/>
      </w:pPr>
      <w:r>
        <w:rPr>
          <w:u w:val="single"/>
        </w:rPr>
        <w:t>Shareholder Debt Holder Transfers</w:t>
      </w:r>
      <w:r w:rsidRPr="005A5BB9">
        <w:t>:</w:t>
      </w:r>
      <w:r>
        <w:t xml:space="preserve"> For the MMT to hold, the FVA must equal the FDA. In this case, the funding strategies, and in particular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do not affect the fair valuation of the bank. However if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is strictly less than 100% then the deal flow induces a wealth transfer from the shareholders to the senior creditors.</w:t>
      </w:r>
    </w:p>
    <w:p w:rsidR="00397E59" w:rsidRDefault="00397E59" w:rsidP="008A18B1">
      <w:pPr>
        <w:pStyle w:val="ListParagraph"/>
        <w:numPr>
          <w:ilvl w:val="0"/>
          <w:numId w:val="27"/>
        </w:numPr>
        <w:spacing w:line="360" w:lineRule="auto"/>
      </w:pPr>
      <w:r>
        <w:rPr>
          <w:u w:val="single"/>
        </w:rPr>
        <w:t>FVA/FDA Cash Flow Transfer View</w:t>
      </w:r>
      <w:r w:rsidRPr="00D02EC6">
        <w:t>:</w:t>
      </w:r>
      <w:r>
        <w:t xml:space="preserve"> In accounting terms if we decrease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from </w:t>
      </w:r>
      <m:oMath>
        <m:r>
          <w:rPr>
            <w:rFonts w:ascii="Cambria Math" w:hAnsi="Cambria Math"/>
          </w:rPr>
          <m:t>1</m:t>
        </m:r>
      </m:oMath>
      <w:r>
        <w:t xml:space="preserve"> down to </w:t>
      </w:r>
      <m:oMath>
        <m:r>
          <w:rPr>
            <w:rFonts w:ascii="Cambria Math" w:hAnsi="Cambria Math"/>
          </w:rPr>
          <m:t>0</m:t>
        </m:r>
      </m:oMath>
      <w:r>
        <w:t>, a portion of CET1 is gradually demoted to the status of contra-liability, reflecting the wealth transfer from the shareholders to the senior creditors. The FVA may therefore be considered the wealth transfer lost from the shareholders, while the FDA is the amount earned by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4"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w:t>
      </w:r>
      <w:r w:rsidR="00BC2EF5">
        <w:rPr>
          <w:b/>
        </w:rPr>
        <w:t>3</w:t>
      </w:r>
      <w:r>
        <w:rPr>
          <w:b/>
        </w:rPr>
        <w:t>)</w:t>
      </w:r>
      <w:r w:rsidR="00BC2EF5">
        <w:t xml:space="preserve"> 1-19</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(2011b):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Burgard, C., and M. Kjaer (2011c): </w:t>
      </w:r>
      <w:hyperlink r:id="rId55"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(2013): Funding Costs, Funding Strategies </w:t>
      </w:r>
      <w:r>
        <w:rPr>
          <w:i/>
        </w:rPr>
        <w:t>Risk</w:t>
      </w:r>
      <w:r>
        <w:t xml:space="preserve"> 82-87.</w:t>
      </w:r>
    </w:p>
    <w:p w:rsidR="00397E59" w:rsidRDefault="00397E59" w:rsidP="008A18B1">
      <w:pPr>
        <w:pStyle w:val="Footer"/>
        <w:numPr>
          <w:ilvl w:val="0"/>
          <w:numId w:val="1"/>
        </w:numPr>
        <w:tabs>
          <w:tab w:val="clear" w:pos="4320"/>
          <w:tab w:val="clear" w:pos="8640"/>
        </w:tabs>
        <w:spacing w:line="360" w:lineRule="auto"/>
      </w:pPr>
      <w:r>
        <w:lastRenderedPageBreak/>
        <w:t xml:space="preserve">KPMG (2011): </w:t>
      </w:r>
      <w:hyperlink r:id="rId56" w:history="1">
        <w:r>
          <w:rPr>
            <w:rStyle w:val="Hyperlink"/>
          </w:rPr>
          <w:t>First Impressions: Fair Value Management</w:t>
        </w:r>
      </w:hyperlink>
      <w:r>
        <w:t xml:space="preserve"> </w:t>
      </w:r>
      <w:r>
        <w:rPr>
          <w:bCs/>
          <w:i/>
        </w:rPr>
        <w:t>KPMG Report</w:t>
      </w:r>
      <w:r>
        <w:t>.</w:t>
      </w:r>
    </w:p>
    <w:p w:rsidR="00397E59" w:rsidRDefault="00397E59" w:rsidP="008A18B1">
      <w:pPr>
        <w:pStyle w:val="Footer"/>
        <w:numPr>
          <w:ilvl w:val="0"/>
          <w:numId w:val="1"/>
        </w:numPr>
        <w:tabs>
          <w:tab w:val="clear" w:pos="4320"/>
          <w:tab w:val="clear" w:pos="8640"/>
        </w:tabs>
        <w:spacing w:line="360" w:lineRule="auto"/>
      </w:pPr>
      <w:r>
        <w:t xml:space="preserve">PWC (2011): </w:t>
      </w:r>
      <w:hyperlink r:id="rId57" w:history="1">
        <w:r>
          <w:rPr>
            <w:rStyle w:val="Hyperlink"/>
          </w:rPr>
          <w:t>Practical Guide to IFRA Fair Value Measurement - Unifying the Concept of Fair Value.</w:t>
        </w:r>
      </w:hyperlink>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Cash Flows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Cash Flow Setup Framework</w:t>
      </w:r>
    </w:p>
    <w:p w:rsidR="00397E59" w:rsidRDefault="00397E59" w:rsidP="00397E59">
      <w:pPr>
        <w:spacing w:line="360" w:lineRule="auto"/>
      </w:pPr>
    </w:p>
    <w:p w:rsidR="00397E59" w:rsidRDefault="00397E59" w:rsidP="008A18B1">
      <w:pPr>
        <w:pStyle w:val="ListParagraph"/>
        <w:numPr>
          <w:ilvl w:val="0"/>
          <w:numId w:val="28"/>
        </w:numPr>
        <w:spacing w:line="360" w:lineRule="auto"/>
      </w:pPr>
      <w:r w:rsidRPr="00D02EC6">
        <w:rPr>
          <w:u w:val="single"/>
        </w:rPr>
        <w:t>XVA Metrics Valuation Formulas Setup</w:t>
      </w:r>
      <w:r>
        <w:t>: Having so far been limited to a largely qualitative accounting discussion, the next step is to follow the treatment set out in Albanese and Andersen (2014) and proceed to provide concrete valuation formulas for the XVA metrics. For this the precise funding and credit related flows taking place in OTC derivatives trading need to be considered, both before and after the default of the counterparties and the bank itself.</w:t>
      </w:r>
    </w:p>
    <w:p w:rsidR="00397E59" w:rsidRDefault="00397E59" w:rsidP="008A18B1">
      <w:pPr>
        <w:pStyle w:val="ListParagraph"/>
        <w:numPr>
          <w:ilvl w:val="0"/>
          <w:numId w:val="28"/>
        </w:numPr>
        <w:spacing w:line="360" w:lineRule="auto"/>
      </w:pPr>
      <w:r>
        <w:rPr>
          <w:u w:val="single"/>
        </w:rPr>
        <w:t>Modeling Details in the XVA Computation</w:t>
      </w:r>
      <w:r>
        <w:t>: Since elaborate cash flow details can obscure the main concepts, this section omits certain less essential minutiae, such as flows associated with ratings dependent CSA thresholds and credit-risk sensitive closeout conditions. This is later followed by a more complete cash flow representation, much of which is implemented in the case study carried out by Albanese and Andersen (2014).</w:t>
      </w:r>
    </w:p>
    <w:p w:rsidR="00397E59" w:rsidRDefault="00397E59" w:rsidP="008A18B1">
      <w:pPr>
        <w:pStyle w:val="ListParagraph"/>
        <w:numPr>
          <w:ilvl w:val="0"/>
          <w:numId w:val="28"/>
        </w:numPr>
        <w:spacing w:line="360" w:lineRule="auto"/>
      </w:pPr>
      <w:r>
        <w:rPr>
          <w:u w:val="single"/>
        </w:rPr>
        <w:t>Transmitting XVA Charges to Clients</w:t>
      </w:r>
      <w:r w:rsidRPr="00E00F60">
        <w:t>:</w:t>
      </w:r>
      <w:r>
        <w:t xml:space="preserve"> Whenever the bank enters into an unsecured trade, the XVA adjustments are accompanied by charges to clients which can be structured in various ways. In their treatment Albanese and Andersen (2014) assume that the XVA related FTP payments are simply upfront and due at the inception of the trade in question.</w:t>
      </w:r>
    </w:p>
    <w:p w:rsidR="00397E59" w:rsidRDefault="00397E59" w:rsidP="008A18B1">
      <w:pPr>
        <w:pStyle w:val="ListParagraph"/>
        <w:numPr>
          <w:ilvl w:val="0"/>
          <w:numId w:val="28"/>
        </w:numPr>
        <w:spacing w:line="360" w:lineRule="auto"/>
      </w:pPr>
      <w:r>
        <w:rPr>
          <w:u w:val="single"/>
        </w:rPr>
        <w:t>Nature and Type of FTP</w:t>
      </w:r>
      <w:r w:rsidRPr="00E00F60">
        <w:t>:</w:t>
      </w:r>
      <w:r>
        <w:t xml:space="preserve"> As described earlier, business line trading desks, in fact, typically pay FTP charges to the CVA/CFD desks on an upfront basis. However, assuming upfront structure for the client charges is a stylized approximation, since often costs are paid in the instalments embedded in the unsecured derivative structure itself.</w:t>
      </w:r>
    </w:p>
    <w:p w:rsidR="00397E59" w:rsidRDefault="00397E59" w:rsidP="008A18B1">
      <w:pPr>
        <w:pStyle w:val="ListParagraph"/>
        <w:numPr>
          <w:ilvl w:val="0"/>
          <w:numId w:val="28"/>
        </w:numPr>
        <w:spacing w:line="360" w:lineRule="auto"/>
      </w:pPr>
      <w:r>
        <w:rPr>
          <w:u w:val="single"/>
        </w:rPr>
        <w:t>Default Free Counterparty Portfolio Value</w:t>
      </w:r>
      <w:r w:rsidRPr="00E00F60">
        <w:t>:</w:t>
      </w:r>
      <w:r>
        <w:t xml:space="preserve"> Working within the modeling framework briefly described before, let us introduce the notation</w:t>
      </w:r>
    </w:p>
    <w:p w:rsidR="00397E59" w:rsidRDefault="00397E59" w:rsidP="00397E59">
      <w:pPr>
        <w:pStyle w:val="ListParagraph"/>
        <w:spacing w:line="360" w:lineRule="auto"/>
        <w:ind w:left="360"/>
        <w:rPr>
          <w:u w:val="single"/>
        </w:rPr>
      </w:pPr>
    </w:p>
    <w:p w:rsidR="00397E59" w:rsidRDefault="005D6A21"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for the default valuation at the time </w:t>
      </w:r>
      <m:oMath>
        <m:r>
          <w:rPr>
            <w:rFonts w:ascii="Cambria Math" w:hAnsi="Cambria Math"/>
          </w:rPr>
          <m:t>t</m:t>
        </m:r>
      </m:oMath>
      <w:r>
        <w:t xml:space="preserve"> of the portfolio held with the counterparty</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computed by neglecting all funding and credit risks including that of the bank itself.</w:t>
      </w:r>
    </w:p>
    <w:p w:rsidR="00397E59" w:rsidRDefault="00397E59" w:rsidP="008A18B1">
      <w:pPr>
        <w:pStyle w:val="ListParagraph"/>
        <w:numPr>
          <w:ilvl w:val="0"/>
          <w:numId w:val="28"/>
        </w:numPr>
        <w:spacing w:line="360" w:lineRule="auto"/>
      </w:pPr>
      <w:r>
        <w:rPr>
          <w:u w:val="single"/>
        </w:rPr>
        <w:t>Fully Collateralized Netting Set Value</w:t>
      </w:r>
      <w:r w:rsidRPr="008016F5">
        <w:t>:</w:t>
      </w:r>
      <w:r>
        <w:t xml:space="preserve"> That is,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represents the value of the netting set </w:t>
      </w:r>
      <m:oMath>
        <m:r>
          <w:rPr>
            <w:rFonts w:ascii="Cambria Math" w:hAnsi="Cambria Math"/>
          </w:rPr>
          <m:t>i</m:t>
        </m:r>
      </m:oMath>
      <w:r>
        <w:t xml:space="preserve"> in a world where all trades are collateralized in full.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is set to </w:t>
      </w:r>
      <m:oMath>
        <m:r>
          <w:rPr>
            <w:rFonts w:ascii="Cambria Math" w:hAnsi="Cambria Math"/>
          </w:rPr>
          <m:t>0</m:t>
        </m:r>
      </m:oMath>
      <w:r>
        <w:t xml:space="preserve"> in case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is in a state of default at time </w:t>
      </w:r>
      <m:oMath>
        <m:r>
          <w:rPr>
            <w:rFonts w:ascii="Cambria Math" w:hAnsi="Cambria Math"/>
          </w:rPr>
          <m:t>t</m:t>
        </m:r>
      </m:oMath>
      <w:r>
        <w:t>.</w:t>
      </w:r>
    </w:p>
    <w:p w:rsidR="00397E59" w:rsidRDefault="00397E59" w:rsidP="008A18B1">
      <w:pPr>
        <w:pStyle w:val="ListParagraph"/>
        <w:numPr>
          <w:ilvl w:val="0"/>
          <w:numId w:val="28"/>
        </w:numPr>
        <w:spacing w:line="360" w:lineRule="auto"/>
      </w:pPr>
      <w:r>
        <w:rPr>
          <w:u w:val="single"/>
        </w:rPr>
        <w:t>Counterparty Value Netting Set Additivity</w:t>
      </w:r>
      <w:r w:rsidRPr="008016F5">
        <w:t>:</w:t>
      </w:r>
      <w:r>
        <w:t xml:space="preserve"> Assuming no closeout risk and no initial margin, the fair valuation of fully collateralized books is additive over individual trades and therefore also additive over netting sets, i.e., we can meaningfully define a total default-free portfolio value of</w:t>
      </w:r>
    </w:p>
    <w:p w:rsidR="00397E59" w:rsidRDefault="00397E59" w:rsidP="00397E59">
      <w:pPr>
        <w:pStyle w:val="ListParagraph"/>
        <w:spacing w:line="360" w:lineRule="auto"/>
        <w:ind w:left="360"/>
        <w:rPr>
          <w:u w:val="single"/>
        </w:rPr>
      </w:pPr>
    </w:p>
    <w:p w:rsidR="00397E59" w:rsidRPr="003434C5" w:rsidRDefault="005D6A21"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sidRPr="003434C5">
        <w:rPr>
          <w:u w:val="single"/>
        </w:rPr>
        <w:t>Hedging of the Unsecured Trade</w:t>
      </w:r>
      <w:r>
        <w:t xml:space="preserve">: For simplicity’s sake for now we assume that the unsecured trades are hedged on a precise back-to-back basis with the hedge trades having a valuation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equal to exactly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Indeed, one way to interpret the role of the CFD and the CVA desks is that, after the appropriate compensation, they allow the lines of business desks to hedge risk as if there were not funding or credit risk.</w:t>
      </w:r>
    </w:p>
    <w:p w:rsidR="00397E59" w:rsidRDefault="00397E59" w:rsidP="008A18B1">
      <w:pPr>
        <w:pStyle w:val="ListParagraph"/>
        <w:numPr>
          <w:ilvl w:val="0"/>
          <w:numId w:val="28"/>
        </w:numPr>
        <w:spacing w:line="360" w:lineRule="auto"/>
      </w:pPr>
      <w:r>
        <w:rPr>
          <w:u w:val="single"/>
        </w:rPr>
        <w:t>Value of the Hedge Trades</w:t>
      </w:r>
      <w:r w:rsidRPr="003434C5">
        <w:t>:</w:t>
      </w:r>
      <w:r>
        <w:t xml:space="preserve"> The common value of the default-free unsecured trades and hedges is denoted as follows:</w:t>
      </w:r>
    </w:p>
    <w:p w:rsidR="00397E59" w:rsidRDefault="00397E59" w:rsidP="00397E59">
      <w:pPr>
        <w:pStyle w:val="ListParagraph"/>
        <w:spacing w:line="360" w:lineRule="auto"/>
        <w:ind w:left="360"/>
        <w:rPr>
          <w:u w:val="single"/>
        </w:rPr>
      </w:pPr>
    </w:p>
    <w:p w:rsidR="00397E59" w:rsidRDefault="005D6A21"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is also assumed for now that neither the bank nor the counterparty post any VM to each other; later these hypotheses are relaxed and extensions including partial VM postings with CSA collateral thresholds are considered.</w:t>
      </w:r>
    </w:p>
    <w:p w:rsidR="00397E59" w:rsidRDefault="00397E59" w:rsidP="008A18B1">
      <w:pPr>
        <w:pStyle w:val="ListParagraph"/>
        <w:numPr>
          <w:ilvl w:val="0"/>
          <w:numId w:val="28"/>
        </w:numPr>
        <w:spacing w:line="360" w:lineRule="auto"/>
      </w:pPr>
      <w:r>
        <w:rPr>
          <w:u w:val="single"/>
        </w:rPr>
        <w:lastRenderedPageBreak/>
        <w:t>VM Re-hypothecation Across Hedge Trades</w:t>
      </w:r>
      <w:r>
        <w:t>: Banks typically have a separate funding set for each business line and jurisdiction. Within each such dedicated book, banks always exercise the RHO for the VM across hedges (albeit not necessarily optimally – collateral systems of many banks tend to be rudimentary).</w:t>
      </w:r>
    </w:p>
    <w:p w:rsidR="00397E59" w:rsidRDefault="00397E59" w:rsidP="008A18B1">
      <w:pPr>
        <w:pStyle w:val="ListParagraph"/>
        <w:numPr>
          <w:ilvl w:val="0"/>
          <w:numId w:val="28"/>
        </w:numPr>
        <w:spacing w:line="360" w:lineRule="auto"/>
      </w:pPr>
      <w:r>
        <w:rPr>
          <w:u w:val="single"/>
        </w:rPr>
        <w:t>Net VM Across Hedge Trades</w:t>
      </w:r>
      <w:r w:rsidRPr="00B719E0">
        <w:t>:</w:t>
      </w:r>
      <w:r>
        <w:t xml:space="preserve"> The net VM posted at any given time is given by the sum</w:t>
      </w:r>
    </w:p>
    <w:p w:rsidR="00397E59" w:rsidRDefault="00397E59" w:rsidP="00397E59">
      <w:pPr>
        <w:pStyle w:val="ListParagraph"/>
        <w:spacing w:line="360" w:lineRule="auto"/>
        <w:ind w:left="360"/>
        <w:rPr>
          <w:u w:val="single"/>
        </w:rPr>
      </w:pPr>
    </w:p>
    <w:p w:rsidR="00397E59" w:rsidRDefault="005D6A21"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5D6A21"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a simplification, as there is typically a material VM from the CVA hedges – this complication is discussed down later).</w:t>
      </w:r>
    </w:p>
    <w:p w:rsidR="00397E59" w:rsidRDefault="00397E59" w:rsidP="008A18B1">
      <w:pPr>
        <w:pStyle w:val="ListParagraph"/>
        <w:numPr>
          <w:ilvl w:val="0"/>
          <w:numId w:val="28"/>
        </w:numPr>
        <w:spacing w:line="360" w:lineRule="auto"/>
      </w:pPr>
      <w:r>
        <w:rPr>
          <w:u w:val="single"/>
        </w:rPr>
        <w:t>Impact of the Bank/Counterparty Default</w:t>
      </w:r>
      <w:r w:rsidRPr="00B719E0">
        <w:t>:</w:t>
      </w:r>
      <w:r>
        <w:t xml:space="preserve"> Notice the presence of the indicator functions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xml:space="preserve"> and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above, reflecting the fact that the default of either the bank or the counterparty results in an immediate settlement of collateralized hedges. The sign convention is that if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is positive (negative) then the bank is a net poster (receiver) of the collateral on the hedges.</w:t>
      </w:r>
    </w:p>
    <w:p w:rsidR="00397E59" w:rsidRDefault="00397E59" w:rsidP="008A18B1">
      <w:pPr>
        <w:pStyle w:val="ListParagraph"/>
        <w:numPr>
          <w:ilvl w:val="0"/>
          <w:numId w:val="28"/>
        </w:numPr>
        <w:spacing w:line="360" w:lineRule="auto"/>
      </w:pPr>
      <w:r>
        <w:rPr>
          <w:u w:val="single"/>
        </w:rPr>
        <w:t>Assumption of the REPO Rate Value</w:t>
      </w:r>
      <w:r w:rsidRPr="005B54E3">
        <w:t>:</w:t>
      </w:r>
      <w:r>
        <w:t xml:space="preserve"> For simplicity’s sake it is assumed that the difference between the OIS rate and the REPO rate for general collateral is quantitatively immaterial and denote both rates with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28"/>
        </w:numPr>
        <w:spacing w:line="360" w:lineRule="auto"/>
      </w:pPr>
      <w:r>
        <w:rPr>
          <w:u w:val="single"/>
        </w:rPr>
        <w:t>Recovery Rates Across Debt Classes</w:t>
      </w:r>
      <w:r w:rsidRPr="005B54E3">
        <w:t>:</w:t>
      </w:r>
      <w:r>
        <w:t xml:space="preserve"> Another assumption is that the bank has at least two classes of debt. One is unsecured senior debt with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used for regulatory costs, initial margin, and administrative costs. The other is debt used to finance VM collateral imperfectly secured by derivative receivables. This second class of debt is modeled as having a recovery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a funding rate equal to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 spread over OIS equal to</w:t>
      </w:r>
    </w:p>
    <w:p w:rsidR="00397E59" w:rsidRDefault="00397E59" w:rsidP="00397E59">
      <w:pPr>
        <w:pStyle w:val="ListParagraph"/>
        <w:spacing w:line="360" w:lineRule="auto"/>
        <w:ind w:left="360"/>
        <w:rPr>
          <w:u w:val="single"/>
        </w:rPr>
      </w:pPr>
    </w:p>
    <w:p w:rsidR="00397E59" w:rsidRPr="00CF4E1A" w:rsidRDefault="005D6A21"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Pr>
          <w:u w:val="single"/>
        </w:rPr>
        <w:t>Estimation of the Funding Spread</w:t>
      </w:r>
      <w:r w:rsidRPr="005B54E3">
        <w:t>:</w:t>
      </w:r>
      <w:r>
        <w:t xml:space="preserve"> If there existed an efficient REPO market for unsecured OTC derivatives, collateral lenders would be guaranteed a full recovery on the VM, i.e., we would have</w:t>
      </w:r>
    </w:p>
    <w:p w:rsidR="00397E59" w:rsidRDefault="00397E59" w:rsidP="00397E59">
      <w:pPr>
        <w:pStyle w:val="ListParagraph"/>
        <w:spacing w:line="360" w:lineRule="auto"/>
        <w:ind w:left="360"/>
        <w:rPr>
          <w:u w:val="single"/>
        </w:rPr>
      </w:pPr>
    </w:p>
    <w:p w:rsidR="00397E59" w:rsidRDefault="005D6A21"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the funding spread would be </w:t>
      </w:r>
      <m:oMath>
        <m:r>
          <w:rPr>
            <w:rFonts w:ascii="Cambria Math" w:hAnsi="Cambria Math"/>
          </w:rPr>
          <m:t>0</m:t>
        </m:r>
      </m:oMath>
      <w:r>
        <w:t>. In general</w:t>
      </w:r>
    </w:p>
    <w:p w:rsidR="00397E59" w:rsidRDefault="00397E59" w:rsidP="00397E59">
      <w:pPr>
        <w:pStyle w:val="ListParagraph"/>
        <w:spacing w:line="360" w:lineRule="auto"/>
        <w:ind w:left="360"/>
      </w:pPr>
    </w:p>
    <w:p w:rsidR="00397E59" w:rsidRDefault="005D6A21"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risk neutral valuation of the overnight funding spread is given by</w:t>
      </w:r>
    </w:p>
    <w:p w:rsidR="00397E59" w:rsidRDefault="00397E59" w:rsidP="00397E59">
      <w:pPr>
        <w:pStyle w:val="ListParagraph"/>
        <w:spacing w:line="360" w:lineRule="auto"/>
        <w:ind w:left="360"/>
      </w:pPr>
    </w:p>
    <w:p w:rsidR="00397E59" w:rsidRDefault="005D6A21"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the probability of the rate of default at the time </w:t>
      </w:r>
      <m:oMath>
        <m:r>
          <w:rPr>
            <w:rFonts w:ascii="Cambria Math" w:hAnsi="Cambria Math"/>
          </w:rPr>
          <m:t>t</m:t>
        </m:r>
      </m:oMath>
      <w:r>
        <w:t xml:space="preserve"> (Lando (1998)). In practice an additional liquidity spread may apply, but this basis is ignored for the present discussion.</w:t>
      </w:r>
    </w:p>
    <w:p w:rsidR="00397E59" w:rsidRDefault="00397E59" w:rsidP="008A18B1">
      <w:pPr>
        <w:pStyle w:val="ListParagraph"/>
        <w:numPr>
          <w:ilvl w:val="1"/>
          <w:numId w:val="28"/>
        </w:numPr>
        <w:spacing w:line="360" w:lineRule="auto"/>
      </w:pPr>
      <w:r w:rsidRPr="00CF4E1A">
        <w:t>FVA Spread vs. FDA Spread</w:t>
      </w:r>
      <w:r>
        <w:t xml:space="preserve"> =&gt; As pointed out by Morini and Prampolini (2011), FVA/FDA indifference assumes that the CDS-bond basis is zero. This is not the case in practice, since FVA is calculated from bond yield spread whereas FDA should, in theory, be calculated from the CDS spread.</w:t>
      </w:r>
    </w:p>
    <w:p w:rsidR="00397E59" w:rsidRDefault="00397E59" w:rsidP="008A18B1">
      <w:pPr>
        <w:pStyle w:val="ListParagraph"/>
        <w:numPr>
          <w:ilvl w:val="0"/>
          <w:numId w:val="28"/>
        </w:numPr>
        <w:spacing w:line="360" w:lineRule="auto"/>
      </w:pPr>
      <w:r>
        <w:rPr>
          <w:u w:val="single"/>
        </w:rPr>
        <w:t>Hybrid Debt Class Type Assumptions</w:t>
      </w:r>
      <w:r w:rsidRPr="00CF4E1A">
        <w:t>:</w:t>
      </w:r>
      <w:r>
        <w:t xml:space="preserve"> It needs to be stressed that the assumption that the debt is divided into 2 classes is only formal and does not restrict the generality of the argument. In the general case one can still assume that the traded debt securities are hybrids between the theoretical bonds of the two types considered.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Related to VM Funding</w:t>
      </w:r>
    </w:p>
    <w:p w:rsidR="00397E59" w:rsidRDefault="00397E59" w:rsidP="00397E59">
      <w:pPr>
        <w:spacing w:line="360" w:lineRule="auto"/>
      </w:pPr>
    </w:p>
    <w:p w:rsidR="00397E59" w:rsidRDefault="00397E59" w:rsidP="008A18B1">
      <w:pPr>
        <w:pStyle w:val="ListParagraph"/>
        <w:numPr>
          <w:ilvl w:val="0"/>
          <w:numId w:val="29"/>
        </w:numPr>
        <w:spacing w:line="360" w:lineRule="auto"/>
      </w:pPr>
      <w:r w:rsidRPr="006B076C">
        <w:rPr>
          <w:u w:val="single"/>
        </w:rPr>
        <w:lastRenderedPageBreak/>
        <w:t>Ignore CVA-related Funding Costs</w:t>
      </w:r>
      <w:r>
        <w:t xml:space="preserve">: We start by considering the funding flows on the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To simplify the exposition the funding costs for any VM arising from the default hedges that the CVA desk may have entered into are ignored.</w:t>
      </w:r>
    </w:p>
    <w:p w:rsidR="00397E59" w:rsidRDefault="00397E59" w:rsidP="008A18B1">
      <w:pPr>
        <w:pStyle w:val="ListParagraph"/>
        <w:numPr>
          <w:ilvl w:val="0"/>
          <w:numId w:val="29"/>
        </w:numPr>
        <w:spacing w:line="360" w:lineRule="auto"/>
      </w:pPr>
      <w:r>
        <w:rPr>
          <w:u w:val="single"/>
        </w:rPr>
        <w:t>Borrowing Cost for the VM Funding</w:t>
      </w:r>
      <w:r w:rsidRPr="006B076C">
        <w:t>:</w:t>
      </w:r>
      <w:r>
        <w:t xml:space="preserve"> Suppose first that the net VM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posted by the bank is </w:t>
      </w:r>
      <w:r>
        <w:rPr>
          <w:i/>
        </w:rPr>
        <w:t>positive</w:t>
      </w:r>
      <w:r>
        <w:t>, whereby the bank needs to borrow to fund its overall VM position. In this scenario the bank treasury is assumed to issue short-term unsecured debt into the market to raise the necessary funds.</w:t>
      </w:r>
    </w:p>
    <w:p w:rsidR="00397E59" w:rsidRDefault="00397E59" w:rsidP="008A18B1">
      <w:pPr>
        <w:pStyle w:val="ListParagraph"/>
        <w:numPr>
          <w:ilvl w:val="0"/>
          <w:numId w:val="29"/>
        </w:numPr>
        <w:spacing w:line="360" w:lineRule="auto"/>
      </w:pPr>
      <w:r>
        <w:rPr>
          <w:u w:val="single"/>
        </w:rPr>
        <w:t>Funding Rate on the Collateral</w:t>
      </w:r>
      <w:r w:rsidRPr="006B076C">
        <w:t>:</w:t>
      </w:r>
      <w:r>
        <w:t xml:space="preserve"> More specifically, if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the bank has to fund a net collateral shortage</w:t>
      </w:r>
    </w:p>
    <w:p w:rsidR="00397E59" w:rsidRDefault="00397E59" w:rsidP="00397E59">
      <w:pPr>
        <w:pStyle w:val="ListParagraph"/>
        <w:spacing w:line="360" w:lineRule="auto"/>
        <w:ind w:left="360"/>
        <w:rPr>
          <w:u w:val="single"/>
        </w:rPr>
      </w:pPr>
    </w:p>
    <w:p w:rsidR="00397E59" w:rsidRDefault="005D6A21"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treasury issues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worth of short-term debt for this purpose, either unsecured or backed by derivative receivables. Then interest charge on the unsecured debt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at the CFD funding rate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w:t>
      </w:r>
    </w:p>
    <w:p w:rsidR="00397E59" w:rsidRDefault="00397E59" w:rsidP="008A18B1">
      <w:pPr>
        <w:pStyle w:val="ListParagraph"/>
        <w:numPr>
          <w:ilvl w:val="0"/>
          <w:numId w:val="29"/>
        </w:numPr>
        <w:spacing w:line="360" w:lineRule="auto"/>
      </w:pPr>
      <w:r>
        <w:rPr>
          <w:u w:val="single"/>
        </w:rPr>
        <w:t>CFD Role in the Bank Setup</w:t>
      </w:r>
      <w:r w:rsidRPr="006B076C">
        <w:t>:</w:t>
      </w:r>
      <w:r>
        <w:t xml:space="preserve"> The required VM collateral is then routed through the inter-dealer positions where an interest-rate amount of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xml:space="preserve"> is received back. As illustrated pictorially in Albanese and Andersen (2014), when</w:t>
      </w:r>
    </w:p>
    <w:p w:rsidR="00397E59" w:rsidRDefault="00397E59" w:rsidP="00397E59">
      <w:pPr>
        <w:pStyle w:val="ListParagraph"/>
        <w:spacing w:line="360" w:lineRule="auto"/>
        <w:ind w:left="360"/>
        <w:rPr>
          <w:u w:val="single"/>
        </w:rPr>
      </w:pPr>
    </w:p>
    <w:p w:rsidR="00397E59" w:rsidRDefault="005D6A21"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CFD experiences a net negative cash flow in the amount of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FVA is defined as the present value of this negative carry over the lifetime of the funding set or until the time of bank default, whichever comes first.</w:t>
      </w:r>
    </w:p>
    <w:p w:rsidR="00397E59" w:rsidRDefault="00397E59" w:rsidP="008A18B1">
      <w:pPr>
        <w:pStyle w:val="ListParagraph"/>
        <w:numPr>
          <w:ilvl w:val="0"/>
          <w:numId w:val="29"/>
        </w:numPr>
        <w:spacing w:line="360" w:lineRule="auto"/>
      </w:pPr>
      <w:r>
        <w:rPr>
          <w:u w:val="single"/>
        </w:rPr>
        <w:t>Interest Rate on VM Receivables</w:t>
      </w:r>
      <w:r w:rsidRPr="001245AE">
        <w:t>:</w:t>
      </w:r>
      <w:r>
        <w:t xml:space="preserve"> In case the total collateral requirement for the VM is </w:t>
      </w:r>
      <w:r>
        <w:rPr>
          <w:i/>
        </w:rPr>
        <w:t>negative</w:t>
      </w:r>
      <w:r>
        <w:t>, i.e.</w:t>
      </w:r>
    </w:p>
    <w:p w:rsidR="00397E59" w:rsidRDefault="00397E59" w:rsidP="00397E59">
      <w:pPr>
        <w:pStyle w:val="ListParagraph"/>
        <w:spacing w:line="360" w:lineRule="auto"/>
        <w:ind w:left="360"/>
        <w:rPr>
          <w:u w:val="single"/>
        </w:rPr>
      </w:pPr>
    </w:p>
    <w:p w:rsidR="00397E59" w:rsidRDefault="005D6A21"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the treasury OTC funding program is not called upon. In this case we assume that the bank treasury would invest the excess collateral in short-term securities, yielding on average (nearly) OIS levels. As the bank is liable to paying OIS on hedge counterparties on the net collateral received, the bank is therefore assumed to receive no benefits and face no costs due to VM posting obligations when</w:t>
      </w:r>
    </w:p>
    <w:p w:rsidR="00397E59" w:rsidRDefault="00397E59" w:rsidP="00397E59">
      <w:pPr>
        <w:pStyle w:val="ListParagraph"/>
        <w:spacing w:line="360" w:lineRule="auto"/>
        <w:ind w:left="360"/>
      </w:pPr>
    </w:p>
    <w:p w:rsidR="00397E59" w:rsidRPr="00B73F40" w:rsidRDefault="005D6A21"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9"/>
        </w:numPr>
        <w:spacing w:line="360" w:lineRule="auto"/>
      </w:pPr>
      <w:r>
        <w:rPr>
          <w:u w:val="single"/>
        </w:rPr>
        <w:t>Handling the Net Excess Collateral</w:t>
      </w:r>
      <w:r w:rsidRPr="001245AE">
        <w:t>:</w:t>
      </w:r>
      <w:r>
        <w:t xml:space="preserve"> In principle one can imagine that the net excess collateral would be passed by the CFD to the treasury, which would in turn use the funds to retire outstanding long-term deb. If this were the case on would imagine that the CFD receives from the treasury a benefit based on the interest-savings on the long-term debt, resulting in positive carry.</w:t>
      </w:r>
    </w:p>
    <w:p w:rsidR="00397E59" w:rsidRDefault="00397E59" w:rsidP="008A18B1">
      <w:pPr>
        <w:pStyle w:val="ListParagraph"/>
        <w:numPr>
          <w:ilvl w:val="0"/>
          <w:numId w:val="29"/>
        </w:numPr>
        <w:spacing w:line="360" w:lineRule="auto"/>
      </w:pPr>
      <w:r>
        <w:rPr>
          <w:u w:val="single"/>
        </w:rPr>
        <w:t>Rapid Fluctuation of the VM Levels</w:t>
      </w:r>
      <w:r w:rsidRPr="00DA69E2">
        <w:t>:</w:t>
      </w:r>
      <w:r>
        <w:t xml:space="preserve"> The above assumption is an aggressive one as VM varies greatly in short time scales and generally constitutes an unstable base from which to retire debt. In practice it is far easier to let debt mature than to retire long-dated bonds on the secondary market.</w:t>
      </w:r>
    </w:p>
    <w:p w:rsidR="00397E59" w:rsidRDefault="00397E59" w:rsidP="008A18B1">
      <w:pPr>
        <w:pStyle w:val="ListParagraph"/>
        <w:numPr>
          <w:ilvl w:val="0"/>
          <w:numId w:val="29"/>
        </w:numPr>
        <w:spacing w:line="360" w:lineRule="auto"/>
      </w:pPr>
      <w:r>
        <w:rPr>
          <w:u w:val="single"/>
        </w:rPr>
        <w:t>Art of Treasury Liquidity Management</w:t>
      </w:r>
      <w:r w:rsidRPr="00DA69E2">
        <w:t>:</w:t>
      </w:r>
      <w:r>
        <w:t xml:space="preserve"> Normally collateral is over-provisioned allowing for buffers as the treasury needs to manage liquidity prudently. There are additional costs to collateral over-provisioning and risk management of the liquidity buffers, all of which are ignored here.</w:t>
      </w:r>
    </w:p>
    <w:p w:rsidR="00397E59" w:rsidRDefault="00397E59" w:rsidP="008A18B1">
      <w:pPr>
        <w:pStyle w:val="ListParagraph"/>
        <w:numPr>
          <w:ilvl w:val="0"/>
          <w:numId w:val="29"/>
        </w:numPr>
        <w:spacing w:line="360" w:lineRule="auto"/>
      </w:pPr>
      <w:r>
        <w:rPr>
          <w:u w:val="single"/>
        </w:rPr>
        <w:t>Funding Rates and Strategies - Assumption</w:t>
      </w:r>
      <w:r w:rsidRPr="00807AB6">
        <w:t>:</w:t>
      </w:r>
      <w:r>
        <w:t xml:space="preserve"> Besides the above “neutral” assumptions about investment returns, the definition of FDA used here makes additional assumptions about treasury funding strategies and funding rates. The specified ones are listed below.</w:t>
      </w:r>
    </w:p>
    <w:p w:rsidR="00397E59" w:rsidRDefault="00397E59" w:rsidP="008A18B1">
      <w:pPr>
        <w:pStyle w:val="ListParagraph"/>
        <w:numPr>
          <w:ilvl w:val="1"/>
          <w:numId w:val="29"/>
        </w:numPr>
        <w:spacing w:line="360" w:lineRule="auto"/>
      </w:pPr>
      <w:r>
        <w:t>Worst-case Funding Rate Scenario =&gt; The worst scenario regarding funding rates is assumed, i.e., that derivative receivables cannot be passed as collateral and that VM borrowing is entirely unsecured.</w:t>
      </w:r>
    </w:p>
    <w:p w:rsidR="00397E59" w:rsidRDefault="00397E59" w:rsidP="008A18B1">
      <w:pPr>
        <w:pStyle w:val="ListParagraph"/>
        <w:numPr>
          <w:ilvl w:val="1"/>
          <w:numId w:val="29"/>
        </w:numPr>
        <w:spacing w:line="360" w:lineRule="auto"/>
      </w:pPr>
      <w:r>
        <w:t>Best Case Over-provisioning Scenario =&gt; The best-case scenario regrading over-provisioning is also assumed, that is the bank procures on an overnight basis only the cash collateral that is strictly needed for VM borrowing, not more.</w:t>
      </w:r>
    </w:p>
    <w:p w:rsidR="00397E59" w:rsidRDefault="00397E59" w:rsidP="008A18B1">
      <w:pPr>
        <w:pStyle w:val="ListParagraph"/>
        <w:numPr>
          <w:ilvl w:val="0"/>
          <w:numId w:val="29"/>
        </w:numPr>
        <w:spacing w:line="360" w:lineRule="auto"/>
      </w:pPr>
      <w:r w:rsidRPr="002414D7">
        <w:rPr>
          <w:u w:val="single"/>
        </w:rPr>
        <w:lastRenderedPageBreak/>
        <w:t>FVA and Funding Strategy Link</w:t>
      </w:r>
      <w:r>
        <w:t xml:space="preserve">: Both of the above assumptions are reasonable for accounting purposes, although they admittedly represent idealizations of the actual funding behavior (which no doubt varies from bank to bank). In this view, it is important to note that FVA calculations are non-unique and tied to the </w:t>
      </w:r>
      <w:r w:rsidRPr="002414D7">
        <w:rPr>
          <w:i/>
        </w:rPr>
        <w:t>actual</w:t>
      </w:r>
      <w:r>
        <w:t xml:space="preserve"> funding strategy to which a firm commits, a fundamental difference from the ideas underlying fair value pricing of derivatives.</w:t>
      </w:r>
    </w:p>
    <w:p w:rsidR="00397E59" w:rsidRDefault="00397E59" w:rsidP="008A18B1">
      <w:pPr>
        <w:pStyle w:val="ListParagraph"/>
        <w:numPr>
          <w:ilvl w:val="0"/>
          <w:numId w:val="29"/>
        </w:numPr>
        <w:spacing w:line="360" w:lineRule="auto"/>
      </w:pPr>
      <w:r>
        <w:rPr>
          <w:u w:val="single"/>
        </w:rPr>
        <w:t>Derivative Contract Fair Value Theory</w:t>
      </w:r>
      <w:r w:rsidRPr="002414D7">
        <w:t>:</w:t>
      </w:r>
      <w:r>
        <w:t xml:space="preserve"> According to classical finance theory, if there exists a replication strategy, then the cost of replication/hedging equals the fair value. Hence if one replication strategy is theoretically possible, then the cost of implementing it ought to equal the fair value </w:t>
      </w:r>
      <w:r>
        <w:rPr>
          <w:i/>
        </w:rPr>
        <w:t>whether or not</w:t>
      </w:r>
      <w:r>
        <w:t xml:space="preserve"> the strategy is actually implemented. If more than one replication strategy can potentially be implemented, absence of arbitrage indicates that the cost of implementing each one equals the fair value.</w:t>
      </w:r>
    </w:p>
    <w:p w:rsidR="00397E59" w:rsidRDefault="00397E59" w:rsidP="008A18B1">
      <w:pPr>
        <w:pStyle w:val="ListParagraph"/>
        <w:numPr>
          <w:ilvl w:val="0"/>
          <w:numId w:val="29"/>
        </w:numPr>
        <w:spacing w:line="360" w:lineRule="auto"/>
      </w:pPr>
      <w:r>
        <w:rPr>
          <w:u w:val="single"/>
        </w:rPr>
        <w:t>MMT on Funding Cost Impact</w:t>
      </w:r>
      <w:r w:rsidRPr="0013619F">
        <w:t>:</w:t>
      </w:r>
      <w:r>
        <w:t xml:space="preserve"> For funding cost valuation, the MMT tells us that the fair value of funding strategies for trades entered at fair value is zero, as FVA does not represent the fair value of an asset, but instead the wealth transfer amount from the shareholders to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Counterparty Default</w:t>
      </w:r>
    </w:p>
    <w:p w:rsidR="00397E59" w:rsidRDefault="00397E59" w:rsidP="00397E59">
      <w:pPr>
        <w:spacing w:line="360" w:lineRule="auto"/>
      </w:pPr>
    </w:p>
    <w:p w:rsidR="00397E59" w:rsidRDefault="00397E59" w:rsidP="008A18B1">
      <w:pPr>
        <w:pStyle w:val="ListParagraph"/>
        <w:numPr>
          <w:ilvl w:val="0"/>
          <w:numId w:val="30"/>
        </w:numPr>
        <w:spacing w:line="360" w:lineRule="auto"/>
      </w:pPr>
      <w:r w:rsidRPr="006455CB">
        <w:rPr>
          <w:u w:val="single"/>
        </w:rPr>
        <w:t>Counterparty Triggered Default Flows</w:t>
      </w:r>
      <w:r>
        <w:t xml:space="preserve">: If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the default time of the counterparty </w:t>
      </w:r>
      <m:oMath>
        <m:r>
          <w:rPr>
            <w:rFonts w:ascii="Cambria Math" w:hAnsi="Cambria Math"/>
          </w:rPr>
          <m:t>i</m:t>
        </m:r>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be the default cash flow received from the bank from the counterparty </w:t>
      </w:r>
      <m:oMath>
        <m:r>
          <w:rPr>
            <w:rFonts w:ascii="Cambria Math" w:hAnsi="Cambria Math"/>
          </w:rPr>
          <m:t>i</m:t>
        </m:r>
      </m:oMath>
      <w:r>
        <w:t xml:space="preserve"> as part of the default triggered closeout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portfolio.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governed by the ISDA agreement between the bank and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w:t>
      </w:r>
    </w:p>
    <w:p w:rsidR="00397E59" w:rsidRDefault="00397E59" w:rsidP="008A18B1">
      <w:pPr>
        <w:pStyle w:val="ListParagraph"/>
        <w:numPr>
          <w:ilvl w:val="0"/>
          <w:numId w:val="30"/>
        </w:numPr>
        <w:spacing w:line="360" w:lineRule="auto"/>
      </w:pPr>
      <w:r>
        <w:rPr>
          <w:u w:val="single"/>
        </w:rPr>
        <w:t>ISDA Standard Closeout Assumption</w:t>
      </w:r>
      <w:r w:rsidRPr="007460F2">
        <w:t>:</w:t>
      </w:r>
      <w:r>
        <w:t xml:space="preserve"> For simplicity’s sake it is assumed that the closeout procedure follows the ISDA Market Quotation Protocol of 1992, and extensions to the other protocols are covered later.</w:t>
      </w:r>
    </w:p>
    <w:p w:rsidR="00397E59" w:rsidRDefault="00397E59" w:rsidP="008A18B1">
      <w:pPr>
        <w:pStyle w:val="ListParagraph"/>
        <w:numPr>
          <w:ilvl w:val="0"/>
          <w:numId w:val="30"/>
        </w:numPr>
        <w:spacing w:line="360" w:lineRule="auto"/>
      </w:pPr>
      <w:r>
        <w:rPr>
          <w:u w:val="single"/>
        </w:rPr>
        <w:t>Applying the ISDA 1992 Protocol</w:t>
      </w:r>
      <w:r w:rsidRPr="007460F2">
        <w:t>:</w:t>
      </w:r>
      <w:r>
        <w:t xml:space="preserve"> In the prevailing interpretation of the ISDA 1992 closeout protocol, if either the counterparty or the bank itself default prior to the maturity of the trade </w:t>
      </w:r>
      <w:r>
        <w:lastRenderedPageBreak/>
        <w:t>portfolio, then the portfolio is settled at default free levels, i.e., XVA adjustments are excluded from the calculation of the settlement amount.</w:t>
      </w:r>
    </w:p>
    <w:p w:rsidR="00397E59" w:rsidRDefault="00397E59" w:rsidP="008A18B1">
      <w:pPr>
        <w:pStyle w:val="ListParagraph"/>
        <w:numPr>
          <w:ilvl w:val="0"/>
          <w:numId w:val="30"/>
        </w:numPr>
        <w:spacing w:line="360" w:lineRule="auto"/>
      </w:pPr>
      <w:r>
        <w:rPr>
          <w:u w:val="single"/>
        </w:rPr>
        <w:t>Counterparty Default Cash Flow</w:t>
      </w:r>
      <w:r w:rsidRPr="007460F2">
        <w:t>:</w:t>
      </w:r>
      <w:r>
        <w:t xml:space="preserve"> In other words, the default cash flows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received the bank from counterparty </w:t>
      </w:r>
      <m:oMath>
        <m:r>
          <w:rPr>
            <w:rFonts w:ascii="Cambria Math" w:hAnsi="Cambria Math"/>
          </w:rPr>
          <m:t>i</m:t>
        </m:r>
      </m:oMath>
      <w:r>
        <w:t xml:space="preserve"> is</w:t>
      </w:r>
    </w:p>
    <w:p w:rsidR="00397E59" w:rsidRDefault="00397E59" w:rsidP="00397E59">
      <w:pPr>
        <w:pStyle w:val="ListParagraph"/>
        <w:spacing w:line="360" w:lineRule="auto"/>
        <w:ind w:left="360"/>
        <w:rPr>
          <w:u w:val="single"/>
        </w:rPr>
      </w:pPr>
    </w:p>
    <w:p w:rsidR="00397E59" w:rsidRDefault="005D6A21"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is the default time of the bank and</w:t>
      </w:r>
    </w:p>
    <w:p w:rsidR="00397E59" w:rsidRDefault="00397E59" w:rsidP="00397E59">
      <w:pPr>
        <w:pStyle w:val="ListParagraph"/>
        <w:spacing w:line="360" w:lineRule="auto"/>
        <w:ind w:left="360"/>
      </w:pPr>
    </w:p>
    <w:p w:rsidR="00397E59" w:rsidRDefault="005D6A21"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is the recovery rate received from the counterparty </w:t>
      </w:r>
      <m:oMath>
        <m:r>
          <w:rPr>
            <w:rFonts w:ascii="Cambria Math" w:hAnsi="Cambria Math"/>
          </w:rPr>
          <m:t>i</m:t>
        </m:r>
      </m:oMath>
      <w:r>
        <w:t xml:space="preserve">. Observe the presence of the default indicator </w:t>
      </w:r>
      <m:oMath>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in this expression, a reflection of the fact that if the bank defaults prior to the counterparty </w:t>
      </w:r>
      <m:oMath>
        <m:r>
          <w:rPr>
            <w:rFonts w:ascii="Cambria Math" w:hAnsi="Cambria Math"/>
          </w:rPr>
          <m:t>i</m:t>
        </m:r>
      </m:oMath>
      <w:r>
        <w:t xml:space="preserve">, then no cash flow takes place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since the unsecured derivative portfolio held with counterparty </w:t>
      </w:r>
      <m:oMath>
        <m:r>
          <w:rPr>
            <w:rFonts w:ascii="Cambria Math" w:hAnsi="Cambria Math"/>
          </w:rPr>
          <m:t>i</m:t>
        </m:r>
      </m:oMath>
      <w:r>
        <w:t xml:space="preserve"> is assumed to have been unwound at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w:t>
      </w:r>
    </w:p>
    <w:p w:rsidR="00397E59" w:rsidRDefault="00397E59" w:rsidP="008A18B1">
      <w:pPr>
        <w:pStyle w:val="ListParagraph"/>
        <w:numPr>
          <w:ilvl w:val="0"/>
          <w:numId w:val="30"/>
        </w:numPr>
        <w:spacing w:line="360" w:lineRule="auto"/>
      </w:pPr>
      <w:r>
        <w:rPr>
          <w:u w:val="single"/>
        </w:rPr>
        <w:t>Sign of the Counterparty Default Cash Flow</w:t>
      </w:r>
      <w:r w:rsidRPr="00783C8F">
        <w: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may be positive or negative, and can be considered an inherent part of the portfolio flows of counterparty </w:t>
      </w:r>
      <m:oMath>
        <m:r>
          <w:rPr>
            <w:rFonts w:ascii="Cambria Math" w:hAnsi="Cambria Math"/>
          </w:rPr>
          <m:t>i</m:t>
        </m:r>
      </m:oMath>
      <w:r>
        <w:t>. Notice that if</w:t>
      </w:r>
    </w:p>
    <w:p w:rsidR="00397E59" w:rsidRDefault="00397E59" w:rsidP="00397E59">
      <w:pPr>
        <w:pStyle w:val="ListParagraph"/>
        <w:spacing w:line="360" w:lineRule="auto"/>
        <w:ind w:left="360"/>
        <w:rPr>
          <w:u w:val="single"/>
        </w:rPr>
      </w:pPr>
    </w:p>
    <w:p w:rsidR="00397E59" w:rsidRDefault="005D6A21"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5D6A21" w:rsidP="00397E59">
      <w:pPr>
        <w:pStyle w:val="ListParagraph"/>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above equation represents a loss to bank </w:t>
      </w:r>
      <m:oMath>
        <m:r>
          <w:rPr>
            <w:rFonts w:ascii="Cambria Math" w:hAnsi="Cambria Math"/>
          </w:rPr>
          <m:t>B</m:t>
        </m:r>
      </m:oMath>
      <w:r>
        <w:t xml:space="preserve">. The present value of this loss is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for portfolio </w:t>
      </w:r>
      <m:oMath>
        <m:r>
          <w:rPr>
            <w:rFonts w:ascii="Cambria Math" w:hAnsi="Cambria Math"/>
          </w:rPr>
          <m:t>i</m:t>
        </m:r>
      </m:oMath>
      <w:r>
        <w:t>.</w:t>
      </w:r>
    </w:p>
    <w:p w:rsidR="00397E59" w:rsidRDefault="00397E59" w:rsidP="008A18B1">
      <w:pPr>
        <w:pStyle w:val="ListParagraph"/>
        <w:numPr>
          <w:ilvl w:val="0"/>
          <w:numId w:val="30"/>
        </w:numPr>
        <w:spacing w:line="360" w:lineRule="auto"/>
      </w:pPr>
      <w:r>
        <w:rPr>
          <w:u w:val="single"/>
        </w:rPr>
        <w:t>Hedging the Counterparty Risk</w:t>
      </w:r>
      <w:r w:rsidRPr="00783C8F">
        <w:t>:</w:t>
      </w:r>
      <w:r>
        <w:t xml:space="preserve"> As indicated earlier, the cash flow formula above assumes that the counterparty credit risk above is left unhedged. In reality the CVA desk seeks to layoff the counterparty credit risk through the purchase of credit hedges such as single names and index CDS.</w:t>
      </w:r>
    </w:p>
    <w:p w:rsidR="00397E59" w:rsidRDefault="00397E59" w:rsidP="008A18B1">
      <w:pPr>
        <w:pStyle w:val="ListParagraph"/>
        <w:numPr>
          <w:ilvl w:val="0"/>
          <w:numId w:val="30"/>
        </w:numPr>
        <w:spacing w:line="360" w:lineRule="auto"/>
      </w:pPr>
      <w:r>
        <w:rPr>
          <w:u w:val="single"/>
        </w:rPr>
        <w:lastRenderedPageBreak/>
        <w:t>CVA Hedge Collateral VM Pool</w:t>
      </w:r>
      <w:r>
        <w:t>: This setup does not alter our conclusions about how to account for CVA, but it does mean that CVA hedges are typically entered with dealers/exchanges on a fully collateralized basis, which in itself produces VM postings that can be introduced into the overall VM “pool” generated by the client trades.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Bank Default</w:t>
      </w:r>
    </w:p>
    <w:p w:rsidR="00397E59" w:rsidRDefault="00397E59" w:rsidP="00397E59">
      <w:pPr>
        <w:spacing w:line="360" w:lineRule="auto"/>
      </w:pPr>
    </w:p>
    <w:p w:rsidR="00397E59" w:rsidRDefault="00397E59" w:rsidP="008A18B1">
      <w:pPr>
        <w:pStyle w:val="ListParagraph"/>
        <w:numPr>
          <w:ilvl w:val="0"/>
          <w:numId w:val="31"/>
        </w:numPr>
        <w:spacing w:line="360" w:lineRule="auto"/>
      </w:pPr>
      <w:r w:rsidRPr="00293339">
        <w:rPr>
          <w:u w:val="single"/>
        </w:rPr>
        <w:t>Collateral Impact on Bank Default</w:t>
      </w:r>
      <w:r>
        <w:t xml:space="preserve">: At the bank default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any posted collateral amount stays with the holder, and all the inter-dealer positions are torn up, with no economic impact to any dealer counterparty. Similarly the default of a dealer used as a counterparty for hedging purposes has no impact as all credit risk is covered by collateral.</w:t>
      </w:r>
    </w:p>
    <w:p w:rsidR="00397E59" w:rsidRDefault="00397E59" w:rsidP="008A18B1">
      <w:pPr>
        <w:pStyle w:val="ListParagraph"/>
        <w:numPr>
          <w:ilvl w:val="0"/>
          <w:numId w:val="31"/>
        </w:numPr>
        <w:spacing w:line="360" w:lineRule="auto"/>
      </w:pPr>
      <w:r>
        <w:rPr>
          <w:u w:val="single"/>
        </w:rPr>
        <w:t>Explicit Cash Flows</w:t>
      </w:r>
      <w:r>
        <w:t xml:space="preserve">: The positions with </w:t>
      </w:r>
      <m:oMath>
        <m:r>
          <w:rPr>
            <w:rFonts w:ascii="Cambria Math" w:hAnsi="Cambria Math"/>
          </w:rPr>
          <m:t>n</m:t>
        </m:r>
      </m:oMath>
      <w:r>
        <w:t xml:space="preserve"> counterparties are typically settled at ISDA terms, leading to a loss for those counterparties that have a previous exposure to the bank. Under the standard ISDA 1992 terms, the effective default cash flow at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received by the bank from counterparty </w:t>
      </w:r>
      <m:oMath>
        <m:r>
          <w:rPr>
            <w:rFonts w:ascii="Cambria Math" w:hAnsi="Cambria Math"/>
          </w:rPr>
          <m:t>i</m:t>
        </m:r>
      </m:oMath>
      <w:r>
        <w:t xml:space="preserve"> may be written as</w:t>
      </w:r>
    </w:p>
    <w:p w:rsidR="00397E59" w:rsidRDefault="00397E59" w:rsidP="00397E59">
      <w:pPr>
        <w:spacing w:line="360" w:lineRule="auto"/>
      </w:pPr>
    </w:p>
    <w:p w:rsidR="00397E59" w:rsidRDefault="005D6A21"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5D6A21"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spacing w:line="360" w:lineRule="auto"/>
        <w:ind w:left="360"/>
      </w:pPr>
      <w:r>
        <w:t>is the recovery rate for the bank B.</w:t>
      </w:r>
    </w:p>
    <w:p w:rsidR="00397E59" w:rsidRDefault="00397E59" w:rsidP="008A18B1">
      <w:pPr>
        <w:pStyle w:val="ListParagraph"/>
        <w:numPr>
          <w:ilvl w:val="0"/>
          <w:numId w:val="31"/>
        </w:numPr>
        <w:spacing w:line="360" w:lineRule="auto"/>
      </w:pPr>
      <w:r>
        <w:rPr>
          <w:u w:val="single"/>
        </w:rPr>
        <w:t>Credit Losses to Counterparty</w:t>
      </w:r>
      <w:r>
        <w:t xml:space="preserve">: Notice that the loss to counterparty is therefore </w:t>
      </w:r>
      <m:oMath>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Senior bank creditors, who in aggregate have a claim on derivative receivables of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would similarly recover a fraction </w:t>
      </w:r>
      <m:oMath>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of their claim.</w:t>
      </w:r>
    </w:p>
    <w:p w:rsidR="00397E59" w:rsidRDefault="00397E59" w:rsidP="008A18B1">
      <w:pPr>
        <w:pStyle w:val="ListParagraph"/>
        <w:numPr>
          <w:ilvl w:val="0"/>
          <w:numId w:val="31"/>
        </w:numPr>
        <w:spacing w:line="360" w:lineRule="auto"/>
      </w:pPr>
      <w:r>
        <w:rPr>
          <w:u w:val="single"/>
        </w:rPr>
        <w:t>DVA Gain to the Bank</w:t>
      </w:r>
      <w:r w:rsidRPr="00A0372F">
        <w:t>:</w:t>
      </w:r>
      <w:r>
        <w:t xml:space="preserve"> Again for the sake of simplicity it is assumed that the recovery rate on the senior debt and on the derivatives portfolio are identical. Notice that if</w:t>
      </w:r>
    </w:p>
    <w:p w:rsidR="00397E59" w:rsidRDefault="00397E59" w:rsidP="00397E59">
      <w:pPr>
        <w:pStyle w:val="ListParagraph"/>
        <w:spacing w:line="360" w:lineRule="auto"/>
        <w:ind w:left="360"/>
        <w:rPr>
          <w:u w:val="single"/>
        </w:rPr>
      </w:pPr>
    </w:p>
    <w:p w:rsidR="00397E59" w:rsidRDefault="005D6A21"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then the equation for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represents a gain for the bank relative to a fully collateralized payout of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The present value of this gain is the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associated with counterparty </w:t>
      </w:r>
      <m:oMath>
        <m:r>
          <w:rPr>
            <w:rFonts w:ascii="Cambria Math" w:hAnsi="Cambria Math"/>
          </w:rPr>
          <m:t>i</m:t>
        </m:r>
      </m:oMath>
      <w:r>
        <w:t>.</w:t>
      </w:r>
    </w:p>
    <w:p w:rsidR="00397E59" w:rsidRDefault="00397E59" w:rsidP="008A18B1">
      <w:pPr>
        <w:pStyle w:val="ListParagraph"/>
        <w:numPr>
          <w:ilvl w:val="0"/>
          <w:numId w:val="31"/>
        </w:numPr>
        <w:spacing w:line="360" w:lineRule="auto"/>
      </w:pPr>
      <w:r>
        <w:rPr>
          <w:u w:val="single"/>
        </w:rPr>
        <w:t>Non additivity of the VM Collateral</w:t>
      </w:r>
      <w:r w:rsidRPr="00E41ABC">
        <w:t>:</w:t>
      </w:r>
      <w:r>
        <w:t xml:space="preserve"> Finally note that if  is the recovery rate for the VM collateral lenders, upon defaulting the bank does not return (i.e., effectively receives) the following amount in VM cash:</w:t>
      </w:r>
    </w:p>
    <w:p w:rsidR="00397E59" w:rsidRDefault="00397E59" w:rsidP="00397E59">
      <w:pPr>
        <w:pStyle w:val="ListParagraph"/>
        <w:spacing w:line="360" w:lineRule="auto"/>
        <w:ind w:left="360"/>
        <w:rPr>
          <w:u w:val="single"/>
        </w:rPr>
      </w:pPr>
    </w:p>
    <w:p w:rsidR="00397E59" w:rsidRDefault="005D6A21"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Since the total amount of VM collateral borrowed is reduced by exercising the RHO, the amounts lent and recovered from the collateral lenders cannot be represented as a linear sum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8"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59"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sidRPr="0073144A">
        <w:rPr>
          <w:bCs/>
        </w:rPr>
        <w:t xml:space="preserve">Morini, M. and A. Prampolini (2011): Risky Funding with Counterparty and Liquidity Charges </w:t>
      </w:r>
      <w:r w:rsidRPr="0073144A">
        <w:rPr>
          <w:bCs/>
          <w:i/>
        </w:rPr>
        <w:t>Risk</w:t>
      </w:r>
      <w:r w:rsidRPr="0073144A">
        <w:rPr>
          <w:bCs/>
        </w:rPr>
        <w:t xml:space="preserve"> 70-75.</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Credit and Funding Valuation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2"/>
        </w:numPr>
        <w:spacing w:line="360" w:lineRule="auto"/>
      </w:pPr>
      <w:r w:rsidRPr="00472881">
        <w:rPr>
          <w:u w:val="single"/>
        </w:rPr>
        <w:t>Cash Flow Impact On Accounting</w:t>
      </w:r>
      <w:r>
        <w:t>: Having outlined all relevant cash flows above, the next step is to work out how these cash flows are valued, and how they affect the capital structure of the OTC book. In particular, this section looks at in detail the relevant XVA metrics needed for the accounting treatment outlined earlier.</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CVA and DVA</w:t>
      </w:r>
    </w:p>
    <w:p w:rsidR="00397E59" w:rsidRDefault="00397E59" w:rsidP="00397E59">
      <w:pPr>
        <w:spacing w:line="360" w:lineRule="auto"/>
      </w:pPr>
    </w:p>
    <w:p w:rsidR="00397E59" w:rsidRDefault="00397E59" w:rsidP="008A18B1">
      <w:pPr>
        <w:pStyle w:val="ListParagraph"/>
        <w:numPr>
          <w:ilvl w:val="0"/>
          <w:numId w:val="33"/>
        </w:numPr>
        <w:spacing w:line="360" w:lineRule="auto"/>
      </w:pPr>
      <w:r w:rsidRPr="00AD1D01">
        <w:rPr>
          <w:u w:val="single"/>
        </w:rPr>
        <w:t>Bilateral FTD CVA Formulation</w:t>
      </w:r>
      <w:r>
        <w:t xml:space="preserve">: The cash flows triggered by the counterparty defaults were under ISDA 1992 were discussed earlier. The loss in value due to counterparty </w:t>
      </w:r>
      <m:oMath>
        <m:r>
          <w:rPr>
            <w:rFonts w:ascii="Cambria Math" w:hAnsi="Cambria Math"/>
          </w:rPr>
          <m:t>i</m:t>
        </m:r>
      </m:oMath>
      <w:r>
        <w:t xml:space="preserve"> is measured by the present value of the protection against the value loss inherent in</w:t>
      </w:r>
    </w:p>
    <w:p w:rsidR="00397E59" w:rsidRDefault="00397E59" w:rsidP="00397E59">
      <w:pPr>
        <w:pStyle w:val="ListParagraph"/>
        <w:spacing w:line="360" w:lineRule="auto"/>
        <w:ind w:left="360"/>
        <w:rPr>
          <w:u w:val="single"/>
        </w:rPr>
      </w:pPr>
    </w:p>
    <w:p w:rsidR="00397E59" w:rsidRPr="00AD1D01" w:rsidRDefault="005D6A21"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sidRPr="003447EB">
        <w:rPr>
          <w:u w:val="single"/>
        </w:rPr>
        <w:t xml:space="preserve">Expression for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i</m:t>
            </m:r>
          </m:sub>
        </m:sSub>
      </m:oMath>
      <w:r w:rsidRPr="003447EB">
        <w:rPr>
          <w:u w:val="single"/>
        </w:rPr>
        <w:t xml:space="preserve"> or </w:t>
      </w:r>
      <m:oMath>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oMath>
      <w:r w:rsidRPr="00AD1D01">
        <w:t>:</w:t>
      </w:r>
    </w:p>
    <w:p w:rsidR="00397E59" w:rsidRDefault="00397E59" w:rsidP="00397E59">
      <w:pPr>
        <w:spacing w:line="360" w:lineRule="auto"/>
      </w:pPr>
    </w:p>
    <w:p w:rsidR="00397E59" w:rsidRPr="00866797" w:rsidRDefault="005D6A21"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i</m:t>
                          </m:r>
                        </m:sub>
                      </m:sSub>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sup>
                  <m:r>
                    <w:rPr>
                      <w:rFonts w:ascii="Cambria Math" w:hAnsi="Cambria Math"/>
                    </w:rPr>
                    <m:t>+</m:t>
                  </m:r>
                </m:sup>
              </m:sSup>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m:rPr>
              <m:scr m:val="double-struck"/>
            </m:rPr>
            <w:rPr>
              <w:rFonts w:ascii="Cambria Math" w:hAnsi="Cambria Math"/>
              <w:u w:val="single"/>
            </w:rPr>
            <m:t>Q</m:t>
          </m:r>
          <m:d>
            <m:dPr>
              <m:ctrlPr>
                <w:rPr>
                  <w:rFonts w:ascii="Cambria Math" w:hAnsi="Cambria Math"/>
                  <w:i/>
                  <w:u w:val="single"/>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t, t+dt</m:t>
                  </m:r>
                </m:e>
              </m:d>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Pr="00866797"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Pr>
          <w:u w:val="single"/>
        </w:rPr>
        <w:t>Applying a Stochastic Default Intensity</w:t>
      </w:r>
      <w:r>
        <w:t xml:space="preserve">: 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denotes the expectation in the risk neutral measure </w:t>
      </w:r>
      <m:oMath>
        <m:r>
          <m:rPr>
            <m:scr m:val="double-struck"/>
          </m:rPr>
          <w:rPr>
            <w:rFonts w:ascii="Cambria Math" w:hAnsi="Cambria Math"/>
          </w:rPr>
          <m:t>Q</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(possibly stochastic) default intensity for counterparty </w:t>
      </w:r>
      <m:oMath>
        <m:r>
          <w:rPr>
            <w:rFonts w:ascii="Cambria Math" w:hAnsi="Cambria Math"/>
          </w:rPr>
          <m:t>i</m:t>
        </m:r>
      </m:oMath>
      <w:r>
        <w:t>. The concept of default intensity was introduced by Lando (1998) in the context of reduced for models based on Cox processes, but has become meaningful (and quite useful) also for many structural processes.</w:t>
      </w:r>
    </w:p>
    <w:p w:rsidR="00397E59" w:rsidRDefault="00397E59" w:rsidP="008A18B1">
      <w:pPr>
        <w:pStyle w:val="ListParagraph"/>
        <w:numPr>
          <w:ilvl w:val="0"/>
          <w:numId w:val="33"/>
        </w:numPr>
        <w:spacing w:line="360" w:lineRule="auto"/>
      </w:pPr>
      <w:r>
        <w:rPr>
          <w:u w:val="single"/>
        </w:rPr>
        <w:t>Unilateral CVA Contra-Asset Adjustment</w:t>
      </w:r>
      <w:r w:rsidRPr="00866797">
        <w:t>:</w:t>
      </w:r>
      <w:r>
        <w:t xml:space="preserve"> As discussed in the previous section, the CVA entry to be booked as a contra-asset is the unilateral UCVA metric given by the expression</w:t>
      </w:r>
    </w:p>
    <w:p w:rsidR="00397E59" w:rsidRDefault="00397E59" w:rsidP="00397E59">
      <w:pPr>
        <w:pStyle w:val="ListParagraph"/>
        <w:spacing w:line="360" w:lineRule="auto"/>
        <w:ind w:left="360"/>
        <w:rPr>
          <w:u w:val="single"/>
        </w:rPr>
      </w:pPr>
    </w:p>
    <w:p w:rsidR="00397E59" w:rsidRDefault="005D6A21"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r w:rsidRPr="00866797">
        <w:t xml:space="preserve">without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w:t>
      </w:r>
    </w:p>
    <w:p w:rsidR="00397E59" w:rsidRDefault="00397E59" w:rsidP="008A18B1">
      <w:pPr>
        <w:pStyle w:val="ListParagraph"/>
        <w:numPr>
          <w:ilvl w:val="0"/>
          <w:numId w:val="33"/>
        </w:numPr>
        <w:spacing w:line="360" w:lineRule="auto"/>
      </w:pPr>
      <w:r>
        <w:rPr>
          <w:u w:val="single"/>
        </w:rPr>
        <w:t>CVA Contra-Liability Adjustment Expression</w:t>
      </w:r>
      <w:r w:rsidRPr="00866797">
        <w:t>:</w:t>
      </w:r>
      <w:r>
        <w:t xml:space="preserve"> This entity is accompanied by a CL adjustment defined as follows:</w:t>
      </w:r>
    </w:p>
    <w:p w:rsidR="00397E59" w:rsidRDefault="00397E59" w:rsidP="00397E59">
      <w:pPr>
        <w:pStyle w:val="ListParagraph"/>
        <w:spacing w:line="360" w:lineRule="auto"/>
        <w:ind w:left="360"/>
        <w:rPr>
          <w:u w:val="single"/>
        </w:rPr>
      </w:pPr>
    </w:p>
    <w:p w:rsidR="00397E59" w:rsidRDefault="005D6A21"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DVA Contra-Liability Adjustment Formulation</w:t>
      </w:r>
      <w:r w:rsidRPr="00866797">
        <w:t>:</w:t>
      </w:r>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 i</m:t>
            </m:r>
          </m:sub>
        </m:sSub>
      </m:oMath>
      <w:r>
        <w:t xml:space="preserve"> can be interpreted as the “DVA of the CVA”, i.e., the benefit the senior creditors have on the default of the bank on the </w:t>
      </w:r>
      <w:r>
        <w:lastRenderedPageBreak/>
        <w:t>default protection contract implicitly sold to the counterparties. The more substantial benefit associated with the option of defaulting on the underlying derivatives is instead captured by a DVA term defined as</w:t>
      </w:r>
    </w:p>
    <w:p w:rsidR="00397E59" w:rsidRDefault="00397E59" w:rsidP="00397E59">
      <w:pPr>
        <w:pStyle w:val="ListParagraph"/>
        <w:spacing w:line="360" w:lineRule="auto"/>
        <w:ind w:left="360"/>
        <w:rPr>
          <w:u w:val="single"/>
        </w:rPr>
      </w:pPr>
    </w:p>
    <w:p w:rsidR="00397E59" w:rsidRDefault="005D6A21"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Valuation Across Netting Sets</w:t>
      </w:r>
      <w:r w:rsidRPr="00866797">
        <w:t>:</w:t>
      </w:r>
      <w:r>
        <w:t xml:space="preserve"> CVA and DVA numbers maybe added across counterparties giving rise to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FTDCVA=CVA=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D92C30" w:rsidRDefault="005D6A21"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CL, 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DVA=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DVA</m:t>
                  </m:r>
                </m:e>
                <m:sub>
                  <m:r>
                    <w:rPr>
                      <w:rFonts w:ascii="Cambria Math" w:hAnsi="Cambria Math"/>
                    </w:rPr>
                    <m:t>i</m:t>
                  </m:r>
                </m:sub>
              </m:sSub>
            </m:e>
          </m:nary>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Accounting of CA/CL Adjustments</w:t>
      </w:r>
      <w:r w:rsidRPr="00866797">
        <w:t>:</w:t>
      </w:r>
      <w:r>
        <w:t xml:space="preserve"> The booking of these quantities as CA and CL adjustments was covered earlier and is tabulated below.</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 and FDA</w:t>
      </w:r>
    </w:p>
    <w:p w:rsidR="00397E59" w:rsidRDefault="00397E59" w:rsidP="00397E59">
      <w:pPr>
        <w:spacing w:line="360" w:lineRule="auto"/>
      </w:pPr>
    </w:p>
    <w:p w:rsidR="00397E59" w:rsidRDefault="00397E59" w:rsidP="008A18B1">
      <w:pPr>
        <w:pStyle w:val="ListParagraph"/>
        <w:numPr>
          <w:ilvl w:val="0"/>
          <w:numId w:val="34"/>
        </w:numPr>
        <w:spacing w:line="360" w:lineRule="auto"/>
      </w:pPr>
      <w:r w:rsidRPr="00172523">
        <w:rPr>
          <w:u w:val="single"/>
        </w:rPr>
        <w:lastRenderedPageBreak/>
        <w:t>Funding Payments Cash Flow Stream</w:t>
      </w:r>
      <w:r>
        <w:t>: As explained earlier, to find fair valuation expressions for the FVAs, one needs to value a continuous cash flow stream for funding costs at the rate given by the spread in</w:t>
      </w:r>
    </w:p>
    <w:p w:rsidR="00397E59" w:rsidRDefault="00397E59" w:rsidP="00397E59">
      <w:pPr>
        <w:pStyle w:val="ListParagraph"/>
        <w:spacing w:line="360" w:lineRule="auto"/>
        <w:ind w:left="360"/>
        <w:rPr>
          <w:u w:val="single"/>
        </w:rPr>
      </w:pPr>
    </w:p>
    <w:p w:rsidR="00397E59" w:rsidRDefault="005D6A21"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was argued earlier that the contribution to this cost in the time period </w:t>
      </w:r>
      <m:oMath>
        <m:d>
          <m:dPr>
            <m:begChr m:val="["/>
            <m:endChr m:val="]"/>
            <m:ctrlPr>
              <w:rPr>
                <w:rFonts w:ascii="Cambria Math" w:hAnsi="Cambria Math"/>
                <w:i/>
              </w:rPr>
            </m:ctrlPr>
          </m:dPr>
          <m:e>
            <m:r>
              <w:rPr>
                <w:rFonts w:ascii="Cambria Math" w:hAnsi="Cambria Math"/>
              </w:rPr>
              <m:t>t, t+∆t</m:t>
            </m:r>
          </m:e>
        </m:d>
      </m:oMath>
      <w:r>
        <w:t xml:space="preserve"> is </w:t>
      </w: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∆t</m:t>
        </m:r>
      </m:oMath>
      <w:r>
        <w:t>.</w:t>
      </w:r>
    </w:p>
    <w:p w:rsidR="00397E59" w:rsidRDefault="00397E59" w:rsidP="008A18B1">
      <w:pPr>
        <w:pStyle w:val="ListParagraph"/>
        <w:numPr>
          <w:ilvl w:val="0"/>
          <w:numId w:val="34"/>
        </w:numPr>
        <w:spacing w:line="360" w:lineRule="auto"/>
      </w:pPr>
      <w:r>
        <w:rPr>
          <w:u w:val="single"/>
        </w:rPr>
        <w:t>Funding Cost Valuation Expression</w:t>
      </w:r>
      <w:r w:rsidRPr="00172523">
        <w:t>:</w:t>
      </w:r>
      <w:r>
        <w:t xml:space="preserve"> The discounted present value of the future funding costs is defined as follows: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FVA=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r>
            <m:rPr>
              <m:scr m:val="double-struck"/>
            </m:rPr>
            <w:rPr>
              <w:rFonts w:ascii="Cambria Math" w:hAnsi="Cambria Math"/>
            </w:rPr>
            <m:t>=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the second equality follows form the definition of the net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in</w:t>
      </w:r>
    </w:p>
    <w:p w:rsidR="00397E59" w:rsidRDefault="00397E59" w:rsidP="00397E59">
      <w:pPr>
        <w:pStyle w:val="ListParagraph"/>
        <w:spacing w:line="360" w:lineRule="auto"/>
        <w:ind w:left="360"/>
      </w:pPr>
    </w:p>
    <w:p w:rsidR="00397E59" w:rsidRDefault="005D6A21"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explained earlier we include the cash flows only up to the time of the default of the bank.</w:t>
      </w:r>
    </w:p>
    <w:p w:rsidR="00397E59" w:rsidRDefault="00397E59" w:rsidP="008A18B1">
      <w:pPr>
        <w:pStyle w:val="ListParagraph"/>
        <w:numPr>
          <w:ilvl w:val="0"/>
          <w:numId w:val="34"/>
        </w:numPr>
        <w:spacing w:line="360" w:lineRule="auto"/>
      </w:pPr>
      <w:r w:rsidRPr="00870C6B">
        <w:rPr>
          <w:u w:val="single"/>
        </w:rPr>
        <w:t xml:space="preserve">Accommodating </w:t>
      </w:r>
      <w:r>
        <w:rPr>
          <w:u w:val="single"/>
        </w:rPr>
        <w:t>the Timing Element of De</w:t>
      </w:r>
      <w:r w:rsidRPr="00870C6B">
        <w:rPr>
          <w:u w:val="single"/>
        </w:rPr>
        <w:t>fault</w:t>
      </w:r>
      <w:r>
        <w:t>: The are a plethora of competing definitions of FVA, some of which deliberately avoid the complication of a default timing element. Carver (2013) contains details on the “dark art” of FVA definitions.</w:t>
      </w:r>
    </w:p>
    <w:p w:rsidR="00397E59" w:rsidRDefault="00397E59" w:rsidP="008A18B1">
      <w:pPr>
        <w:pStyle w:val="ListParagraph"/>
        <w:numPr>
          <w:ilvl w:val="0"/>
          <w:numId w:val="34"/>
        </w:numPr>
        <w:spacing w:line="360" w:lineRule="auto"/>
      </w:pPr>
      <w:r>
        <w:rPr>
          <w:u w:val="single"/>
        </w:rPr>
        <w:t>Funding Spreads for VM Receivables</w:t>
      </w:r>
      <w:r w:rsidRPr="008679D3">
        <w:t>:</w:t>
      </w:r>
      <w:r>
        <w:t xml:space="preserve"> Due to the lack of infrastructure to guarantee water-tight collateralization mechanics with unsecured derivatives receivables as underlying, funding spreads for VM collateral are observed to be near unsecured levels even in the rare cases where derivatives receivables are nominally mentioned as collateral.</w:t>
      </w:r>
    </w:p>
    <w:p w:rsidR="00397E59" w:rsidRDefault="00397E59" w:rsidP="008A18B1">
      <w:pPr>
        <w:pStyle w:val="ListParagraph"/>
        <w:numPr>
          <w:ilvl w:val="0"/>
          <w:numId w:val="34"/>
        </w:numPr>
        <w:spacing w:line="360" w:lineRule="auto"/>
      </w:pPr>
      <w:r>
        <w:rPr>
          <w:u w:val="single"/>
        </w:rPr>
        <w:lastRenderedPageBreak/>
        <w:t>PV of the Funding Benefits</w:t>
      </w:r>
      <w:r w:rsidRPr="008679D3">
        <w:t>:</w:t>
      </w:r>
      <w:r>
        <w:t xml:space="preserve"> The present value of the gain that senior creditors of the bank gain due to the inability of the collateral lenders to recover in full on default is referred to as FDA here. To compute this quantity, observe that at the time of a bank default, senior creditors will gain a benefit equal to the fraction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of the pool of derivative receivables, while a fraction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goes to the collateral lenders.</w:t>
      </w:r>
    </w:p>
    <w:p w:rsidR="00397E59" w:rsidRDefault="00397E59" w:rsidP="008A18B1">
      <w:pPr>
        <w:pStyle w:val="ListParagraph"/>
        <w:numPr>
          <w:ilvl w:val="0"/>
          <w:numId w:val="34"/>
        </w:numPr>
        <w:spacing w:line="360" w:lineRule="auto"/>
      </w:pPr>
      <w:r>
        <w:rPr>
          <w:u w:val="single"/>
        </w:rPr>
        <w:t>FDA Valuation Adjustment Formulation</w:t>
      </w:r>
      <w:r w:rsidRPr="008679D3">
        <w:t>:</w:t>
      </w:r>
      <w:r>
        <w:t xml:space="preserve"> From the above we have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FDA=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Thanks to the risk neutral valuation relation</w:t>
      </w:r>
    </w:p>
    <w:p w:rsidR="00397E59" w:rsidRDefault="00397E59" w:rsidP="00397E59">
      <w:pPr>
        <w:pStyle w:val="ListParagraph"/>
        <w:spacing w:line="360" w:lineRule="auto"/>
        <w:ind w:left="360"/>
      </w:pPr>
    </w:p>
    <w:p w:rsidR="00397E59" w:rsidRDefault="005D6A21" w:rsidP="00397E59">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for the bank credit spreads, we find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consistent with the discussion in the earlier section.</w:t>
      </w:r>
    </w:p>
    <w:p w:rsidR="00397E59" w:rsidRDefault="00397E59" w:rsidP="008A18B1">
      <w:pPr>
        <w:pStyle w:val="ListParagraph"/>
        <w:numPr>
          <w:ilvl w:val="0"/>
          <w:numId w:val="34"/>
        </w:numPr>
        <w:spacing w:line="360" w:lineRule="auto"/>
      </w:pPr>
      <w:r>
        <w:rPr>
          <w:u w:val="single"/>
        </w:rPr>
        <w:t>MMT Consistency of FVA/FDA Accounting</w:t>
      </w:r>
      <w:r w:rsidRPr="000B4D61">
        <w:t>:</w:t>
      </w:r>
      <w:r>
        <w:t xml:space="preserve"> The FVA and the FDA contribute with opposite signs to the bank fair valuation and cancel each other on the bank balance sheet, in agreement with the MMT. In other words, the fair valuation of the bank assets is indifferent to the funding strategy employed, and therefore to the FVA and the FDA. This relation was first noticed in Hull and White (2012), where the FVA is called DVA2 and the equation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was stated as a direct consequence of the MMT.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 and FBA</w:t>
      </w:r>
    </w:p>
    <w:p w:rsidR="00397E59" w:rsidRDefault="00397E59" w:rsidP="00397E59">
      <w:pPr>
        <w:spacing w:line="360" w:lineRule="auto"/>
      </w:pPr>
    </w:p>
    <w:p w:rsidR="00397E59" w:rsidRDefault="00397E59" w:rsidP="008A18B1">
      <w:pPr>
        <w:pStyle w:val="ListParagraph"/>
        <w:numPr>
          <w:ilvl w:val="0"/>
          <w:numId w:val="35"/>
        </w:numPr>
        <w:spacing w:line="360" w:lineRule="auto"/>
      </w:pPr>
      <w:r w:rsidRPr="00B56BFA">
        <w:rPr>
          <w:u w:val="single"/>
        </w:rPr>
        <w:t>Motivation Behind the FCA/FBA Accounting</w:t>
      </w:r>
      <w:r>
        <w:t>: FCA/FBA accounting is an approximation to the funding value adjustment motivated by a desire to base the methodology upon netting set specific metrics that are computable by means of traditional CVA systems. This methodology is in a sense an extension to large books of the work in Piterbarg (2010) and Burgard and Kjaer (2011) which focused on the case of individual trades treated in isolation and not in a portfolio context.</w:t>
      </w:r>
    </w:p>
    <w:p w:rsidR="00397E59" w:rsidRDefault="00397E59" w:rsidP="008A18B1">
      <w:pPr>
        <w:pStyle w:val="ListParagraph"/>
        <w:numPr>
          <w:ilvl w:val="0"/>
          <w:numId w:val="35"/>
        </w:numPr>
        <w:spacing w:line="360" w:lineRule="auto"/>
      </w:pPr>
      <w:r>
        <w:rPr>
          <w:u w:val="single"/>
        </w:rPr>
        <w:t>FCA/FBA Methodology - SFVA Computation</w:t>
      </w:r>
      <w:r w:rsidRPr="00B56BFA">
        <w:t>:</w:t>
      </w:r>
      <w:r>
        <w:t xml:space="preserve"> To better understand the logic behind FCA/FBA accounting, we note that if hypothetically the bank was never a net receiver of VM collateral and there were no collateral thresholds, then the funding cost of a cash flow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be represented as</w:t>
      </w:r>
    </w:p>
    <w:p w:rsidR="00397E59" w:rsidRDefault="00397E59" w:rsidP="00397E59">
      <w:pPr>
        <w:pStyle w:val="ListParagraph"/>
        <w:spacing w:line="360" w:lineRule="auto"/>
        <w:ind w:left="360"/>
        <w:rPr>
          <w:u w:val="single"/>
        </w:rPr>
      </w:pPr>
    </w:p>
    <w:p w:rsidR="00397E59" w:rsidRDefault="005D6A21"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m:t>
              </m:r>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5D6A21"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5D6A21"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represents the time </w:t>
      </w:r>
      <m:oMath>
        <m:r>
          <w:rPr>
            <w:rFonts w:ascii="Cambria Math" w:hAnsi="Cambria Math"/>
          </w:rPr>
          <m:t>t</m:t>
        </m:r>
      </m:oMath>
      <w:r>
        <w:t xml:space="preserve"> expectation in the risk-neutral measure. One interpretation of this formula is that the CFD desk has access to borrowing and lending lines at a funding rate of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are not subject to any credit risk.</w:t>
      </w:r>
    </w:p>
    <w:p w:rsidR="00397E59" w:rsidRDefault="00397E59" w:rsidP="008A18B1">
      <w:pPr>
        <w:pStyle w:val="ListParagraph"/>
        <w:numPr>
          <w:ilvl w:val="0"/>
          <w:numId w:val="35"/>
        </w:numPr>
        <w:spacing w:line="360" w:lineRule="auto"/>
      </w:pPr>
      <w:r>
        <w:rPr>
          <w:u w:val="single"/>
        </w:rPr>
        <w:lastRenderedPageBreak/>
        <w:t>Application of the Feynman-Kac Theorem</w:t>
      </w:r>
      <w:r>
        <w:t>: By the Feynman-Kac Theorem we have that</w:t>
      </w:r>
    </w:p>
    <w:p w:rsidR="00397E59" w:rsidRDefault="00397E59" w:rsidP="00397E59">
      <w:pPr>
        <w:pStyle w:val="ListParagraph"/>
        <w:spacing w:line="360" w:lineRule="auto"/>
        <w:ind w:left="360"/>
        <w:rPr>
          <w:u w:val="single"/>
        </w:rPr>
      </w:pPr>
    </w:p>
    <w:p w:rsidR="00397E59" w:rsidRDefault="005D6A21"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also by symmetry</w:t>
      </w:r>
    </w:p>
    <w:p w:rsidR="00397E59" w:rsidRDefault="00397E59" w:rsidP="00397E59">
      <w:pPr>
        <w:pStyle w:val="ListParagraph"/>
        <w:spacing w:line="360" w:lineRule="auto"/>
        <w:ind w:left="360"/>
      </w:pPr>
    </w:p>
    <w:p w:rsidR="00397E59" w:rsidRPr="00780E52" w:rsidRDefault="005D6A21"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5"/>
        </w:numPr>
        <w:spacing w:line="360" w:lineRule="auto"/>
      </w:pPr>
      <w:r>
        <w:rPr>
          <w:u w:val="single"/>
        </w:rPr>
        <w:t>Simplification of the SFVA Calculation</w:t>
      </w:r>
      <w:r w:rsidRPr="00FA7F5A">
        <w:t>:</w:t>
      </w:r>
      <w:r>
        <w:t xml:space="preserve"> It follows that</w:t>
      </w:r>
    </w:p>
    <w:p w:rsidR="00397E59" w:rsidRDefault="00397E59" w:rsidP="00397E59">
      <w:pPr>
        <w:pStyle w:val="ListParagraph"/>
        <w:spacing w:line="360" w:lineRule="auto"/>
        <w:ind w:left="360"/>
        <w:rPr>
          <w:u w:val="single"/>
        </w:rPr>
      </w:pPr>
    </w:p>
    <w:p w:rsidR="00397E59" w:rsidRDefault="005D6A21"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may be rewritten as</w:t>
      </w:r>
    </w:p>
    <w:p w:rsidR="00397E59" w:rsidRDefault="00397E59" w:rsidP="00397E59">
      <w:pPr>
        <w:pStyle w:val="ListParagraph"/>
        <w:spacing w:line="360" w:lineRule="auto"/>
        <w:ind w:left="360"/>
      </w:pPr>
    </w:p>
    <w:p w:rsidR="00397E59" w:rsidRDefault="005D6A21"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practice, the dependence 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in the exposure integral is inconvenient, so the second equality  is probably the most useful in applications.</w:t>
      </w:r>
    </w:p>
    <w:p w:rsidR="00397E59" w:rsidRDefault="00397E59" w:rsidP="008A18B1">
      <w:pPr>
        <w:pStyle w:val="ListParagraph"/>
        <w:numPr>
          <w:ilvl w:val="0"/>
          <w:numId w:val="35"/>
        </w:numPr>
        <w:spacing w:line="360" w:lineRule="auto"/>
      </w:pPr>
      <w:r>
        <w:rPr>
          <w:u w:val="single"/>
        </w:rPr>
        <w:t>Applying SFVA to the Netting Set</w:t>
      </w:r>
      <w:r w:rsidRPr="00EE7D42">
        <w:t>:</w:t>
      </w:r>
      <w:r>
        <w:t xml:space="preserve"> Extending the result above to the more general portfolio case with collateralized hedges, we write the SFVA for counterparty </w:t>
      </w:r>
      <m:oMath>
        <m:r>
          <w:rPr>
            <w:rFonts w:ascii="Cambria Math" w:hAnsi="Cambria Math"/>
          </w:rPr>
          <m:t>i</m:t>
        </m:r>
      </m:oMath>
      <w:r>
        <w:t xml:space="preserve"> as</w:t>
      </w:r>
    </w:p>
    <w:p w:rsidR="00397E59" w:rsidRDefault="00397E59" w:rsidP="00397E59">
      <w:pPr>
        <w:pStyle w:val="ListParagraph"/>
        <w:spacing w:line="360" w:lineRule="auto"/>
        <w:ind w:left="360"/>
        <w:rPr>
          <w:u w:val="single"/>
        </w:rPr>
      </w:pPr>
    </w:p>
    <w:p w:rsidR="00397E59" w:rsidRDefault="005D6A21"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Let us remark that assuming there are no collateral thresholds, the </w:t>
      </w:r>
      <m:oMath>
        <m:sSub>
          <m:sSubPr>
            <m:ctrlPr>
              <w:rPr>
                <w:rFonts w:ascii="Cambria Math" w:hAnsi="Cambria Math"/>
                <w:i/>
              </w:rPr>
            </m:ctrlPr>
          </m:sSubPr>
          <m:e>
            <m:r>
              <w:rPr>
                <w:rFonts w:ascii="Cambria Math" w:hAnsi="Cambria Math"/>
              </w:rPr>
              <m:t>SFVA</m:t>
            </m:r>
          </m:e>
          <m:sub>
            <m:r>
              <w:rPr>
                <w:rFonts w:ascii="Cambria Math" w:hAnsi="Cambria Math"/>
              </w:rPr>
              <m:t>i</m:t>
            </m:r>
          </m:sub>
        </m:sSub>
      </m:oMath>
      <w:r>
        <w:t xml:space="preserve"> decomposes further into a sum over the SFVA of trades contained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set. Collateral thresholds break this property and make the SFVA a netting set specific amount.</w:t>
      </w:r>
    </w:p>
    <w:p w:rsidR="00397E59" w:rsidRDefault="00397E59" w:rsidP="008A18B1">
      <w:pPr>
        <w:pStyle w:val="ListParagraph"/>
        <w:numPr>
          <w:ilvl w:val="0"/>
          <w:numId w:val="35"/>
        </w:numPr>
        <w:spacing w:line="360" w:lineRule="auto"/>
      </w:pPr>
      <w:r>
        <w:rPr>
          <w:u w:val="single"/>
        </w:rPr>
        <w:t>Decomposition into FCA/FBA Metrics</w:t>
      </w:r>
      <w:r w:rsidRPr="00EE7D42">
        <w:t>:</w:t>
      </w:r>
      <w:r>
        <w:t xml:space="preserve"> The netting set specific SFVA can be decomposed into cost and benefit components as follows.</w:t>
      </w:r>
    </w:p>
    <w:p w:rsidR="00397E59" w:rsidRDefault="00397E59" w:rsidP="00397E59">
      <w:pPr>
        <w:pStyle w:val="ListParagraph"/>
        <w:spacing w:line="360" w:lineRule="auto"/>
        <w:ind w:left="360"/>
        <w:rPr>
          <w:u w:val="single"/>
        </w:rPr>
      </w:pPr>
    </w:p>
    <w:p w:rsidR="00397E59" w:rsidRDefault="005D6A21"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5D6A21"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5D6A21"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also introduce the aggregate amounts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SFVA=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SFVA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780E52" w:rsidRDefault="00397E59" w:rsidP="00397E59">
      <w:pPr>
        <w:pStyle w:val="ListParagraph"/>
        <w:spacing w:line="360" w:lineRule="auto"/>
        <w:ind w:left="360"/>
      </w:pPr>
      <m:oMathPara>
        <m:oMath>
          <m:r>
            <w:rPr>
              <w:rFonts w:ascii="Cambria Math" w:hAnsi="Cambria Math"/>
            </w:rPr>
            <m:t>FCA=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FBA=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FBA</m:t>
                  </m:r>
                </m:e>
                <m:sub>
                  <m:r>
                    <w:rPr>
                      <w:rFonts w:ascii="Cambria Math" w:hAnsi="Cambria Math"/>
                    </w:rPr>
                    <m:t>i</m:t>
                  </m:r>
                </m:sub>
              </m:sSub>
            </m:e>
          </m:nary>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CA and CL Adjustments</w:t>
      </w:r>
    </w:p>
    <w:p w:rsidR="00397E59" w:rsidRDefault="00397E59" w:rsidP="00397E59">
      <w:pPr>
        <w:spacing w:line="360" w:lineRule="auto"/>
      </w:pPr>
    </w:p>
    <w:p w:rsidR="00397E59" w:rsidRDefault="00397E59" w:rsidP="008A18B1">
      <w:pPr>
        <w:pStyle w:val="ListParagraph"/>
        <w:numPr>
          <w:ilvl w:val="0"/>
          <w:numId w:val="36"/>
        </w:numPr>
        <w:spacing w:line="360" w:lineRule="auto"/>
      </w:pPr>
      <w:r w:rsidRPr="00940ED1">
        <w:rPr>
          <w:u w:val="single"/>
        </w:rPr>
        <w:t>Lack of Consistency in FCA/FBA</w:t>
      </w:r>
      <w:r>
        <w:t>: While, as described earlier, FVA/FDA accounting cleanly splits the CA and CL adjustments, the lack of consistency in the FCA/FBA accounting requires some effort to strike a reasonable compromise between conflicting assumptions. For this purpose, notice that the FBA in</w:t>
      </w:r>
    </w:p>
    <w:p w:rsidR="00397E59" w:rsidRDefault="00397E59" w:rsidP="00397E59">
      <w:pPr>
        <w:pStyle w:val="ListParagraph"/>
        <w:spacing w:line="360" w:lineRule="auto"/>
        <w:ind w:left="360"/>
        <w:rPr>
          <w:u w:val="single"/>
        </w:rPr>
      </w:pPr>
    </w:p>
    <w:p w:rsidR="00397E59" w:rsidRDefault="005D6A21"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quiet similar to the DVA in</w:t>
      </w:r>
    </w:p>
    <w:p w:rsidR="00397E59" w:rsidRDefault="00397E59" w:rsidP="00397E59">
      <w:pPr>
        <w:pStyle w:val="ListParagraph"/>
        <w:spacing w:line="360" w:lineRule="auto"/>
        <w:ind w:left="360"/>
      </w:pPr>
    </w:p>
    <w:p w:rsidR="00397E59" w:rsidRDefault="005D6A21"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m:t>
                                  </m:r>
                                  <m:r>
                                    <w:rPr>
                                      <w:rFonts w:ascii="Cambria Math" w:hAnsi="Cambria Math"/>
                                      <w:u w:val="single"/>
                                    </w:rPr>
                                    <m:t>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r w:rsidRPr="003E7E53">
        <w:t>yet it differs from it in two ways.</w:t>
      </w:r>
    </w:p>
    <w:p w:rsidR="00397E59" w:rsidRDefault="00397E59" w:rsidP="008A18B1">
      <w:pPr>
        <w:pStyle w:val="ListParagraph"/>
        <w:numPr>
          <w:ilvl w:val="0"/>
          <w:numId w:val="36"/>
        </w:numPr>
        <w:spacing w:line="360" w:lineRule="auto"/>
      </w:pPr>
      <w:r>
        <w:rPr>
          <w:u w:val="single"/>
        </w:rPr>
        <w:t>Effective Discount Rate in FCA/FBA</w:t>
      </w:r>
      <w:r w:rsidRPr="00940ED1">
        <w:t>:</w:t>
      </w:r>
      <w:r>
        <w:t xml:space="preserve"> First the FBA expression does not contain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Second, the FBA losses are discounted at the rate</w:t>
      </w:r>
    </w:p>
    <w:p w:rsidR="00397E59" w:rsidRDefault="00397E59" w:rsidP="00397E59">
      <w:pPr>
        <w:pStyle w:val="ListParagraph"/>
        <w:spacing w:line="360" w:lineRule="auto"/>
        <w:ind w:left="360"/>
        <w:rPr>
          <w:u w:val="single"/>
        </w:rPr>
      </w:pPr>
    </w:p>
    <w:p w:rsidR="00397E59" w:rsidRDefault="005D6A21"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rather than at (effectively) the rate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oMath>
      <w:r>
        <w:t>. Only in the unlikely case of</w:t>
      </w:r>
    </w:p>
    <w:p w:rsidR="00397E59" w:rsidRDefault="00397E59" w:rsidP="00397E59">
      <w:pPr>
        <w:pStyle w:val="ListParagraph"/>
        <w:spacing w:line="360" w:lineRule="auto"/>
        <w:ind w:left="360"/>
      </w:pPr>
    </w:p>
    <w:p w:rsidR="00397E59" w:rsidRDefault="005D6A21"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the discounting rule in the two expressions match. In general we have that</w:t>
      </w:r>
    </w:p>
    <w:p w:rsidR="00397E59" w:rsidRDefault="00397E59" w:rsidP="00397E59">
      <w:pPr>
        <w:pStyle w:val="ListParagraph"/>
        <w:spacing w:line="360" w:lineRule="auto"/>
        <w:ind w:left="360"/>
      </w:pPr>
    </w:p>
    <w:p w:rsidR="00397E59" w:rsidRPr="00042CC1" w:rsidRDefault="00397E59" w:rsidP="00397E59">
      <w:pPr>
        <w:pStyle w:val="ListParagraph"/>
        <w:spacing w:line="360" w:lineRule="auto"/>
        <w:ind w:left="360"/>
      </w:pPr>
      <m:oMathPara>
        <m:oMath>
          <m:r>
            <w:rPr>
              <w:rFonts w:ascii="Cambria Math" w:hAnsi="Cambria Math"/>
            </w:rPr>
            <m:t>FBA&gt;DVA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6"/>
        </w:numPr>
        <w:spacing w:line="360" w:lineRule="auto"/>
      </w:pPr>
      <w:r>
        <w:rPr>
          <w:u w:val="single"/>
        </w:rPr>
        <w:lastRenderedPageBreak/>
        <w:t>FBA as a CL Adjustment</w:t>
      </w:r>
      <w:r w:rsidRPr="00940ED1">
        <w:t>:</w:t>
      </w:r>
      <w:r>
        <w:t xml:space="preserve"> The FBA partially accounts for the RHO, but always contains a large overlap with the standard DVA on payables. Since the two components of FBA cannot be disentangled from each other, the full FBA entry is normally configured as a CL adjustment, similar to the way DVA is treated. On the other hand the FCA is clearly a CA deduction from CET1 that adds to the usual CVA deduction.</w:t>
      </w:r>
    </w:p>
    <w:p w:rsidR="00397E59" w:rsidRDefault="00397E59" w:rsidP="008A18B1">
      <w:pPr>
        <w:pStyle w:val="ListParagraph"/>
        <w:numPr>
          <w:ilvl w:val="0"/>
          <w:numId w:val="36"/>
        </w:numPr>
        <w:spacing w:line="360" w:lineRule="auto"/>
      </w:pPr>
      <w:r>
        <w:rPr>
          <w:u w:val="single"/>
        </w:rPr>
        <w:t>Comparison of FCA/FDA and FCA/FBA</w:t>
      </w:r>
      <w:r w:rsidRPr="00940ED1">
        <w:t>:</w:t>
      </w:r>
    </w:p>
    <w:p w:rsidR="00397E59" w:rsidRDefault="00397E59" w:rsidP="00397E59">
      <w:pPr>
        <w:spacing w:line="360" w:lineRule="auto"/>
      </w:pPr>
    </w:p>
    <w:tbl>
      <w:tblPr>
        <w:tblStyle w:val="TableGrid"/>
        <w:tblW w:w="0" w:type="auto"/>
        <w:tblInd w:w="360" w:type="dxa"/>
        <w:tblLook w:val="04A0" w:firstRow="1" w:lastRow="0" w:firstColumn="1" w:lastColumn="0" w:noHBand="0" w:noVBand="1"/>
      </w:tblPr>
      <w:tblGrid>
        <w:gridCol w:w="3068"/>
        <w:gridCol w:w="3074"/>
        <w:gridCol w:w="3074"/>
      </w:tblGrid>
      <w:tr w:rsidR="00397E59" w:rsidTr="00397E59">
        <w:tc>
          <w:tcPr>
            <w:tcW w:w="3116" w:type="dxa"/>
          </w:tcPr>
          <w:p w:rsidR="00397E59" w:rsidRPr="00940ED1" w:rsidRDefault="00397E59" w:rsidP="00397E59">
            <w:pPr>
              <w:spacing w:line="360" w:lineRule="auto"/>
              <w:jc w:val="center"/>
              <w:rPr>
                <w:b/>
              </w:rPr>
            </w:pPr>
          </w:p>
        </w:tc>
        <w:tc>
          <w:tcPr>
            <w:tcW w:w="3117" w:type="dxa"/>
          </w:tcPr>
          <w:p w:rsidR="00397E59" w:rsidRPr="00940ED1" w:rsidRDefault="00397E59" w:rsidP="00397E59">
            <w:pPr>
              <w:spacing w:line="360" w:lineRule="auto"/>
              <w:jc w:val="center"/>
              <w:rPr>
                <w:b/>
              </w:rPr>
            </w:pPr>
            <w:r>
              <w:rPr>
                <w:b/>
              </w:rPr>
              <w:t>CA Adjustment</w:t>
            </w:r>
          </w:p>
        </w:tc>
        <w:tc>
          <w:tcPr>
            <w:tcW w:w="3117" w:type="dxa"/>
          </w:tcPr>
          <w:p w:rsidR="00397E59" w:rsidRPr="00940ED1" w:rsidRDefault="00397E59" w:rsidP="00397E59">
            <w:pPr>
              <w:spacing w:line="360" w:lineRule="auto"/>
              <w:jc w:val="center"/>
              <w:rPr>
                <w:b/>
              </w:rPr>
            </w:pPr>
            <w:r>
              <w:rPr>
                <w:b/>
              </w:rPr>
              <w:t>CL Adjustment</w:t>
            </w:r>
          </w:p>
        </w:tc>
      </w:tr>
      <w:tr w:rsidR="00397E59" w:rsidTr="00397E59">
        <w:tc>
          <w:tcPr>
            <w:tcW w:w="3116" w:type="dxa"/>
          </w:tcPr>
          <w:p w:rsidR="00397E59" w:rsidRDefault="00397E59" w:rsidP="00397E59">
            <w:pPr>
              <w:spacing w:line="360" w:lineRule="auto"/>
              <w:jc w:val="center"/>
            </w:pPr>
            <w:r>
              <w:t>FVA/FDA</w:t>
            </w:r>
          </w:p>
        </w:tc>
        <w:tc>
          <w:tcPr>
            <w:tcW w:w="3117" w:type="dxa"/>
          </w:tcPr>
          <w:p w:rsidR="00397E59" w:rsidRDefault="00397E59" w:rsidP="00397E59">
            <w:pPr>
              <w:spacing w:line="360" w:lineRule="auto"/>
              <w:jc w:val="center"/>
            </w:pPr>
            <m:oMathPara>
              <m:oMath>
                <m:r>
                  <w:rPr>
                    <w:rFonts w:ascii="Cambria Math" w:hAnsi="Cambria Math"/>
                  </w:rPr>
                  <m:t>UCVA+FVA</m:t>
                </m:r>
              </m:oMath>
            </m:oMathPara>
          </w:p>
        </w:tc>
        <w:tc>
          <w:tcPr>
            <w:tcW w:w="3117" w:type="dxa"/>
          </w:tcPr>
          <w:p w:rsidR="00397E59" w:rsidRDefault="005D6A21"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+DVA+FDA</m:t>
                </m:r>
              </m:oMath>
            </m:oMathPara>
          </w:p>
        </w:tc>
      </w:tr>
      <w:tr w:rsidR="00397E59" w:rsidTr="00397E59">
        <w:tc>
          <w:tcPr>
            <w:tcW w:w="3116" w:type="dxa"/>
          </w:tcPr>
          <w:p w:rsidR="00397E59" w:rsidRDefault="00397E59" w:rsidP="00397E59">
            <w:pPr>
              <w:spacing w:line="360" w:lineRule="auto"/>
              <w:jc w:val="center"/>
            </w:pPr>
            <w:r>
              <w:t>FCA/FBA</w:t>
            </w:r>
          </w:p>
        </w:tc>
        <w:tc>
          <w:tcPr>
            <w:tcW w:w="3117" w:type="dxa"/>
          </w:tcPr>
          <w:p w:rsidR="00397E59" w:rsidRDefault="00397E59" w:rsidP="00397E59">
            <w:pPr>
              <w:spacing w:line="360" w:lineRule="auto"/>
              <w:jc w:val="center"/>
            </w:pPr>
            <m:oMathPara>
              <m:oMath>
                <m:r>
                  <w:rPr>
                    <w:rFonts w:ascii="Cambria Math" w:hAnsi="Cambria Math"/>
                  </w:rPr>
                  <m:t>UCVA+FCA</m:t>
                </m:r>
              </m:oMath>
            </m:oMathPara>
          </w:p>
        </w:tc>
        <w:tc>
          <w:tcPr>
            <w:tcW w:w="3117" w:type="dxa"/>
          </w:tcPr>
          <w:p w:rsidR="00397E59" w:rsidRDefault="005D6A21"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+FBA</m:t>
                </m:r>
              </m:oMath>
            </m:oMathPara>
          </w:p>
        </w:tc>
      </w:tr>
    </w:tbl>
    <w:p w:rsidR="00397E59" w:rsidRDefault="00397E59" w:rsidP="00397E59">
      <w:pPr>
        <w:spacing w:line="360" w:lineRule="auto"/>
        <w:ind w:left="360"/>
      </w:pPr>
    </w:p>
    <w:p w:rsidR="00397E59" w:rsidRDefault="00397E59" w:rsidP="008A18B1">
      <w:pPr>
        <w:pStyle w:val="ListParagraph"/>
        <w:numPr>
          <w:ilvl w:val="0"/>
          <w:numId w:val="36"/>
        </w:numPr>
        <w:spacing w:line="360" w:lineRule="auto"/>
      </w:pPr>
      <w:r>
        <w:rPr>
          <w:u w:val="single"/>
        </w:rPr>
        <w:t>FCA/FBA vs. FDA/FVA CA Adjustments</w:t>
      </w:r>
      <w:r w:rsidRPr="00940ED1">
        <w:t>:</w:t>
      </w:r>
      <w:r>
        <w:t xml:space="preserve"> To comment on the relative magnitudes of the CA and CL adjustments between the two methods, notice that since the FCA/FBA approximation effectively amounts to recognizing the re-hypothecation benefits only within the individual netting sets, one expects that the FCA is much larger than the FVA, i.e., the FCA/FBA accounting produces much larger CA deductions than the FVA/FDA accounting.</w:t>
      </w:r>
    </w:p>
    <w:p w:rsidR="00397E59" w:rsidRDefault="00397E59" w:rsidP="008A18B1">
      <w:pPr>
        <w:pStyle w:val="ListParagraph"/>
        <w:numPr>
          <w:ilvl w:val="0"/>
          <w:numId w:val="36"/>
        </w:numPr>
        <w:spacing w:line="360" w:lineRule="auto"/>
      </w:pPr>
      <w:r>
        <w:rPr>
          <w:u w:val="single"/>
        </w:rPr>
        <w:t>FVA/FDA vs FCA/FBA CL Adjustments</w:t>
      </w:r>
      <w:r w:rsidRPr="00F064EF">
        <w:t>:</w:t>
      </w:r>
      <w:r>
        <w:t xml:space="preserve"> As for the CL adjustments, note that the CL adjustment under the FCA/FBA accounting effectively drops the DVA term in order to avoid double-counting. The case study conducted by Albanese and Andersen (2014) confirms these conclusions. They also quantify the RHO amount, the degree of symmetry breaking in the FCA/FBA accounting, and the difference between FBA and DVA.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Own Credit Sensitivities</w:t>
      </w:r>
    </w:p>
    <w:p w:rsidR="00397E59" w:rsidRDefault="00397E59" w:rsidP="00397E59">
      <w:pPr>
        <w:spacing w:line="360" w:lineRule="auto"/>
      </w:pPr>
    </w:p>
    <w:p w:rsidR="00397E59" w:rsidRDefault="00397E59" w:rsidP="008A18B1">
      <w:pPr>
        <w:pStyle w:val="ListParagraph"/>
        <w:numPr>
          <w:ilvl w:val="0"/>
          <w:numId w:val="37"/>
        </w:numPr>
        <w:spacing w:line="360" w:lineRule="auto"/>
      </w:pPr>
      <w:r w:rsidRPr="006A7E92">
        <w:rPr>
          <w:u w:val="single"/>
        </w:rPr>
        <w:t>Expected Positive Exposure Valuation Formulation</w:t>
      </w:r>
      <w:r>
        <w:t xml:space="preserve">: As discussed earlier CET1 deduction should generally not decrease when the bank spreads increase. To investigate the sensitivity of the FVA to the bank spread, it is necessary to estimate the discounted Expected Positive Exposure (EPE) up to time </w:t>
      </w:r>
      <m:oMath>
        <m:r>
          <w:rPr>
            <w:rFonts w:ascii="Cambria Math" w:hAnsi="Cambria Math"/>
          </w:rPr>
          <m:t>t</m:t>
        </m:r>
      </m:oMath>
      <w:r>
        <w:t xml:space="preserve">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T</m:t>
        </m:r>
      </m:oMath>
      <w:r>
        <w:t xml:space="preserve"> (the upper integration limit) is the longest maturity on any trade in the funding set in question.</w:t>
      </w:r>
    </w:p>
    <w:p w:rsidR="00397E59" w:rsidRDefault="00397E59" w:rsidP="008A18B1">
      <w:pPr>
        <w:pStyle w:val="ListParagraph"/>
        <w:numPr>
          <w:ilvl w:val="0"/>
          <w:numId w:val="37"/>
        </w:numPr>
        <w:spacing w:line="360" w:lineRule="auto"/>
      </w:pPr>
      <w:r>
        <w:rPr>
          <w:u w:val="single"/>
        </w:rPr>
        <w:t>FVA Funding Spread Impact Theorem</w:t>
      </w:r>
      <w:r w:rsidRPr="006A7E92">
        <w:t>:</w:t>
      </w:r>
      <w:r>
        <w:t xml:space="preserve"> Assume that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independent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oMath>
      <w:r>
        <w:t xml:space="preserve"> and let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be subject to a perturbation of the type</w:t>
      </w:r>
    </w:p>
    <w:p w:rsidR="00397E59" w:rsidRDefault="00397E59" w:rsidP="00397E59">
      <w:pPr>
        <w:pStyle w:val="ListParagraph"/>
        <w:spacing w:line="360" w:lineRule="auto"/>
        <w:ind w:left="360"/>
      </w:pPr>
    </w:p>
    <w:p w:rsidR="00397E59" w:rsidRDefault="005D6A21"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ϵ</m:t>
        </m:r>
      </m:oMath>
      <w:r>
        <w:t xml:space="preserve"> is a scalar 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bounded deterministic function. Also define the Gateaux derivative</w:t>
      </w:r>
    </w:p>
    <w:p w:rsidR="00397E59" w:rsidRDefault="00397E59" w:rsidP="00397E59">
      <w:pPr>
        <w:pStyle w:val="ListParagraph"/>
        <w:spacing w:line="360" w:lineRule="auto"/>
        <w:ind w:left="360"/>
      </w:pPr>
    </w:p>
    <w:p w:rsidR="00397E59" w:rsidRDefault="005D6A21"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5D6A21"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if and only if</w:t>
      </w:r>
    </w:p>
    <w:p w:rsidR="00397E59" w:rsidRDefault="00397E59" w:rsidP="00397E59">
      <w:pPr>
        <w:pStyle w:val="ListParagraph"/>
        <w:spacing w:line="360" w:lineRule="auto"/>
        <w:ind w:left="360"/>
      </w:pPr>
    </w:p>
    <w:p w:rsidR="00397E59" w:rsidRPr="00264080" w:rsidRDefault="005D6A21"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e>
          </m:nary>
          <m:r>
            <w:rPr>
              <w:rFonts w:ascii="Cambria Math" w:hAnsi="Cambria Math"/>
            </w:rPr>
            <m:t>dt≥0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FVA Funding Spread Impact - Proof</w:t>
      </w:r>
      <w:r>
        <w:t>: Defining</w:t>
      </w:r>
    </w:p>
    <w:p w:rsidR="00397E59" w:rsidRDefault="00397E59" w:rsidP="00397E59">
      <w:pPr>
        <w:pStyle w:val="ListParagraph"/>
        <w:spacing w:line="360" w:lineRule="auto"/>
        <w:ind w:left="360"/>
        <w:rPr>
          <w:u w:val="single"/>
        </w:rPr>
      </w:pPr>
    </w:p>
    <w:p w:rsidR="00397E59" w:rsidRDefault="005D6A21" w:rsidP="00397E59">
      <w:pPr>
        <w:pStyle w:val="ListParagraph"/>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re-casting </w:t>
      </w:r>
      <m:oMath>
        <m:r>
          <w:rPr>
            <w:rFonts w:ascii="Cambria Math" w:hAnsi="Cambria Math"/>
          </w:rPr>
          <m:t>FVA</m:t>
        </m:r>
      </m:oMath>
      <w:r>
        <w:t xml:space="preserve"> as a function of </w:t>
      </w:r>
      <m:oMath>
        <m:r>
          <w:rPr>
            <w:rFonts w:ascii="Cambria Math" w:hAnsi="Cambria Math"/>
          </w:rPr>
          <m:t>ϵ</m:t>
        </m:r>
      </m:oMath>
      <w:r>
        <w:t xml:space="preserve"> in</w:t>
      </w:r>
    </w:p>
    <w:p w:rsidR="00397E59" w:rsidRDefault="00397E59" w:rsidP="00397E59">
      <w:pPr>
        <w:pStyle w:val="ListParagraph"/>
        <w:spacing w:line="360" w:lineRule="auto"/>
        <w:ind w:left="360"/>
      </w:pPr>
    </w:p>
    <w:p w:rsidR="00397E59" w:rsidRDefault="005D6A21"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q</m:t>
                                  </m:r>
                                </m:e>
                                <m:sub>
                                  <m:r>
                                    <w:rPr>
                                      <w:rFonts w:ascii="Cambria Math" w:hAnsi="Cambria Math"/>
                                    </w:rPr>
                                    <m:t>B</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+ϵh</m:t>
                                  </m:r>
                                  <m:d>
                                    <m:dPr>
                                      <m:ctrlPr>
                                        <w:rPr>
                                          <w:rFonts w:ascii="Cambria Math" w:hAnsi="Cambria Math"/>
                                          <w:i/>
                                        </w:rPr>
                                      </m:ctrlPr>
                                    </m:dPr>
                                    <m:e>
                                      <m:r>
                                        <w:rPr>
                                          <w:rFonts w:ascii="Cambria Math" w:hAnsi="Cambria Math"/>
                                        </w:rPr>
                                        <m:t>s</m:t>
                                      </m:r>
                                    </m:e>
                                  </m:d>
                                </m:e>
                              </m:d>
                            </m:e>
                          </m:d>
                        </m:e>
                      </m:nary>
                      <m:r>
                        <w:rPr>
                          <w:rFonts w:ascii="Cambria Math" w:hAnsi="Cambria Math"/>
                          <w:u w:val="single"/>
                        </w:rPr>
                        <m:t>ds</m:t>
                      </m:r>
                    </m:sup>
                  </m:sSup>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we have used</w:t>
      </w:r>
    </w:p>
    <w:p w:rsidR="00397E59" w:rsidRDefault="00397E59" w:rsidP="00397E59">
      <w:pPr>
        <w:pStyle w:val="ListParagraph"/>
        <w:spacing w:line="360" w:lineRule="auto"/>
        <w:ind w:left="360"/>
      </w:pPr>
    </w:p>
    <w:p w:rsidR="00397E59" w:rsidRDefault="005D6A21"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Straightforward calculus shows that</w:t>
      </w:r>
    </w:p>
    <w:p w:rsidR="00397E59" w:rsidRDefault="00397E59" w:rsidP="00397E59">
      <w:pPr>
        <w:pStyle w:val="ListParagraph"/>
        <w:spacing w:line="360" w:lineRule="auto"/>
        <w:ind w:left="360"/>
      </w:pPr>
    </w:p>
    <w:p w:rsidR="00397E59" w:rsidRDefault="005D6A21"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the second equality follows from the independence assumption. The criterion</w:t>
      </w:r>
    </w:p>
    <w:p w:rsidR="00397E59" w:rsidRDefault="00397E59" w:rsidP="00397E59">
      <w:pPr>
        <w:pStyle w:val="ListParagraph"/>
        <w:spacing w:line="360" w:lineRule="auto"/>
        <w:ind w:left="360"/>
      </w:pPr>
    </w:p>
    <w:p w:rsidR="00397E59" w:rsidRPr="00264080" w:rsidRDefault="005D6A21"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w:r>
        <w:t>then follows.</w:t>
      </w:r>
    </w:p>
    <w:p w:rsidR="00397E59" w:rsidRDefault="00397E59" w:rsidP="008A18B1">
      <w:pPr>
        <w:pStyle w:val="ListParagraph"/>
        <w:numPr>
          <w:ilvl w:val="0"/>
          <w:numId w:val="37"/>
        </w:numPr>
        <w:spacing w:line="360" w:lineRule="auto"/>
      </w:pPr>
      <w:r>
        <w:rPr>
          <w:u w:val="single"/>
        </w:rPr>
        <w:t>Gateaux Function Lower Bound Corollary</w:t>
      </w:r>
      <w:r w:rsidRPr="00806047">
        <w:t>:</w:t>
      </w:r>
      <w:r>
        <w:t xml:space="preserve"> In the setting of the previous theorem, if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5D6A21"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Gateaux Function Lower Bound Proof</w:t>
      </w:r>
      <w:r w:rsidRPr="00806047">
        <w:t>:</w:t>
      </w:r>
      <w:r>
        <w:t xml:space="preserve"> This corollary follows directly from</w:t>
      </w:r>
    </w:p>
    <w:p w:rsidR="00397E59" w:rsidRDefault="00397E59" w:rsidP="00397E59">
      <w:pPr>
        <w:pStyle w:val="ListParagraph"/>
        <w:spacing w:line="360" w:lineRule="auto"/>
        <w:ind w:left="360"/>
        <w:rPr>
          <w:u w:val="single"/>
        </w:rPr>
      </w:pPr>
    </w:p>
    <w:p w:rsidR="00397E59" w:rsidRDefault="005D6A21"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from the fact that</w:t>
      </w:r>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Further it turns out that it is a sufficient but conservative condition that ensures</w:t>
      </w:r>
    </w:p>
    <w:p w:rsidR="00397E59" w:rsidRDefault="00397E59" w:rsidP="00397E59">
      <w:pPr>
        <w:pStyle w:val="ListParagraph"/>
        <w:spacing w:line="360" w:lineRule="auto"/>
        <w:ind w:left="360"/>
      </w:pPr>
    </w:p>
    <w:p w:rsidR="00397E59" w:rsidRPr="00264080" w:rsidRDefault="005D6A21"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lastRenderedPageBreak/>
        <w:t>Right-way Regulatory Sensitivity Criterion</w:t>
      </w:r>
      <w:r>
        <w:t xml:space="preserve">: Suppose for instance that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positive constants, i.e., we have a flat credit curve that is being shifted up in a parallel fashion. “Right-way” regulatory sensitivity is guaranteed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if</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hT</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or</w:t>
      </w:r>
    </w:p>
    <w:p w:rsidR="00397E59" w:rsidRDefault="00397E59" w:rsidP="00397E59">
      <w:pPr>
        <w:pStyle w:val="ListParagraph"/>
        <w:spacing w:line="360" w:lineRule="auto"/>
        <w:ind w:left="360"/>
      </w:pPr>
    </w:p>
    <w:p w:rsidR="00397E59" w:rsidRDefault="005D6A21"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m:oMathPara>
    </w:p>
    <w:p w:rsidR="00397E59" w:rsidRDefault="00397E59" w:rsidP="00397E59">
      <w:pPr>
        <w:spacing w:line="360" w:lineRule="auto"/>
      </w:pPr>
    </w:p>
    <w:p w:rsidR="00397E59" w:rsidRDefault="00397E59" w:rsidP="008A18B1">
      <w:pPr>
        <w:pStyle w:val="ListParagraph"/>
        <w:numPr>
          <w:ilvl w:val="0"/>
          <w:numId w:val="37"/>
        </w:numPr>
        <w:spacing w:line="360" w:lineRule="auto"/>
      </w:pPr>
      <w:r>
        <w:rPr>
          <w:u w:val="single"/>
        </w:rPr>
        <w:t>Right-way Sensitivity Typical Behavior</w:t>
      </w:r>
      <w:r>
        <w:t xml:space="preserve">: Some typical values for the constants in </w:t>
      </w:r>
      <m:oMath>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w:r>
        <w:t xml:space="preserve"> are</w:t>
      </w:r>
    </w:p>
    <w:p w:rsidR="00397E59" w:rsidRDefault="00397E59" w:rsidP="00397E59">
      <w:pPr>
        <w:pStyle w:val="ListParagraph"/>
        <w:spacing w:line="360" w:lineRule="auto"/>
        <w:ind w:left="360"/>
        <w:rPr>
          <w:u w:val="single"/>
        </w:rPr>
      </w:pPr>
    </w:p>
    <w:p w:rsidR="00397E59" w:rsidRDefault="005D6A21"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=40%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T=10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yields</w:t>
      </w:r>
    </w:p>
    <w:p w:rsidR="00397E59" w:rsidRDefault="00397E59" w:rsidP="00397E59">
      <w:pPr>
        <w:pStyle w:val="ListParagraph"/>
        <w:spacing w:line="360" w:lineRule="auto"/>
        <w:ind w:left="360"/>
      </w:pPr>
    </w:p>
    <w:p w:rsidR="00397E59" w:rsidRDefault="005D6A21"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≤6%</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a condition that is rarely violated (common values for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w:t>
      </w:r>
      <m:oMath>
        <m:r>
          <w:rPr>
            <w:rFonts w:ascii="Cambria Math" w:hAnsi="Cambria Math"/>
          </w:rPr>
          <m:t>1-2%</m:t>
        </m:r>
      </m:oMath>
      <w:r>
        <w:t>).</w:t>
      </w:r>
    </w:p>
    <w:p w:rsidR="00397E59" w:rsidRDefault="00397E59" w:rsidP="008A18B1">
      <w:pPr>
        <w:pStyle w:val="ListParagraph"/>
        <w:numPr>
          <w:ilvl w:val="0"/>
          <w:numId w:val="37"/>
        </w:numPr>
        <w:spacing w:line="360" w:lineRule="auto"/>
      </w:pPr>
      <w:r>
        <w:rPr>
          <w:u w:val="single"/>
        </w:rPr>
        <w:t>Alternate Right-way Regulatory Sensitivity</w:t>
      </w:r>
      <w:r>
        <w:t>: Alternatively, if we assume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≈EPE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approximately constant in</w:t>
      </w:r>
    </w:p>
    <w:p w:rsidR="00397E59" w:rsidRDefault="00397E59" w:rsidP="00397E59">
      <w:pPr>
        <w:pStyle w:val="ListParagraph"/>
        <w:spacing w:line="360" w:lineRule="auto"/>
        <w:ind w:left="360"/>
      </w:pPr>
    </w:p>
    <w:p w:rsidR="00397E59" w:rsidRDefault="005D6A21"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then it can be written (again for constant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w:t>
      </w:r>
    </w:p>
    <w:p w:rsidR="00397E59" w:rsidRDefault="00397E59" w:rsidP="00397E59">
      <w:pPr>
        <w:pStyle w:val="ListParagraph"/>
        <w:spacing w:line="360" w:lineRule="auto"/>
        <w:ind w:left="360"/>
      </w:pPr>
    </w:p>
    <w:p w:rsidR="00397E59" w:rsidRPr="00E97E3E" w:rsidRDefault="005D6A21"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FVA≈EPE∙</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sup>
              </m:sSup>
              <m:d>
                <m:dPr>
                  <m:ctrlPr>
                    <w:rPr>
                      <w:rFonts w:ascii="Cambria Math" w:hAnsi="Cambria Math"/>
                      <w:i/>
                      <w:u w:val="single"/>
                    </w:rPr>
                  </m:ctrlPr>
                </m:dPr>
                <m:e>
                  <m:r>
                    <w:rPr>
                      <w:rFonts w:ascii="Cambria Math" w:hAnsi="Cambria Math"/>
                      <w:u w:val="single"/>
                    </w:rPr>
                    <m:t>h-</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r>
                <w:rPr>
                  <w:rFonts w:ascii="Cambria Math" w:hAnsi="Cambria Math"/>
                  <w:u w:val="single"/>
                </w:rPr>
                <m:t>dt</m:t>
              </m:r>
            </m:e>
          </m:nary>
          <m:r>
            <w:rPr>
              <w:rFonts w:ascii="Cambria Math" w:hAnsi="Cambria Math"/>
            </w:rPr>
            <m:t>≈EPE∙hT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leads to a bound that is twice as loose as before</w:t>
      </w:r>
    </w:p>
    <w:p w:rsidR="00397E59" w:rsidRDefault="00397E59" w:rsidP="00397E59">
      <w:pPr>
        <w:pStyle w:val="ListParagraph"/>
        <w:spacing w:line="360" w:lineRule="auto"/>
        <w:ind w:left="360"/>
      </w:pPr>
    </w:p>
    <w:p w:rsidR="00397E59" w:rsidRPr="00E97E3E" w:rsidRDefault="005D6A21"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num>
            <m:den>
              <m:r>
                <w:rPr>
                  <w:rFonts w:ascii="Cambria Math" w:hAnsi="Cambria Math"/>
                </w:rPr>
                <m:t>T</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Situation FVA Regulatory Sensitivity</w:t>
      </w:r>
      <w:r>
        <w:t xml:space="preserve">: In most situations the </w:t>
      </w:r>
      <m:oMath>
        <m:r>
          <w:rPr>
            <w:rFonts w:ascii="Cambria Math" w:hAnsi="Cambria Math"/>
          </w:rPr>
          <m:t>EPE</m:t>
        </m:r>
        <m:d>
          <m:dPr>
            <m:ctrlPr>
              <w:rPr>
                <w:rFonts w:ascii="Cambria Math" w:hAnsi="Cambria Math"/>
                <w:i/>
              </w:rPr>
            </m:ctrlPr>
          </m:dPr>
          <m:e>
            <m:r>
              <w:rPr>
                <w:rFonts w:ascii="Cambria Math" w:hAnsi="Cambria Math"/>
              </w:rPr>
              <m:t>t</m:t>
            </m:r>
          </m:e>
        </m:d>
      </m:oMath>
      <w:r>
        <w:t xml:space="preserve"> terms in</w:t>
      </w:r>
    </w:p>
    <w:p w:rsidR="00397E59" w:rsidRDefault="00397E59" w:rsidP="00397E59">
      <w:pPr>
        <w:pStyle w:val="ListParagraph"/>
        <w:spacing w:line="360" w:lineRule="auto"/>
        <w:ind w:left="360"/>
      </w:pPr>
    </w:p>
    <w:p w:rsidR="00397E59" w:rsidRDefault="005D6A21"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typically peak long before </w:t>
      </w:r>
      <m:oMath>
        <m:r>
          <w:rPr>
            <w:rFonts w:ascii="Cambria Math" w:hAnsi="Cambria Math"/>
          </w:rPr>
          <m:t>T</m:t>
        </m:r>
      </m:oMath>
      <w:r>
        <w:t xml:space="preserve">, which would widen the bound even further. All in all it is safe to say that in normal conditions FVA increases when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is decreased.</w:t>
      </w:r>
    </w:p>
    <w:p w:rsidR="00397E59" w:rsidRDefault="00397E59" w:rsidP="008A18B1">
      <w:pPr>
        <w:pStyle w:val="ListParagraph"/>
        <w:numPr>
          <w:ilvl w:val="0"/>
          <w:numId w:val="37"/>
        </w:numPr>
        <w:spacing w:line="360" w:lineRule="auto"/>
      </w:pPr>
      <w:r>
        <w:rPr>
          <w:u w:val="single"/>
        </w:rPr>
        <w:t>SFVA Funding Spread Perturbation Impact</w:t>
      </w:r>
      <w:r w:rsidRPr="00E97E3E">
        <w:t>:</w:t>
      </w:r>
      <w:r>
        <w:t xml:space="preserve"> If we repeat the arguments behind the FVA funding spread impact theorem for the SFVA defined in</w:t>
      </w:r>
    </w:p>
    <w:p w:rsidR="00397E59" w:rsidRDefault="00397E59" w:rsidP="00397E59">
      <w:pPr>
        <w:pStyle w:val="ListParagraph"/>
        <w:spacing w:line="360" w:lineRule="auto"/>
        <w:ind w:left="360"/>
        <w:rPr>
          <w:u w:val="single"/>
        </w:rPr>
      </w:pPr>
    </w:p>
    <w:p w:rsidR="00397E59" w:rsidRPr="00AC2F7A" w:rsidRDefault="005D6A21"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result is easily seen to be</w:t>
      </w:r>
    </w:p>
    <w:p w:rsidR="00397E59" w:rsidRDefault="00397E59" w:rsidP="00397E59">
      <w:pPr>
        <w:pStyle w:val="ListParagraph"/>
        <w:spacing w:line="360" w:lineRule="auto"/>
        <w:ind w:left="360"/>
      </w:pPr>
    </w:p>
    <w:p w:rsidR="00397E59" w:rsidRPr="00AC2F7A" w:rsidRDefault="005D6A21"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SFVA=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Conditions SFVA Regulatory Sensitivity</w:t>
      </w:r>
      <w:r>
        <w:t xml:space="preserve">: In case </w:t>
      </w:r>
      <m:oMath>
        <m:r>
          <w:rPr>
            <w:rFonts w:ascii="Cambria Math" w:hAnsi="Cambria Math"/>
          </w:rPr>
          <m:t>h</m:t>
        </m:r>
        <m:d>
          <m:dPr>
            <m:ctrlPr>
              <w:rPr>
                <w:rFonts w:ascii="Cambria Math" w:hAnsi="Cambria Math"/>
                <w:i/>
              </w:rPr>
            </m:ctrlPr>
          </m:dPr>
          <m:e>
            <m:r>
              <w:rPr>
                <w:rFonts w:ascii="Cambria Math" w:hAnsi="Cambria Math"/>
              </w:rPr>
              <m:t>t</m:t>
            </m:r>
          </m:e>
        </m:d>
      </m:oMath>
      <w:r>
        <w:t xml:space="preserve"> satisfies the conditions above that ensure the positivity of </w:t>
      </w:r>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oMath>
      <w:r>
        <w:t xml:space="preserve"> and in situations where the funding sets are prevailingly net payables, the SFVA has wrong sign sensitivities and is unsuitable as a CET1 deduction. This issue is expanded later 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0"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w:t>
      </w:r>
      <w:hyperlink r:id="rId61"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Carver, L. (2013): ROE Hurdles Cause Pricing Impasse </w:t>
      </w:r>
      <w:r>
        <w:rPr>
          <w:i/>
        </w:rPr>
        <w:t>Risk</w:t>
      </w:r>
      <w:r>
        <w:t>.</w:t>
      </w:r>
    </w:p>
    <w:p w:rsidR="00397E59" w:rsidRDefault="00397E59" w:rsidP="008A18B1">
      <w:pPr>
        <w:pStyle w:val="Footer"/>
        <w:numPr>
          <w:ilvl w:val="0"/>
          <w:numId w:val="1"/>
        </w:numPr>
        <w:tabs>
          <w:tab w:val="clear" w:pos="4320"/>
          <w:tab w:val="clear" w:pos="8640"/>
        </w:tabs>
        <w:spacing w:line="360" w:lineRule="auto"/>
      </w:pPr>
      <w:r>
        <w:t xml:space="preserve">Hull, J., and A. White (2012): Is FVA a Cost for Derivatives Desks? </w:t>
      </w:r>
      <w:r>
        <w:rPr>
          <w:i/>
        </w:rPr>
        <w:t>Risk</w:t>
      </w:r>
      <w:r>
        <w:t xml:space="preserve"> 83-85.</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62"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97-102.</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Triggers and Close-out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8"/>
        </w:numPr>
        <w:spacing w:line="360" w:lineRule="auto"/>
      </w:pPr>
      <w:r w:rsidRPr="001B5622">
        <w:rPr>
          <w:u w:val="single"/>
        </w:rPr>
        <w:t>Motivation</w:t>
      </w:r>
      <w:r>
        <w:t>: This section provides a greater detail and a realistic analysis of the cash flows and the close out protocols.</w:t>
      </w:r>
    </w:p>
    <w:p w:rsidR="00397E59" w:rsidRDefault="00397E59" w:rsidP="008A18B1">
      <w:pPr>
        <w:pStyle w:val="ListParagraph"/>
        <w:numPr>
          <w:ilvl w:val="0"/>
          <w:numId w:val="38"/>
        </w:numPr>
        <w:spacing w:line="360" w:lineRule="auto"/>
      </w:pPr>
      <w:r>
        <w:rPr>
          <w:u w:val="single"/>
        </w:rPr>
        <w:t>Default-Free Fair Valuation</w:t>
      </w:r>
      <w:r w:rsidRPr="007458F3">
        <w:t>:</w:t>
      </w:r>
      <w:r>
        <w:t xml:space="preserve"> Let</w:t>
      </w:r>
    </w:p>
    <w:p w:rsidR="00397E59" w:rsidRDefault="00397E59" w:rsidP="00397E59">
      <w:pPr>
        <w:pStyle w:val="ListParagraph"/>
        <w:spacing w:line="360" w:lineRule="auto"/>
        <w:ind w:left="360"/>
        <w:rPr>
          <w:u w:val="single"/>
        </w:rPr>
      </w:pPr>
    </w:p>
    <w:p w:rsidR="00397E59" w:rsidRDefault="005D6A21"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be the default free valuation at time </w:t>
      </w:r>
      <m:oMath>
        <m:r>
          <w:rPr>
            <w:rFonts w:ascii="Cambria Math" w:hAnsi="Cambria Math"/>
          </w:rPr>
          <m:t>t</m:t>
        </m:r>
      </m:oMath>
      <w:r>
        <w:t xml:space="preserve"> of the portfolio held with counterparty </w:t>
      </w:r>
      <m:oMath>
        <m:r>
          <w:rPr>
            <w:rFonts w:ascii="Cambria Math" w:hAnsi="Cambria Math"/>
          </w:rPr>
          <m:t>i</m:t>
        </m:r>
      </m:oMath>
      <w:r>
        <w:t>, i.e., the valuation computed by neglecting the upfront XVA payments, and also neglecting credit risks and funding costs. The default free value of the unsecured book is additive over trades, in particular</w:t>
      </w:r>
    </w:p>
    <w:p w:rsidR="00397E59" w:rsidRDefault="00397E59" w:rsidP="00397E59">
      <w:pPr>
        <w:pStyle w:val="ListParagraph"/>
        <w:spacing w:line="360" w:lineRule="auto"/>
        <w:ind w:left="360"/>
      </w:pPr>
    </w:p>
    <w:p w:rsidR="00397E59" w:rsidRPr="00205C5F" w:rsidRDefault="005D6A21"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FTP Transfer via Super-Replication</w:t>
      </w:r>
      <w:r>
        <w:t>: Hedges are typically struck at par and engender cash flows across time that super-replicate the cash flows of the unsecured trades. Strict super-replication is required in order to ensure a positive return on equity.</w:t>
      </w:r>
    </w:p>
    <w:p w:rsidR="00397E59" w:rsidRDefault="00397E59" w:rsidP="008A18B1">
      <w:pPr>
        <w:pStyle w:val="ListParagraph"/>
        <w:numPr>
          <w:ilvl w:val="0"/>
          <w:numId w:val="38"/>
        </w:numPr>
        <w:spacing w:line="360" w:lineRule="auto"/>
      </w:pPr>
      <w:r>
        <w:rPr>
          <w:u w:val="single"/>
        </w:rPr>
        <w:t>Value Adjustment on Super-Replication</w:t>
      </w:r>
      <w:r w:rsidRPr="007458F3">
        <w:t>:</w:t>
      </w:r>
      <w:r>
        <w:t xml:space="preserve"> In the case of swaps adjustments are usually embedded as a fixed spread in addition to either the fixed leg or the floating leg or both. The cash flows are such that typically the default free valuation of the unsecured portfolio is positive at inception.</w:t>
      </w:r>
    </w:p>
    <w:p w:rsidR="00397E59" w:rsidRDefault="00397E59" w:rsidP="008A18B1">
      <w:pPr>
        <w:pStyle w:val="ListParagraph"/>
        <w:numPr>
          <w:ilvl w:val="0"/>
          <w:numId w:val="38"/>
        </w:numPr>
        <w:spacing w:line="360" w:lineRule="auto"/>
      </w:pPr>
      <w:r>
        <w:rPr>
          <w:u w:val="single"/>
        </w:rPr>
        <w:t>CFD Routing of the Hedge Flows</w:t>
      </w:r>
      <w:r w:rsidRPr="007458F3">
        <w:t>:</w:t>
      </w:r>
      <w:r>
        <w:t xml:space="preserve"> The hedge typically consists of one or a portfolio of collateralized swaps entered in the inter-dealer market, initially struck at par and whose cash </w:t>
      </w:r>
      <w:r>
        <w:lastRenderedPageBreak/>
        <w:t>flows super replicate those of the unsecured trade. The excess cash flows are then routed to the CVA desk and the CFD desk at the time when they are received.</w:t>
      </w:r>
    </w:p>
    <w:p w:rsidR="00397E59" w:rsidRDefault="00397E59" w:rsidP="008A18B1">
      <w:pPr>
        <w:pStyle w:val="ListParagraph"/>
        <w:numPr>
          <w:ilvl w:val="0"/>
          <w:numId w:val="38"/>
        </w:numPr>
        <w:spacing w:line="360" w:lineRule="auto"/>
      </w:pPr>
      <w:r>
        <w:rPr>
          <w:u w:val="single"/>
        </w:rPr>
        <w:t>Reducing of the VM Posting Impact</w:t>
      </w:r>
      <w:r w:rsidRPr="00617BBF">
        <w:t>:</w:t>
      </w:r>
      <w:r>
        <w:t xml:space="preserve"> In the case of swaptions and FX options </w:t>
      </w:r>
      <w:proofErr w:type="spellStart"/>
      <w:r>
        <w:t>premia</w:t>
      </w:r>
      <w:proofErr w:type="spellEnd"/>
      <w:r>
        <w:t xml:space="preserve"> are typically paid at maturity and struck at the level for which the present value of the option are zero. This structure lessens the amount of VM to be exchanged. Unsecured trade often pay an upfront premium which is added to the book cash account. By transforming a portion of the upfront payment into a payment at the option maturity on achieves super-replication in this case as well. Excess cash flows are given by the XVA adjustments.</w:t>
      </w:r>
    </w:p>
    <w:p w:rsidR="00397E59" w:rsidRDefault="00397E59" w:rsidP="008A18B1">
      <w:pPr>
        <w:pStyle w:val="ListParagraph"/>
        <w:numPr>
          <w:ilvl w:val="0"/>
          <w:numId w:val="38"/>
        </w:numPr>
        <w:spacing w:line="360" w:lineRule="auto"/>
      </w:pPr>
      <w:r>
        <w:rPr>
          <w:u w:val="single"/>
        </w:rPr>
        <w:t>Hedge Portfolios across Netting Sets</w:t>
      </w:r>
      <w:r w:rsidRPr="00617BBF">
        <w:t>:</w:t>
      </w:r>
      <w:r>
        <w:t xml:space="preserve"> In general hedges are not specific to individual netting sets. Even if hedges are entered initially on a deal-specific basis, the compression cycles of the collateralized swap portfolio reduce the number of hedge trades and obfuscates the attribution of the individual netting sets.</w:t>
      </w:r>
    </w:p>
    <w:p w:rsidR="00397E59" w:rsidRDefault="00397E59" w:rsidP="008A18B1">
      <w:pPr>
        <w:pStyle w:val="ListParagraph"/>
        <w:numPr>
          <w:ilvl w:val="0"/>
          <w:numId w:val="38"/>
        </w:numPr>
        <w:spacing w:line="360" w:lineRule="auto"/>
      </w:pPr>
      <w:r>
        <w:rPr>
          <w:u w:val="single"/>
        </w:rPr>
        <w:t>Super Replicated Hedge Portfolio Value</w:t>
      </w:r>
      <w:r>
        <w:t xml:space="preserve">: Nevertheless by means of a hedge attribution analysis, it is possible to arrive at the concept of the value of the hedge book for a single portfolio </w:t>
      </w:r>
      <m:oMath>
        <m:r>
          <w:rPr>
            <w:rFonts w:ascii="Cambria Math" w:hAnsi="Cambria Math"/>
          </w:rPr>
          <m:t>i</m:t>
        </m:r>
      </m:oMath>
      <w:r>
        <w:t xml:space="preserve"> – we call it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Super-replication is achieved when</w:t>
      </w:r>
    </w:p>
    <w:p w:rsidR="00397E59" w:rsidRDefault="00397E59" w:rsidP="00397E59">
      <w:pPr>
        <w:pStyle w:val="ListParagraph"/>
        <w:spacing w:line="360" w:lineRule="auto"/>
        <w:ind w:left="360"/>
        <w:rPr>
          <w:u w:val="single"/>
        </w:rPr>
      </w:pPr>
    </w:p>
    <w:p w:rsidR="00397E59" w:rsidRDefault="005D6A21"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present value of the difference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is the FTP.</w:t>
      </w:r>
    </w:p>
    <w:p w:rsidR="00397E59" w:rsidRDefault="00397E59" w:rsidP="008A18B1">
      <w:pPr>
        <w:pStyle w:val="ListParagraph"/>
        <w:numPr>
          <w:ilvl w:val="0"/>
          <w:numId w:val="38"/>
        </w:numPr>
        <w:spacing w:line="360" w:lineRule="auto"/>
      </w:pPr>
      <w:r>
        <w:rPr>
          <w:u w:val="single"/>
        </w:rPr>
        <w:t>Value of the Hedge Book</w:t>
      </w:r>
      <w:r w:rsidRPr="00205C5F">
        <w:t>:</w:t>
      </w:r>
      <w:r>
        <w:t xml:space="preserve"> The value of the hedge book is denoted as</w:t>
      </w:r>
    </w:p>
    <w:p w:rsidR="00397E59" w:rsidRDefault="00397E59" w:rsidP="00397E59">
      <w:pPr>
        <w:pStyle w:val="ListParagraph"/>
        <w:spacing w:line="360" w:lineRule="auto"/>
        <w:ind w:left="360"/>
        <w:rPr>
          <w:u w:val="single"/>
        </w:rPr>
      </w:pPr>
    </w:p>
    <w:p w:rsidR="00397E59" w:rsidRPr="00205C5F" w:rsidRDefault="005D6A21"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Gap Risk on Collateralized Hedges</w:t>
      </w:r>
      <w:r>
        <w:t>: As the inter-dealer market and the exchanges require the posting of the collateral in full, the hedge trades are affected by the bank/counterparty credit risk only because of the gap risk exposure. For simplicity’s sake the gap risk on collateralized hedges is neglected here since the analysis and the notations become very heavy. However a professional system implementation should account for it as the effect can be quite material.</w:t>
      </w:r>
    </w:p>
    <w:p w:rsidR="00397E59" w:rsidRDefault="00397E59" w:rsidP="00397E59">
      <w:pPr>
        <w:spacing w:after="160" w:line="259" w:lineRule="auto"/>
        <w:rPr>
          <w:bCs/>
        </w:rPr>
      </w:pPr>
    </w:p>
    <w:p w:rsidR="00397E59" w:rsidRDefault="00397E59" w:rsidP="00397E59">
      <w:pPr>
        <w:spacing w:line="360" w:lineRule="auto"/>
      </w:pPr>
    </w:p>
    <w:p w:rsidR="00397E59" w:rsidRDefault="00397E59" w:rsidP="00397E59">
      <w:pPr>
        <w:pStyle w:val="Heading3"/>
      </w:pPr>
      <w:r>
        <w:t>Collateral Triggers and Close-outs</w:t>
      </w:r>
    </w:p>
    <w:p w:rsidR="00397E59" w:rsidRDefault="00397E59" w:rsidP="00397E59">
      <w:pPr>
        <w:spacing w:line="360" w:lineRule="auto"/>
      </w:pPr>
    </w:p>
    <w:p w:rsidR="00397E59" w:rsidRDefault="00397E59" w:rsidP="008A18B1">
      <w:pPr>
        <w:pStyle w:val="ListParagraph"/>
        <w:numPr>
          <w:ilvl w:val="0"/>
          <w:numId w:val="39"/>
        </w:numPr>
        <w:spacing w:line="360" w:lineRule="auto"/>
      </w:pPr>
      <w:r w:rsidRPr="000C41DE">
        <w:rPr>
          <w:u w:val="single"/>
        </w:rPr>
        <w:t>CSA Based Collateral Trigger Levels</w:t>
      </w:r>
      <w:r>
        <w:t xml:space="preserve">: Typically CSA collateral agreements include time-dependent collateral trigger levels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that dependent on the counterparty rating level and is such that, if the exposure of the counterparty surpasses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then the counterparty is obliged to post collateral above that threshold. The bank has a similar trigger level </w:t>
      </w:r>
      <m:oMath>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each counterparty </w:t>
      </w:r>
      <m:oMath>
        <m:r>
          <w:rPr>
            <w:rFonts w:ascii="Cambria Math" w:hAnsi="Cambria Math"/>
          </w:rPr>
          <m:t>i</m:t>
        </m:r>
      </m:oMath>
      <w:r>
        <w:t>. Initial margin on unsecured trade is not a common practice as they would be ineffective unless thresholds are struck at virtually zero level.</w:t>
      </w:r>
    </w:p>
    <w:p w:rsidR="00397E59" w:rsidRDefault="00397E59" w:rsidP="008A18B1">
      <w:pPr>
        <w:pStyle w:val="ListParagraph"/>
        <w:numPr>
          <w:ilvl w:val="0"/>
          <w:numId w:val="39"/>
        </w:numPr>
        <w:spacing w:line="360" w:lineRule="auto"/>
      </w:pPr>
      <w:r>
        <w:rPr>
          <w:u w:val="single"/>
        </w:rPr>
        <w:t>Collateral Trigger Impact on VM</w:t>
      </w:r>
      <w:r w:rsidRPr="000C41DE">
        <w:t>:</w:t>
      </w:r>
      <w:r>
        <w:t xml:space="preserve"> The equation for the variation margin accounts can be refined for ratings dependent collateral thresholds and also for the fact that variation margins are received on the CVA hedges. The more general expression is</w:t>
      </w:r>
    </w:p>
    <w:p w:rsidR="00397E59" w:rsidRDefault="00397E59" w:rsidP="00397E59">
      <w:pPr>
        <w:pStyle w:val="ListParagraph"/>
        <w:spacing w:line="360" w:lineRule="auto"/>
        <w:ind w:left="360"/>
        <w:rPr>
          <w:u w:val="single"/>
        </w:rPr>
      </w:pPr>
    </w:p>
    <w:p w:rsidR="00397E59" w:rsidRDefault="005D6A21"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 CA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again the approximation is implemented in the Albanese and Andersen (2014) case study.</w:t>
      </w:r>
    </w:p>
    <w:p w:rsidR="00397E59" w:rsidRDefault="00397E59" w:rsidP="008A18B1">
      <w:pPr>
        <w:pStyle w:val="ListParagraph"/>
        <w:numPr>
          <w:ilvl w:val="0"/>
          <w:numId w:val="39"/>
        </w:numPr>
        <w:spacing w:line="360" w:lineRule="auto"/>
      </w:pPr>
      <w:r>
        <w:rPr>
          <w:u w:val="single"/>
        </w:rPr>
        <w:t>Generalized Hedge VM Funding Rate</w:t>
      </w:r>
      <w:r w:rsidRPr="00D31D5B">
        <w:t>:</w:t>
      </w:r>
      <w:r>
        <w:t xml:space="preserve"> The equation</w:t>
      </w:r>
    </w:p>
    <w:p w:rsidR="00397E59" w:rsidRDefault="00397E59" w:rsidP="00397E59">
      <w:pPr>
        <w:pStyle w:val="ListParagraph"/>
        <w:spacing w:line="360" w:lineRule="auto"/>
        <w:ind w:left="360"/>
        <w:rPr>
          <w:u w:val="single"/>
        </w:rPr>
      </w:pPr>
    </w:p>
    <w:p w:rsidR="00397E59" w:rsidRDefault="005D6A21" w:rsidP="00397E59">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for the spread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can also be extended. In general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should defined as the spread between the funding rate of the bank on the short-term debt instruments used for the purpose of financing variation margin and the rate received on the VM posted. In general the interest rate received on the VM posted may differ from OIS only by a small spread.</w:t>
      </w:r>
    </w:p>
    <w:p w:rsidR="00397E59" w:rsidRDefault="00397E59" w:rsidP="008A18B1">
      <w:pPr>
        <w:pStyle w:val="ListParagraph"/>
        <w:numPr>
          <w:ilvl w:val="0"/>
          <w:numId w:val="39"/>
        </w:numPr>
        <w:spacing w:line="360" w:lineRule="auto"/>
      </w:pPr>
      <w:r>
        <w:rPr>
          <w:u w:val="single"/>
        </w:rPr>
        <w:t>Trigger Based FVA/FDA Impact</w:t>
      </w:r>
      <w:r w:rsidRPr="00161064">
        <w:t>:</w:t>
      </w:r>
      <w:r>
        <w:t xml:space="preserve"> The portfolio FVA is given by (note the VM related alteration)</w:t>
      </w:r>
    </w:p>
    <w:p w:rsidR="00397E59" w:rsidRDefault="00397E59" w:rsidP="00397E59">
      <w:pPr>
        <w:pStyle w:val="ListParagraph"/>
        <w:spacing w:line="360" w:lineRule="auto"/>
        <w:ind w:left="360"/>
        <w:rPr>
          <w:u w:val="single"/>
        </w:rPr>
      </w:pPr>
    </w:p>
    <w:p w:rsidR="00397E59" w:rsidRPr="006B284A" w:rsidRDefault="00397E59" w:rsidP="00397E59">
      <w:pPr>
        <w:pStyle w:val="ListParagraph"/>
        <w:spacing w:line="360" w:lineRule="auto"/>
        <w:ind w:left="360"/>
      </w:pPr>
      <m:oMathPara>
        <m:oMath>
          <m:r>
            <w:rPr>
              <w:rFonts w:ascii="Cambria Math" w:hAnsi="Cambria Math"/>
            </w:rPr>
            <w:lastRenderedPageBreak/>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FDA is sensitive to the value of bank receivables at the time of the bank impact and is given by</w:t>
      </w:r>
    </w:p>
    <w:p w:rsidR="00397E59" w:rsidRDefault="00397E59" w:rsidP="00397E59">
      <w:pPr>
        <w:pStyle w:val="ListParagraph"/>
        <w:spacing w:line="360" w:lineRule="auto"/>
        <w:ind w:left="360"/>
      </w:pPr>
    </w:p>
    <w:p w:rsidR="00397E59" w:rsidRPr="006B284A" w:rsidRDefault="00397E59" w:rsidP="00397E59">
      <w:pPr>
        <w:pStyle w:val="ListParagraph"/>
        <w:spacing w:line="360" w:lineRule="auto"/>
        <w:ind w:left="360"/>
      </w:pPr>
      <m:oMathPara>
        <m:oMath>
          <m:r>
            <w:rPr>
              <w:rFonts w:ascii="Cambria Math" w:hAnsi="Cambria Math"/>
            </w:rPr>
            <m:t>FDA=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u w:val="single"/>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func>
                                    </m:e>
                                  </m:d>
                                </m:e>
                              </m:func>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9"/>
        </w:numPr>
        <w:spacing w:line="360" w:lineRule="auto"/>
      </w:pPr>
      <w:r>
        <w:rPr>
          <w:u w:val="single"/>
        </w:rPr>
        <w:t>Composite Trigger-Based FVA Formulation</w:t>
      </w:r>
      <w:r w:rsidRPr="00131E58">
        <w:t>:</w:t>
      </w:r>
      <w:r>
        <w:t xml:space="preserve"> On the above basis, the expression for asymmetric FVA from the bank perspective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needs to be amended to</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equation accounts for the VM to be posted to or received from unsecured derivative counterparties depending on the thresholds.</w:t>
      </w:r>
    </w:p>
    <w:p w:rsidR="00397E59" w:rsidRDefault="00397E59" w:rsidP="008A18B1">
      <w:pPr>
        <w:pStyle w:val="ListParagraph"/>
        <w:numPr>
          <w:ilvl w:val="0"/>
          <w:numId w:val="39"/>
        </w:numPr>
        <w:spacing w:line="360" w:lineRule="auto"/>
      </w:pPr>
      <w:r>
        <w:rPr>
          <w:u w:val="single"/>
        </w:rPr>
        <w:t>Asset-Liability Super Replication Mismatch</w:t>
      </w:r>
      <w:r>
        <w:t>: Notice that FVA and FBA are not precisely equal but they are very close. Because of the inequality</w:t>
      </w:r>
    </w:p>
    <w:p w:rsidR="00397E59" w:rsidRDefault="00397E59" w:rsidP="00397E59">
      <w:pPr>
        <w:pStyle w:val="ListParagraph"/>
        <w:spacing w:line="360" w:lineRule="auto"/>
        <w:ind w:left="360"/>
        <w:rPr>
          <w:u w:val="single"/>
        </w:rPr>
      </w:pPr>
    </w:p>
    <w:p w:rsidR="00397E59" w:rsidRDefault="005D6A21"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turns out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discrepancy is due to the fact that the FDA payments are embedded in the deal structure, and at the time of the bank default, the senior creditors still hold a claim to future FTP payments for funding without the obligation (or even the capability) to continue hedging.</w:t>
      </w:r>
    </w:p>
    <w:p w:rsidR="00397E59" w:rsidRDefault="00397E59" w:rsidP="008A18B1">
      <w:pPr>
        <w:pStyle w:val="ListParagraph"/>
        <w:numPr>
          <w:ilvl w:val="0"/>
          <w:numId w:val="39"/>
        </w:numPr>
        <w:spacing w:line="360" w:lineRule="auto"/>
      </w:pPr>
      <w:r>
        <w:rPr>
          <w:u w:val="single"/>
        </w:rPr>
        <w:t>Super Replication Impact on MMT</w:t>
      </w:r>
      <w:r>
        <w:t>: All in all, since banks enact slightly super-replicating strategies (as opposed to precise replication), in order to have a positive return on equity, the FDA tends to be slightly larger than the FVA.</w:t>
      </w:r>
    </w:p>
    <w:p w:rsidR="00397E59" w:rsidRDefault="00397E59" w:rsidP="008A18B1">
      <w:pPr>
        <w:pStyle w:val="ListParagraph"/>
        <w:numPr>
          <w:ilvl w:val="0"/>
          <w:numId w:val="39"/>
        </w:numPr>
        <w:spacing w:line="360" w:lineRule="auto"/>
      </w:pPr>
      <w:r>
        <w:rPr>
          <w:u w:val="single"/>
        </w:rPr>
        <w:t>Wealth Transfer From Derivative Counterparties</w:t>
      </w:r>
      <w:r w:rsidRPr="00D36323">
        <w:t>:</w:t>
      </w:r>
      <w:r>
        <w:t xml:space="preserve"> The above can be viewed as a wealth transfer from the derivatives counterparties to the senior creditors. The MMT is still not invalid as the game is still zero sum, as long as one includes in the analysis not only shareholders and senior creditors but also the derivatives counterparties.</w:t>
      </w:r>
    </w:p>
    <w:p w:rsidR="00397E59" w:rsidRDefault="00397E59" w:rsidP="008A18B1">
      <w:pPr>
        <w:pStyle w:val="ListParagraph"/>
        <w:numPr>
          <w:ilvl w:val="0"/>
          <w:numId w:val="39"/>
        </w:numPr>
        <w:spacing w:line="360" w:lineRule="auto"/>
      </w:pPr>
      <w:r>
        <w:rPr>
          <w:u w:val="single"/>
        </w:rPr>
        <w:t>Trigger Based FCA/FBA Impact</w:t>
      </w:r>
      <w:r w:rsidRPr="00D36323">
        <w:t>:</w:t>
      </w:r>
      <w:r>
        <w:t xml:space="preserve"> The expression for </w:t>
      </w:r>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oMath>
      <w:r>
        <w:t xml:space="preserve"> above can be used to extend</w:t>
      </w:r>
    </w:p>
    <w:p w:rsidR="00397E59" w:rsidRDefault="00397E59" w:rsidP="00397E59">
      <w:pPr>
        <w:pStyle w:val="ListParagraph"/>
        <w:spacing w:line="360" w:lineRule="auto"/>
        <w:ind w:left="360"/>
        <w:rPr>
          <w:u w:val="single"/>
        </w:rPr>
      </w:pPr>
    </w:p>
    <w:p w:rsidR="00397E59" w:rsidRDefault="005D6A21"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w:t>
      </w:r>
    </w:p>
    <w:p w:rsidR="00397E59" w:rsidRDefault="00397E59" w:rsidP="00397E59">
      <w:pPr>
        <w:pStyle w:val="ListParagraph"/>
        <w:spacing w:line="360" w:lineRule="auto"/>
        <w:ind w:left="360"/>
      </w:pPr>
    </w:p>
    <w:p w:rsidR="00397E59" w:rsidRDefault="005D6A21"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while</w:t>
      </w:r>
    </w:p>
    <w:p w:rsidR="00397E59" w:rsidRDefault="00397E59" w:rsidP="00397E59">
      <w:pPr>
        <w:pStyle w:val="ListParagraph"/>
        <w:spacing w:line="360" w:lineRule="auto"/>
        <w:ind w:left="360"/>
      </w:pPr>
    </w:p>
    <w:p w:rsidR="00397E59" w:rsidRPr="00997E47" w:rsidRDefault="005D6A21"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becomes</w:t>
      </w:r>
    </w:p>
    <w:p w:rsidR="00397E59" w:rsidRDefault="00397E59" w:rsidP="00397E59">
      <w:pPr>
        <w:pStyle w:val="ListParagraph"/>
        <w:spacing w:line="360" w:lineRule="auto"/>
        <w:ind w:left="360"/>
      </w:pPr>
    </w:p>
    <w:p w:rsidR="00397E59" w:rsidRDefault="005D6A21"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Incorporating ISDA 1992 Close-outs</w:t>
      </w:r>
    </w:p>
    <w:p w:rsidR="00397E59" w:rsidRDefault="00397E59" w:rsidP="00397E59">
      <w:pPr>
        <w:spacing w:line="360" w:lineRule="auto"/>
      </w:pPr>
    </w:p>
    <w:p w:rsidR="00397E59" w:rsidRDefault="00397E59" w:rsidP="008A18B1">
      <w:pPr>
        <w:pStyle w:val="ListParagraph"/>
        <w:numPr>
          <w:ilvl w:val="0"/>
          <w:numId w:val="40"/>
        </w:numPr>
        <w:spacing w:line="360" w:lineRule="auto"/>
      </w:pPr>
      <w:r w:rsidRPr="00734FEC">
        <w:rPr>
          <w:u w:val="single"/>
        </w:rPr>
        <w:t>Impact of the ISDA Closeouts</w:t>
      </w:r>
      <w:r>
        <w:t>: The representation of the cash flows at the time of counterparty defaults under the ISDA 1992 closeout protocol in</w:t>
      </w:r>
    </w:p>
    <w:p w:rsidR="00397E59" w:rsidRDefault="00397E59" w:rsidP="00397E59">
      <w:pPr>
        <w:pStyle w:val="ListParagraph"/>
        <w:spacing w:line="360" w:lineRule="auto"/>
        <w:ind w:left="360"/>
        <w:rPr>
          <w:u w:val="single"/>
        </w:rPr>
      </w:pPr>
    </w:p>
    <w:p w:rsidR="00397E59" w:rsidRDefault="005D6A21"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modified as follows to include collateral thresholds:</w:t>
      </w:r>
    </w:p>
    <w:p w:rsidR="00397E59" w:rsidRDefault="00397E59" w:rsidP="00397E59">
      <w:pPr>
        <w:pStyle w:val="ListParagraph"/>
        <w:spacing w:line="360" w:lineRule="auto"/>
        <w:ind w:left="360"/>
      </w:pPr>
    </w:p>
    <w:p w:rsidR="00397E59" w:rsidRDefault="005D6A21"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Similarly</w:t>
      </w:r>
    </w:p>
    <w:p w:rsidR="00397E59" w:rsidRDefault="00397E59" w:rsidP="00397E59">
      <w:pPr>
        <w:pStyle w:val="ListParagraph"/>
        <w:spacing w:line="360" w:lineRule="auto"/>
        <w:ind w:left="360"/>
      </w:pPr>
    </w:p>
    <w:p w:rsidR="00397E59" w:rsidRPr="00734FEC" w:rsidRDefault="005D6A21"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becomes</w:t>
      </w:r>
    </w:p>
    <w:p w:rsidR="00397E59" w:rsidRDefault="00397E59" w:rsidP="00397E59">
      <w:pPr>
        <w:pStyle w:val="ListParagraph"/>
        <w:spacing w:line="360" w:lineRule="auto"/>
        <w:ind w:left="360"/>
      </w:pPr>
    </w:p>
    <w:p w:rsidR="00397E59" w:rsidRDefault="005D6A21"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e>
          </m:d>
        </m:oMath>
      </m:oMathPara>
    </w:p>
    <w:p w:rsidR="00397E59" w:rsidRDefault="00397E59" w:rsidP="00397E59">
      <w:pPr>
        <w:spacing w:line="360" w:lineRule="auto"/>
      </w:pPr>
    </w:p>
    <w:p w:rsidR="00397E59" w:rsidRDefault="00397E59" w:rsidP="008A18B1">
      <w:pPr>
        <w:pStyle w:val="ListParagraph"/>
        <w:numPr>
          <w:ilvl w:val="0"/>
          <w:numId w:val="40"/>
        </w:numPr>
        <w:spacing w:line="360" w:lineRule="auto"/>
      </w:pPr>
      <w:r>
        <w:rPr>
          <w:u w:val="single"/>
        </w:rPr>
        <w:lastRenderedPageBreak/>
        <w:t>Exit Price of the Trade</w:t>
      </w:r>
      <w:r>
        <w:t xml:space="preserve">: Under the 2009 ISDA Close-out rules, cash flows differ in that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replaced by the exit price of the trade, including the residual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at the time of the default. On the other hand, in case the bank defaults first, then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has a right to recover its own DVA, which is the CVA. This implies that when valuing CVA from the bank viewpoint, these default losses happen after the default of the bank itself.</w:t>
      </w:r>
    </w:p>
    <w:p w:rsidR="00397E59" w:rsidRDefault="00397E59" w:rsidP="008A18B1">
      <w:pPr>
        <w:pStyle w:val="ListParagraph"/>
        <w:numPr>
          <w:ilvl w:val="0"/>
          <w:numId w:val="40"/>
        </w:numPr>
        <w:spacing w:line="360" w:lineRule="auto"/>
      </w:pPr>
      <w:r>
        <w:rPr>
          <w:u w:val="single"/>
        </w:rPr>
        <w:t>Closeout Payments after the Default</w:t>
      </w:r>
      <w:r w:rsidRPr="00B72727">
        <w:t>:</w:t>
      </w:r>
    </w:p>
    <w:p w:rsidR="00397E59" w:rsidRDefault="00397E59" w:rsidP="00397E59">
      <w:pPr>
        <w:pStyle w:val="ListParagraph"/>
        <w:spacing w:line="360" w:lineRule="auto"/>
        <w:ind w:left="360"/>
        <w:rPr>
          <w:u w:val="single"/>
        </w:rPr>
      </w:pPr>
    </w:p>
    <w:p w:rsidR="00397E59" w:rsidRDefault="005D6A21"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5D6A21"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Pr="00DE60E0" w:rsidRDefault="005D6A21"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DE60E0" w:rsidRDefault="005D6A21"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SFVA Estimation Under Collateral Trigger</w:t>
      </w:r>
      <w:r>
        <w:t>: The definition of SFVA in</w:t>
      </w:r>
    </w:p>
    <w:p w:rsidR="00397E59" w:rsidRDefault="00397E59" w:rsidP="00397E59">
      <w:pPr>
        <w:pStyle w:val="ListParagraph"/>
        <w:spacing w:line="360" w:lineRule="auto"/>
        <w:ind w:left="360"/>
        <w:rPr>
          <w:u w:val="single"/>
        </w:rPr>
      </w:pPr>
    </w:p>
    <w:p w:rsidR="00397E59" w:rsidRPr="00DE60E0" w:rsidRDefault="005D6A21"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extended as</w:t>
      </w:r>
    </w:p>
    <w:p w:rsidR="00397E59" w:rsidRDefault="00397E59" w:rsidP="00397E59">
      <w:pPr>
        <w:pStyle w:val="ListParagraph"/>
        <w:spacing w:line="360" w:lineRule="auto"/>
        <w:ind w:left="360"/>
      </w:pPr>
    </w:p>
    <w:p w:rsidR="00397E59" w:rsidRPr="00DE60E0" w:rsidRDefault="005D6A21"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Trigger Based UCVA and DVA</w:t>
      </w:r>
      <w:r>
        <w:t>: The valuation formula for the UCVA under ISDA 2009 including CSA thresholds is given by</w:t>
      </w:r>
    </w:p>
    <w:p w:rsidR="00397E59" w:rsidRDefault="00397E59" w:rsidP="00397E59">
      <w:pPr>
        <w:pStyle w:val="ListParagraph"/>
        <w:spacing w:line="360" w:lineRule="auto"/>
        <w:ind w:left="360"/>
        <w:rPr>
          <w:u w:val="single"/>
        </w:rPr>
      </w:pPr>
    </w:p>
    <w:p w:rsidR="00397E59" w:rsidRPr="00DE60E0" w:rsidRDefault="005D6A21" w:rsidP="00397E59">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DVA is given by the following extension</w:t>
      </w:r>
    </w:p>
    <w:p w:rsidR="00397E59" w:rsidRDefault="00397E59" w:rsidP="00397E59">
      <w:pPr>
        <w:pStyle w:val="ListParagraph"/>
        <w:spacing w:line="360" w:lineRule="auto"/>
        <w:ind w:left="360"/>
      </w:pPr>
    </w:p>
    <w:p w:rsidR="00397E59" w:rsidRPr="00DE60E0" w:rsidRDefault="005D6A21"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MTM ISDA Closeout Impact</w:t>
      </w:r>
      <w:r>
        <w:t>: Under ISDA 2009, at the time of the bank default, the bank needs to mark-to-market the derivatives by also including the CVA discount. Symmetrically, whenever the counterparty defaults the bank is also entitled to recover a DVA benefit.</w:t>
      </w:r>
    </w:p>
    <w:p w:rsidR="00397E59" w:rsidRDefault="00397E59" w:rsidP="008A18B1">
      <w:pPr>
        <w:pStyle w:val="ListParagraph"/>
        <w:numPr>
          <w:ilvl w:val="0"/>
          <w:numId w:val="40"/>
        </w:numPr>
        <w:spacing w:line="360" w:lineRule="auto"/>
      </w:pPr>
      <w:r>
        <w:rPr>
          <w:u w:val="single"/>
        </w:rPr>
        <w:t>Modified Bilateral FTD CVA Adjustment</w:t>
      </w:r>
      <w:r w:rsidRPr="009B0558">
        <w:t>:</w:t>
      </w:r>
      <w:r>
        <w:t xml:space="preserve"> The DVA benefit entitlement, however, typically gives rise to a negligible correction that is currently ignored in order to avoid the need for nested simulations for the calculation of the CVA itself. Hence the fair valuation formula for the CVA is</w:t>
      </w:r>
    </w:p>
    <w:p w:rsidR="00397E59" w:rsidRDefault="00397E59" w:rsidP="00397E59">
      <w:pPr>
        <w:pStyle w:val="ListParagraph"/>
        <w:spacing w:line="360" w:lineRule="auto"/>
        <w:ind w:left="360"/>
        <w:rPr>
          <w:u w:val="single"/>
        </w:rPr>
      </w:pPr>
    </w:p>
    <w:p w:rsidR="00397E59" w:rsidRPr="00F13353" w:rsidRDefault="005D6A21"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Modified CVA CL and CA</w:t>
      </w:r>
      <w:r>
        <w:t>: In this case we also have an alteration to the contra-liability given by the present value of the default losses occurring after the bank default, i.e.,</w:t>
      </w:r>
    </w:p>
    <w:p w:rsidR="00397E59" w:rsidRDefault="00397E59" w:rsidP="00397E59">
      <w:pPr>
        <w:pStyle w:val="ListParagraph"/>
        <w:spacing w:line="360" w:lineRule="auto"/>
        <w:ind w:left="360"/>
        <w:rPr>
          <w:u w:val="single"/>
        </w:rPr>
      </w:pPr>
    </w:p>
    <w:p w:rsidR="00397E59" w:rsidRDefault="005D6A21"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sum</w:t>
      </w:r>
    </w:p>
    <w:p w:rsidR="00397E59" w:rsidRDefault="00397E59" w:rsidP="00397E59">
      <w:pPr>
        <w:pStyle w:val="ListParagraph"/>
        <w:spacing w:line="360" w:lineRule="auto"/>
        <w:ind w:left="360"/>
      </w:pPr>
    </w:p>
    <w:p w:rsidR="00397E59" w:rsidRDefault="005D6A21"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CL, 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the first-to-default unilateral CVA and represents the fair valuation of the counterparty credit.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VM Rehypothecability Across Funding Sets</w:t>
      </w:r>
    </w:p>
    <w:p w:rsidR="00397E59" w:rsidRDefault="00397E59" w:rsidP="00397E59">
      <w:pPr>
        <w:spacing w:line="360" w:lineRule="auto"/>
      </w:pPr>
      <w:r>
        <w:t xml:space="preserve"> </w:t>
      </w:r>
    </w:p>
    <w:p w:rsidR="00397E59" w:rsidRDefault="00397E59" w:rsidP="008A18B1">
      <w:pPr>
        <w:pStyle w:val="ListParagraph"/>
        <w:numPr>
          <w:ilvl w:val="0"/>
          <w:numId w:val="41"/>
        </w:numPr>
        <w:spacing w:line="360" w:lineRule="auto"/>
      </w:pPr>
      <w:r w:rsidRPr="00571EF3">
        <w:rPr>
          <w:u w:val="single"/>
        </w:rPr>
        <w:t>Restrictions on VM Rehypothecation</w:t>
      </w:r>
      <w:r>
        <w:t>: In their case study, Albanese and Andersen (2014) model rehypothecation by assuming that the VM received can be posted back to meet posting requirements by the hedges in the same funding set. This is a simplifying assumption that may have to be refined in practical implementations, For instance, there may be restrictions in the CSA preventing banks from being able to rehypothecate the VM.</w:t>
      </w:r>
    </w:p>
    <w:p w:rsidR="00397E59" w:rsidRDefault="00397E59" w:rsidP="008A18B1">
      <w:pPr>
        <w:pStyle w:val="ListParagraph"/>
        <w:numPr>
          <w:ilvl w:val="0"/>
          <w:numId w:val="41"/>
        </w:numPr>
        <w:spacing w:line="360" w:lineRule="auto"/>
      </w:pPr>
      <w:r>
        <w:rPr>
          <w:u w:val="single"/>
        </w:rPr>
        <w:t>Impact of the Rehypothecation Ban</w:t>
      </w:r>
      <w:r w:rsidRPr="00571EF3">
        <w:t>:</w:t>
      </w:r>
      <w:r>
        <w:t xml:space="preserve"> Rehypothecation bans are sometimes triggered by a degradation in the bank credit quality. Whenever this happens, the cost of funding is effectively increased and the bank has a greater interest in “flattening out” its book.</w:t>
      </w:r>
    </w:p>
    <w:p w:rsidR="00397E59" w:rsidRDefault="00397E59" w:rsidP="008A18B1">
      <w:pPr>
        <w:pStyle w:val="ListParagraph"/>
        <w:numPr>
          <w:ilvl w:val="0"/>
          <w:numId w:val="41"/>
        </w:numPr>
        <w:spacing w:line="360" w:lineRule="auto"/>
      </w:pPr>
      <w:r>
        <w:rPr>
          <w:u w:val="single"/>
        </w:rPr>
        <w:t>Funding Costs Under Stress Conditions</w:t>
      </w:r>
      <w:r w:rsidRPr="00571EF3">
        <w:t>:</w:t>
      </w:r>
      <w:r>
        <w:t xml:space="preserve"> A careful simulation of the funding costs should account for the resulting increase in funding costs that occur whenever such stress conditions manifest themselves.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3"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Entry Prices, Exit Prices, and Trade FTP</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Trade and Portfolio FTP Estimation</w:t>
      </w:r>
    </w:p>
    <w:p w:rsidR="00397E59" w:rsidRDefault="00397E59" w:rsidP="00397E59">
      <w:pPr>
        <w:spacing w:line="360" w:lineRule="auto"/>
      </w:pPr>
    </w:p>
    <w:p w:rsidR="00397E59" w:rsidRDefault="00397E59" w:rsidP="008A18B1">
      <w:pPr>
        <w:pStyle w:val="ListParagraph"/>
        <w:numPr>
          <w:ilvl w:val="0"/>
          <w:numId w:val="42"/>
        </w:numPr>
        <w:spacing w:line="360" w:lineRule="auto"/>
      </w:pPr>
      <w:r w:rsidRPr="002C08EC">
        <w:rPr>
          <w:u w:val="single"/>
        </w:rPr>
        <w:t>The Breakeven Trade FTP</w:t>
      </w:r>
      <w:r>
        <w:t xml:space="preserve">: We recall that the FTP policy defines the costs or benefits that must at a minimum be passed to the clients in excess of the default-free trade values (FTP can be negative if the trade reduces the credit risk of the funding costs for the bank). In other words, the FTP defines what constitutes a “break-even” transaction and thereby determines the bank’s </w:t>
      </w:r>
      <w:r w:rsidRPr="002C08EC">
        <w:rPr>
          <w:i/>
        </w:rPr>
        <w:t>entry price</w:t>
      </w:r>
      <w:r>
        <w:t>, i.e., the price that the bank would bid to acquire a trade or possibly a collection of trades.</w:t>
      </w:r>
    </w:p>
    <w:p w:rsidR="00397E59" w:rsidRDefault="00397E59" w:rsidP="008A18B1">
      <w:pPr>
        <w:pStyle w:val="ListParagraph"/>
        <w:numPr>
          <w:ilvl w:val="0"/>
          <w:numId w:val="42"/>
        </w:numPr>
        <w:spacing w:line="360" w:lineRule="auto"/>
      </w:pPr>
      <w:r>
        <w:rPr>
          <w:u w:val="single"/>
        </w:rPr>
        <w:t>Marginal FTP Impact on Portfolios</w:t>
      </w:r>
      <w:r w:rsidRPr="002C08EC">
        <w:t>:</w:t>
      </w:r>
      <w:r>
        <w:t xml:space="preserve"> As mentioned earlier XVA-aware accounting systems do not aggregate portfolios linearly over trades, so FTP policies cannot operate only at the trade level but must take into consideration the effect that a new trade has on the risk profiles of existing trade aggregations (at the netting set or at the funding set levels). For this reason it is reasonable to set out FTP policies in terms of </w:t>
      </w:r>
      <w:r>
        <w:rPr>
          <w:i/>
        </w:rPr>
        <w:t>marginal</w:t>
      </w:r>
      <w:r>
        <w:t xml:space="preserve"> increments to portfolio level metrics.</w:t>
      </w:r>
    </w:p>
    <w:p w:rsidR="00397E59" w:rsidRDefault="00397E59" w:rsidP="008A18B1">
      <w:pPr>
        <w:pStyle w:val="ListParagraph"/>
        <w:numPr>
          <w:ilvl w:val="0"/>
          <w:numId w:val="42"/>
        </w:numPr>
        <w:spacing w:line="360" w:lineRule="auto"/>
      </w:pPr>
      <w:r>
        <w:rPr>
          <w:u w:val="single"/>
        </w:rPr>
        <w:t>FCA/FBA vs FVA/FDA Magnitude Differences</w:t>
      </w:r>
      <w:r w:rsidRPr="002C08EC">
        <w:t>:</w:t>
      </w:r>
      <w:r>
        <w:t xml:space="preserve"> As the choice of the accounting methods have material implications on the choice of various accounting quantities, the FTP policies are necessarily different in the FCA/FBA and the FVA/FDA frameworks. This is discussed in the next two sections. The topic of </w:t>
      </w:r>
      <w:r>
        <w:rPr>
          <w:i/>
        </w:rPr>
        <w:t>exit prices</w:t>
      </w:r>
      <w:r>
        <w:t xml:space="preserve"> and fair value accounting are subsequently covered.</w:t>
      </w:r>
    </w:p>
    <w:p w:rsidR="00397E59" w:rsidRPr="002C08EC" w:rsidRDefault="00397E59" w:rsidP="008A18B1">
      <w:pPr>
        <w:pStyle w:val="ListParagraph"/>
        <w:numPr>
          <w:ilvl w:val="0"/>
          <w:numId w:val="42"/>
        </w:numPr>
        <w:spacing w:line="360" w:lineRule="auto"/>
      </w:pPr>
      <w:r>
        <w:rPr>
          <w:u w:val="single"/>
        </w:rPr>
        <w:t>Transaction Cost Incorporation in Pricing</w:t>
      </w:r>
      <w:r w:rsidRPr="00BC3FA5">
        <w:t>:</w:t>
      </w:r>
      <w:r>
        <w:t xml:space="preserve"> By convention entry prices include transaction costs and exit prices exclude them. For the purposes of this discussion the assumption throughout here is that the transaction costs are zero.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FCA/FBA Accounting</w:t>
      </w:r>
    </w:p>
    <w:p w:rsidR="00397E59" w:rsidRDefault="00397E59" w:rsidP="00397E59">
      <w:pPr>
        <w:spacing w:line="360" w:lineRule="auto"/>
      </w:pPr>
    </w:p>
    <w:p w:rsidR="00397E59" w:rsidRDefault="00397E59" w:rsidP="008A18B1">
      <w:pPr>
        <w:pStyle w:val="ListParagraph"/>
        <w:numPr>
          <w:ilvl w:val="0"/>
          <w:numId w:val="43"/>
        </w:numPr>
        <w:spacing w:line="360" w:lineRule="auto"/>
      </w:pPr>
      <w:r w:rsidRPr="00CF4208">
        <w:rPr>
          <w:u w:val="single"/>
        </w:rPr>
        <w:lastRenderedPageBreak/>
        <w:t>Netting Set Granularity For FTP</w:t>
      </w:r>
      <w:r>
        <w:t>: In the case of FCA/FBA accounting, the relevant units of account refer either to default-free trades or (for CVA, DVA, FCA, and FBA) to the netting sets. There are no funding set level units of account in the FCA/FBA method.</w:t>
      </w:r>
    </w:p>
    <w:p w:rsidR="00397E59" w:rsidRDefault="00397E59" w:rsidP="008A18B1">
      <w:pPr>
        <w:pStyle w:val="ListParagraph"/>
        <w:numPr>
          <w:ilvl w:val="0"/>
          <w:numId w:val="43"/>
        </w:numPr>
        <w:spacing w:line="360" w:lineRule="auto"/>
      </w:pPr>
      <w:r>
        <w:rPr>
          <w:u w:val="single"/>
        </w:rPr>
        <w:t>Credit and Funding Cost Components</w:t>
      </w:r>
      <w:r w:rsidRPr="00CF4208">
        <w:t>:</w:t>
      </w:r>
      <w:r>
        <w:t xml:space="preserve"> In the FCA/FBA accounting, the standard FTP policy is to transfer to the clients at a minimum the incremental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
        <m:r>
          <w:rPr>
            <w:rFonts w:ascii="Cambria Math" w:hAnsi="Cambria Math"/>
          </w:rPr>
          <m:t>∆UCVA</m:t>
        </m:r>
      </m:oMath>
      <w:r>
        <w:t xml:space="preserve"> and </w:t>
      </w:r>
      <m:oMath>
        <m:r>
          <w:rPr>
            <w:rFonts w:ascii="Cambria Math" w:hAnsi="Cambria Math"/>
          </w:rPr>
          <m:t>∆SFVA</m:t>
        </m:r>
      </m:oMath>
      <w:r>
        <w:t xml:space="preserve"> cover the counterparty credit risk and the funding charges respectively, and are paid by the business line trading desk to the CVA and CFD desks.</w:t>
      </w:r>
    </w:p>
    <w:p w:rsidR="00397E59" w:rsidRDefault="00397E59" w:rsidP="008A18B1">
      <w:pPr>
        <w:pStyle w:val="ListParagraph"/>
        <w:numPr>
          <w:ilvl w:val="0"/>
          <w:numId w:val="43"/>
        </w:numPr>
        <w:spacing w:line="360" w:lineRule="auto"/>
      </w:pPr>
      <w:r>
        <w:rPr>
          <w:u w:val="single"/>
        </w:rPr>
        <w:t>FTP Impact on Equity Capital</w:t>
      </w:r>
      <w:r w:rsidRPr="00CF4208">
        <w:t>:</w:t>
      </w:r>
      <w:r>
        <w:t xml:space="preserve">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∆CET1=-∆CA+∆RE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see that the incremental impact of a new trade on the equity capital is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∆CET1=-∆CA+FTP=-∆UCVA-∆FCA+∆UCVA+∆SFVA=-∆FBA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while the change in liabilities is</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∆CL=∆FBA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By design the FTP policy in FCA/FBA accounting ensures that the impact on income from adding a new trade is zero, i.e.,</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∆PFV=∆CET1+∆CL=0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3"/>
        </w:numPr>
        <w:spacing w:line="360" w:lineRule="auto"/>
      </w:pPr>
      <w:r>
        <w:rPr>
          <w:u w:val="single"/>
        </w:rPr>
        <w:t>FTP Alignment with the Shareholders’ Wealth</w:t>
      </w:r>
      <w:r>
        <w:t>: By tailoring the FTP in such a way that new trades have no impact on income, the deals flows induces volatility in CET1, as is evidenced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CET1 is a proxy for shareholders wealth, it may be argued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not fully align executive incentives with shareholders’ interests. An FTP policy designed for CET1 indifference would, however, not be viable for FCA/FBA accounting due to the sheer size of the full FCA, as is demonstrated in the case study by Albanese and Andersen (2014).</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FVA/FDA Accounting</w:t>
      </w:r>
    </w:p>
    <w:p w:rsidR="00397E59" w:rsidRDefault="00397E59" w:rsidP="00397E59">
      <w:pPr>
        <w:spacing w:line="360" w:lineRule="auto"/>
      </w:pPr>
    </w:p>
    <w:p w:rsidR="00397E59" w:rsidRDefault="00397E59" w:rsidP="008A18B1">
      <w:pPr>
        <w:pStyle w:val="ListParagraph"/>
        <w:numPr>
          <w:ilvl w:val="0"/>
          <w:numId w:val="44"/>
        </w:numPr>
        <w:spacing w:line="360" w:lineRule="auto"/>
      </w:pPr>
      <w:r w:rsidRPr="00452A09">
        <w:rPr>
          <w:u w:val="single"/>
        </w:rPr>
        <w:t>FTP as a CET1 Enhancer</w:t>
      </w:r>
      <w:r>
        <w:t xml:space="preserve">: In FVA/FDA accounting, FVA and UCVA are CET1 deductions and DVA, FVA, and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are CL adjustments. The upfront charge for a given trade that a given business line desk needs to pay the CFD desk in order to ensure that CET1 stays constant is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 this choice</w:t>
      </w:r>
    </w:p>
    <w:p w:rsidR="00397E59" w:rsidRDefault="00397E59" w:rsidP="00397E59">
      <w:pPr>
        <w:pStyle w:val="ListParagraph"/>
        <w:spacing w:line="360" w:lineRule="auto"/>
        <w:ind w:left="360"/>
      </w:pPr>
    </w:p>
    <w:p w:rsidR="00397E59" w:rsidRPr="007F5885" w:rsidRDefault="00397E59" w:rsidP="00397E59">
      <w:pPr>
        <w:pStyle w:val="ListParagraph"/>
        <w:spacing w:line="360" w:lineRule="auto"/>
        <w:ind w:left="360"/>
      </w:pPr>
      <m:oMathPara>
        <m:oMath>
          <m:r>
            <w:rPr>
              <w:rFonts w:ascii="Cambria Math" w:hAnsi="Cambria Math"/>
            </w:rPr>
            <m:t>∆C</m:t>
          </m:r>
          <m:r>
            <w:rPr>
              <w:rFonts w:ascii="Cambria Math" w:hAnsi="Cambria Math"/>
            </w:rPr>
            <m:t>ET1=0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4"/>
        </w:numPr>
        <w:spacing w:line="360" w:lineRule="auto"/>
      </w:pPr>
      <w:r w:rsidRPr="00452A09">
        <w:rPr>
          <w:u w:val="single"/>
        </w:rPr>
        <w:t>Netting</w:t>
      </w:r>
      <w:r>
        <w:rPr>
          <w:u w:val="single"/>
        </w:rPr>
        <w:t xml:space="preserve"> and Funding</w:t>
      </w:r>
      <w:r w:rsidRPr="00452A09">
        <w:rPr>
          <w:u w:val="single"/>
        </w:rPr>
        <w:t xml:space="preserve"> Set Granularity</w:t>
      </w:r>
      <w:r>
        <w:t>: The calculation of FTP involves assessing the marginal impact on two separate units of account:</w:t>
      </w:r>
    </w:p>
    <w:p w:rsidR="00397E59" w:rsidRDefault="00397E59" w:rsidP="008A18B1">
      <w:pPr>
        <w:pStyle w:val="ListParagraph"/>
        <w:numPr>
          <w:ilvl w:val="1"/>
          <w:numId w:val="44"/>
        </w:numPr>
        <w:spacing w:line="360" w:lineRule="auto"/>
      </w:pPr>
      <w:r>
        <w:t>The netting set associated with the counterparty to the trade in question.</w:t>
      </w:r>
    </w:p>
    <w:p w:rsidR="00397E59" w:rsidRDefault="00397E59" w:rsidP="008A18B1">
      <w:pPr>
        <w:pStyle w:val="ListParagraph"/>
        <w:numPr>
          <w:ilvl w:val="1"/>
          <w:numId w:val="44"/>
        </w:numPr>
        <w:spacing w:line="360" w:lineRule="auto"/>
      </w:pPr>
      <w:r>
        <w:lastRenderedPageBreak/>
        <w:t>The overall funding set under which the VM may be re-hypothecated. This calculation in particular is not always trivial – this is treated later.</w:t>
      </w:r>
    </w:p>
    <w:p w:rsidR="00397E59" w:rsidRDefault="00397E59" w:rsidP="008A18B1">
      <w:pPr>
        <w:pStyle w:val="ListParagraph"/>
        <w:numPr>
          <w:ilvl w:val="0"/>
          <w:numId w:val="44"/>
        </w:numPr>
        <w:spacing w:line="360" w:lineRule="auto"/>
      </w:pPr>
      <w:r>
        <w:rPr>
          <w:u w:val="single"/>
        </w:rPr>
        <w:t>FTP Shareholder Centric View</w:t>
      </w:r>
      <w:r>
        <w:t>: By focusing on CET1</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effectively expresses a share-holder centric view in the computation of the FTP, where the proxy for “true” deal in the FTP is only the shareholder part of the overall value that a trade brings to the firm.</w:t>
      </w:r>
    </w:p>
    <w:p w:rsidR="00397E59" w:rsidRDefault="00397E59" w:rsidP="008A18B1">
      <w:pPr>
        <w:pStyle w:val="ListParagraph"/>
        <w:numPr>
          <w:ilvl w:val="0"/>
          <w:numId w:val="44"/>
        </w:numPr>
        <w:spacing w:line="360" w:lineRule="auto"/>
      </w:pPr>
      <w:r>
        <w:rPr>
          <w:u w:val="single"/>
        </w:rPr>
        <w:t>FTP Impact on Net Income</w:t>
      </w:r>
      <w:r w:rsidRPr="007F5885">
        <w:t>:</w:t>
      </w:r>
      <w:r>
        <w:t xml:space="preserve"> For trades that involve bond holder benefit post bank default, any such benefits are ignored when passing costs to the client. When it comes to net income the FTP policy therefore has an impact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∆PFV=∆CL=∆DVA+∆FDA+∆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Again this is a marginal calculation at the level of both the netting set (</w:t>
      </w:r>
      <m:oMath>
        <m:r>
          <w:rPr>
            <w:rFonts w:ascii="Cambria Math" w:hAnsi="Cambria Math"/>
          </w:rPr>
          <m:t>DVA</m:t>
        </m:r>
      </m:oMath>
      <w:r>
        <w:t xml:space="preserv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and the funding set (</w:t>
      </w:r>
      <m:oMath>
        <m:r>
          <w:rPr>
            <w:rFonts w:ascii="Cambria Math" w:hAnsi="Cambria Math"/>
          </w:rPr>
          <m:t>FVA, FDA</m:t>
        </m:r>
      </m:oMath>
      <w:r>
        <w:t>).</w:t>
      </w:r>
    </w:p>
    <w:p w:rsidR="00397E59" w:rsidRPr="00A868BF" w:rsidRDefault="00397E59" w:rsidP="008A18B1">
      <w:pPr>
        <w:pStyle w:val="ListParagraph"/>
        <w:numPr>
          <w:ilvl w:val="0"/>
          <w:numId w:val="44"/>
        </w:numPr>
        <w:spacing w:line="360" w:lineRule="auto"/>
      </w:pPr>
      <w:r>
        <w:rPr>
          <w:u w:val="single"/>
        </w:rPr>
        <w:t>Alignment Across Debt and Equity</w:t>
      </w:r>
      <w:r w:rsidRPr="007F5885">
        <w:t>:</w:t>
      </w:r>
      <w:r>
        <w:t xml:space="preserve"> It needs to be emphasized that while the FTP policy in FVA/FDA accounting is based on principles more conservative than those for FCA/FBA, the inclusion of RHO into FVA causes the funding cost component of the CA account to be materially smaller in the absolute value than FCA/FBA accounting (by about a factor of two in the case study examples of Albanese and Andersen (2014)). As a consequence CET1 immunization is practical in the case of FVA/FDA method and results in an FTP principle that aligns the interests of the bank managers and the shareholders.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Exit Prices and Fair Valuation</w:t>
      </w:r>
    </w:p>
    <w:p w:rsidR="00397E59" w:rsidRDefault="00397E59" w:rsidP="00397E59">
      <w:pPr>
        <w:spacing w:line="360" w:lineRule="auto"/>
      </w:pPr>
    </w:p>
    <w:p w:rsidR="00397E59" w:rsidRDefault="00397E59" w:rsidP="008A18B1">
      <w:pPr>
        <w:pStyle w:val="ListParagraph"/>
        <w:numPr>
          <w:ilvl w:val="0"/>
          <w:numId w:val="45"/>
        </w:numPr>
        <w:spacing w:line="360" w:lineRule="auto"/>
      </w:pPr>
      <w:r w:rsidRPr="00683A55">
        <w:rPr>
          <w:u w:val="single"/>
        </w:rPr>
        <w:lastRenderedPageBreak/>
        <w:t>Deciding on the Unit of Account</w:t>
      </w:r>
      <w:r>
        <w:t>: Exit prices are important from an accounting point of view as they provide a model-independent method to access fair valuation. As a general approach, the first step is to decide what is to be considered a unit of account.</w:t>
      </w:r>
    </w:p>
    <w:p w:rsidR="00397E59" w:rsidRDefault="00397E59" w:rsidP="008A18B1">
      <w:pPr>
        <w:pStyle w:val="ListParagraph"/>
        <w:numPr>
          <w:ilvl w:val="0"/>
          <w:numId w:val="45"/>
        </w:numPr>
        <w:spacing w:line="360" w:lineRule="auto"/>
      </w:pPr>
      <w:r>
        <w:rPr>
          <w:u w:val="single"/>
        </w:rPr>
        <w:t>Auctioning for an Account Unit</w:t>
      </w:r>
      <w:r w:rsidRPr="00683A55">
        <w:t>:</w:t>
      </w:r>
      <w:r>
        <w:t xml:space="preserve"> If a unit of account can be transferred in a market with sufficient liquidity and without altering any of the expected cash flows an auction process may be run and a best bidder chosen.</w:t>
      </w:r>
    </w:p>
    <w:p w:rsidR="00397E59" w:rsidRDefault="00397E59" w:rsidP="008A18B1">
      <w:pPr>
        <w:pStyle w:val="ListParagraph"/>
        <w:numPr>
          <w:ilvl w:val="0"/>
          <w:numId w:val="45"/>
        </w:numPr>
        <w:spacing w:line="360" w:lineRule="auto"/>
      </w:pPr>
      <w:r>
        <w:rPr>
          <w:u w:val="single"/>
        </w:rPr>
        <w:t>Model Pricing for the Account Unit</w:t>
      </w:r>
      <w:r w:rsidRPr="00683A55">
        <w:t>:</w:t>
      </w:r>
      <w:r>
        <w:t xml:space="preserve"> Failing the execution of the auction process, a model-based valuation method is used with a model calibrated consistently to all available market pricing information for the relevant risk factors.</w:t>
      </w:r>
    </w:p>
    <w:p w:rsidR="00397E59" w:rsidRDefault="00397E59" w:rsidP="008A18B1">
      <w:pPr>
        <w:pStyle w:val="ListParagraph"/>
        <w:numPr>
          <w:ilvl w:val="0"/>
          <w:numId w:val="45"/>
        </w:numPr>
        <w:spacing w:line="360" w:lineRule="auto"/>
      </w:pPr>
      <w:r>
        <w:rPr>
          <w:u w:val="single"/>
        </w:rPr>
        <w:t>Consistency with the Accounting Principles</w:t>
      </w:r>
      <w:r w:rsidRPr="00683A55">
        <w:t>:</w:t>
      </w:r>
      <w:r>
        <w:t xml:space="preserve"> According to accounting principles AP0 and AP1 above, the exit prices discovered through the steps outlined in the general approach above are what should be recorded as fair value for derivative assets and liabilities on the balance sheet.</w:t>
      </w:r>
    </w:p>
    <w:p w:rsidR="00397E59" w:rsidRDefault="00397E59" w:rsidP="008A18B1">
      <w:pPr>
        <w:pStyle w:val="ListParagraph"/>
        <w:numPr>
          <w:ilvl w:val="0"/>
          <w:numId w:val="45"/>
        </w:numPr>
        <w:spacing w:line="360" w:lineRule="auto"/>
      </w:pPr>
      <w:r>
        <w:rPr>
          <w:u w:val="single"/>
        </w:rPr>
        <w:t>Granularity of a Single Trade</w:t>
      </w:r>
      <w:r w:rsidRPr="0011139F">
        <w:t>:</w:t>
      </w:r>
      <w:r>
        <w:t xml:space="preserve"> Unless trades are fully collateralized, the notion that a single trade can ever be considered a unit of account is, as discussed before, an incorrect one. So while it may be tempting to ask for the market price of a single trade, the question becomes truly meaningful only when asked about entire netting set portfolios – and sometimes even that may be too granular.</w:t>
      </w:r>
    </w:p>
    <w:p w:rsidR="00397E59" w:rsidRDefault="00397E59" w:rsidP="008A18B1">
      <w:pPr>
        <w:pStyle w:val="ListParagraph"/>
        <w:numPr>
          <w:ilvl w:val="0"/>
          <w:numId w:val="45"/>
        </w:numPr>
        <w:spacing w:line="360" w:lineRule="auto"/>
      </w:pPr>
      <w:r>
        <w:rPr>
          <w:u w:val="single"/>
        </w:rPr>
        <w:t>Granularity of a Full Portfolio</w:t>
      </w:r>
      <w:r w:rsidRPr="0011139F">
        <w:t>:</w:t>
      </w:r>
      <w:r>
        <w:t xml:space="preserve"> Further when discussing portfolio prices, not only must the netting set portfolios be held fixed, but so must also the credit quality of the bank and its counterparty – otherwise cash flows induced by the default are not the same. For instance, trying to assign a portfolio from a low-rated bank to a high-rated bank automatically changes the cash flow characteristics of a bilateral portfolio and violates the apples-to-apples provision in the auctioning setup above.</w:t>
      </w:r>
    </w:p>
    <w:p w:rsidR="00397E59" w:rsidRDefault="00397E59" w:rsidP="008A18B1">
      <w:pPr>
        <w:pStyle w:val="ListParagraph"/>
        <w:numPr>
          <w:ilvl w:val="0"/>
          <w:numId w:val="45"/>
        </w:numPr>
        <w:spacing w:line="360" w:lineRule="auto"/>
      </w:pPr>
      <w:r>
        <w:rPr>
          <w:u w:val="single"/>
        </w:rPr>
        <w:t>Compatibility with the Bidding Bank</w:t>
      </w:r>
      <w:r w:rsidRPr="0011139F">
        <w:t>:</w:t>
      </w:r>
      <w:r>
        <w:t xml:space="preserve"> Even if the bidding bank has exactly the right credit spread, the bidding bank very likely has trades with the counterparty in question. The bid is therefore not for the original portfolio in question, but for a combined portfolio of old and new trades.</w:t>
      </w:r>
    </w:p>
    <w:p w:rsidR="00397E59" w:rsidRDefault="00397E59" w:rsidP="008A18B1">
      <w:pPr>
        <w:pStyle w:val="ListParagraph"/>
        <w:numPr>
          <w:ilvl w:val="0"/>
          <w:numId w:val="45"/>
        </w:numPr>
        <w:spacing w:line="360" w:lineRule="auto"/>
      </w:pPr>
      <w:r>
        <w:rPr>
          <w:u w:val="single"/>
        </w:rPr>
        <w:lastRenderedPageBreak/>
        <w:t>Need to invoke Model Pricing</w:t>
      </w:r>
      <w:r w:rsidRPr="0011139F">
        <w:t>:</w:t>
      </w:r>
      <w:r>
        <w:t xml:space="preserve"> Due to the above effects it is exceedingly rare that an auction of the type discussed is ever practical; instead the model based pricing approach is virtually always called upon.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Accounting</w:t>
      </w:r>
    </w:p>
    <w:p w:rsidR="00397E59" w:rsidRDefault="00397E59" w:rsidP="00397E59">
      <w:pPr>
        <w:spacing w:line="360" w:lineRule="auto"/>
      </w:pPr>
    </w:p>
    <w:p w:rsidR="00397E59" w:rsidRDefault="00397E59" w:rsidP="008A18B1">
      <w:pPr>
        <w:pStyle w:val="ListParagraph"/>
        <w:numPr>
          <w:ilvl w:val="0"/>
          <w:numId w:val="46"/>
        </w:numPr>
        <w:spacing w:line="360" w:lineRule="auto"/>
      </w:pPr>
      <w:r w:rsidRPr="006138B4">
        <w:rPr>
          <w:u w:val="single"/>
        </w:rPr>
        <w:t>Exit Price Trade Level Granularity</w:t>
      </w:r>
      <w:r>
        <w:t>: As we have seen, exit price at the level of a netting set operates at too narrow a unit account, as funding costs due to re-hypothecation must still be modeled at the funding set level. In the FVA/FDA method this certainly is required for the FTP and entry price calculations as just seen above, but is not required for fair value calculations.</w:t>
      </w:r>
    </w:p>
    <w:p w:rsidR="00397E59" w:rsidRDefault="00397E59" w:rsidP="008A18B1">
      <w:pPr>
        <w:pStyle w:val="ListParagraph"/>
        <w:numPr>
          <w:ilvl w:val="0"/>
          <w:numId w:val="46"/>
        </w:numPr>
        <w:spacing w:line="360" w:lineRule="auto"/>
      </w:pPr>
      <w:r>
        <w:rPr>
          <w:u w:val="single"/>
        </w:rPr>
        <w:t>CA and CL Adjustment Cancellation</w:t>
      </w:r>
      <w:r w:rsidRPr="00822311">
        <w:t>:</w:t>
      </w:r>
      <w:r>
        <w:t xml:space="preserve"> The reason for this, of course, is that cash flows associated with the funding operations are modeled as having zero net value for the firm as a whole, consistent with the MMT. This manifests itself in the cancellation of the CA and the CL adjustments for funding, such that funding costs never make it to the level of net income and net fair asset/liability values on the balance sheet.</w:t>
      </w:r>
    </w:p>
    <w:p w:rsidR="00397E59" w:rsidRDefault="00397E59" w:rsidP="008A18B1">
      <w:pPr>
        <w:pStyle w:val="ListParagraph"/>
        <w:numPr>
          <w:ilvl w:val="0"/>
          <w:numId w:val="46"/>
        </w:numPr>
        <w:spacing w:line="360" w:lineRule="auto"/>
      </w:pPr>
      <w:r>
        <w:rPr>
          <w:u w:val="single"/>
        </w:rPr>
        <w:t>Price Impact on Net Income</w:t>
      </w:r>
      <w:r w:rsidRPr="00822311">
        <w:t>:</w:t>
      </w:r>
      <w:r>
        <w:t xml:space="preserve"> DVA and CVA, however, generally do not cancel out, and their difference shows up in net fair values. Specifically for the FVA/FDA accounting, the Portfolio Fair Value (PFV) of the derivatives is, according to the table seen earlier,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PFV=A-L-CA+CL=A-L-FTDCVA+DVA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 expression that contains in </w:t>
      </w:r>
      <m:oMath>
        <m:r>
          <w:rPr>
            <w:rFonts w:ascii="Cambria Math" w:hAnsi="Cambria Math"/>
          </w:rPr>
          <m:t>A-L</m:t>
        </m:r>
      </m:oMath>
      <w:r>
        <w:t xml:space="preserve"> the present values of promised cash flows, and in </w:t>
      </w:r>
      <m:oMath>
        <m:r>
          <w:rPr>
            <w:rFonts w:ascii="Cambria Math" w:hAnsi="Cambria Math"/>
          </w:rPr>
          <m:t>-FTDCVA+DVA</m:t>
        </m:r>
      </m:oMath>
      <w:r>
        <w:t>, the present values of the lost cash-flows due to default.</w:t>
      </w:r>
    </w:p>
    <w:p w:rsidR="00397E59" w:rsidRDefault="00397E59" w:rsidP="008A18B1">
      <w:pPr>
        <w:pStyle w:val="ListParagraph"/>
        <w:numPr>
          <w:ilvl w:val="0"/>
          <w:numId w:val="46"/>
        </w:numPr>
        <w:spacing w:line="360" w:lineRule="auto"/>
      </w:pPr>
      <w:r>
        <w:rPr>
          <w:u w:val="single"/>
        </w:rPr>
        <w:t>Trade Level Cash Flow Focus</w:t>
      </w:r>
      <w:r w:rsidRPr="00822311">
        <w:t>:</w:t>
      </w:r>
      <w:r>
        <w:t xml:space="preserve"> The above flows are focused on cash flows generated by the trades in isolation and does not reference how the trades are funded. As a consequence, as mentioned above, </w:t>
      </w:r>
      <m:oMath>
        <m:r>
          <w:rPr>
            <w:rFonts w:ascii="Cambria Math" w:hAnsi="Cambria Math"/>
          </w:rPr>
          <m:t>A-L-FTDCVA+DVA</m:t>
        </m:r>
      </m:oMath>
      <w:r>
        <w:t xml:space="preserve"> is additive over netting sets. However, this is not the case for FTP expressions in FVA/FDA accounting which are aligned CET1 (a non-additive metric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FCA/FBA Accounting</w:t>
      </w:r>
    </w:p>
    <w:p w:rsidR="00397E59" w:rsidRDefault="00397E59" w:rsidP="00397E59">
      <w:pPr>
        <w:spacing w:line="360" w:lineRule="auto"/>
      </w:pPr>
    </w:p>
    <w:p w:rsidR="00397E59" w:rsidRDefault="00397E59" w:rsidP="008A18B1">
      <w:pPr>
        <w:pStyle w:val="ListParagraph"/>
        <w:numPr>
          <w:ilvl w:val="0"/>
          <w:numId w:val="47"/>
        </w:numPr>
        <w:spacing w:line="360" w:lineRule="auto"/>
      </w:pPr>
      <w:r w:rsidRPr="00A2771A">
        <w:rPr>
          <w:u w:val="single"/>
        </w:rPr>
        <w:t>Price Impact on Net Income</w:t>
      </w:r>
      <w:r>
        <w:t>: In FCA/FBA accounting funding costs are allowed to hit net income as the PFV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m:t>
          </m:r>
          <m:r>
            <w:rPr>
              <w:rFonts w:ascii="Cambria Math" w:hAnsi="Cambria Math"/>
            </w:rPr>
            <m:t>A-FCA+FBA=A-L-UCVA-SFVA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measure is a mixture of partial and incomplete cash flow valuations with a measure of funding costs thrown in. As in the expression for PFV in FVA/FDA accounting, the expression is additive over netting sets.</w:t>
      </w:r>
    </w:p>
    <w:p w:rsidR="00397E59" w:rsidRDefault="00397E59" w:rsidP="008A18B1">
      <w:pPr>
        <w:pStyle w:val="ListParagraph"/>
        <w:numPr>
          <w:ilvl w:val="0"/>
          <w:numId w:val="47"/>
        </w:numPr>
        <w:spacing w:line="360" w:lineRule="auto"/>
      </w:pPr>
      <w:r>
        <w:rPr>
          <w:u w:val="single"/>
        </w:rPr>
        <w:t>Caveat - Fair Valuation of CVA</w:t>
      </w:r>
      <w:r w:rsidRPr="00A2771A">
        <w:t>:</w:t>
      </w:r>
      <w:r>
        <w:t xml:space="preserve"> UCVA is generally not the fair valuation of the CVA, as it ignores self-survival. Similarly the expression for PFV in FCA/FBA accounting does not contain the DVA and the approximation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poor one.</w:t>
      </w:r>
    </w:p>
    <w:p w:rsidR="00397E59" w:rsidRDefault="00397E59" w:rsidP="008A18B1">
      <w:pPr>
        <w:pStyle w:val="ListParagraph"/>
        <w:numPr>
          <w:ilvl w:val="0"/>
          <w:numId w:val="47"/>
        </w:numPr>
        <w:spacing w:line="360" w:lineRule="auto"/>
      </w:pPr>
      <w:r>
        <w:rPr>
          <w:u w:val="single"/>
        </w:rPr>
        <w:t>Violation of the MMT Principles</w:t>
      </w:r>
      <w:r w:rsidRPr="00A2771A">
        <w:t>:</w:t>
      </w:r>
      <w:r>
        <w:t xml:space="preserve"> As mentioned earlier it is clear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above violates both the MMT and the principle of asset-liability symmetry. One should also ask the question whether the presence of SFVA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amounts to an entity-specific cost adjustment decoupled from trade cash flows, something that violated the principles of exit pricing and normally not allowed in fair value accounting.</w:t>
      </w:r>
    </w:p>
    <w:p w:rsidR="00397E59" w:rsidRDefault="00397E59" w:rsidP="008A18B1">
      <w:pPr>
        <w:pStyle w:val="ListParagraph"/>
        <w:numPr>
          <w:ilvl w:val="0"/>
          <w:numId w:val="47"/>
        </w:numPr>
        <w:spacing w:line="360" w:lineRule="auto"/>
      </w:pPr>
      <w:r>
        <w:rPr>
          <w:u w:val="single"/>
        </w:rPr>
        <w:lastRenderedPageBreak/>
        <w:t>Popular Justification for the FCA/FBA Accounting</w:t>
      </w:r>
      <w:r w:rsidRPr="003D1E8E">
        <w:t>:</w:t>
      </w:r>
      <w:r>
        <w:t xml:space="preserve"> Proponents of the FCA/FBA accounting often attempt to argue away the entity specific nature of the PFV expression by suggesting that their bank’s credit spreads are “representative”, wherefore the SFVA represents a market average that can be used for exit pricing purposes. This is a questionable line of reasoning for several reasons.</w:t>
      </w:r>
    </w:p>
    <w:p w:rsidR="00397E59" w:rsidRDefault="00397E59" w:rsidP="008A18B1">
      <w:pPr>
        <w:pStyle w:val="ListParagraph"/>
        <w:numPr>
          <w:ilvl w:val="0"/>
          <w:numId w:val="47"/>
        </w:numPr>
        <w:spacing w:line="360" w:lineRule="auto"/>
      </w:pPr>
      <w:r>
        <w:rPr>
          <w:u w:val="single"/>
        </w:rPr>
        <w:t>Choice of Appropriate Funding Spread</w:t>
      </w:r>
      <w:r w:rsidRPr="003D1E8E">
        <w:t>:</w:t>
      </w:r>
      <w:r>
        <w:t xml:space="preserve"> First, even if the bank’s funding spread is close to the market average at some point, this may cease to be the case in the future, especially if the bank itself approaches default. And second it is unclear if the market average spread is a metric that can be used for exit pricing and PFV computations – perhaps the “best” spread (i.e., high spreads for receivables and low spreads for payables) could be argued to be more appropriate.</w:t>
      </w:r>
    </w:p>
    <w:p w:rsidR="00397E59" w:rsidRDefault="00397E59" w:rsidP="008A18B1">
      <w:pPr>
        <w:pStyle w:val="ListParagraph"/>
        <w:numPr>
          <w:ilvl w:val="0"/>
          <w:numId w:val="47"/>
        </w:numPr>
        <w:spacing w:line="360" w:lineRule="auto"/>
      </w:pPr>
      <w:r>
        <w:rPr>
          <w:u w:val="single"/>
        </w:rPr>
        <w:t>Industry Standard Proxy for Funding</w:t>
      </w:r>
      <w:r w:rsidRPr="003D1E8E">
        <w:t>:</w:t>
      </w:r>
      <w:r>
        <w:t xml:space="preserve"> A related line of thought suggest that the SFVA term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not to be computed at the bank’s own spread, but at a separately marked industry spread. This removes the entity specific nature of the FCA/FBA PFV, but also decouples FBA entirely from DVA, whereby FCA/FBA accounting would violate one of the accounting principles.</w:t>
      </w:r>
    </w:p>
    <w:p w:rsidR="00397E59" w:rsidRDefault="00397E59" w:rsidP="008A18B1">
      <w:pPr>
        <w:pStyle w:val="ListParagraph"/>
        <w:numPr>
          <w:ilvl w:val="0"/>
          <w:numId w:val="47"/>
        </w:numPr>
        <w:spacing w:line="360" w:lineRule="auto"/>
      </w:pPr>
      <w:r>
        <w:rPr>
          <w:u w:val="single"/>
        </w:rPr>
        <w:t>Impact of Exogenously Marked Spread</w:t>
      </w:r>
      <w:r w:rsidRPr="003D1E8E">
        <w:t>:</w:t>
      </w:r>
      <w:r>
        <w:t xml:space="preserve"> One also wonders where the industry spread curve is supposed to come from, especially since such curves are very hard to detect at the level of individual trades (since FTP entry prices operate on netting or funding set metrics only). The idea of an exogenously marked spread is treated in detail in the next section.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4"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lastRenderedPageBreak/>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Liquidity Spreads, Asset Liability Symmetry, and Alternative Allocations for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Motivation</w:t>
      </w:r>
    </w:p>
    <w:p w:rsidR="00397E59" w:rsidRDefault="00397E59" w:rsidP="00397E59">
      <w:pPr>
        <w:spacing w:line="360" w:lineRule="auto"/>
      </w:pPr>
    </w:p>
    <w:p w:rsidR="00397E59" w:rsidRDefault="00397E59" w:rsidP="008A18B1">
      <w:pPr>
        <w:pStyle w:val="ListParagraph"/>
        <w:numPr>
          <w:ilvl w:val="0"/>
          <w:numId w:val="48"/>
        </w:numPr>
        <w:spacing w:line="360" w:lineRule="auto"/>
      </w:pPr>
      <w:r w:rsidRPr="008B7939">
        <w:rPr>
          <w:u w:val="single"/>
        </w:rPr>
        <w:t>Assumptions Underlying the FCA/FBA Scheme</w:t>
      </w:r>
      <w:r>
        <w:t>: This section reviews the FCA/FBA accounting framework by examining a variety of assumptions that have been put forward to justify at least some of the elements of the FCA/FBA accounting ideas. These assumptions are quiet strong, and not necessarily realistic.</w:t>
      </w:r>
    </w:p>
    <w:p w:rsidR="00397E59" w:rsidRDefault="00397E59" w:rsidP="008A18B1">
      <w:pPr>
        <w:pStyle w:val="ListParagraph"/>
        <w:numPr>
          <w:ilvl w:val="0"/>
          <w:numId w:val="48"/>
        </w:numPr>
        <w:spacing w:line="360" w:lineRule="auto"/>
      </w:pPr>
      <w:r>
        <w:rPr>
          <w:u w:val="single"/>
        </w:rPr>
        <w:t>Working Capital Management for Derivatives</w:t>
      </w:r>
      <w:r w:rsidRPr="008B7939">
        <w:t>:</w:t>
      </w:r>
      <w:r>
        <w:t xml:space="preserve"> Derivatives are normally funded on a short-term basis, as the funding needs associated with derivatives trades typically exhibits considerable variation through time. The inherent variability in turn would make it unlikely that the bank’s treasury department would commit to systematically using excess collateral from derivative trading to retire general term debt from the bank’s liabilities.</w:t>
      </w:r>
    </w:p>
    <w:p w:rsidR="00397E59" w:rsidRDefault="00397E59" w:rsidP="008A18B1">
      <w:pPr>
        <w:pStyle w:val="ListParagraph"/>
        <w:numPr>
          <w:ilvl w:val="0"/>
          <w:numId w:val="48"/>
        </w:numPr>
        <w:spacing w:line="360" w:lineRule="auto"/>
      </w:pPr>
      <w:r>
        <w:rPr>
          <w:u w:val="single"/>
        </w:rPr>
        <w:t>FCA/FBA Working Capital Assumptions</w:t>
      </w:r>
      <w:r w:rsidRPr="008B7939">
        <w:t>:</w:t>
      </w:r>
      <w:r>
        <w:t xml:space="preserve"> Yet, as seen earlier, this assumption is essentially one that is required to make sense of some of the FCA/FBA accounting ideas.</w:t>
      </w:r>
    </w:p>
    <w:p w:rsidR="00397E59" w:rsidRDefault="00397E59" w:rsidP="008A18B1">
      <w:pPr>
        <w:pStyle w:val="ListParagraph"/>
        <w:numPr>
          <w:ilvl w:val="0"/>
          <w:numId w:val="48"/>
        </w:numPr>
        <w:spacing w:line="360" w:lineRule="auto"/>
      </w:pPr>
      <w:r>
        <w:rPr>
          <w:u w:val="single"/>
        </w:rPr>
        <w:t>Returns on the Excess Collateral</w:t>
      </w:r>
      <w:r w:rsidRPr="008B7939">
        <w:t>:</w:t>
      </w:r>
      <w:r>
        <w:t xml:space="preserve"> Earlier it was suggested that one use a more conservative and reasonable assumption that the excess collateral is simply invested in short-term risk-free investments, earning a rolling rate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This way no shareholder gain is generated out of variable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Working Capital Management and Operations</w:t>
      </w:r>
    </w:p>
    <w:p w:rsidR="00397E59" w:rsidRDefault="00397E59" w:rsidP="00397E59">
      <w:pPr>
        <w:spacing w:line="360" w:lineRule="auto"/>
      </w:pPr>
    </w:p>
    <w:p w:rsidR="00397E59" w:rsidRDefault="00397E59" w:rsidP="008A18B1">
      <w:pPr>
        <w:pStyle w:val="ListParagraph"/>
        <w:numPr>
          <w:ilvl w:val="0"/>
          <w:numId w:val="49"/>
        </w:numPr>
        <w:spacing w:line="360" w:lineRule="auto"/>
      </w:pPr>
      <w:r w:rsidRPr="009117CA">
        <w:rPr>
          <w:u w:val="single"/>
        </w:rPr>
        <w:t>Shareholder/Creditor Income Share</w:t>
      </w:r>
      <w:r>
        <w:t>: The sum of the values of the bank to the shareholders and the senior creditors add up in income statements and define the PFV of the bank. The value of the debt from collateral lenders is excluded from this calculation.</w:t>
      </w:r>
    </w:p>
    <w:p w:rsidR="00397E59" w:rsidRDefault="00397E59" w:rsidP="008A18B1">
      <w:pPr>
        <w:pStyle w:val="ListParagraph"/>
        <w:numPr>
          <w:ilvl w:val="0"/>
          <w:numId w:val="49"/>
        </w:numPr>
        <w:spacing w:line="360" w:lineRule="auto"/>
      </w:pPr>
      <w:r>
        <w:rPr>
          <w:u w:val="single"/>
        </w:rPr>
        <w:lastRenderedPageBreak/>
        <w:t>Handling of Excess Working Capital</w:t>
      </w:r>
      <w:r w:rsidRPr="009117CA">
        <w:t>:</w:t>
      </w:r>
      <w:r>
        <w:t xml:space="preserve"> Whenever the bank finds itself in the situation where it has excess cash the bank managers have an option to deleverage by buying back the senior debt. According to MMT neither the decision to leverage up with collateral lenders or de-leveraging by debt buy-back have a net impact on income. However the two decision differ in terms of wealth transfer between the shareholders and the senior creditors.</w:t>
      </w:r>
    </w:p>
    <w:p w:rsidR="00397E59" w:rsidRDefault="00397E59" w:rsidP="008A18B1">
      <w:pPr>
        <w:pStyle w:val="ListParagraph"/>
        <w:numPr>
          <w:ilvl w:val="0"/>
          <w:numId w:val="49"/>
        </w:numPr>
        <w:spacing w:line="360" w:lineRule="auto"/>
      </w:pPr>
      <w:r>
        <w:rPr>
          <w:u w:val="single"/>
        </w:rPr>
        <w:t>Fair Value Bond Buy-back</w:t>
      </w:r>
      <w:r w:rsidRPr="009117CA">
        <w:t>:</w:t>
      </w:r>
      <w:r>
        <w:t xml:space="preserve"> The interest paid to collateral lenders triggers a wealth transfer between the shareholders and the senior creditors of a bank and this is quantified by the FVA and the FDA. Whenever bonds are bought back/sold to from the senior creditors at their fair value, the wealth of both the shareholders and the senior creditors is not affected by the decision to de-leverage.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Equity Gain and Debt Gain</w:t>
      </w:r>
    </w:p>
    <w:p w:rsidR="00397E59" w:rsidRDefault="00397E59" w:rsidP="00397E59">
      <w:pPr>
        <w:spacing w:line="360" w:lineRule="auto"/>
      </w:pPr>
    </w:p>
    <w:p w:rsidR="00397E59" w:rsidRDefault="00397E59" w:rsidP="008A18B1">
      <w:pPr>
        <w:pStyle w:val="ListParagraph"/>
        <w:numPr>
          <w:ilvl w:val="0"/>
          <w:numId w:val="50"/>
        </w:numPr>
        <w:spacing w:line="360" w:lineRule="auto"/>
      </w:pPr>
      <w:r w:rsidRPr="007D5CDE">
        <w:rPr>
          <w:u w:val="single"/>
        </w:rPr>
        <w:t>Equity/Debt Gain Overview and Definition</w:t>
      </w:r>
      <w:r>
        <w:t xml:space="preserve">: An alternative to the FVA/FDA assumption would be to assume that the short-term collateral excesses can be invested in strategies that lead to time </w:t>
      </w:r>
      <m:oMath>
        <m:r>
          <w:rPr>
            <w:rFonts w:ascii="Cambria Math" w:hAnsi="Cambria Math"/>
          </w:rPr>
          <m:t>0</m:t>
        </m:r>
      </m:oMath>
      <w:r>
        <w:t xml:space="preserve"> shareholder and debt-holder increases of EG (“Equity Gain”) and DG (“Debt Gain”) respectively.</w:t>
      </w:r>
    </w:p>
    <w:p w:rsidR="00397E59" w:rsidRDefault="00397E59" w:rsidP="008A18B1">
      <w:pPr>
        <w:pStyle w:val="ListParagraph"/>
        <w:numPr>
          <w:ilvl w:val="0"/>
          <w:numId w:val="50"/>
        </w:numPr>
        <w:spacing w:line="360" w:lineRule="auto"/>
      </w:pPr>
      <w:r>
        <w:rPr>
          <w:u w:val="single"/>
        </w:rPr>
        <w:t>MMT Consistency Across the Gains</w:t>
      </w:r>
      <w:r w:rsidRPr="007D5CDE">
        <w:t>:</w:t>
      </w:r>
      <w:r>
        <w:t xml:space="preserve"> It would generally be a stretch to build into accounting statements any “sure thing” on firm-wide profitably of investment strategies, it seems that one should at least require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of course the condition required to satisfy MMT.</w:t>
      </w:r>
    </w:p>
    <w:p w:rsidR="00397E59" w:rsidRDefault="00397E59" w:rsidP="008A18B1">
      <w:pPr>
        <w:pStyle w:val="ListParagraph"/>
        <w:numPr>
          <w:ilvl w:val="0"/>
          <w:numId w:val="50"/>
        </w:numPr>
        <w:spacing w:line="360" w:lineRule="auto"/>
      </w:pPr>
      <w:r>
        <w:rPr>
          <w:u w:val="single"/>
        </w:rPr>
        <w:t>CA and CL Impact of Gains</w:t>
      </w:r>
      <w:r w:rsidRPr="007D5CDE">
        <w:t>:</w:t>
      </w:r>
      <w:r>
        <w:t xml:space="preserve"> EG and DG are specific to whatever investment strategy that the treasury commits to, but should one somehow be able to project their values, the FVA/FDA accounting method could be adapted as follows:</w:t>
      </w:r>
    </w:p>
    <w:p w:rsidR="00397E59" w:rsidRDefault="00397E59" w:rsidP="00397E59">
      <w:pPr>
        <w:pStyle w:val="ListParagraph"/>
        <w:spacing w:line="360" w:lineRule="auto"/>
        <w:ind w:left="360"/>
        <w:rPr>
          <w:u w:val="single"/>
        </w:rPr>
      </w:pPr>
    </w:p>
    <w:p w:rsidR="00397E59" w:rsidRPr="00974012"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m:t>
          </m:r>
          <m:r>
            <w:rPr>
              <w:rFonts w:ascii="Cambria Math" w:hAnsi="Cambria Math"/>
            </w:rPr>
            <m:t>CVA-EG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Funding Definitions Impact on Accounting:</w:t>
      </w:r>
      <w:r>
        <w:t xml:space="preserve"> This is a good time once again to point out that the funding cost definitions are not immutable, but depend strongly on the assumptions made on how the finds are raised and invested. Baking any such assumptions into the accounting numbers obliges the bank to actually follow strategies on which it based its accounting numbers.</w:t>
      </w:r>
    </w:p>
    <w:p w:rsidR="00397E59" w:rsidRDefault="00397E59" w:rsidP="008A18B1">
      <w:pPr>
        <w:pStyle w:val="ListParagraph"/>
        <w:numPr>
          <w:ilvl w:val="0"/>
          <w:numId w:val="50"/>
        </w:numPr>
        <w:spacing w:line="360" w:lineRule="auto"/>
      </w:pPr>
      <w:r>
        <w:rPr>
          <w:u w:val="single"/>
        </w:rPr>
        <w:t>Maintenance of the Asset-Liability Symmetry</w:t>
      </w:r>
      <w:r>
        <w:t>: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implies</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EG=-DG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 xml:space="preserve">it is clear that introducing EG and DG into the FVA/FDA accounting would preserve the asset-liability symmetry and would not have any effects on the Net Income. However if </w:t>
      </w:r>
      <m:oMath>
        <m:r>
          <w:rPr>
            <w:rFonts w:ascii="Cambria Math" w:hAnsi="Cambria Math"/>
          </w:rPr>
          <m:t>EG≠0</m:t>
        </m:r>
      </m:oMath>
      <w:r>
        <w:t xml:space="preserve"> new terms would arise at the balance sheet accounting level and would potentially affect CET1.</w:t>
      </w:r>
    </w:p>
    <w:p w:rsidR="00397E59" w:rsidRDefault="00397E59" w:rsidP="008A18B1">
      <w:pPr>
        <w:pStyle w:val="ListParagraph"/>
        <w:numPr>
          <w:ilvl w:val="0"/>
          <w:numId w:val="50"/>
        </w:numPr>
        <w:spacing w:line="360" w:lineRule="auto"/>
      </w:pPr>
      <w:r>
        <w:rPr>
          <w:u w:val="single"/>
        </w:rPr>
        <w:t>Positive EG and Debt Covenants</w:t>
      </w:r>
      <w:r w:rsidRPr="003D3CD3">
        <w:t>:</w:t>
      </w:r>
      <w:r>
        <w:t xml:space="preserve"> As bank managers should not engage in trading strategies where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introduction of the EG and the DG terms would realistically only involve the cases where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therefore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DG&lt;0</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i.e., it is possible to only consider collateral investment strategies that prevent wealth transfers from shareholders to senior creditors. Such strategies are possible in principle but are non-trivial to setup since bond covenant put serious restrictions on any activities that enrich the shareholders solely at the expense of senior creditors.</w:t>
      </w:r>
    </w:p>
    <w:p w:rsidR="00397E59" w:rsidRDefault="00397E59" w:rsidP="008A18B1">
      <w:pPr>
        <w:pStyle w:val="ListParagraph"/>
        <w:numPr>
          <w:ilvl w:val="0"/>
          <w:numId w:val="50"/>
        </w:numPr>
        <w:spacing w:line="360" w:lineRule="auto"/>
      </w:pPr>
      <w:r>
        <w:rPr>
          <w:u w:val="single"/>
        </w:rPr>
        <w:t>Counterparty Credit Risk Transfer</w:t>
      </w:r>
      <w:r w:rsidRPr="003D3CD3">
        <w:t>:</w:t>
      </w:r>
      <w:r>
        <w:t xml:space="preserve"> Transferring counterparty credit risk to third party investors may prevent wealth transfers from shareholders to senior creditors. However unless such strategies are properly quantified and executed, theoretical equity gains should not be reflected in accounts just because they are possible. As a consequence the FVA/FDA assumption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more reasonable and a rigorous one.</w:t>
      </w:r>
    </w:p>
    <w:p w:rsidR="00397E59" w:rsidRDefault="00397E59" w:rsidP="008A18B1">
      <w:pPr>
        <w:pStyle w:val="ListParagraph"/>
        <w:numPr>
          <w:ilvl w:val="0"/>
          <w:numId w:val="50"/>
        </w:numPr>
        <w:spacing w:line="360" w:lineRule="auto"/>
      </w:pPr>
      <w:r>
        <w:rPr>
          <w:u w:val="single"/>
        </w:rPr>
        <w:t>Shareholder Equity Gain Formulation</w:t>
      </w:r>
      <w:r>
        <w:t xml:space="preserve">: Pursuing the extensions above a bit further, supposing that the investment benefits are assumed to accrue at the rate of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where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is interpreted as the spread over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returns. In this case we would write, long the same lines as</w:t>
      </w:r>
    </w:p>
    <w:p w:rsidR="00397E59" w:rsidRDefault="00397E59" w:rsidP="00397E59">
      <w:pPr>
        <w:pStyle w:val="ListParagraph"/>
        <w:spacing w:line="360" w:lineRule="auto"/>
        <w:ind w:left="360"/>
        <w:rPr>
          <w:u w:val="single"/>
        </w:rPr>
      </w:pPr>
    </w:p>
    <w:p w:rsidR="00397E59" w:rsidRPr="00F14735"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Equity Gain as Return Rate</w:t>
      </w:r>
      <w:r>
        <w:t>: For the special case where</w:t>
      </w:r>
    </w:p>
    <w:p w:rsidR="00397E59" w:rsidRDefault="00397E59" w:rsidP="00397E59">
      <w:pPr>
        <w:pStyle w:val="ListParagraph"/>
        <w:spacing w:line="360" w:lineRule="auto"/>
        <w:ind w:left="360"/>
        <w:rPr>
          <w:u w:val="single"/>
        </w:rPr>
      </w:pPr>
    </w:p>
    <w:p w:rsidR="00397E59" w:rsidRDefault="005D6A21"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can observe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now the max operator has disappeared from the expectation. Approximating the recovery rate of the bank as zero, i.e., setting</w:t>
      </w:r>
    </w:p>
    <w:p w:rsidR="00397E59" w:rsidRDefault="00397E59" w:rsidP="00397E59">
      <w:pPr>
        <w:pStyle w:val="ListParagraph"/>
        <w:spacing w:line="360" w:lineRule="auto"/>
        <w:ind w:left="360"/>
      </w:pPr>
    </w:p>
    <w:p w:rsidR="00397E59" w:rsidRPr="00F14735" w:rsidRDefault="005D6A21"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find that</w:t>
      </w:r>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≈FCA-FBA=SFVA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Debt Retirement using Equity Gain</w:t>
      </w:r>
      <w:r>
        <w:t>: Of course setting</w:t>
      </w:r>
    </w:p>
    <w:p w:rsidR="00397E59" w:rsidRDefault="00397E59" w:rsidP="00397E59">
      <w:pPr>
        <w:pStyle w:val="ListParagraph"/>
        <w:spacing w:line="360" w:lineRule="auto"/>
        <w:ind w:left="360"/>
        <w:rPr>
          <w:u w:val="single"/>
        </w:rPr>
      </w:pPr>
    </w:p>
    <w:p w:rsidR="00397E59" w:rsidRDefault="005D6A21"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basically amounts to debt retirement – a strategy that was questioned, so this cannot be endorsed. Nevertheless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help understand better the underpinning of the FCA, the FBA, and the SFVA terms.</w:t>
      </w:r>
    </w:p>
    <w:p w:rsidR="00397E59" w:rsidRDefault="00397E59" w:rsidP="008A18B1">
      <w:pPr>
        <w:pStyle w:val="ListParagraph"/>
        <w:numPr>
          <w:ilvl w:val="0"/>
          <w:numId w:val="50"/>
        </w:numPr>
        <w:spacing w:line="360" w:lineRule="auto"/>
      </w:pPr>
      <w:r>
        <w:rPr>
          <w:u w:val="single"/>
        </w:rPr>
        <w:t>Gain Accounting vs FCA/FBA Accounting</w:t>
      </w:r>
      <w:r w:rsidRPr="00F14735">
        <w:t>:</w:t>
      </w:r>
      <w:r>
        <w:t xml:space="preserve"> It needs to be emphasized, however, that setting</w:t>
      </w:r>
    </w:p>
    <w:p w:rsidR="00397E59" w:rsidRDefault="00397E59" w:rsidP="00397E59">
      <w:pPr>
        <w:pStyle w:val="ListParagraph"/>
        <w:spacing w:line="360" w:lineRule="auto"/>
        <w:ind w:left="360"/>
        <w:rPr>
          <w:u w:val="single"/>
        </w:rPr>
      </w:pPr>
    </w:p>
    <w:p w:rsidR="00397E59" w:rsidRDefault="005D6A21"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following the CA and the CL entries above does not reproduce the FCA/FBA method, not even approximately. For instance, note that the FCA/FBA method sets the CA account to </w:t>
      </w:r>
      <m:oMath>
        <m:r>
          <w:rPr>
            <w:rFonts w:ascii="Cambria Math" w:hAnsi="Cambria Math"/>
          </w:rPr>
          <m:t>CVA+FCA</m:t>
        </m:r>
      </m:oMath>
      <w:r>
        <w:t xml:space="preserve"> whereas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results in a CA account of </w:t>
      </w:r>
      <m:oMath>
        <m:r>
          <w:rPr>
            <w:rFonts w:ascii="Cambria Math" w:hAnsi="Cambria Math"/>
          </w:rPr>
          <m:t>CVA+SFVA</m:t>
        </m:r>
      </m:oMath>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constitutes an accounting method with asset-liability symmetry, whereas FCA/FBA method does not.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Liquidity Based Analysis and Treatment</w:t>
      </w:r>
    </w:p>
    <w:p w:rsidR="00397E59" w:rsidRDefault="00397E59" w:rsidP="00397E59">
      <w:pPr>
        <w:spacing w:line="360" w:lineRule="auto"/>
      </w:pPr>
    </w:p>
    <w:p w:rsidR="00397E59" w:rsidRDefault="00397E59" w:rsidP="008A18B1">
      <w:pPr>
        <w:pStyle w:val="ListParagraph"/>
        <w:numPr>
          <w:ilvl w:val="0"/>
          <w:numId w:val="51"/>
        </w:numPr>
        <w:spacing w:line="360" w:lineRule="auto"/>
      </w:pPr>
      <w:r w:rsidRPr="00B20B15">
        <w:rPr>
          <w:u w:val="single"/>
        </w:rPr>
        <w:t>Asset-Liability Symmetry without MMT</w:t>
      </w:r>
      <w:r>
        <w:t xml:space="preserve">: Let us note that it is possible to preserve asset-liability symmetry without satisfying the MMT. Suppose that the entire market decides that a liquidity spread of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 unrelated to the compensation of the default risk – applies to all the discounting operations on unsecured derivatives. Incorporation of this spread would only </w:t>
      </w:r>
      <w:r>
        <w:lastRenderedPageBreak/>
        <w:t xml:space="preserve">mean a universal redefinition of the default-free security value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 something that would result in asset and earnings re-statements across firms, but would not break the asset-liability symmetry.</w:t>
      </w:r>
    </w:p>
    <w:p w:rsidR="00397E59" w:rsidRDefault="00397E59" w:rsidP="008A18B1">
      <w:pPr>
        <w:pStyle w:val="ListParagraph"/>
        <w:numPr>
          <w:ilvl w:val="0"/>
          <w:numId w:val="51"/>
        </w:numPr>
        <w:spacing w:line="360" w:lineRule="auto"/>
      </w:pPr>
      <w:r>
        <w:rPr>
          <w:u w:val="single"/>
        </w:rPr>
        <w:t>Liquidity Value Adjustment Metric Formulation</w:t>
      </w:r>
      <w:r w:rsidRPr="00B20B15">
        <w:t>:</w:t>
      </w:r>
      <w:r>
        <w:t xml:space="preserve"> More concretely we define a Liquidity Value Adjustment (LVA) as</w:t>
      </w:r>
    </w:p>
    <w:p w:rsidR="00397E59" w:rsidRDefault="00397E59" w:rsidP="00397E59">
      <w:pPr>
        <w:pStyle w:val="ListParagraph"/>
        <w:spacing w:line="360" w:lineRule="auto"/>
        <w:ind w:left="360"/>
        <w:rPr>
          <w:u w:val="single"/>
        </w:rPr>
      </w:pPr>
    </w:p>
    <w:p w:rsidR="00397E59" w:rsidRPr="00970455" w:rsidRDefault="00397E59" w:rsidP="00397E59">
      <w:pPr>
        <w:pStyle w:val="ListParagraph"/>
        <w:spacing w:line="360" w:lineRule="auto"/>
        <w:ind w:left="360"/>
      </w:pPr>
      <m:oMathPara>
        <m:oMath>
          <m:r>
            <w:rPr>
              <w:rFonts w:ascii="Cambria Math" w:hAnsi="Cambria Math"/>
            </w:rPr>
            <m:t>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CA/CL Components of LVA</w:t>
      </w:r>
      <w:r>
        <w:t xml:space="preserve">: One obvious way of accounting for liquidity spreads would be to let </w:t>
      </w:r>
      <m:oMath>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and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to be entered as contra-asset and contra-liability, respectively. It is clear here that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 unlike all other terms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is not associated with self-default or wealth transfers, and therefore should </w:t>
      </w:r>
      <w:r w:rsidRPr="00970455">
        <w:rPr>
          <w:i/>
        </w:rPr>
        <w:t>not</w:t>
      </w:r>
      <w:r>
        <w:t xml:space="preserve"> be excluded from CET1. Note also that introducing the LVA would result in an earnings impact equal to the LVA.</w:t>
      </w:r>
    </w:p>
    <w:p w:rsidR="00397E59" w:rsidRDefault="00397E59" w:rsidP="008A18B1">
      <w:pPr>
        <w:pStyle w:val="ListParagraph"/>
        <w:numPr>
          <w:ilvl w:val="0"/>
          <w:numId w:val="51"/>
        </w:numPr>
        <w:spacing w:line="360" w:lineRule="auto"/>
      </w:pPr>
      <w:r w:rsidRPr="00DC7374">
        <w:rPr>
          <w:u w:val="single"/>
        </w:rPr>
        <w:t>LVA in FCA/FBA Accounting</w:t>
      </w:r>
      <w:r>
        <w:t xml:space="preserve">: A radical idea is to assume that the funding spread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is unrelated to default and in actuality is just a friction-type liquidity spread. In that case one may interpret the SFVA as an LVA by noting the identity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SFVA=LVA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well as</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FBA=</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Symmetric Asset-Liability Accounting Rule</w:t>
      </w:r>
      <w:r w:rsidRPr="00DC7374">
        <w:t>: In thi</w:t>
      </w:r>
      <w:r>
        <w:t>s interpretation we would use the following accounting rule: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UCVA+LVA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effectively only </w:t>
      </w:r>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w:r>
        <w:t xml:space="preserve"> (but not FBA) would need exclusion from the regulatory capital.</w:t>
      </w:r>
    </w:p>
    <w:p w:rsidR="00397E59" w:rsidRDefault="00397E59" w:rsidP="008A18B1">
      <w:pPr>
        <w:pStyle w:val="ListParagraph"/>
        <w:numPr>
          <w:ilvl w:val="0"/>
          <w:numId w:val="51"/>
        </w:numPr>
        <w:spacing w:line="360" w:lineRule="auto"/>
      </w:pPr>
      <w:r>
        <w:rPr>
          <w:u w:val="single"/>
        </w:rPr>
        <w:t>DVA Double Counting and Resolution</w:t>
      </w:r>
      <w:r w:rsidRPr="00DC7374">
        <w:t>:</w:t>
      </w:r>
      <w:r>
        <w:t xml:space="preserve"> Besides stretching the imagination by assuming that the liquidity spreads are not as large as credit spreads, this rule effectively double counts the DVA. Note that this does not preserve the MMT (and results in a funding impact on the earnings), but does preserve the asset-liability symmetry. If as in FCA/FBA accounting, DVA is removed from the CL entries to avoid double counting, the accounting symmetry is broken.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the Gain Accounting</w:t>
      </w:r>
    </w:p>
    <w:p w:rsidR="00397E59" w:rsidRDefault="00397E59" w:rsidP="00397E59">
      <w:pPr>
        <w:spacing w:line="360" w:lineRule="auto"/>
      </w:pPr>
    </w:p>
    <w:p w:rsidR="00397E59" w:rsidRDefault="00397E59" w:rsidP="008A18B1">
      <w:pPr>
        <w:pStyle w:val="ListParagraph"/>
        <w:numPr>
          <w:ilvl w:val="0"/>
          <w:numId w:val="52"/>
        </w:numPr>
        <w:spacing w:line="360" w:lineRule="auto"/>
      </w:pPr>
      <w:r w:rsidRPr="00D9763A">
        <w:rPr>
          <w:u w:val="single"/>
        </w:rPr>
        <w:t>SFVA Wrong-Way Sensitivity Impact</w:t>
      </w:r>
      <w:r>
        <w:t>: The approach above is problematic not only from an accounting angle, but also due to the regulatory viewpoint due to the wrong-way sensitivity of the SFVA on the bank’s own credit.</w:t>
      </w:r>
    </w:p>
    <w:p w:rsidR="00397E59" w:rsidRDefault="00397E59" w:rsidP="008A18B1">
      <w:pPr>
        <w:pStyle w:val="ListParagraph"/>
        <w:numPr>
          <w:ilvl w:val="0"/>
          <w:numId w:val="52"/>
        </w:numPr>
        <w:spacing w:line="360" w:lineRule="auto"/>
      </w:pPr>
      <w:r>
        <w:rPr>
          <w:u w:val="single"/>
        </w:rPr>
        <w:lastRenderedPageBreak/>
        <w:t>Misplaced Incentives from FCA/FBA Accounting</w:t>
      </w:r>
      <w:r w:rsidRPr="00D9763A">
        <w:t>:</w:t>
      </w:r>
      <w:r>
        <w:t xml:space="preserve"> In case there were a generalized acceptance of the SFVA being interpreted as an LVA and qualified for a CET1 deduction, the FTP’s computed using the SFVA would incentivize traders to buy payables and sell receivables, since they overstate both the funding costs for the latter and the funding benefits for the former.</w:t>
      </w:r>
    </w:p>
    <w:p w:rsidR="00397E59" w:rsidRDefault="00397E59" w:rsidP="008A18B1">
      <w:pPr>
        <w:pStyle w:val="ListParagraph"/>
        <w:numPr>
          <w:ilvl w:val="0"/>
          <w:numId w:val="52"/>
        </w:numPr>
        <w:spacing w:line="360" w:lineRule="auto"/>
      </w:pPr>
      <w:r>
        <w:rPr>
          <w:u w:val="single"/>
        </w:rPr>
        <w:t>Worsening Bank Credit CET1 Impact</w:t>
      </w:r>
      <w:r w:rsidRPr="00D9763A">
        <w:t>:</w:t>
      </w:r>
      <w:r>
        <w:t xml:space="preserve"> Hence portfolios of banks with material credit spreads would drift towards being net payables. One can imagine that the SFVA for the worst funders would become negative and develop a wrong-sign sensitivity with respect to own credit. A vicious cycle may ensue since the worsening of the credit of the bank would ipso facto increase equity capital.</w:t>
      </w:r>
    </w:p>
    <w:p w:rsidR="00397E59" w:rsidRDefault="00397E59" w:rsidP="008A18B1">
      <w:pPr>
        <w:pStyle w:val="ListParagraph"/>
        <w:numPr>
          <w:ilvl w:val="0"/>
          <w:numId w:val="52"/>
        </w:numPr>
        <w:spacing w:line="360" w:lineRule="auto"/>
      </w:pPr>
      <w:r>
        <w:rPr>
          <w:u w:val="single"/>
        </w:rPr>
        <w:t>Sudden Accounting Regime Change Impact</w:t>
      </w:r>
      <w:r w:rsidRPr="00D9763A">
        <w:t>:</w:t>
      </w:r>
      <w:r>
        <w:t xml:space="preserve"> If a blow-up occurs and the accounting standards need to be changed for all the market participants to enforce an FCA or an FVA deduction, the system-wide impact on the regulatory capital would be pervasive.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5"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Case Study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Case Study Setting and Purpose</w:t>
      </w:r>
    </w:p>
    <w:p w:rsidR="00397E59" w:rsidRDefault="00397E59" w:rsidP="00397E59">
      <w:pPr>
        <w:spacing w:line="360" w:lineRule="auto"/>
      </w:pPr>
    </w:p>
    <w:p w:rsidR="00397E59" w:rsidRDefault="00397E59" w:rsidP="008A18B1">
      <w:pPr>
        <w:pStyle w:val="ListParagraph"/>
        <w:numPr>
          <w:ilvl w:val="0"/>
          <w:numId w:val="53"/>
        </w:numPr>
        <w:spacing w:line="360" w:lineRule="auto"/>
      </w:pPr>
      <w:r w:rsidRPr="00635E48">
        <w:rPr>
          <w:u w:val="single"/>
        </w:rPr>
        <w:t>Errors Associated with the FCA/FBA Accounting</w:t>
      </w:r>
      <w:r>
        <w:t>: While market participants are generally aware of the fact that the FCA/FBA accounting is approximate, little is known about the magnitude of the errors involved. This is particularly true of the RHO due to the computational challenges involved, the proper accounting of which involves simulation of the entire funding set with multiple netting sets.</w:t>
      </w:r>
    </w:p>
    <w:p w:rsidR="00397E59" w:rsidRDefault="00397E59" w:rsidP="008A18B1">
      <w:pPr>
        <w:pStyle w:val="ListParagraph"/>
        <w:numPr>
          <w:ilvl w:val="0"/>
          <w:numId w:val="53"/>
        </w:numPr>
        <w:spacing w:line="360" w:lineRule="auto"/>
      </w:pPr>
      <w:r>
        <w:rPr>
          <w:u w:val="single"/>
        </w:rPr>
        <w:t>FCA/FBA vs. FDA/FVA Accounting Comparison</w:t>
      </w:r>
      <w:r w:rsidRPr="00635E48">
        <w:t>:</w:t>
      </w:r>
      <w:r>
        <w:t xml:space="preserve"> In their section on case study findings, Albanese and Andersen (2014) attempt to shed some light on the materiality of the errors by using a realistic test-bed to compare the FCA/FBA and the FVA/FDA accounting results. They obtained results using </w:t>
      </w:r>
      <m:oMath>
        <m:sSup>
          <m:sSupPr>
            <m:ctrlPr>
              <w:rPr>
                <w:rFonts w:ascii="Cambria Math" w:hAnsi="Cambria Math"/>
                <w:i/>
              </w:rPr>
            </m:ctrlPr>
          </m:sSupPr>
          <m:e>
            <m:r>
              <w:rPr>
                <w:rFonts w:ascii="Cambria Math" w:hAnsi="Cambria Math"/>
              </w:rPr>
              <m:t>Global Valuation Esther</m:t>
            </m:r>
          </m:e>
          <m:sup>
            <m:r>
              <w:rPr>
                <w:rFonts w:ascii="Cambria Math" w:hAnsi="Cambria Math"/>
              </w:rPr>
              <m:t>TM</m:t>
            </m:r>
          </m:sup>
        </m:sSup>
      </m:oMath>
      <w:r>
        <w:t>, an in memory risk analytics system designed for the simulation of massive OTC portfolios.</w:t>
      </w:r>
    </w:p>
    <w:p w:rsidR="00397E59" w:rsidRDefault="00397E59" w:rsidP="008A18B1">
      <w:pPr>
        <w:pStyle w:val="ListParagraph"/>
        <w:numPr>
          <w:ilvl w:val="0"/>
          <w:numId w:val="53"/>
        </w:numPr>
        <w:spacing w:line="360" w:lineRule="auto"/>
      </w:pPr>
      <w:r>
        <w:rPr>
          <w:u w:val="single"/>
        </w:rPr>
        <w:t>Global Valuation Esther and Athena</w:t>
      </w:r>
      <w:r w:rsidRPr="000E4E1B">
        <w:t>:</w:t>
      </w:r>
      <w:r>
        <w:t xml:space="preserve"> Esther uses an mathematical framework based on operator algebras as discussed in Albanese, Bellaj, Gimonet, and Pietronero (2011) and references therein. Model calibrations were taken from </w:t>
      </w:r>
      <m:oMath>
        <m:sSup>
          <m:sSupPr>
            <m:ctrlPr>
              <w:rPr>
                <w:rFonts w:ascii="Cambria Math" w:hAnsi="Cambria Math"/>
                <w:i/>
              </w:rPr>
            </m:ctrlPr>
          </m:sSupPr>
          <m:e>
            <m:r>
              <w:rPr>
                <w:rFonts w:ascii="Cambria Math" w:hAnsi="Cambria Math"/>
              </w:rPr>
              <m:t>Global Valuation Athena</m:t>
            </m:r>
          </m:e>
          <m:sup>
            <m:r>
              <w:rPr>
                <w:rFonts w:ascii="Cambria Math" w:hAnsi="Cambria Math"/>
              </w:rPr>
              <m:t>TM</m:t>
            </m:r>
          </m:sup>
        </m:sSup>
      </m:oMath>
      <w:r>
        <w:t xml:space="preserve"> data service and refer to 7 July 2014.</w:t>
      </w:r>
    </w:p>
    <w:p w:rsidR="00397E59" w:rsidRDefault="00397E59" w:rsidP="008A18B1">
      <w:pPr>
        <w:pStyle w:val="ListParagraph"/>
        <w:numPr>
          <w:ilvl w:val="0"/>
          <w:numId w:val="53"/>
        </w:numPr>
        <w:spacing w:line="360" w:lineRule="auto"/>
      </w:pPr>
      <w:r>
        <w:rPr>
          <w:u w:val="single"/>
        </w:rPr>
        <w:t>The Fixed Income OTC Portfolio</w:t>
      </w:r>
      <w:r w:rsidRPr="000E4E1B">
        <w:t>:</w:t>
      </w:r>
      <w:r>
        <w:t xml:space="preserve"> As their test case, they use a realistic portfolio of fixed income derivatives of about 100,000 trades, 1,600 counterparties, and a variety of collateral agreements, some involving thresholds. The portfolio contains trades in 8 different currencies, including swaps, cross-currency swaps, swaptions, FX forwards, and options. The simulation entails 100 time steps at each of which they find scenarios for the default-free valuation of all the netting sets.</w:t>
      </w:r>
    </w:p>
    <w:p w:rsidR="00397E59" w:rsidRDefault="00397E59" w:rsidP="008A18B1">
      <w:pPr>
        <w:pStyle w:val="ListParagraph"/>
        <w:numPr>
          <w:ilvl w:val="0"/>
          <w:numId w:val="53"/>
        </w:numPr>
        <w:spacing w:line="360" w:lineRule="auto"/>
      </w:pPr>
      <w:r>
        <w:rPr>
          <w:u w:val="single"/>
        </w:rPr>
        <w:t>Types of Netting Sets Considered</w:t>
      </w:r>
      <w:r w:rsidRPr="00346FE5">
        <w:t>:</w:t>
      </w:r>
      <w:r>
        <w:t xml:space="preserve"> Most netting sets in their tests are at least partially unsecured, with the collateral thresholds being either positive finite or infinite. Some large netting sets are of the unilateral “government” type, i.e., the threshold for the bank is zero </w:t>
      </w:r>
      <w:r>
        <w:lastRenderedPageBreak/>
        <w:t>and the threshold for the counterparty is infinite. Caveat – if all netting sets were of the government type, then the FCA would equal the FVA, as the government type netting sets do not contribute to the RHO.</w:t>
      </w:r>
    </w:p>
    <w:p w:rsidR="00397E59" w:rsidRDefault="00397E59" w:rsidP="008A18B1">
      <w:pPr>
        <w:pStyle w:val="ListParagraph"/>
        <w:numPr>
          <w:ilvl w:val="0"/>
          <w:numId w:val="53"/>
        </w:numPr>
        <w:spacing w:line="360" w:lineRule="auto"/>
      </w:pPr>
      <w:r>
        <w:rPr>
          <w:u w:val="single"/>
        </w:rPr>
        <w:t>Fully Collateralized Netting Set Construction</w:t>
      </w:r>
      <w:r w:rsidRPr="00FD6782">
        <w:t>:</w:t>
      </w:r>
      <w:r>
        <w:t xml:space="preserve"> The portfolio contains also a few fully collateralized netting sets with both thresholds at zero, but they do not contribute to funding and contribute to CVA only mildly through the closeout gap risk – which Albanese and Andersen (2014) do capture in their tests, even though they do not discuss in their paper.</w:t>
      </w:r>
    </w:p>
    <w:p w:rsidR="00397E59" w:rsidRDefault="00397E59" w:rsidP="008A18B1">
      <w:pPr>
        <w:pStyle w:val="ListParagraph"/>
        <w:numPr>
          <w:ilvl w:val="0"/>
          <w:numId w:val="53"/>
        </w:numPr>
        <w:spacing w:line="360" w:lineRule="auto"/>
      </w:pPr>
      <w:r>
        <w:rPr>
          <w:u w:val="single"/>
        </w:rPr>
        <w:t>Custom Scenario Bank CDS Curves</w:t>
      </w:r>
      <w:r w:rsidRPr="00FD6782">
        <w:t>:</w:t>
      </w:r>
      <w:r>
        <w:t xml:space="preserve"> Since funding metrics depend crucially on the bank funding rates, Albanese and Andersen (2014) carry out the calculation for two different funding curves. One corresponds to the 5Y CDS spread of 106 bp and the other to a 5Y CDS spread of 274 bp. Funding costs are simulated dynamically and consistently with the funding curves.</w:t>
      </w:r>
    </w:p>
    <w:p w:rsidR="00397E59" w:rsidRDefault="00397E59" w:rsidP="008A18B1">
      <w:pPr>
        <w:pStyle w:val="ListParagraph"/>
        <w:numPr>
          <w:ilvl w:val="0"/>
          <w:numId w:val="53"/>
        </w:numPr>
        <w:spacing w:line="360" w:lineRule="auto"/>
      </w:pPr>
      <w:r>
        <w:rPr>
          <w:u w:val="single"/>
        </w:rPr>
        <w:t>Full Market Risk Factors Simulation</w:t>
      </w:r>
      <w:r w:rsidRPr="00FD6782">
        <w:t>:</w:t>
      </w:r>
      <w:r>
        <w:t xml:space="preserve"> CDS curves for all counterparties are simulated dynamically, as needed for ratings dependent collateral policies (of which the test portfolios had a few) and the analysis of credit-correlation effects related to loss-distributions and stress testing. Albanese and Andersen (2014) also simulate all relevant market risk factors and derivative security prices. The various XVA metrics are evaluated by computing the XVA expressions after incorporating thresholds and closeouts.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Scenario Estimation of the XVA Metrics</w:t>
      </w:r>
    </w:p>
    <w:p w:rsidR="00397E59" w:rsidRDefault="00397E59" w:rsidP="00397E59">
      <w:pPr>
        <w:spacing w:line="360" w:lineRule="auto"/>
      </w:pPr>
    </w:p>
    <w:p w:rsidR="00397E59" w:rsidRDefault="00397E59" w:rsidP="008A18B1">
      <w:pPr>
        <w:pStyle w:val="ListParagraph"/>
        <w:numPr>
          <w:ilvl w:val="0"/>
          <w:numId w:val="54"/>
        </w:numPr>
        <w:spacing w:line="360" w:lineRule="auto"/>
      </w:pPr>
      <w:r w:rsidRPr="00B56FE8">
        <w:rPr>
          <w:u w:val="single"/>
        </w:rPr>
        <w:t>Book Level Incremental and Cumulative Errors</w:t>
      </w:r>
      <w:r>
        <w:t>: Albanese and Andersen (2014) found that in their simulation trials the funding set calculations were well-behaved. As expected, they found that the incremental FVA is noisier than the book level FVA. In order to the book-level FVA errors to below the 0.5% mark and the incremental metrics within the 2% mark, it was necessary to run about 100,000 scenarios.</w:t>
      </w:r>
    </w:p>
    <w:p w:rsidR="00397E59" w:rsidRDefault="00397E59" w:rsidP="008A18B1">
      <w:pPr>
        <w:pStyle w:val="ListParagraph"/>
        <w:numPr>
          <w:ilvl w:val="0"/>
          <w:numId w:val="54"/>
        </w:numPr>
        <w:spacing w:line="360" w:lineRule="auto"/>
      </w:pPr>
      <w:r>
        <w:rPr>
          <w:u w:val="single"/>
        </w:rPr>
        <w:t>Netting Set Granularity XVA Caching</w:t>
      </w:r>
      <w:r w:rsidRPr="00B56FE8">
        <w:t>:</w:t>
      </w:r>
      <w:r>
        <w:t xml:space="preserve"> Albanese and Andersen (2014) retained the scenario information in memory aggregated at the netting set granularity. By having the scenarios cached in memory the calculation of the incremental XVA metrics was quite efficient. </w:t>
      </w:r>
      <w:r>
        <w:lastRenderedPageBreak/>
        <w:t>Incremental metrics of interest include the FVA, the symmetric FVA, as well as the UCVA, the FTDCVA, and the DVA.</w:t>
      </w:r>
    </w:p>
    <w:p w:rsidR="00397E59" w:rsidRDefault="00397E59" w:rsidP="008A18B1">
      <w:pPr>
        <w:pStyle w:val="ListParagraph"/>
        <w:numPr>
          <w:ilvl w:val="0"/>
          <w:numId w:val="54"/>
        </w:numPr>
        <w:spacing w:line="360" w:lineRule="auto"/>
      </w:pPr>
      <w:r>
        <w:rPr>
          <w:u w:val="single"/>
        </w:rPr>
        <w:t>Funding Curve Scenario XVA Metrics</w:t>
      </w:r>
      <w:r w:rsidRPr="00B56FE8">
        <w:t>:</w:t>
      </w:r>
      <w:r>
        <w:t xml:space="preserve"> Albanese and Andersen (2014) demonstrate the XVA portfolio metrics for the two funding curve scenarios. Accounting metrics are computed using the accounting rules listed earlier. Accounting entries are computed separately for the following cases:</w:t>
      </w:r>
    </w:p>
    <w:p w:rsidR="00397E59" w:rsidRDefault="00397E59" w:rsidP="008A18B1">
      <w:pPr>
        <w:pStyle w:val="ListParagraph"/>
        <w:numPr>
          <w:ilvl w:val="1"/>
          <w:numId w:val="54"/>
        </w:numPr>
        <w:spacing w:line="360" w:lineRule="auto"/>
      </w:pPr>
      <w:r>
        <w:t>Only counterparty credit risk is accounted for</w:t>
      </w:r>
    </w:p>
    <w:p w:rsidR="00397E59" w:rsidRDefault="00397E59" w:rsidP="008A18B1">
      <w:pPr>
        <w:pStyle w:val="ListParagraph"/>
        <w:numPr>
          <w:ilvl w:val="1"/>
          <w:numId w:val="54"/>
        </w:numPr>
        <w:spacing w:line="360" w:lineRule="auto"/>
      </w:pPr>
      <w:r>
        <w:t>Funding is accounted for using FCA/FBA accounting</w:t>
      </w:r>
    </w:p>
    <w:p w:rsidR="00397E59" w:rsidRDefault="00397E59" w:rsidP="008A18B1">
      <w:pPr>
        <w:pStyle w:val="ListParagraph"/>
        <w:numPr>
          <w:ilvl w:val="1"/>
          <w:numId w:val="54"/>
        </w:numPr>
        <w:spacing w:line="360" w:lineRule="auto"/>
      </w:pPr>
      <w:r>
        <w:t>Funding is accounted for using FVA/FDA accounting</w:t>
      </w:r>
    </w:p>
    <w:p w:rsidR="00397E59" w:rsidRDefault="00397E59" w:rsidP="008A18B1">
      <w:pPr>
        <w:pStyle w:val="ListParagraph"/>
        <w:numPr>
          <w:ilvl w:val="0"/>
          <w:numId w:val="54"/>
        </w:numPr>
        <w:spacing w:line="360" w:lineRule="auto"/>
      </w:pPr>
      <w:r>
        <w:rPr>
          <w:u w:val="single"/>
        </w:rPr>
        <w:t>CET1 and MMT Accounting Impact</w:t>
      </w:r>
      <w:r>
        <w:t>: Albanese and Andersen (2014) demonstrate that there are material difference between the FVA/FDA accounting and the FCA/FBA accounting. In particular the CET1 charges for funding are about triple in the FCA/FBA accounting as opposed to the FVA/FDA accounting. Since the FVA/FDA accounting is consistent with the MMT, the write-off one faces by adding funding entries on top of credit adjustments in NILL.</w:t>
      </w:r>
    </w:p>
    <w:p w:rsidR="00397E59" w:rsidRDefault="00397E59" w:rsidP="008A18B1">
      <w:pPr>
        <w:pStyle w:val="ListParagraph"/>
        <w:numPr>
          <w:ilvl w:val="0"/>
          <w:numId w:val="54"/>
        </w:numPr>
        <w:spacing w:line="360" w:lineRule="auto"/>
      </w:pPr>
      <w:r>
        <w:rPr>
          <w:u w:val="single"/>
        </w:rPr>
        <w:t>FVA/FDA vs. FCA/FBA CL Impact</w:t>
      </w:r>
      <w:r w:rsidRPr="00FA26AB">
        <w:t>:</w:t>
      </w:r>
      <w:r>
        <w:t xml:space="preserve"> Contra Liabilities in FVA/FDA accounting are slightly larger than in FCA/FBA accounting. This happens because although the FDA is substantially smaller than FBA, the DVA is preserved as is required by the asset-liability symmetry, and there is no overlap.</w:t>
      </w:r>
    </w:p>
    <w:p w:rsidR="00397E59" w:rsidRDefault="00397E59" w:rsidP="008A18B1">
      <w:pPr>
        <w:pStyle w:val="ListParagraph"/>
        <w:numPr>
          <w:ilvl w:val="0"/>
          <w:numId w:val="54"/>
        </w:numPr>
        <w:spacing w:line="360" w:lineRule="auto"/>
      </w:pPr>
      <w:r>
        <w:rPr>
          <w:u w:val="single"/>
        </w:rPr>
        <w:t>EE, EPE, and ENE Estimates</w:t>
      </w:r>
      <w:r w:rsidRPr="00FA26AB">
        <w:t>:</w:t>
      </w:r>
      <w:r>
        <w:t xml:space="preserve"> For FVA/FDA calculations the key statistics in measuring RHO are the Expected Exposure (EE), the Expected Positive Exposure (EPE), and the Expected Negative Exposure (ENE) of the portfolio as a whole. Using 100,000 simulation trials, Albanese and Andersen (2014) report these metrics for a range of time horizons. The book under consideration starts off as a net receivable and remains as such on average.</w:t>
      </w:r>
    </w:p>
    <w:p w:rsidR="00397E59" w:rsidRDefault="00397E59" w:rsidP="008A18B1">
      <w:pPr>
        <w:pStyle w:val="ListParagraph"/>
        <w:numPr>
          <w:ilvl w:val="0"/>
          <w:numId w:val="54"/>
        </w:numPr>
        <w:spacing w:line="360" w:lineRule="auto"/>
      </w:pPr>
      <w:r>
        <w:rPr>
          <w:u w:val="single"/>
        </w:rPr>
        <w:t>Cross Netting RHO Impact</w:t>
      </w:r>
      <w:r w:rsidRPr="00C27953">
        <w:t>:</w:t>
      </w:r>
      <w:r>
        <w:t xml:space="preserve"> The impact of modeling rehypothecation between hedges belonging to different netting sets is sizeable and receives contributions also from the states of the world where the book is a net payable, because even in such situations a fraction of the netting sets are receivables and the corresponding hedges receive collateral.</w:t>
      </w:r>
    </w:p>
    <w:p w:rsidR="00397E59" w:rsidRDefault="00397E59" w:rsidP="008A18B1">
      <w:pPr>
        <w:pStyle w:val="ListParagraph"/>
        <w:numPr>
          <w:ilvl w:val="0"/>
          <w:numId w:val="54"/>
        </w:numPr>
        <w:spacing w:line="360" w:lineRule="auto"/>
      </w:pPr>
      <w:r>
        <w:rPr>
          <w:u w:val="single"/>
        </w:rPr>
        <w:t>Receivable vs Payable Book Swing</w:t>
      </w:r>
      <w:r w:rsidRPr="00C27953">
        <w:t>:</w:t>
      </w:r>
      <w:r>
        <w:t xml:space="preserve"> Furthermore the book valuation swings to a net payable status as one can see from the fairly substantial size of the ENE. A large ENE (in this case) is </w:t>
      </w:r>
      <w:r>
        <w:lastRenderedPageBreak/>
        <w:t>an indication that the FVA is a materially non-linear metric which cannot be represented as a simple sum over the netting sets. In other words the incremental FVA for a netting set or a trade can be computed accurately only by knowing and accounting for the positions in the entire book.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Product and Scenario Threshold Type Scenarios</w:t>
      </w:r>
    </w:p>
    <w:p w:rsidR="00397E59" w:rsidRDefault="00397E59" w:rsidP="00397E59">
      <w:pPr>
        <w:spacing w:line="360" w:lineRule="auto"/>
      </w:pPr>
    </w:p>
    <w:p w:rsidR="00397E59" w:rsidRDefault="00397E59" w:rsidP="008A18B1">
      <w:pPr>
        <w:pStyle w:val="ListParagraph"/>
        <w:numPr>
          <w:ilvl w:val="0"/>
          <w:numId w:val="55"/>
        </w:numPr>
        <w:spacing w:line="360" w:lineRule="auto"/>
      </w:pPr>
      <w:r w:rsidRPr="009D6B9C">
        <w:rPr>
          <w:u w:val="single"/>
        </w:rPr>
        <w:t>Impact of the Swap Types Traded</w:t>
      </w:r>
      <w:r>
        <w:t>: In their analysis, Albanese and Andersen (2014) add their portfolio three swaps – one initially at par, one a payable, and the third initially a receivable. They then compute the XVA metrics under the following 3 scenarios.</w:t>
      </w:r>
    </w:p>
    <w:p w:rsidR="00397E59" w:rsidRDefault="00397E59" w:rsidP="008A18B1">
      <w:pPr>
        <w:pStyle w:val="ListParagraph"/>
        <w:numPr>
          <w:ilvl w:val="0"/>
          <w:numId w:val="55"/>
        </w:numPr>
        <w:spacing w:line="360" w:lineRule="auto"/>
      </w:pPr>
      <w:r>
        <w:rPr>
          <w:u w:val="single"/>
        </w:rPr>
        <w:t>Thresholded Scenario XVA Impact</w:t>
      </w:r>
      <w:r w:rsidRPr="00FD02EE">
        <w:t>:</w:t>
      </w:r>
    </w:p>
    <w:p w:rsidR="00397E59" w:rsidRDefault="00397E59" w:rsidP="008A18B1">
      <w:pPr>
        <w:pStyle w:val="ListParagraph"/>
        <w:numPr>
          <w:ilvl w:val="1"/>
          <w:numId w:val="55"/>
        </w:numPr>
        <w:spacing w:line="360" w:lineRule="auto"/>
      </w:pPr>
      <w:r>
        <w:t>The swaps are added to a netting set with a finite collateral thresholds that already contains other trades</w:t>
      </w:r>
    </w:p>
    <w:p w:rsidR="00397E59" w:rsidRDefault="00397E59" w:rsidP="008A18B1">
      <w:pPr>
        <w:pStyle w:val="ListParagraph"/>
        <w:numPr>
          <w:ilvl w:val="1"/>
          <w:numId w:val="55"/>
        </w:numPr>
        <w:spacing w:line="360" w:lineRule="auto"/>
      </w:pPr>
      <w:r>
        <w:t>The swaps are added to a netting set with a threshold at infinity</w:t>
      </w:r>
    </w:p>
    <w:p w:rsidR="00397E59" w:rsidRDefault="00397E59" w:rsidP="008A18B1">
      <w:pPr>
        <w:pStyle w:val="ListParagraph"/>
        <w:numPr>
          <w:ilvl w:val="1"/>
          <w:numId w:val="55"/>
        </w:numPr>
        <w:spacing w:line="360" w:lineRule="auto"/>
      </w:pPr>
      <w:r>
        <w:t>The swaps are added to a netting set which is initially empty, thus neglecting the benefits of netting</w:t>
      </w:r>
    </w:p>
    <w:p w:rsidR="00397E59" w:rsidRDefault="00397E59" w:rsidP="008A18B1">
      <w:pPr>
        <w:pStyle w:val="ListParagraph"/>
        <w:numPr>
          <w:ilvl w:val="0"/>
          <w:numId w:val="55"/>
        </w:numPr>
        <w:spacing w:line="360" w:lineRule="auto"/>
      </w:pPr>
      <w:r>
        <w:rPr>
          <w:u w:val="single"/>
        </w:rPr>
        <w:t>Netting and Collateral Threshold Impact</w:t>
      </w:r>
      <w:r>
        <w:t>: The FTPs differ substantially between all the cases above, and are sensitive to both collateral thresholds and netting. Bothe collateral thresholds and netting materially decrease the FTP.</w:t>
      </w:r>
    </w:p>
    <w:p w:rsidR="00397E59" w:rsidRDefault="00397E59" w:rsidP="008A18B1">
      <w:pPr>
        <w:pStyle w:val="ListParagraph"/>
        <w:numPr>
          <w:ilvl w:val="0"/>
          <w:numId w:val="55"/>
        </w:numPr>
        <w:spacing w:line="360" w:lineRule="auto"/>
      </w:pPr>
      <w:r>
        <w:rPr>
          <w:u w:val="single"/>
        </w:rPr>
        <w:t>FCA/FBA vs. FVA/FDA FTP Estimates</w:t>
      </w:r>
      <w:r w:rsidRPr="00FD02EE">
        <w:t>:</w:t>
      </w:r>
      <w:r>
        <w:t xml:space="preserve"> There are also material differences between the FTP’s obtained under the FCA/FBA accounting and those using the rules of FVA/FDA accounting. In the latter case the FTPs are smaller by a factor of </w:t>
      </w:r>
      <m:oMath>
        <m:r>
          <w:rPr>
            <w:rFonts w:ascii="Cambria Math" w:hAnsi="Cambria Math"/>
          </w:rPr>
          <m:t>1.5-2.0</m:t>
        </m:r>
      </m:oMath>
      <w:r>
        <w:t xml:space="preserve"> in absolute value. This is also remarkable from the viewpoint that the FVA/FDA method does not recognize a DVA benefit to clients. This de-recognition is however more than compensated by a correct modeling of the RHO.</w:t>
      </w:r>
    </w:p>
    <w:p w:rsidR="00397E59" w:rsidRDefault="00397E59" w:rsidP="008A18B1">
      <w:pPr>
        <w:pStyle w:val="ListParagraph"/>
        <w:numPr>
          <w:ilvl w:val="0"/>
          <w:numId w:val="55"/>
        </w:numPr>
        <w:spacing w:line="360" w:lineRule="auto"/>
      </w:pPr>
      <w:r>
        <w:rPr>
          <w:u w:val="single"/>
        </w:rPr>
        <w:t>Accounting Scheme Objective of the FTP</w:t>
      </w:r>
      <w:r w:rsidRPr="001A04CB">
        <w:t>:</w:t>
      </w:r>
      <w:r>
        <w:t xml:space="preserve"> The incremental FTPs in the two methods achieve a different objective. In the case of the FCA/FBA method the incremental fair value of the OTC portfolio </w:t>
      </w:r>
      <m:oMath>
        <m:r>
          <w:rPr>
            <w:rFonts w:ascii="Cambria Math" w:hAnsi="Cambria Math"/>
          </w:rPr>
          <m:t>∆PFV</m:t>
        </m:r>
      </m:oMath>
      <w:r>
        <w:t xml:space="preserve"> is NILL while the Net Equity Capital is systematically depleted, </w:t>
      </w:r>
      <w:r>
        <w:lastRenderedPageBreak/>
        <w:t>especially in the case of payables. In FVA/FDA accounting instead the Equity Capital is stable while the Bank fair value appreciates systematically.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XVA Metric Errors and Incrementals</w:t>
      </w:r>
    </w:p>
    <w:p w:rsidR="00397E59" w:rsidRDefault="00397E59" w:rsidP="00397E59">
      <w:pPr>
        <w:spacing w:line="360" w:lineRule="auto"/>
      </w:pPr>
    </w:p>
    <w:p w:rsidR="00397E59" w:rsidRDefault="00397E59" w:rsidP="008A18B1">
      <w:pPr>
        <w:pStyle w:val="ListParagraph"/>
        <w:numPr>
          <w:ilvl w:val="0"/>
          <w:numId w:val="56"/>
        </w:numPr>
        <w:spacing w:line="360" w:lineRule="auto"/>
      </w:pPr>
      <w:r w:rsidRPr="00AB6563">
        <w:rPr>
          <w:u w:val="single"/>
        </w:rPr>
        <w:t>Error Rates from Simulation Runs</w:t>
      </w:r>
      <w:r>
        <w:t>: Albanese and Andersen (2014) display the standard errors on the simulation runs – their simulation entails 100,000 scenarios and shows that the FTP for the FVA/FDA method is around 1.2-1.7%, an error of which type would be acceptable in most circumstances. Using 10,000 scenarios would imply relative errors as large as 10% and of the order of 1 bp per annum, which we would consider as being unacceptable large.</w:t>
      </w:r>
    </w:p>
    <w:p w:rsidR="00397E59" w:rsidRDefault="00397E59" w:rsidP="008A18B1">
      <w:pPr>
        <w:pStyle w:val="ListParagraph"/>
        <w:numPr>
          <w:ilvl w:val="0"/>
          <w:numId w:val="56"/>
        </w:numPr>
        <w:spacing w:line="360" w:lineRule="auto"/>
      </w:pPr>
      <w:r w:rsidRPr="00AB6563">
        <w:rPr>
          <w:u w:val="single"/>
        </w:rPr>
        <w:t>Tail Loss Distribution Contribution Scenarios</w:t>
      </w:r>
      <w:r>
        <w:t>: Further 100,000 scenarios allow carrying out of the reverse stress testing analysis by identifying extreme scenarios which either contribute to the tail of the loss distribution or invalidate a collateral procurement strategy.</w:t>
      </w:r>
    </w:p>
    <w:p w:rsidR="00397E59" w:rsidRDefault="00397E59" w:rsidP="008A18B1">
      <w:pPr>
        <w:pStyle w:val="ListParagraph"/>
        <w:numPr>
          <w:ilvl w:val="0"/>
          <w:numId w:val="56"/>
        </w:numPr>
        <w:spacing w:line="360" w:lineRule="auto"/>
      </w:pPr>
      <w:r>
        <w:rPr>
          <w:u w:val="single"/>
        </w:rPr>
        <w:t>FVA and SFVA Trade Incrementals</w:t>
      </w:r>
      <w:r w:rsidRPr="00AB6563">
        <w:t>:</w:t>
      </w:r>
      <w:r>
        <w:t xml:space="preserve"> Albanese and Andersen (2014) demonstrate the size of the incrementals after adding one trade of the forward FVA and SFVA as follows:</w:t>
      </w:r>
    </w:p>
    <w:p w:rsidR="00397E59" w:rsidRDefault="00397E59" w:rsidP="00397E59">
      <w:pPr>
        <w:pStyle w:val="ListParagraph"/>
        <w:spacing w:line="360" w:lineRule="auto"/>
        <w:ind w:left="360"/>
        <w:rPr>
          <w:u w:val="single"/>
        </w:rPr>
      </w:pPr>
    </w:p>
    <w:p w:rsidR="00397E59" w:rsidRPr="00B37241"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B37241" w:rsidRDefault="00397E59" w:rsidP="00397E59">
      <w:pPr>
        <w:pStyle w:val="ListParagraph"/>
        <w:spacing w:line="360" w:lineRule="auto"/>
        <w:ind w:left="360"/>
      </w:pPr>
      <m:oMathPara>
        <m:oMath>
          <m:r>
            <w:rPr>
              <w:rFonts w:ascii="Cambria Math" w:hAnsi="Cambria Math"/>
            </w:rPr>
            <m:t>SFVA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6"/>
        </w:numPr>
        <w:spacing w:line="360" w:lineRule="auto"/>
      </w:pPr>
      <w:r>
        <w:rPr>
          <w:u w:val="single"/>
        </w:rPr>
        <w:t>Incremental SFVA vs. Incremental FVA</w:t>
      </w:r>
      <w:r>
        <w:t>: They observed that incremental SFVA is systematically above the incremental FVA in the case of receivables and systematically below the FVA in the case of payables. We conclude that the approximations which are intrinsic to the FCA/FBA accounting over-estimates funding costs for receivables and also over-estimates funding benefits for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Estimation of the FCA/FBA – FVA/FDA Mismatch</w:t>
      </w:r>
    </w:p>
    <w:p w:rsidR="00397E59" w:rsidRDefault="00397E59" w:rsidP="00397E59">
      <w:pPr>
        <w:spacing w:line="360" w:lineRule="auto"/>
      </w:pPr>
    </w:p>
    <w:p w:rsidR="00397E59" w:rsidRDefault="00397E59" w:rsidP="008A18B1">
      <w:pPr>
        <w:pStyle w:val="ListParagraph"/>
        <w:numPr>
          <w:ilvl w:val="0"/>
          <w:numId w:val="57"/>
        </w:numPr>
        <w:spacing w:line="360" w:lineRule="auto"/>
      </w:pPr>
      <w:r w:rsidRPr="000E64F0">
        <w:rPr>
          <w:u w:val="single"/>
        </w:rPr>
        <w:t>Payables Derivatives Bias FCA/FBA</w:t>
      </w:r>
      <w:r>
        <w:t>: The bias in favor of payables in FCA/FBA accounting is a worrisome feature of this method as it induces banks to skew their exposure in favor of the payables. If the traders are incentivized with an FTP computed by this method, they are inclined to sell out of the money options for premium upfront, effectively raising collateral and subjugating themselves to the treasury, thus incurring inefficiencies.</w:t>
      </w:r>
    </w:p>
    <w:p w:rsidR="00397E59" w:rsidRDefault="00397E59" w:rsidP="008A18B1">
      <w:pPr>
        <w:pStyle w:val="ListParagraph"/>
        <w:numPr>
          <w:ilvl w:val="0"/>
          <w:numId w:val="57"/>
        </w:numPr>
        <w:spacing w:line="360" w:lineRule="auto"/>
      </w:pPr>
      <w:r>
        <w:rPr>
          <w:u w:val="single"/>
        </w:rPr>
        <w:t>Origins of the Payables Bias</w:t>
      </w:r>
      <w:r w:rsidRPr="000E64F0">
        <w:t>:</w:t>
      </w:r>
      <w:r>
        <w:t xml:space="preserve"> The above happens because the FCA/FBA method recognizes a benefit to the excess variation margin at a rate equal to the funding spread of the bank while the FVA/FDA method does not recognize any such benefit).</w:t>
      </w:r>
    </w:p>
    <w:p w:rsidR="00397E59" w:rsidRDefault="00397E59" w:rsidP="008A18B1">
      <w:pPr>
        <w:pStyle w:val="ListParagraph"/>
        <w:numPr>
          <w:ilvl w:val="0"/>
          <w:numId w:val="57"/>
        </w:numPr>
        <w:spacing w:line="360" w:lineRule="auto"/>
      </w:pPr>
      <w:r>
        <w:rPr>
          <w:u w:val="single"/>
        </w:rPr>
        <w:t>Threshold Impact of FCA/FBA Accounting</w:t>
      </w:r>
      <w:r w:rsidRPr="000E64F0">
        <w:t>:</w:t>
      </w:r>
      <w:r>
        <w:t xml:space="preserve"> The SFVA is a transactional amount only in cases where there are no thresholds or the thresholds are very remote and attained only with a negligible probability. For instance the two SFVAs for the case where the trade is added to an empty netting set is full but the thresholds are neglected are very close. This happens although the FCA and the FBA are very different.</w:t>
      </w:r>
    </w:p>
    <w:p w:rsidR="00397E59" w:rsidRDefault="00397E59" w:rsidP="008A18B1">
      <w:pPr>
        <w:pStyle w:val="ListParagraph"/>
        <w:numPr>
          <w:ilvl w:val="0"/>
          <w:numId w:val="57"/>
        </w:numPr>
        <w:spacing w:line="360" w:lineRule="auto"/>
      </w:pPr>
      <w:r>
        <w:rPr>
          <w:u w:val="single"/>
        </w:rPr>
        <w:t>FCA/FBA Volatility on Bank PFV</w:t>
      </w:r>
      <w:r w:rsidRPr="000E64F0">
        <w:t>:</w:t>
      </w:r>
      <w:r>
        <w:t xml:space="preserve"> Within FCA/FBA accounting a new trade does not cause volatility in the fair valuation of the bank as a whole given by the PFV. In this case, however, each trade causes a transfer of wealth from CET1 to CL, i.e., from shareholders to senior creditors.</w:t>
      </w:r>
    </w:p>
    <w:p w:rsidR="00397E59" w:rsidRDefault="00397E59" w:rsidP="008A18B1">
      <w:pPr>
        <w:pStyle w:val="ListParagraph"/>
        <w:numPr>
          <w:ilvl w:val="0"/>
          <w:numId w:val="57"/>
        </w:numPr>
        <w:spacing w:line="360" w:lineRule="auto"/>
      </w:pPr>
      <w:r>
        <w:rPr>
          <w:u w:val="single"/>
        </w:rPr>
        <w:t>Shareholder to Senior Creditor Transfer</w:t>
      </w:r>
      <w:r w:rsidRPr="00B0312E">
        <w:t>:</w:t>
      </w:r>
      <w:r>
        <w:t xml:space="preserve"> On average this transfer is a net loss to CET1. It MMT held this would happen for a zero FTP. The fact that it happens for a non-zero FTP is yet again a signal of the internal inconsistency of the FCA/FBA accounting.</w:t>
      </w:r>
    </w:p>
    <w:p w:rsidR="00397E59" w:rsidRDefault="00397E59" w:rsidP="008A18B1">
      <w:pPr>
        <w:pStyle w:val="ListParagraph"/>
        <w:numPr>
          <w:ilvl w:val="0"/>
          <w:numId w:val="57"/>
        </w:numPr>
        <w:spacing w:line="360" w:lineRule="auto"/>
      </w:pPr>
      <w:r>
        <w:rPr>
          <w:u w:val="single"/>
        </w:rPr>
        <w:t>Income and CET1 FVA/FDA Impact</w:t>
      </w:r>
      <w:r w:rsidRPr="00B0312E">
        <w:t>:</w:t>
      </w:r>
      <w:r>
        <w:t xml:space="preserve"> In the case of FVA/FDA accounting instead we propose to structure the FTP in seeking to keep CET1 constant. We could also have computed the FTP in such a way to keep the income constant and this would have given rise to zero FTP’s.</w:t>
      </w:r>
    </w:p>
    <w:p w:rsidR="00397E59" w:rsidRDefault="00397E59" w:rsidP="008A18B1">
      <w:pPr>
        <w:pStyle w:val="ListParagraph"/>
        <w:numPr>
          <w:ilvl w:val="0"/>
          <w:numId w:val="57"/>
        </w:numPr>
        <w:spacing w:line="360" w:lineRule="auto"/>
      </w:pPr>
      <w:r w:rsidRPr="00B0312E">
        <w:rPr>
          <w:u w:val="single"/>
        </w:rPr>
        <w:t>FTP in FCA/FBA vs. FVA/FDA</w:t>
      </w:r>
      <w:r>
        <w:t xml:space="preserve">: The FTP in FVA/FDA accounting are lower than those in FCA/FBA accounting for a net receivable book. This signals again the internal inconsistency </w:t>
      </w:r>
      <w:r>
        <w:lastRenderedPageBreak/>
        <w:t>of the FCA/FBA accounting as the FTP policy should ensure on average that the CET1 is not depleted while it instead appears as though it is.</w:t>
      </w:r>
    </w:p>
    <w:p w:rsidR="00397E59" w:rsidRDefault="00397E59" w:rsidP="008A18B1">
      <w:pPr>
        <w:pStyle w:val="ListParagraph"/>
        <w:numPr>
          <w:ilvl w:val="0"/>
          <w:numId w:val="57"/>
        </w:numPr>
        <w:spacing w:line="360" w:lineRule="auto"/>
      </w:pPr>
      <w:r>
        <w:rPr>
          <w:u w:val="single"/>
        </w:rPr>
        <w:t>Single Swap on Single Counterparty</w:t>
      </w:r>
      <w:r w:rsidRPr="00B0312E">
        <w:t>:</w:t>
      </w:r>
      <w:r>
        <w:t xml:space="preserve"> It is also useful to consider the case of a single swap transaction with a single counterparty. Albanese and Andersen (2014) demonstrate the CET1 changes which measure the economic value of the transaction are very close between the FCA/FBA and FDA/FVA accounting schemes. In this case the FVA/FDA methodology can be regarded as an extension of the FCA/FBA method as long as the latter is restricted to portfolios consisting of a single netting set.</w:t>
      </w:r>
    </w:p>
    <w:p w:rsidR="00397E59" w:rsidRDefault="00397E59" w:rsidP="008A18B1">
      <w:pPr>
        <w:pStyle w:val="ListParagraph"/>
        <w:numPr>
          <w:ilvl w:val="0"/>
          <w:numId w:val="57"/>
        </w:numPr>
        <w:spacing w:line="360" w:lineRule="auto"/>
      </w:pPr>
      <w:r>
        <w:rPr>
          <w:u w:val="single"/>
        </w:rPr>
        <w:t>Two Counterparties with Opposite Swaps</w:t>
      </w:r>
      <w:r w:rsidRPr="001A1832">
        <w:t>:</w:t>
      </w:r>
      <w:r>
        <w:t xml:space="preserve"> The second interesting particular case in Albanese and Andersen (2014) is the one described whereby there is a portfolio with two counterparties, each with a single swap position. The swaps have identical terms except that one is a payable while the other is a receivable.</w:t>
      </w:r>
    </w:p>
    <w:p w:rsidR="00397E59" w:rsidRDefault="00397E59" w:rsidP="008A18B1">
      <w:pPr>
        <w:pStyle w:val="ListParagraph"/>
        <w:numPr>
          <w:ilvl w:val="0"/>
          <w:numId w:val="57"/>
        </w:numPr>
        <w:spacing w:line="360" w:lineRule="auto"/>
      </w:pPr>
      <w:r>
        <w:rPr>
          <w:u w:val="single"/>
        </w:rPr>
        <w:t>Collateral Offset from the Swaps</w:t>
      </w:r>
      <w:r w:rsidRPr="001A1832">
        <w:t>:</w:t>
      </w:r>
      <w:r>
        <w:t xml:space="preserve"> What happens in this case is that the collateral received on the hedge to one swap is nearly always the exact amount the bank is required to post on the hedge to the other swap. Discrepancies arise only in scenarios where one counterparty defaults while the other is still ongoing, in which case one of the hedge positions is closed upon default.</w:t>
      </w:r>
    </w:p>
    <w:p w:rsidR="00397E59" w:rsidRDefault="00397E59" w:rsidP="008A18B1">
      <w:pPr>
        <w:pStyle w:val="ListParagraph"/>
        <w:numPr>
          <w:ilvl w:val="0"/>
          <w:numId w:val="57"/>
        </w:numPr>
        <w:spacing w:line="360" w:lineRule="auto"/>
      </w:pPr>
      <w:r>
        <w:rPr>
          <w:u w:val="single"/>
        </w:rPr>
        <w:t>Magnitude of the Asymmetric FVA</w:t>
      </w:r>
      <w:r w:rsidRPr="001A1832">
        <w:t>:</w:t>
      </w:r>
      <w:r>
        <w:t xml:space="preserve"> Assuming that the CDS spread curves of the counterparties are identical, and that they reach 200 bp in 5Y, the resulting asymmetric FVA is small.</w:t>
      </w:r>
    </w:p>
    <w:p w:rsidR="00397E59" w:rsidRDefault="00397E59" w:rsidP="008A18B1">
      <w:pPr>
        <w:pStyle w:val="ListParagraph"/>
        <w:numPr>
          <w:ilvl w:val="0"/>
          <w:numId w:val="57"/>
        </w:numPr>
        <w:spacing w:line="360" w:lineRule="auto"/>
      </w:pPr>
      <w:r>
        <w:rPr>
          <w:u w:val="single"/>
        </w:rPr>
        <w:t>FCA/FBA vs. FVA/FDA CET1 Deductions</w:t>
      </w:r>
      <w:r w:rsidRPr="00520B73">
        <w:t>:</w:t>
      </w:r>
      <w:r>
        <w:t xml:space="preserve"> Instead the FCA for each of the two counterparties is large. As a consequence the FCA/FBA accounting method gives rise to capital deductions that are 9 times larger than the deductions resulting from the FCA/FBA method.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lastRenderedPageBreak/>
        <w:t xml:space="preserve">Albanese, C., T. Bellaj, G. Gimonet, and G. Pietronero (2011): Coherent Global Market Simulations and Securitization Measures for Counterparty Credit Risk </w:t>
      </w:r>
      <w:r>
        <w:rPr>
          <w:i/>
        </w:rPr>
        <w:t>Quantitative Finance</w:t>
      </w:r>
      <w:r>
        <w:t xml:space="preserve"> </w:t>
      </w:r>
      <w:r>
        <w:rPr>
          <w:b/>
        </w:rPr>
        <w:t>11 (1)</w:t>
      </w:r>
      <w:r>
        <w:t xml:space="preserve"> 1-20.</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6"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Conclusions with Funding Adjustments with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Traditional Challenges with Derivative Accounting</w:t>
      </w:r>
    </w:p>
    <w:p w:rsidR="00397E59" w:rsidRDefault="00397E59" w:rsidP="00397E59">
      <w:pPr>
        <w:spacing w:line="360" w:lineRule="auto"/>
      </w:pPr>
    </w:p>
    <w:p w:rsidR="00397E59" w:rsidRDefault="00397E59" w:rsidP="008A18B1">
      <w:pPr>
        <w:pStyle w:val="ListParagraph"/>
        <w:numPr>
          <w:ilvl w:val="0"/>
          <w:numId w:val="58"/>
        </w:numPr>
        <w:spacing w:line="360" w:lineRule="auto"/>
      </w:pPr>
      <w:r w:rsidRPr="00520B73">
        <w:rPr>
          <w:u w:val="single"/>
        </w:rPr>
        <w:t>Indifference Pricing of OTC Derivatives</w:t>
      </w:r>
      <w:r>
        <w:t>: Although funding costs may feel all too real for the derivatives trader that sees his unsecured positions bleed negative carry, well-established finance principles nevertheless insist that fair values of assets are independent of how they are funded.</w:t>
      </w:r>
    </w:p>
    <w:p w:rsidR="00397E59" w:rsidRDefault="00397E59" w:rsidP="008A18B1">
      <w:pPr>
        <w:pStyle w:val="ListParagraph"/>
        <w:numPr>
          <w:ilvl w:val="0"/>
          <w:numId w:val="58"/>
        </w:numPr>
        <w:spacing w:line="360" w:lineRule="auto"/>
      </w:pPr>
      <w:r w:rsidRPr="00520B73">
        <w:rPr>
          <w:u w:val="single"/>
        </w:rPr>
        <w:t>“Going Concern” Accounting Principles Reconciliation</w:t>
      </w:r>
      <w:r>
        <w:t>: Reconciling the funding carry vs. the Corporate Finance Theory within the confines of the financial accounting statements is not an easy exercise, especially since traditional “going concern” accounting principles were not designed for credit-risky securities.</w:t>
      </w:r>
    </w:p>
    <w:p w:rsidR="00397E59" w:rsidRDefault="00397E59" w:rsidP="008A18B1">
      <w:pPr>
        <w:pStyle w:val="ListParagraph"/>
        <w:numPr>
          <w:ilvl w:val="0"/>
          <w:numId w:val="58"/>
        </w:numPr>
        <w:spacing w:line="360" w:lineRule="auto"/>
      </w:pPr>
      <w:r>
        <w:rPr>
          <w:u w:val="single"/>
        </w:rPr>
        <w:t>CET1 Equity Capital Regulatory Principles</w:t>
      </w:r>
      <w:r w:rsidRPr="00660CB7">
        <w:t>:</w:t>
      </w:r>
      <w:r>
        <w:t xml:space="preserve"> Complicated matters further are the newly established regulatory principles for the CET1 equity capital that require particular care in the accounting of DVA and DVA-like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FCA/FBA Accounting</w:t>
      </w:r>
    </w:p>
    <w:p w:rsidR="00397E59" w:rsidRDefault="00397E59" w:rsidP="00397E59">
      <w:pPr>
        <w:spacing w:line="360" w:lineRule="auto"/>
      </w:pPr>
    </w:p>
    <w:p w:rsidR="00397E59" w:rsidRDefault="00397E59" w:rsidP="008A18B1">
      <w:pPr>
        <w:pStyle w:val="ListParagraph"/>
        <w:numPr>
          <w:ilvl w:val="0"/>
          <w:numId w:val="59"/>
        </w:numPr>
        <w:spacing w:line="360" w:lineRule="auto"/>
      </w:pPr>
      <w:r w:rsidRPr="00660CB7">
        <w:rPr>
          <w:u w:val="single"/>
        </w:rPr>
        <w:t>Not Accounting for the RHO Handling</w:t>
      </w:r>
      <w:r>
        <w:t>: While some banks have put forward – and into action – the FCA/FBA method for funding cost accounting, Albanese and Andersen (2014) demonstrate that this method is not satisfactory. First FCA/FBA does not properly reflect the re-hypothecation options embedded in variation margin financing and as a result over-estimated funding related deductions from the equity capital.</w:t>
      </w:r>
    </w:p>
    <w:p w:rsidR="00397E59" w:rsidRDefault="00397E59" w:rsidP="008A18B1">
      <w:pPr>
        <w:pStyle w:val="ListParagraph"/>
        <w:numPr>
          <w:ilvl w:val="0"/>
          <w:numId w:val="59"/>
        </w:numPr>
        <w:spacing w:line="360" w:lineRule="auto"/>
      </w:pPr>
      <w:r>
        <w:rPr>
          <w:u w:val="single"/>
        </w:rPr>
        <w:t>Violation of the Asset-Liability Symmetry</w:t>
      </w:r>
      <w:r w:rsidRPr="00660CB7">
        <w:t>:</w:t>
      </w:r>
      <w:r>
        <w:t xml:space="preserve"> Second the FCA/FBA violates the asset-liability symmetry principles of generally accepted accounting standards while breaking the Modigliani-Miller Theorem dear to financial economists.</w:t>
      </w:r>
    </w:p>
    <w:p w:rsidR="00397E59" w:rsidRDefault="00397E59" w:rsidP="008A18B1">
      <w:pPr>
        <w:pStyle w:val="ListParagraph"/>
        <w:numPr>
          <w:ilvl w:val="0"/>
          <w:numId w:val="59"/>
        </w:numPr>
        <w:spacing w:line="360" w:lineRule="auto"/>
      </w:pPr>
      <w:r>
        <w:rPr>
          <w:u w:val="single"/>
        </w:rPr>
        <w:lastRenderedPageBreak/>
        <w:t>Wrong-Way Bank Credit Sensitivity</w:t>
      </w:r>
      <w:r w:rsidRPr="00660CB7">
        <w:t>:</w:t>
      </w:r>
      <w:r>
        <w:t xml:space="preserve"> Another popular variation of the FCA/FBA accounting – which involves deducting SFVA from equity capital rather than FCA – is not viable from a regulatory standpoint as the deduction has a wrong-way sensitivity with respect to the bank credit spread for portfolios which are net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as FCA/FBA Enhancement</w:t>
      </w:r>
    </w:p>
    <w:p w:rsidR="00397E59" w:rsidRDefault="00397E59" w:rsidP="00397E59">
      <w:pPr>
        <w:spacing w:line="360" w:lineRule="auto"/>
      </w:pPr>
    </w:p>
    <w:p w:rsidR="00397E59" w:rsidRDefault="00397E59" w:rsidP="008A18B1">
      <w:pPr>
        <w:pStyle w:val="ListParagraph"/>
        <w:numPr>
          <w:ilvl w:val="0"/>
          <w:numId w:val="60"/>
        </w:numPr>
        <w:spacing w:line="360" w:lineRule="auto"/>
      </w:pPr>
      <w:r w:rsidRPr="00374A7B">
        <w:rPr>
          <w:u w:val="single"/>
        </w:rPr>
        <w:t>CET1, Income, and Fair Value</w:t>
      </w:r>
      <w:r>
        <w:t>: Albanese and Andersen (2014) proposal for funding cost accounting aims to establish some coherence and to clear up a number of holes in the FCA/FBA accounting. In their tests this new method differs significantly from the FCA/FBA method on key accounting numbers (such as CET1, Net Income, and Fair Asset Value), yet the FVA/FDA accounting should resonate with most relevant parties.</w:t>
      </w:r>
    </w:p>
    <w:p w:rsidR="00397E59" w:rsidRDefault="00397E59" w:rsidP="008A18B1">
      <w:pPr>
        <w:pStyle w:val="ListParagraph"/>
        <w:numPr>
          <w:ilvl w:val="0"/>
          <w:numId w:val="60"/>
        </w:numPr>
        <w:spacing w:line="360" w:lineRule="auto"/>
      </w:pPr>
      <w:r>
        <w:rPr>
          <w:u w:val="single"/>
        </w:rPr>
        <w:t>MMT and Risk-Neutral Pricing</w:t>
      </w:r>
      <w:r w:rsidRPr="00374A7B">
        <w:t>:</w:t>
      </w:r>
      <w:r>
        <w:t xml:space="preserve"> Firstly financial economists and asset pricing experts will appreciate that the accounting rules will satisfy the Modigliani-Miller Theorem and lean heavily on classic risk-neutral pricing principles.</w:t>
      </w:r>
    </w:p>
    <w:p w:rsidR="00397E59" w:rsidRDefault="00397E59" w:rsidP="008A18B1">
      <w:pPr>
        <w:pStyle w:val="ListParagraph"/>
        <w:numPr>
          <w:ilvl w:val="0"/>
          <w:numId w:val="60"/>
        </w:numPr>
        <w:spacing w:line="360" w:lineRule="auto"/>
      </w:pPr>
      <w:r>
        <w:rPr>
          <w:u w:val="single"/>
        </w:rPr>
        <w:t>Exclusion of Self-Credit Benefits</w:t>
      </w:r>
      <w:r w:rsidRPr="00374A7B">
        <w:t>:</w:t>
      </w:r>
      <w:r>
        <w:t xml:space="preserve"> Secondly regulators will also appreciate that all self-credit benefits are collected cleanly in a Contra-Liability account that can be easily excluded from common equity for capital purposes.</w:t>
      </w:r>
    </w:p>
    <w:p w:rsidR="00397E59" w:rsidRDefault="00397E59" w:rsidP="008A18B1">
      <w:pPr>
        <w:pStyle w:val="ListParagraph"/>
        <w:numPr>
          <w:ilvl w:val="0"/>
          <w:numId w:val="60"/>
        </w:numPr>
        <w:spacing w:line="360" w:lineRule="auto"/>
      </w:pPr>
      <w:r>
        <w:rPr>
          <w:u w:val="single"/>
        </w:rPr>
        <w:t>Adherence to Accepted Accounting Principles</w:t>
      </w:r>
      <w:r w:rsidRPr="00374A7B">
        <w:t>:</w:t>
      </w:r>
      <w:r>
        <w:t xml:space="preserve"> Thirdly accountants will appreciate the adherence to the accounting principles, and in particular to the asset-liability symmetry principle.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Trading Staff Point of View</w:t>
      </w:r>
    </w:p>
    <w:p w:rsidR="00397E59" w:rsidRDefault="00397E59" w:rsidP="00397E59">
      <w:pPr>
        <w:spacing w:line="360" w:lineRule="auto"/>
      </w:pPr>
    </w:p>
    <w:p w:rsidR="00397E59" w:rsidRDefault="00397E59" w:rsidP="008A18B1">
      <w:pPr>
        <w:pStyle w:val="ListParagraph"/>
        <w:numPr>
          <w:ilvl w:val="0"/>
          <w:numId w:val="61"/>
        </w:numPr>
        <w:spacing w:line="360" w:lineRule="auto"/>
      </w:pPr>
      <w:r w:rsidRPr="0083196F">
        <w:rPr>
          <w:u w:val="single"/>
        </w:rPr>
        <w:t>Explicit Trade-Level Valuation Adjustment</w:t>
      </w:r>
      <w:r>
        <w:t>: For trading personnel the picture gets more complicated. On the one hand the FVA/FDA adjustment does not trigger the funding related adjustments to income and asset valuations that many prefer to see.</w:t>
      </w:r>
    </w:p>
    <w:p w:rsidR="00397E59" w:rsidRDefault="00397E59" w:rsidP="008A18B1">
      <w:pPr>
        <w:pStyle w:val="ListParagraph"/>
        <w:numPr>
          <w:ilvl w:val="0"/>
          <w:numId w:val="61"/>
        </w:numPr>
        <w:spacing w:line="360" w:lineRule="auto"/>
      </w:pPr>
      <w:r w:rsidRPr="00A42231">
        <w:rPr>
          <w:u w:val="single"/>
        </w:rPr>
        <w:lastRenderedPageBreak/>
        <w:t>Equity Capital Based Incentive Schemes</w:t>
      </w:r>
      <w:r>
        <w:t>: On the other hand Albanese and Andersen (2014) describe why traders and managers drafting incentive schemes should care about the changes in CET1 than about the Net income.</w:t>
      </w:r>
    </w:p>
    <w:p w:rsidR="00397E59" w:rsidRDefault="00397E59" w:rsidP="008A18B1">
      <w:pPr>
        <w:pStyle w:val="ListParagraph"/>
        <w:numPr>
          <w:ilvl w:val="0"/>
          <w:numId w:val="61"/>
        </w:numPr>
        <w:spacing w:line="360" w:lineRule="auto"/>
      </w:pPr>
      <w:r w:rsidRPr="00A42231">
        <w:rPr>
          <w:u w:val="single"/>
        </w:rPr>
        <w:t>CET1 Based FTP Estimation Schemes</w:t>
      </w:r>
      <w:r>
        <w:t>: In particular they highlight the link between the shareholder value and CET1 and demonstrate how a rational FTP scheme can be designed around the principle of book-level CET1 indifference pricing.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Challenges with the XVA Metric Estimation</w:t>
      </w:r>
    </w:p>
    <w:p w:rsidR="00397E59" w:rsidRDefault="00397E59" w:rsidP="00397E59">
      <w:pPr>
        <w:spacing w:line="360" w:lineRule="auto"/>
      </w:pPr>
    </w:p>
    <w:p w:rsidR="00397E59" w:rsidRDefault="00397E59" w:rsidP="008A18B1">
      <w:pPr>
        <w:pStyle w:val="ListParagraph"/>
        <w:numPr>
          <w:ilvl w:val="0"/>
          <w:numId w:val="62"/>
        </w:numPr>
        <w:spacing w:line="360" w:lineRule="auto"/>
      </w:pPr>
      <w:r w:rsidRPr="00A42231">
        <w:rPr>
          <w:u w:val="single"/>
        </w:rPr>
        <w:t>Simulation Across Multiple Netting Sets</w:t>
      </w:r>
      <w:r>
        <w:t>: On the topic of FTP calculation there is no doubt that FVA/FDA method requires a fairly sophisticated calculation engine to support the necessary incremental FVA calculation. Being a book-level quantity the FVA (and therefore the FTP) computation involves simulating through entire books across time, involving a large number of netting sets.</w:t>
      </w:r>
    </w:p>
    <w:p w:rsidR="00397E59" w:rsidRDefault="00397E59" w:rsidP="008A18B1">
      <w:pPr>
        <w:pStyle w:val="ListParagraph"/>
        <w:numPr>
          <w:ilvl w:val="0"/>
          <w:numId w:val="62"/>
        </w:numPr>
        <w:spacing w:line="360" w:lineRule="auto"/>
      </w:pPr>
      <w:r>
        <w:rPr>
          <w:u w:val="single"/>
        </w:rPr>
        <w:t>Enhancements to Existing CVA Systems</w:t>
      </w:r>
      <w:r w:rsidRPr="00A42231">
        <w:t>:</w:t>
      </w:r>
      <w:r>
        <w:t xml:space="preserve"> This, in turn, requires modifications to standard CVA calculation engines that normally can only aggregate trades at the level of individual netting sets.</w:t>
      </w:r>
    </w:p>
    <w:p w:rsidR="00397E59" w:rsidRDefault="00397E59" w:rsidP="008A18B1">
      <w:pPr>
        <w:pStyle w:val="ListParagraph"/>
        <w:numPr>
          <w:ilvl w:val="0"/>
          <w:numId w:val="62"/>
        </w:numPr>
        <w:spacing w:line="360" w:lineRule="auto"/>
      </w:pPr>
      <w:r>
        <w:rPr>
          <w:u w:val="single"/>
        </w:rPr>
        <w:t>Challenges from a Computational Finance Perspective</w:t>
      </w:r>
      <w:r w:rsidRPr="00A42231">
        <w:t>:</w:t>
      </w:r>
      <w:r>
        <w:t xml:space="preserve"> Given the complexities involved in computing FTP’s against the backdrop of an entire book position, there are challenging computational finance questions to be addressed.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Shortfalls of the FVA/FDA Scheme</w:t>
      </w:r>
    </w:p>
    <w:p w:rsidR="00397E59" w:rsidRDefault="00397E59" w:rsidP="00397E59">
      <w:pPr>
        <w:spacing w:line="360" w:lineRule="auto"/>
      </w:pPr>
    </w:p>
    <w:p w:rsidR="00397E59" w:rsidRDefault="00397E59" w:rsidP="008A18B1">
      <w:pPr>
        <w:pStyle w:val="ListParagraph"/>
        <w:numPr>
          <w:ilvl w:val="0"/>
          <w:numId w:val="63"/>
        </w:numPr>
        <w:spacing w:line="360" w:lineRule="auto"/>
      </w:pPr>
      <w:r w:rsidRPr="00A42231">
        <w:rPr>
          <w:u w:val="single"/>
        </w:rPr>
        <w:t>Derivatives Focus of the FVA/FDA Accounting</w:t>
      </w:r>
      <w:r>
        <w:t>: While FVA/FDA leans on a number of ideas from corporate finance, Albanese and Andersen (2014) make it clear that the method is pragmatic and derivatives focused.</w:t>
      </w:r>
    </w:p>
    <w:p w:rsidR="00397E59" w:rsidRDefault="00397E59" w:rsidP="008A18B1">
      <w:pPr>
        <w:pStyle w:val="ListParagraph"/>
        <w:numPr>
          <w:ilvl w:val="0"/>
          <w:numId w:val="63"/>
        </w:numPr>
        <w:spacing w:line="360" w:lineRule="auto"/>
      </w:pPr>
      <w:r>
        <w:rPr>
          <w:u w:val="single"/>
        </w:rPr>
        <w:t>Targeted Scoping of the FVA/FDA Accounting</w:t>
      </w:r>
      <w:r w:rsidRPr="00A42231">
        <w:t>:</w:t>
      </w:r>
      <w:r>
        <w:t xml:space="preserve"> They do not attempt a rigorous, full-blown analysis of the balance sheet that takes into consideration many other assets and operation of </w:t>
      </w:r>
      <w:r>
        <w:lastRenderedPageBreak/>
        <w:t>a typical bank. Neither do they consider the effects of taxes, bond covenants, dividend policies, and subtle feedback effects from investment decisions on firm-wide recovery rates (which they assume to be constant) and default probabilities.</w:t>
      </w:r>
    </w:p>
    <w:p w:rsidR="00397E59" w:rsidRDefault="00397E59" w:rsidP="008A18B1">
      <w:pPr>
        <w:pStyle w:val="ListParagraph"/>
        <w:numPr>
          <w:ilvl w:val="0"/>
          <w:numId w:val="63"/>
        </w:numPr>
        <w:spacing w:line="360" w:lineRule="auto"/>
      </w:pPr>
      <w:r>
        <w:rPr>
          <w:u w:val="single"/>
        </w:rPr>
        <w:t>Inclusive, Wide Ranging Accounting Treatment</w:t>
      </w:r>
      <w:r w:rsidRPr="000D4261">
        <w:t>:</w:t>
      </w:r>
      <w:r>
        <w:t xml:space="preserve"> It remains an interesting question for future whether a more rigorous and large (an necessarily complex) analysis can provide any insights that can be turned into concrete accounting rules that improve upon what they propose.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Alternate Specialized Value Adjustment Metrics</w:t>
      </w:r>
    </w:p>
    <w:p w:rsidR="00397E59" w:rsidRDefault="00397E59" w:rsidP="00397E59">
      <w:pPr>
        <w:spacing w:line="360" w:lineRule="auto"/>
      </w:pPr>
    </w:p>
    <w:p w:rsidR="00397E59" w:rsidRDefault="00397E59" w:rsidP="008A18B1">
      <w:pPr>
        <w:pStyle w:val="ListParagraph"/>
        <w:numPr>
          <w:ilvl w:val="0"/>
          <w:numId w:val="64"/>
        </w:numPr>
        <w:spacing w:line="360" w:lineRule="auto"/>
      </w:pPr>
      <w:r w:rsidRPr="000D4261">
        <w:rPr>
          <w:u w:val="single"/>
        </w:rPr>
        <w:t>Capital Charge Value Adjustment</w:t>
      </w:r>
      <w:r>
        <w:t>: While FVA is the most prominent newcomer to the XVA alphabet soup, there are other adjustments just waiting around the block. For instance, it has been suggested that the cost of capital charges should be reflected in the deal pricing through a “capital value adjustment” or KVA (Green, Kenyon, and Dennis (2014)).</w:t>
      </w:r>
    </w:p>
    <w:p w:rsidR="00397E59" w:rsidRDefault="00397E59" w:rsidP="008A18B1">
      <w:pPr>
        <w:pStyle w:val="ListParagraph"/>
        <w:numPr>
          <w:ilvl w:val="0"/>
          <w:numId w:val="64"/>
        </w:numPr>
        <w:spacing w:line="360" w:lineRule="auto"/>
      </w:pPr>
      <w:r>
        <w:rPr>
          <w:u w:val="single"/>
        </w:rPr>
        <w:t>Trade Scenarios Requiring Initial Margin</w:t>
      </w:r>
      <w:r w:rsidRPr="004A32F0">
        <w:t>:</w:t>
      </w:r>
      <w:r>
        <w:t xml:space="preserve"> Similarly one may consider Margin Valuation Adjustment (MVA) due to the funding cost of the initial margin (IM) for the netting sets that require IM posting. Initial Margin is required when trading with the CCPs, and due to regulatory requirement also becomes far more prevalent in the future for non-cleared products (Basel Committee on Banking Supervision (2013)).</w:t>
      </w:r>
    </w:p>
    <w:p w:rsidR="00397E59" w:rsidRDefault="00397E59" w:rsidP="008A18B1">
      <w:pPr>
        <w:pStyle w:val="ListParagraph"/>
        <w:numPr>
          <w:ilvl w:val="0"/>
          <w:numId w:val="64"/>
        </w:numPr>
        <w:spacing w:line="360" w:lineRule="auto"/>
      </w:pPr>
      <w:r>
        <w:rPr>
          <w:u w:val="single"/>
        </w:rPr>
        <w:t>MVA and KVA Estimation Complexities</w:t>
      </w:r>
      <w:r w:rsidRPr="004A32F0">
        <w:t>:</w:t>
      </w:r>
      <w:r>
        <w:t xml:space="preserve"> The accounting for – and the associated impact of – MVA, KVA, and other metrics that come up, are topics for future research, as is their practical computation. Albanese and Andersen (2014) note that both the capital and the initial margins are complex quantities that are more involved to calculate dynamically on the path than just portfolio values (as needed for the FVA). Regression-based methods or nested simulations are likely needed here.</w:t>
      </w:r>
    </w:p>
    <w:p w:rsidR="00397E59" w:rsidRDefault="00397E59" w:rsidP="00397E59">
      <w:pPr>
        <w:spacing w:line="360" w:lineRule="auto"/>
      </w:pPr>
    </w:p>
    <w:p w:rsidR="00397E59" w:rsidRDefault="00397E59" w:rsidP="00397E59">
      <w:pPr>
        <w:spacing w:line="360" w:lineRule="auto"/>
      </w:pPr>
    </w:p>
    <w:p w:rsidR="00397E59" w:rsidRDefault="00397E59" w:rsidP="007C472E">
      <w:pPr>
        <w:pStyle w:val="Heading3"/>
      </w:pPr>
      <w:r>
        <w:t>References</w:t>
      </w:r>
    </w:p>
    <w:p w:rsidR="00397E59" w:rsidRPr="00283121" w:rsidRDefault="00397E59" w:rsidP="007C472E">
      <w:pPr>
        <w:spacing w:line="360" w:lineRule="auto"/>
      </w:pPr>
    </w:p>
    <w:p w:rsidR="00397E59" w:rsidRDefault="00397E59" w:rsidP="007C472E">
      <w:pPr>
        <w:pStyle w:val="Footer"/>
        <w:numPr>
          <w:ilvl w:val="0"/>
          <w:numId w:val="1"/>
        </w:numPr>
        <w:tabs>
          <w:tab w:val="clear" w:pos="4320"/>
          <w:tab w:val="clear" w:pos="8640"/>
        </w:tabs>
        <w:spacing w:line="360" w:lineRule="auto"/>
      </w:pPr>
      <w:r>
        <w:lastRenderedPageBreak/>
        <w:t xml:space="preserve">Albanese, C., and L. Andersen (2014): </w:t>
      </w:r>
      <w:hyperlink r:id="rId67" w:history="1">
        <w:r>
          <w:rPr>
            <w:rStyle w:val="Hyperlink"/>
          </w:rPr>
          <w:t>Accounting for OTC Derivatives: Funding Adjustments and the Re-Hypothecation Option</w:t>
        </w:r>
      </w:hyperlink>
      <w:r>
        <w:t xml:space="preserve"> </w:t>
      </w:r>
      <w:r>
        <w:rPr>
          <w:b/>
          <w:bCs/>
        </w:rPr>
        <w:t>eSSRN</w:t>
      </w:r>
      <w:r>
        <w:t>.</w:t>
      </w:r>
    </w:p>
    <w:p w:rsidR="00397E59" w:rsidRDefault="00AF621C" w:rsidP="008A18B1">
      <w:pPr>
        <w:pStyle w:val="Footer"/>
        <w:numPr>
          <w:ilvl w:val="0"/>
          <w:numId w:val="1"/>
        </w:numPr>
        <w:tabs>
          <w:tab w:val="clear" w:pos="4320"/>
          <w:tab w:val="clear" w:pos="8640"/>
        </w:tabs>
        <w:spacing w:line="360" w:lineRule="auto"/>
      </w:pPr>
      <w:r>
        <w:t>Basel Committee f</w:t>
      </w:r>
      <w:r w:rsidR="00397E59">
        <w:t xml:space="preserve">or Banking Supervision (2013): Margin Requirements for Non-centrally Cleared Derivatives </w:t>
      </w:r>
      <w:r w:rsidR="00397E59">
        <w:rPr>
          <w:i/>
        </w:rPr>
        <w:t>Technical Report</w:t>
      </w:r>
      <w:r w:rsidR="00397E59">
        <w:t xml:space="preserve"> </w:t>
      </w:r>
      <w:r w:rsidR="00397E59">
        <w:rPr>
          <w:b/>
        </w:rPr>
        <w:t>Bank for International Settlements</w:t>
      </w:r>
      <w:r w:rsidR="00397E59">
        <w:t>.</w:t>
      </w:r>
    </w:p>
    <w:p w:rsidR="00397E59" w:rsidRDefault="00397E59" w:rsidP="008A18B1">
      <w:pPr>
        <w:pStyle w:val="Footer"/>
        <w:numPr>
          <w:ilvl w:val="0"/>
          <w:numId w:val="1"/>
        </w:numPr>
        <w:tabs>
          <w:tab w:val="clear" w:pos="4320"/>
          <w:tab w:val="clear" w:pos="8640"/>
        </w:tabs>
        <w:spacing w:line="360" w:lineRule="auto"/>
      </w:pPr>
      <w:r>
        <w:t xml:space="preserve">Green, A. D., C. Kenyon, and C. R. Dennis (2014): </w:t>
      </w:r>
      <w:hyperlink r:id="rId68" w:history="1">
        <w:r>
          <w:rPr>
            <w:rStyle w:val="Hyperlink"/>
          </w:rPr>
          <w:t>KVA: Capital Valuation Adjustment</w:t>
        </w:r>
      </w:hyperlink>
      <w:r>
        <w:t xml:space="preserve"> </w:t>
      </w:r>
      <w:r>
        <w:rPr>
          <w:b/>
          <w:bCs/>
        </w:rPr>
        <w:t>eSSRN</w:t>
      </w:r>
      <w:r>
        <w:t>.</w:t>
      </w:r>
    </w:p>
    <w:p w:rsidR="00AF621C" w:rsidRDefault="00AF621C">
      <w:pPr>
        <w:spacing w:after="200" w:line="276" w:lineRule="auto"/>
      </w:pPr>
      <w:r>
        <w:br w:type="page"/>
      </w:r>
    </w:p>
    <w:p w:rsidR="00AF621C" w:rsidRDefault="00AF621C" w:rsidP="00AF621C">
      <w:pPr>
        <w:spacing w:after="200" w:line="360" w:lineRule="auto"/>
      </w:pPr>
    </w:p>
    <w:p w:rsidR="00AF621C" w:rsidRPr="00BD2955" w:rsidRDefault="00AF621C" w:rsidP="00AF621C">
      <w:pPr>
        <w:spacing w:after="200" w:line="360" w:lineRule="auto"/>
        <w:jc w:val="center"/>
        <w:rPr>
          <w:b/>
          <w:sz w:val="32"/>
          <w:szCs w:val="32"/>
        </w:rPr>
      </w:pPr>
      <w:r w:rsidRPr="00BD2955">
        <w:rPr>
          <w:b/>
          <w:sz w:val="32"/>
          <w:szCs w:val="32"/>
        </w:rPr>
        <w:t>The FVA Puzzle: Accounting, Risk Management, and Collateral Trading</w:t>
      </w:r>
    </w:p>
    <w:p w:rsidR="00AF621C" w:rsidRDefault="00AF621C" w:rsidP="00AF621C">
      <w:pPr>
        <w:spacing w:after="200" w:line="360" w:lineRule="auto"/>
      </w:pPr>
    </w:p>
    <w:p w:rsidR="00AF621C" w:rsidRDefault="00AF621C" w:rsidP="00AF621C">
      <w:pPr>
        <w:spacing w:after="200" w:line="360" w:lineRule="auto"/>
      </w:pPr>
    </w:p>
    <w:p w:rsidR="00AF621C" w:rsidRPr="00BD2955" w:rsidRDefault="00AF621C" w:rsidP="00AF621C">
      <w:pPr>
        <w:spacing w:after="200" w:line="360" w:lineRule="auto"/>
        <w:rPr>
          <w:b/>
          <w:sz w:val="28"/>
          <w:szCs w:val="28"/>
        </w:rPr>
      </w:pPr>
      <w:r w:rsidRPr="00BD2955">
        <w:rPr>
          <w:b/>
          <w:sz w:val="28"/>
          <w:szCs w:val="28"/>
        </w:rPr>
        <w:t>Abstract</w:t>
      </w:r>
    </w:p>
    <w:p w:rsidR="00AF621C" w:rsidRDefault="00AF621C" w:rsidP="00AF621C">
      <w:pPr>
        <w:spacing w:after="200" w:line="360" w:lineRule="auto"/>
      </w:pPr>
    </w:p>
    <w:p w:rsidR="00AF621C" w:rsidRDefault="00AF621C" w:rsidP="00AF621C">
      <w:pPr>
        <w:pStyle w:val="ListParagraph"/>
        <w:numPr>
          <w:ilvl w:val="0"/>
          <w:numId w:val="209"/>
        </w:numPr>
        <w:spacing w:after="200" w:line="360" w:lineRule="auto"/>
      </w:pPr>
      <w:r w:rsidRPr="00AF621C">
        <w:rPr>
          <w:u w:val="single"/>
        </w:rPr>
        <w:t>Bridge between Regulators, Traders, and Economists</w:t>
      </w:r>
      <w:r>
        <w:t>: In Albanese and Andersen (2014), the FVA/FDA accounting framework for funding costs was introduced, with the aim of providing an accounting method that reasonably balances the conflicting concerns of accountants, regulators, traders, and financial economists.</w:t>
      </w:r>
    </w:p>
    <w:p w:rsidR="00AF621C" w:rsidRDefault="00AF621C" w:rsidP="008D5CAB">
      <w:pPr>
        <w:pStyle w:val="ListParagraph"/>
        <w:numPr>
          <w:ilvl w:val="0"/>
          <w:numId w:val="209"/>
        </w:numPr>
        <w:spacing w:after="200" w:line="360" w:lineRule="auto"/>
      </w:pPr>
      <w:r>
        <w:rPr>
          <w:u w:val="single"/>
        </w:rPr>
        <w:t>FVA/FDA vs FCA/FBA Accounting Schemes</w:t>
      </w:r>
      <w:r w:rsidRPr="00AF621C">
        <w:t>:</w:t>
      </w:r>
      <w:r>
        <w:t xml:space="preserve"> </w:t>
      </w:r>
      <w:r w:rsidR="008D5CAB">
        <w:t>Albanese, Andersen, and Iabichino (2014) provide a concise comparison of FVA/FDA accounting against the FCA/FBA method endorsed by several large banks. The FTP policies and the risk management implications are discussed, and the notion of funding arbitrage is quantified.</w:t>
      </w:r>
    </w:p>
    <w:p w:rsidR="00AF621C" w:rsidRDefault="00AF621C" w:rsidP="008D5CAB">
      <w:pPr>
        <w:spacing w:after="200" w:line="360" w:lineRule="auto"/>
      </w:pPr>
    </w:p>
    <w:p w:rsidR="008D5CAB" w:rsidRDefault="008D5CAB" w:rsidP="008D5CAB">
      <w:pPr>
        <w:spacing w:after="200" w:line="360" w:lineRule="auto"/>
      </w:pPr>
    </w:p>
    <w:p w:rsidR="008D5CAB" w:rsidRPr="00BD2955" w:rsidRDefault="008D5CAB" w:rsidP="008D5CAB">
      <w:pPr>
        <w:spacing w:after="200" w:line="360" w:lineRule="auto"/>
        <w:rPr>
          <w:b/>
          <w:sz w:val="28"/>
          <w:szCs w:val="28"/>
        </w:rPr>
      </w:pPr>
      <w:r w:rsidRPr="00BD2955">
        <w:rPr>
          <w:b/>
          <w:sz w:val="28"/>
          <w:szCs w:val="28"/>
        </w:rPr>
        <w:t>Introduction</w:t>
      </w:r>
    </w:p>
    <w:p w:rsidR="008D5CAB" w:rsidRDefault="008D5CAB" w:rsidP="008D5CAB">
      <w:pPr>
        <w:spacing w:after="200" w:line="360" w:lineRule="auto"/>
      </w:pPr>
    </w:p>
    <w:p w:rsidR="008D5CAB" w:rsidRDefault="008D5CAB" w:rsidP="008D5CAB">
      <w:pPr>
        <w:pStyle w:val="ListParagraph"/>
        <w:numPr>
          <w:ilvl w:val="0"/>
          <w:numId w:val="210"/>
        </w:numPr>
        <w:spacing w:after="200" w:line="360" w:lineRule="auto"/>
      </w:pPr>
      <w:r w:rsidRPr="008D5CAB">
        <w:rPr>
          <w:u w:val="single"/>
        </w:rPr>
        <w:t>Metrics for Capturing Funding Costs</w:t>
      </w:r>
      <w:r>
        <w:t>: The notion of charging for funding costs became painfully relevant for banks as their borrowing spreads jumped up during the financial crisis. Drawing inspiration from the works of Piterbarg (2010) and Burgard and Kjaer (2011, 2013), several banks have instituted accounting changes aimed at capturing the funding costs for uncollateralized derivatives transaction.</w:t>
      </w:r>
    </w:p>
    <w:p w:rsidR="00245BBE" w:rsidRDefault="00245BBE" w:rsidP="008D5CAB">
      <w:pPr>
        <w:pStyle w:val="ListParagraph"/>
        <w:numPr>
          <w:ilvl w:val="0"/>
          <w:numId w:val="210"/>
        </w:numPr>
        <w:spacing w:after="200" w:line="360" w:lineRule="auto"/>
      </w:pPr>
      <w:r>
        <w:rPr>
          <w:u w:val="single"/>
        </w:rPr>
        <w:lastRenderedPageBreak/>
        <w:t>Challenges with the FCA/FBA Accounting</w:t>
      </w:r>
      <w:r w:rsidRPr="00245BBE">
        <w:t>:</w:t>
      </w:r>
      <w:r>
        <w:t xml:space="preserve"> The prevalent FCA/FBA accounting method is simple but controversial – see Cameron (2013) – and has raised concerns about the breakage of asset-liability symmetry, double counting of DVA, and embedding entity-specific costs in exit prices. Additionally it appears that the FCA/FBA method is interpreted differently from one bank to the next.</w:t>
      </w:r>
    </w:p>
    <w:p w:rsidR="00245BBE" w:rsidRDefault="00245BBE" w:rsidP="008D5CAB">
      <w:pPr>
        <w:pStyle w:val="ListParagraph"/>
        <w:numPr>
          <w:ilvl w:val="0"/>
          <w:numId w:val="210"/>
        </w:numPr>
        <w:spacing w:after="200" w:line="360" w:lineRule="auto"/>
      </w:pPr>
      <w:r>
        <w:rPr>
          <w:u w:val="single"/>
        </w:rPr>
        <w:t>Reconciliation across Regulation, Valuation, and Accounting</w:t>
      </w:r>
      <w:r w:rsidRPr="00245BBE">
        <w:t>:</w:t>
      </w:r>
      <w:r>
        <w:t xml:space="preserve"> Albanese and Andersen (2014) proposed the FVA/FDA accounting method as a compromise </w:t>
      </w:r>
      <w:r w:rsidR="00631F56">
        <w:t>between the financial asset valuation principles, the “going concern” accounting principles, and regulatory capital requirements.</w:t>
      </w:r>
    </w:p>
    <w:p w:rsidR="00631F56" w:rsidRDefault="00631F56" w:rsidP="008D5CAB">
      <w:pPr>
        <w:pStyle w:val="ListParagraph"/>
        <w:numPr>
          <w:ilvl w:val="0"/>
          <w:numId w:val="210"/>
        </w:numPr>
        <w:spacing w:after="200" w:line="360" w:lineRule="auto"/>
      </w:pPr>
      <w:r>
        <w:rPr>
          <w:u w:val="single"/>
        </w:rPr>
        <w:t>Remedy of the Dominant Accounting Method</w:t>
      </w:r>
      <w:r w:rsidRPr="00631F56">
        <w:t>:</w:t>
      </w:r>
      <w:r>
        <w:t xml:space="preserve"> The method explicitly models the re-hypothecation option of variation margin on hedges, and remedies many of the theoretical inconsistencies of the FCA/FBA method.</w:t>
      </w:r>
    </w:p>
    <w:p w:rsidR="000A4432" w:rsidRDefault="000A4432" w:rsidP="008D5CAB">
      <w:pPr>
        <w:pStyle w:val="ListParagraph"/>
        <w:numPr>
          <w:ilvl w:val="0"/>
          <w:numId w:val="210"/>
        </w:numPr>
        <w:spacing w:after="200" w:line="360" w:lineRule="auto"/>
      </w:pPr>
      <w:r>
        <w:rPr>
          <w:u w:val="single"/>
        </w:rPr>
        <w:t>Albanese and Andersen (2014) Core Ideas</w:t>
      </w:r>
      <w:r w:rsidRPr="000A4432">
        <w:t>:</w:t>
      </w:r>
      <w:r>
        <w:t xml:space="preserve"> Albanese, Andersen, and Iabichino (2014) review the core ideas behind Albanese and Andersen (2014) and contrast it to FCA/FBA numerically and conceptually.</w:t>
      </w:r>
    </w:p>
    <w:p w:rsidR="000A4432" w:rsidRDefault="000A4432" w:rsidP="008D5CAB">
      <w:pPr>
        <w:pStyle w:val="ListParagraph"/>
        <w:numPr>
          <w:ilvl w:val="0"/>
          <w:numId w:val="210"/>
        </w:numPr>
        <w:spacing w:after="200" w:line="360" w:lineRule="auto"/>
      </w:pPr>
      <w:r>
        <w:rPr>
          <w:u w:val="single"/>
        </w:rPr>
        <w:t>Albanese and Andersen (2014) Main Implications</w:t>
      </w:r>
      <w:r>
        <w:t>: They then consider some risk management implications of funding cost accounting, and propose using CET1 simulation as a tool for hedging, collateral optimization, and reverse stress testing.</w:t>
      </w:r>
    </w:p>
    <w:p w:rsidR="000A4432" w:rsidRDefault="000A4432" w:rsidP="008D5CAB">
      <w:pPr>
        <w:pStyle w:val="ListParagraph"/>
        <w:numPr>
          <w:ilvl w:val="0"/>
          <w:numId w:val="210"/>
        </w:numPr>
        <w:spacing w:after="200" w:line="360" w:lineRule="auto"/>
      </w:pPr>
      <w:r>
        <w:rPr>
          <w:u w:val="single"/>
        </w:rPr>
        <w:t>Albanese and Andersen (2014) Principal Strategies</w:t>
      </w:r>
      <w:r w:rsidRPr="000A4432">
        <w:t>:</w:t>
      </w:r>
      <w:r>
        <w:t xml:space="preserve"> They also discuss strategies to exploit funding arbitrage by means of CVA reducing trades.</w:t>
      </w:r>
    </w:p>
    <w:p w:rsidR="008D5CAB" w:rsidRDefault="008D5CAB" w:rsidP="008D5CAB">
      <w:pPr>
        <w:spacing w:after="200" w:line="360" w:lineRule="auto"/>
      </w:pPr>
    </w:p>
    <w:p w:rsidR="0054675B" w:rsidRDefault="0054675B" w:rsidP="008D5CAB">
      <w:pPr>
        <w:spacing w:after="200" w:line="360" w:lineRule="auto"/>
      </w:pPr>
    </w:p>
    <w:p w:rsidR="0054675B" w:rsidRPr="0054675B" w:rsidRDefault="0054675B" w:rsidP="008D5CAB">
      <w:pPr>
        <w:spacing w:after="200" w:line="360" w:lineRule="auto"/>
        <w:rPr>
          <w:b/>
          <w:sz w:val="28"/>
          <w:szCs w:val="28"/>
        </w:rPr>
      </w:pPr>
      <w:r w:rsidRPr="0054675B">
        <w:rPr>
          <w:b/>
          <w:sz w:val="28"/>
          <w:szCs w:val="28"/>
        </w:rPr>
        <w:t>CVA/DVA Accounting</w:t>
      </w:r>
    </w:p>
    <w:p w:rsidR="0054675B" w:rsidRDefault="0054675B" w:rsidP="008D5CAB">
      <w:pPr>
        <w:spacing w:after="200" w:line="360" w:lineRule="auto"/>
      </w:pPr>
    </w:p>
    <w:p w:rsidR="0054675B" w:rsidRDefault="0054675B" w:rsidP="0054675B">
      <w:pPr>
        <w:pStyle w:val="ListParagraph"/>
        <w:numPr>
          <w:ilvl w:val="0"/>
          <w:numId w:val="211"/>
        </w:numPr>
        <w:spacing w:after="200" w:line="360" w:lineRule="auto"/>
      </w:pPr>
      <w:r w:rsidRPr="0054675B">
        <w:rPr>
          <w:u w:val="single"/>
        </w:rPr>
        <w:t>Funding Adjustments under Classical Accounting</w:t>
      </w:r>
      <w:r>
        <w:t>: Before discussing the funding adjustments in detail, this section reviews how the accounting rules work for the classical case where the bank’s OTC portfolio value is adjusted for credit risk.</w:t>
      </w:r>
    </w:p>
    <w:p w:rsidR="0054675B" w:rsidRDefault="0054675B" w:rsidP="0054675B">
      <w:pPr>
        <w:pStyle w:val="ListParagraph"/>
        <w:numPr>
          <w:ilvl w:val="0"/>
          <w:numId w:val="211"/>
        </w:numPr>
        <w:spacing w:after="200" w:line="360" w:lineRule="auto"/>
      </w:pPr>
      <w:r>
        <w:rPr>
          <w:u w:val="single"/>
        </w:rPr>
        <w:lastRenderedPageBreak/>
        <w:t>OTC Portfolio Accounting Ledger Rules</w:t>
      </w:r>
      <w:r w:rsidRPr="0054675B">
        <w:t>:</w:t>
      </w:r>
      <w:r>
        <w:t xml:space="preserve"> First the accounting ledger rules for OTC portfolios typically assign trades with positive valuations (i.e., receivables) to an asset account</w:t>
      </w:r>
      <w:r w:rsidR="0040341A">
        <w:t>, and trades with negative values (i.e., payables) to a liabilities account.</w:t>
      </w:r>
    </w:p>
    <w:p w:rsidR="006B44A4" w:rsidRDefault="0040341A" w:rsidP="0054675B">
      <w:pPr>
        <w:pStyle w:val="ListParagraph"/>
        <w:numPr>
          <w:ilvl w:val="0"/>
          <w:numId w:val="211"/>
        </w:numPr>
        <w:spacing w:after="200" w:line="360" w:lineRule="auto"/>
      </w:pPr>
      <w:r>
        <w:rPr>
          <w:u w:val="single"/>
        </w:rPr>
        <w:t>Accounting Ledger Rules Portfolio Value</w:t>
      </w:r>
      <w:r w:rsidRPr="0040341A">
        <w:t>:</w:t>
      </w:r>
      <w:r>
        <w:t xml:space="preserve"> In the absence of credit risk, the Portfolio Fair Valuation </w:t>
      </w:r>
      <m:oMath>
        <m:r>
          <w:rPr>
            <w:rFonts w:ascii="Cambria Math" w:hAnsi="Cambria Math"/>
          </w:rPr>
          <m:t>PFV</m:t>
        </m:r>
      </m:oMath>
      <w:r>
        <w:t xml:space="preserve"> to the bank holding the position is given by the default-free value of the assets </w:t>
      </w:r>
      <m:oMath>
        <m:r>
          <w:rPr>
            <w:rFonts w:ascii="Cambria Math" w:hAnsi="Cambria Math"/>
          </w:rPr>
          <m:t>A</m:t>
        </m:r>
      </m:oMath>
      <w:r>
        <w:t xml:space="preserve"> minus the default-free value of the liabilities </w:t>
      </w:r>
      <m:oMath>
        <m:r>
          <w:rPr>
            <w:rFonts w:ascii="Cambria Math" w:hAnsi="Cambria Math"/>
          </w:rPr>
          <m:t>L</m:t>
        </m:r>
      </m:oMath>
      <w:r>
        <w:t>:</w:t>
      </w:r>
    </w:p>
    <w:p w:rsidR="006B44A4" w:rsidRDefault="006B44A4" w:rsidP="006B44A4">
      <w:pPr>
        <w:pStyle w:val="ListParagraph"/>
        <w:spacing w:after="200" w:line="360" w:lineRule="auto"/>
        <w:ind w:left="360"/>
        <w:rPr>
          <w:u w:val="single"/>
        </w:rPr>
      </w:pPr>
    </w:p>
    <w:p w:rsidR="0040341A" w:rsidRPr="006B44A4" w:rsidRDefault="0040341A" w:rsidP="006B44A4">
      <w:pPr>
        <w:pStyle w:val="ListParagraph"/>
        <w:spacing w:after="200" w:line="360" w:lineRule="auto"/>
        <w:ind w:left="360"/>
      </w:pPr>
      <m:oMathPara>
        <m:oMath>
          <m:r>
            <w:rPr>
              <w:rFonts w:ascii="Cambria Math" w:hAnsi="Cambria Math"/>
            </w:rPr>
            <m:t>PFV=A-L</m:t>
          </m:r>
        </m:oMath>
      </m:oMathPara>
    </w:p>
    <w:p w:rsidR="006B44A4" w:rsidRDefault="006B44A4" w:rsidP="006B44A4">
      <w:pPr>
        <w:pStyle w:val="ListParagraph"/>
        <w:spacing w:after="200" w:line="360" w:lineRule="auto"/>
        <w:ind w:left="360"/>
      </w:pPr>
    </w:p>
    <w:p w:rsidR="0040341A" w:rsidRDefault="0040341A" w:rsidP="0054675B">
      <w:pPr>
        <w:pStyle w:val="ListParagraph"/>
        <w:numPr>
          <w:ilvl w:val="0"/>
          <w:numId w:val="211"/>
        </w:numPr>
        <w:spacing w:after="200" w:line="360" w:lineRule="auto"/>
      </w:pPr>
      <w:r>
        <w:rPr>
          <w:u w:val="single"/>
        </w:rPr>
        <w:t>Counter-party Credit Risk Twists</w:t>
      </w:r>
      <w:r>
        <w:t xml:space="preserve">: Counter-party credit risk adds a few complexities and necessitates the introduction of </w:t>
      </w:r>
      <w:r w:rsidRPr="0040341A">
        <w:rPr>
          <w:i/>
        </w:rPr>
        <w:t>contra</w:t>
      </w:r>
      <w:r>
        <w:t xml:space="preserve"> accounts as well as change in the </w:t>
      </w:r>
      <w:r>
        <w:rPr>
          <w:i/>
        </w:rPr>
        <w:t>unit of account</w:t>
      </w:r>
      <w:r>
        <w:t xml:space="preserve"> from individual trades to counter-party specific netting sets.</w:t>
      </w:r>
    </w:p>
    <w:p w:rsidR="0040341A" w:rsidRDefault="006F7043" w:rsidP="0054675B">
      <w:pPr>
        <w:pStyle w:val="ListParagraph"/>
        <w:numPr>
          <w:ilvl w:val="0"/>
          <w:numId w:val="211"/>
        </w:numPr>
        <w:spacing w:after="200" w:line="360" w:lineRule="auto"/>
      </w:pPr>
      <w:r>
        <w:rPr>
          <w:u w:val="single"/>
        </w:rPr>
        <w:t>The Contra Asset Account Concept</w:t>
      </w:r>
      <w:r w:rsidRPr="006F7043">
        <w:t>:</w:t>
      </w:r>
      <w:r>
        <w:t xml:space="preserve"> Downward adjustments to the asset values from the counter-party credit risk are </w:t>
      </w:r>
      <w:r>
        <w:rPr>
          <w:i/>
        </w:rPr>
        <w:t>Credit Valuation Adjustment</w:t>
      </w:r>
      <w:r>
        <w:t xml:space="preserve"> (CVA) entries in the </w:t>
      </w:r>
      <w:r>
        <w:rPr>
          <w:i/>
        </w:rPr>
        <w:t>contra-asset</w:t>
      </w:r>
      <w:r>
        <w:t xml:space="preserve"> </w:t>
      </w:r>
      <m:oMath>
        <m:r>
          <w:rPr>
            <w:rFonts w:ascii="Cambria Math" w:hAnsi="Cambria Math"/>
          </w:rPr>
          <m:t>CA</m:t>
        </m:r>
      </m:oMath>
      <w:r>
        <w:t xml:space="preserve"> account. The </w:t>
      </w:r>
      <m:oMath>
        <m:r>
          <w:rPr>
            <w:rFonts w:ascii="Cambria Math" w:hAnsi="Cambria Math"/>
          </w:rPr>
          <m:t>CA</m:t>
        </m:r>
      </m:oMath>
      <w:r>
        <w:t xml:space="preserve"> value aggregates CVA across all counter-parties and is subtracted from the default-free asset values.</w:t>
      </w:r>
    </w:p>
    <w:p w:rsidR="006F7043" w:rsidRDefault="006F7043" w:rsidP="0054675B">
      <w:pPr>
        <w:pStyle w:val="ListParagraph"/>
        <w:numPr>
          <w:ilvl w:val="0"/>
          <w:numId w:val="211"/>
        </w:numPr>
        <w:spacing w:after="200" w:line="360" w:lineRule="auto"/>
      </w:pPr>
      <w:r>
        <w:rPr>
          <w:u w:val="single"/>
        </w:rPr>
        <w:t>The Contra Liability Account Concept</w:t>
      </w:r>
      <w:r w:rsidRPr="006F7043">
        <w:t>:</w:t>
      </w:r>
      <w:r>
        <w:t xml:space="preserve"> In addition to the contra-asset account, there is also a </w:t>
      </w:r>
      <w:r>
        <w:rPr>
          <w:i/>
        </w:rPr>
        <w:t>contra-liability</w:t>
      </w:r>
      <w:r>
        <w:t xml:space="preserve"> </w:t>
      </w:r>
      <m:oMath>
        <m:r>
          <w:rPr>
            <w:rFonts w:ascii="Cambria Math" w:hAnsi="Cambria Math"/>
          </w:rPr>
          <m:t>CL</m:t>
        </m:r>
      </m:oMath>
      <w:r>
        <w:t xml:space="preserve"> account which includes </w:t>
      </w:r>
      <w:r w:rsidRPr="006F7043">
        <w:rPr>
          <w:i/>
        </w:rPr>
        <w:t>Debt Valuation Adjustment</w:t>
      </w:r>
      <w:r>
        <w:t xml:space="preserve"> for each counterparty.</w:t>
      </w:r>
    </w:p>
    <w:p w:rsidR="00F522DA" w:rsidRDefault="00F522DA" w:rsidP="0054675B">
      <w:pPr>
        <w:pStyle w:val="ListParagraph"/>
        <w:numPr>
          <w:ilvl w:val="0"/>
          <w:numId w:val="211"/>
        </w:numPr>
        <w:spacing w:after="200" w:line="360" w:lineRule="auto"/>
      </w:pPr>
      <w:r>
        <w:rPr>
          <w:u w:val="single"/>
        </w:rPr>
        <w:t>Total DVA of the Bank</w:t>
      </w:r>
      <w:r w:rsidRPr="00F522DA">
        <w:t>:</w:t>
      </w:r>
      <w:r>
        <w:t xml:space="preserve"> The bank’s total DVA equals the total CVA recorded by all counterparties </w:t>
      </w:r>
      <w:r>
        <w:rPr>
          <w:i/>
        </w:rPr>
        <w:t>against</w:t>
      </w:r>
      <w:r>
        <w:t xml:space="preserve"> the bank, and ensures that the accounting system is symmetric and does not create wealth out of zero-rum bilateral trading. </w:t>
      </w:r>
      <w:r w:rsidR="007741E8">
        <w:t>DVA entries are benefits and represent the present value of the bank’s option to default on its liabilities.</w:t>
      </w:r>
    </w:p>
    <w:p w:rsidR="006B44A4" w:rsidRDefault="007741E8" w:rsidP="0054675B">
      <w:pPr>
        <w:pStyle w:val="ListParagraph"/>
        <w:numPr>
          <w:ilvl w:val="0"/>
          <w:numId w:val="211"/>
        </w:numPr>
        <w:spacing w:after="200" w:line="360" w:lineRule="auto"/>
      </w:pPr>
      <w:r>
        <w:rPr>
          <w:u w:val="single"/>
        </w:rPr>
        <w:t>Derivatives Balance Sheet Fair Value</w:t>
      </w:r>
      <w:r w:rsidRPr="007741E8">
        <w:t>:</w:t>
      </w:r>
      <w:r>
        <w:t xml:space="preserve"> To summarize the fair value associated with the derivatives portion of the balance sheet may be written as</w:t>
      </w:r>
    </w:p>
    <w:p w:rsidR="006B44A4" w:rsidRDefault="006B44A4" w:rsidP="006B44A4">
      <w:pPr>
        <w:pStyle w:val="ListParagraph"/>
        <w:spacing w:after="200" w:line="360" w:lineRule="auto"/>
        <w:ind w:left="360"/>
        <w:rPr>
          <w:u w:val="single"/>
        </w:rPr>
      </w:pPr>
    </w:p>
    <w:p w:rsidR="007741E8" w:rsidRPr="006B44A4" w:rsidRDefault="007741E8" w:rsidP="006B44A4">
      <w:pPr>
        <w:pStyle w:val="ListParagraph"/>
        <w:spacing w:after="200" w:line="360" w:lineRule="auto"/>
        <w:ind w:left="360"/>
      </w:pPr>
      <m:oMathPara>
        <m:oMath>
          <m:r>
            <w:rPr>
              <w:rFonts w:ascii="Cambria Math" w:hAnsi="Cambria Math"/>
            </w:rPr>
            <m:t>PFV=A-L-CA+CL</m:t>
          </m:r>
        </m:oMath>
      </m:oMathPara>
    </w:p>
    <w:p w:rsidR="006B44A4" w:rsidRDefault="006B44A4" w:rsidP="006B44A4">
      <w:pPr>
        <w:pStyle w:val="ListParagraph"/>
        <w:spacing w:after="200" w:line="360" w:lineRule="auto"/>
        <w:ind w:left="360"/>
      </w:pPr>
    </w:p>
    <w:p w:rsidR="006B44A4" w:rsidRDefault="007741E8" w:rsidP="0054675B">
      <w:pPr>
        <w:pStyle w:val="ListParagraph"/>
        <w:numPr>
          <w:ilvl w:val="0"/>
          <w:numId w:val="211"/>
        </w:numPr>
        <w:spacing w:after="200" w:line="360" w:lineRule="auto"/>
      </w:pPr>
      <w:r>
        <w:rPr>
          <w:u w:val="single"/>
        </w:rPr>
        <w:t>Cash Account and Equity Component</w:t>
      </w:r>
      <w:r>
        <w:t xml:space="preserve">: If one includes a cash account </w:t>
      </w:r>
      <m:oMath>
        <m:r>
          <w:rPr>
            <w:rFonts w:ascii="Cambria Math" w:hAnsi="Cambria Math"/>
          </w:rPr>
          <m:t>Cash</m:t>
        </m:r>
      </m:oMath>
      <w:r>
        <w:t xml:space="preserve">, the simplified balance sheet may be computed by writing the total assets as </w:t>
      </w:r>
      <m:oMath>
        <m:r>
          <w:rPr>
            <w:rFonts w:ascii="Cambria Math" w:hAnsi="Cambria Math"/>
          </w:rPr>
          <m:t>Cash+A-CA</m:t>
        </m:r>
      </m:oMath>
      <w:r>
        <w:t xml:space="preserve">, with the </w:t>
      </w:r>
      <w:r>
        <w:rPr>
          <w:i/>
        </w:rPr>
        <w:t>accounting</w:t>
      </w:r>
      <w:r>
        <w:t xml:space="preserve"> Equity defined as</w:t>
      </w:r>
    </w:p>
    <w:p w:rsidR="006B44A4" w:rsidRDefault="006B44A4" w:rsidP="006B44A4">
      <w:pPr>
        <w:pStyle w:val="ListParagraph"/>
        <w:spacing w:after="200" w:line="360" w:lineRule="auto"/>
        <w:ind w:left="360"/>
        <w:rPr>
          <w:u w:val="single"/>
        </w:rPr>
      </w:pPr>
    </w:p>
    <w:p w:rsidR="007741E8" w:rsidRPr="006B44A4" w:rsidRDefault="007741E8" w:rsidP="006B44A4">
      <w:pPr>
        <w:pStyle w:val="ListParagraph"/>
        <w:spacing w:after="200" w:line="360" w:lineRule="auto"/>
        <w:ind w:left="360"/>
      </w:pPr>
      <m:oMathPara>
        <m:oMath>
          <m:r>
            <w:rPr>
              <w:rFonts w:ascii="Cambria Math" w:hAnsi="Cambria Math"/>
            </w:rPr>
            <m:t>Equity=Cash+PFV=Cash+A-CA-L+CL</m:t>
          </m:r>
        </m:oMath>
      </m:oMathPara>
    </w:p>
    <w:p w:rsidR="006B44A4" w:rsidRDefault="006B44A4" w:rsidP="006B44A4">
      <w:pPr>
        <w:pStyle w:val="ListParagraph"/>
        <w:spacing w:after="200" w:line="360" w:lineRule="auto"/>
        <w:ind w:left="360"/>
      </w:pPr>
    </w:p>
    <w:p w:rsidR="006030A1" w:rsidRDefault="006030A1" w:rsidP="0054675B">
      <w:pPr>
        <w:pStyle w:val="ListParagraph"/>
        <w:numPr>
          <w:ilvl w:val="0"/>
          <w:numId w:val="211"/>
        </w:numPr>
        <w:spacing w:after="200" w:line="360" w:lineRule="auto"/>
      </w:pPr>
      <w:r>
        <w:rPr>
          <w:u w:val="single"/>
        </w:rPr>
        <w:t>DVA Impact on Equity Holders</w:t>
      </w:r>
      <w:r>
        <w:t xml:space="preserve">: While DVA is a rational and well-defined component of the bank-wide </w:t>
      </w:r>
      <m:oMath>
        <m:r>
          <w:rPr>
            <w:rFonts w:ascii="Cambria Math" w:hAnsi="Cambria Math"/>
          </w:rPr>
          <m:t>PFV</m:t>
        </m:r>
      </m:oMath>
      <w:r>
        <w:t xml:space="preserve">, it should arguably not contribute to regulatory capital </w:t>
      </w:r>
      <w:r w:rsidR="009662D7">
        <w:t>as benefits associated with a bank default are neither loss absorbing, nor do they contribute to the wealth of the bank equity holders (who are wiped out by a bank default).</w:t>
      </w:r>
    </w:p>
    <w:p w:rsidR="006B44A4" w:rsidRDefault="009662D7" w:rsidP="0054675B">
      <w:pPr>
        <w:pStyle w:val="ListParagraph"/>
        <w:numPr>
          <w:ilvl w:val="0"/>
          <w:numId w:val="211"/>
        </w:numPr>
        <w:spacing w:after="200" w:line="360" w:lineRule="auto"/>
      </w:pPr>
      <w:r>
        <w:rPr>
          <w:u w:val="single"/>
        </w:rPr>
        <w:t>Common Equity Tier I Capital - Definition</w:t>
      </w:r>
      <w:r w:rsidRPr="009662D7">
        <w:t>:</w:t>
      </w:r>
      <w:r>
        <w:t xml:space="preserve"> DVA entries in the </w:t>
      </w:r>
      <m:oMath>
        <m:r>
          <w:rPr>
            <w:rFonts w:ascii="Cambria Math" w:hAnsi="Cambria Math"/>
          </w:rPr>
          <m:t>CL</m:t>
        </m:r>
      </m:oMath>
      <w:r>
        <w:t xml:space="preserve"> are therefore excluded by the regulators – BCBS (2012) and Federal Register (2014) – from </w:t>
      </w:r>
      <w:r>
        <w:rPr>
          <w:i/>
        </w:rPr>
        <w:t xml:space="preserve">Common Equity Tier I Capital </w:t>
      </w:r>
      <m:oMath>
        <m:r>
          <w:rPr>
            <w:rFonts w:ascii="Cambria Math" w:hAnsi="Cambria Math"/>
          </w:rPr>
          <m:t>CET1</m:t>
        </m:r>
      </m:oMath>
      <w:r w:rsidR="006B44A4">
        <w:t>. That i</w:t>
      </w:r>
      <w:r>
        <w:t>s</w:t>
      </w:r>
    </w:p>
    <w:p w:rsidR="006B44A4" w:rsidRDefault="006B44A4" w:rsidP="006B44A4">
      <w:pPr>
        <w:pStyle w:val="ListParagraph"/>
        <w:spacing w:after="200" w:line="360" w:lineRule="auto"/>
        <w:ind w:left="360"/>
        <w:rPr>
          <w:u w:val="single"/>
        </w:rPr>
      </w:pPr>
    </w:p>
    <w:p w:rsidR="009662D7" w:rsidRPr="006B44A4" w:rsidRDefault="009662D7" w:rsidP="006B44A4">
      <w:pPr>
        <w:pStyle w:val="ListParagraph"/>
        <w:spacing w:after="200" w:line="360" w:lineRule="auto"/>
        <w:ind w:left="360"/>
      </w:pPr>
      <m:oMathPara>
        <m:oMath>
          <m:r>
            <w:rPr>
              <w:rFonts w:ascii="Cambria Math" w:hAnsi="Cambria Math"/>
            </w:rPr>
            <m:t>CET1=Equity-CL=Cash+A-CA-L</m:t>
          </m:r>
        </m:oMath>
      </m:oMathPara>
    </w:p>
    <w:p w:rsidR="006B44A4" w:rsidRDefault="006B44A4" w:rsidP="006B44A4">
      <w:pPr>
        <w:pStyle w:val="ListParagraph"/>
        <w:spacing w:after="200" w:line="360" w:lineRule="auto"/>
        <w:ind w:left="360"/>
      </w:pPr>
    </w:p>
    <w:p w:rsidR="009662D7" w:rsidRDefault="009662D7" w:rsidP="0054675B">
      <w:pPr>
        <w:pStyle w:val="ListParagraph"/>
        <w:numPr>
          <w:ilvl w:val="0"/>
          <w:numId w:val="211"/>
        </w:numPr>
        <w:spacing w:after="200" w:line="360" w:lineRule="auto"/>
      </w:pPr>
      <w:r>
        <w:rPr>
          <w:u w:val="single"/>
        </w:rPr>
        <w:t>DVA De-recognition in Quotation Practices</w:t>
      </w:r>
      <w:r>
        <w:t xml:space="preserve">: The interpretation of DVA as not benefitting equity holders will often manifest itself in quotation practices, where it is common for traders to internally de-recognize all or part of the DVA benefits in the prices they quote to the counterparties, in effect charging DVA through to the client on top of </w:t>
      </w:r>
      <m:oMath>
        <m:r>
          <w:rPr>
            <w:rFonts w:ascii="Cambria Math" w:hAnsi="Cambria Math"/>
          </w:rPr>
          <m:t>PFV</m:t>
        </m:r>
      </m:oMath>
      <w:r>
        <w:t>.</w:t>
      </w:r>
    </w:p>
    <w:p w:rsidR="006B44A4" w:rsidRDefault="006B44A4" w:rsidP="0054675B">
      <w:pPr>
        <w:pStyle w:val="ListParagraph"/>
        <w:numPr>
          <w:ilvl w:val="0"/>
          <w:numId w:val="211"/>
        </w:numPr>
        <w:spacing w:after="200" w:line="360" w:lineRule="auto"/>
      </w:pPr>
      <m:oMath>
        <m:r>
          <w:rPr>
            <w:rFonts w:ascii="Cambria Math" w:hAnsi="Cambria Math"/>
            <w:u w:val="single"/>
          </w:rPr>
          <m:t>CET1</m:t>
        </m:r>
      </m:oMath>
      <w:r>
        <w:rPr>
          <w:u w:val="single"/>
        </w:rPr>
        <w:t xml:space="preserve"> Reflection from Retained Earnings</w:t>
      </w:r>
      <w:r w:rsidRPr="006B44A4">
        <w:t>:</w:t>
      </w:r>
      <w:r>
        <w:t xml:space="preserve"> If trades get done at the quoted levels, the bank will consequently day 1 trading gains that ultimately hit retained earnings, and in turn, contribute to </w:t>
      </w:r>
      <m:oMath>
        <m:r>
          <w:rPr>
            <w:rFonts w:ascii="Cambria Math" w:hAnsi="Cambria Math"/>
          </w:rPr>
          <m:t>CET1</m:t>
        </m:r>
      </m:oMath>
      <w:r>
        <w:t>.</w:t>
      </w:r>
    </w:p>
    <w:p w:rsidR="006B44A4" w:rsidRDefault="006B44A4" w:rsidP="006B44A4">
      <w:pPr>
        <w:spacing w:after="200" w:line="360" w:lineRule="auto"/>
      </w:pPr>
    </w:p>
    <w:p w:rsidR="006B44A4" w:rsidRDefault="006B44A4" w:rsidP="006B44A4">
      <w:pPr>
        <w:spacing w:after="200" w:line="360" w:lineRule="auto"/>
      </w:pPr>
    </w:p>
    <w:p w:rsidR="006B44A4" w:rsidRPr="006B44A4" w:rsidRDefault="006B44A4" w:rsidP="006B44A4">
      <w:pPr>
        <w:spacing w:after="200" w:line="360" w:lineRule="auto"/>
        <w:rPr>
          <w:b/>
          <w:sz w:val="28"/>
        </w:rPr>
      </w:pPr>
      <w:r w:rsidRPr="006B44A4">
        <w:rPr>
          <w:b/>
          <w:sz w:val="28"/>
        </w:rPr>
        <w:t>The FBA/FCA Method</w:t>
      </w:r>
    </w:p>
    <w:p w:rsidR="006B44A4" w:rsidRDefault="006B44A4" w:rsidP="006B44A4">
      <w:pPr>
        <w:spacing w:after="200" w:line="360" w:lineRule="auto"/>
      </w:pPr>
    </w:p>
    <w:p w:rsidR="006B44A4" w:rsidRDefault="006B44A4" w:rsidP="006B44A4">
      <w:pPr>
        <w:pStyle w:val="ListParagraph"/>
        <w:numPr>
          <w:ilvl w:val="0"/>
          <w:numId w:val="212"/>
        </w:numPr>
        <w:spacing w:after="200" w:line="360" w:lineRule="auto"/>
      </w:pPr>
      <w:r w:rsidRPr="006B44A4">
        <w:rPr>
          <w:u w:val="single"/>
        </w:rPr>
        <w:t>Post Crisis Variation Margin Spike</w:t>
      </w:r>
      <w:r>
        <w:t>: In the aftermath of the financial crisis, funding costs for variation margin collateral that banks post on hedges against uncollateralized derivatives have escalated from tens to hundreds of basis points.</w:t>
      </w:r>
    </w:p>
    <w:p w:rsidR="006B44A4" w:rsidRDefault="006B44A4" w:rsidP="006B44A4">
      <w:pPr>
        <w:pStyle w:val="ListParagraph"/>
        <w:numPr>
          <w:ilvl w:val="0"/>
          <w:numId w:val="212"/>
        </w:numPr>
        <w:spacing w:after="200" w:line="360" w:lineRule="auto"/>
      </w:pPr>
      <w:r w:rsidRPr="006B44A4">
        <w:rPr>
          <w:u w:val="single"/>
        </w:rPr>
        <w:lastRenderedPageBreak/>
        <w:t xml:space="preserve">Motivation behind the </w:t>
      </w:r>
      <m:oMath>
        <m:r>
          <w:rPr>
            <w:rFonts w:ascii="Cambria Math" w:hAnsi="Cambria Math"/>
            <w:u w:val="single"/>
          </w:rPr>
          <m:t>FVA</m:t>
        </m:r>
      </m:oMath>
      <w:r w:rsidRPr="006B44A4">
        <w:rPr>
          <w:u w:val="single"/>
        </w:rPr>
        <w:t xml:space="preserve"> Metric</w:t>
      </w:r>
      <w:r>
        <w:t xml:space="preserve">: This has elevated collateral trading strategies to a role of prominence and has motivated banks to seek </w:t>
      </w:r>
      <w:r w:rsidR="003E76DE">
        <w:t xml:space="preserve">metrics to capture a </w:t>
      </w:r>
      <w:r w:rsidR="003E76DE">
        <w:rPr>
          <w:i/>
        </w:rPr>
        <w:t>Funding Value Adjustment</w:t>
      </w:r>
      <w:r w:rsidR="003E76DE">
        <w:t xml:space="preserve"> in addition to </w:t>
      </w:r>
      <m:oMath>
        <m:r>
          <w:rPr>
            <w:rFonts w:ascii="Cambria Math" w:hAnsi="Cambria Math"/>
          </w:rPr>
          <m:t>CVA</m:t>
        </m:r>
      </m:oMath>
      <w:r w:rsidR="003E76DE">
        <w:t xml:space="preserve"> and </w:t>
      </w:r>
      <m:oMath>
        <m:r>
          <w:rPr>
            <w:rFonts w:ascii="Cambria Math" w:hAnsi="Cambria Math"/>
          </w:rPr>
          <m:t>DVA</m:t>
        </m:r>
      </m:oMath>
      <w:r w:rsidR="003E76DE">
        <w:t>.</w:t>
      </w:r>
    </w:p>
    <w:p w:rsidR="007C7370" w:rsidRDefault="007C7370" w:rsidP="006B44A4">
      <w:pPr>
        <w:pStyle w:val="ListParagraph"/>
        <w:numPr>
          <w:ilvl w:val="0"/>
          <w:numId w:val="212"/>
        </w:numPr>
        <w:spacing w:after="200" w:line="360" w:lineRule="auto"/>
      </w:pPr>
      <w:r>
        <w:rPr>
          <w:u w:val="single"/>
        </w:rPr>
        <w:t>FCA/FBA Method Origin : Liquidity Gap</w:t>
      </w:r>
      <w:r w:rsidRPr="007C7370">
        <w:t>:</w:t>
      </w:r>
      <w:r>
        <w:t xml:space="preserve"> The commonly used FCA/FBA method of funding cost accounting can be presented in several different ways. One simple approach takes as its starting point that the bond cannot default, and in effect, that the funding spreads paid on collateral lending are due to friction and lack of liquidity.</w:t>
      </w:r>
    </w:p>
    <w:p w:rsidR="007C7370" w:rsidRDefault="007C7370" w:rsidP="006B44A4">
      <w:pPr>
        <w:pStyle w:val="ListParagraph"/>
        <w:numPr>
          <w:ilvl w:val="0"/>
          <w:numId w:val="212"/>
        </w:numPr>
        <w:spacing w:after="200" w:line="360" w:lineRule="auto"/>
      </w:pPr>
      <w:r>
        <w:rPr>
          <w:u w:val="single"/>
        </w:rPr>
        <w:t xml:space="preserve">Implication of the </w:t>
      </w:r>
      <w:r w:rsidRPr="007C7370">
        <w:rPr>
          <w:i/>
          <w:u w:val="single"/>
        </w:rPr>
        <w:t>Going Concern</w:t>
      </w:r>
      <w:r>
        <w:rPr>
          <w:u w:val="single"/>
        </w:rPr>
        <w:t xml:space="preserve"> Assumption</w:t>
      </w:r>
      <w:r w:rsidRPr="007C7370">
        <w:t>:</w:t>
      </w:r>
      <w:r>
        <w:t xml:space="preserve"> This assumption is undoubtedly a string one, as liquidity spreads are typically in the order of a handful of basis points, while bank funding spreads can run into hundreds of basis points. Nevertheless, if one accepts the premise, the derivatives can then be priced at the cost of their replication while ignoring that possibility of the bank default.</w:t>
      </w:r>
    </w:p>
    <w:p w:rsidR="00C70159" w:rsidRDefault="007C7370" w:rsidP="006B44A4">
      <w:pPr>
        <w:pStyle w:val="ListParagraph"/>
        <w:numPr>
          <w:ilvl w:val="0"/>
          <w:numId w:val="212"/>
        </w:numPr>
        <w:spacing w:after="200" w:line="360" w:lineRule="auto"/>
      </w:pPr>
      <w:r w:rsidRPr="007C7370">
        <w:rPr>
          <w:i/>
          <w:u w:val="single"/>
        </w:rPr>
        <w:t>Symmetric Funding Value Adjustment</w:t>
      </w:r>
      <w:r>
        <w:rPr>
          <w:u w:val="single"/>
        </w:rPr>
        <w:t xml:space="preserve"> Metric</w:t>
      </w:r>
      <w:r w:rsidRPr="007C7370">
        <w:t>:</w:t>
      </w:r>
      <w:r>
        <w:t xml:space="preserve"> Details can be found in Albanese and Andersen (2014), but ultimately the relevant funding metric for a fully uncollateralized trading involves evaluating a </w:t>
      </w:r>
      <w:r>
        <w:rPr>
          <w:i/>
        </w:rPr>
        <w:t>symmetric funding adjustment</w:t>
      </w:r>
      <w:r>
        <w:t xml:space="preserve"> metric </w:t>
      </w:r>
      <m:oMath>
        <m:r>
          <w:rPr>
            <w:rFonts w:ascii="Cambria Math" w:hAnsi="Cambria Math"/>
          </w:rPr>
          <m:t>SFVA</m:t>
        </m:r>
      </m:oMath>
      <w:r>
        <w:t xml:space="preserve"> given by</w:t>
      </w:r>
    </w:p>
    <w:p w:rsidR="00C70159" w:rsidRDefault="00C70159" w:rsidP="00C70159">
      <w:pPr>
        <w:pStyle w:val="ListParagraph"/>
        <w:spacing w:after="200" w:line="360" w:lineRule="auto"/>
        <w:ind w:left="360"/>
      </w:pPr>
    </w:p>
    <w:p w:rsidR="00C70159" w:rsidRDefault="007C7370" w:rsidP="00C70159">
      <w:pPr>
        <w:pStyle w:val="ListParagraph"/>
        <w:spacing w:after="200" w:line="360" w:lineRule="auto"/>
        <w:ind w:left="360"/>
      </w:pPr>
      <m:oMathPara>
        <m:oMath>
          <m:r>
            <w:rPr>
              <w:rFonts w:ascii="Cambria Math" w:hAnsi="Cambria Math"/>
            </w:rPr>
            <m:t>SFVA=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C70159" w:rsidRDefault="00C70159" w:rsidP="00C70159">
      <w:pPr>
        <w:pStyle w:val="ListParagraph"/>
        <w:spacing w:after="200" w:line="360" w:lineRule="auto"/>
        <w:ind w:left="360"/>
      </w:pPr>
    </w:p>
    <w:p w:rsidR="00C70159" w:rsidRDefault="007C7370" w:rsidP="00C70159">
      <w:pPr>
        <w:pStyle w:val="ListParagraph"/>
        <w:spacing w:after="200" w:line="360" w:lineRule="auto"/>
        <w:ind w:left="360"/>
      </w:pPr>
      <w:r>
        <w:t xml:space="preserve">where </w:t>
      </w:r>
      <m:oMath>
        <m:r>
          <m:rPr>
            <m:scr m:val="double-struck"/>
          </m:rPr>
          <w:rPr>
            <w:rFonts w:ascii="Cambria Math" w:hAnsi="Cambria Math"/>
          </w:rPr>
          <m:t>E</m:t>
        </m:r>
      </m:oMath>
      <w:r w:rsidR="008801C1">
        <w:t xml:space="preserve"> denotes the risk neutral expectation;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rsidR="008801C1">
        <w:t xml:space="preserve"> is the default-free value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8801C1">
        <w:t xml:space="preserve"> unsecured netting set;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rsidR="008801C1">
        <w:t xml:space="preserve"> is the bank’s funding rate; and</w:t>
      </w:r>
    </w:p>
    <w:p w:rsidR="00C70159" w:rsidRDefault="00C70159" w:rsidP="00C70159">
      <w:pPr>
        <w:pStyle w:val="ListParagraph"/>
        <w:spacing w:after="200" w:line="360" w:lineRule="auto"/>
        <w:ind w:left="360"/>
      </w:pPr>
    </w:p>
    <w:p w:rsidR="00C70159" w:rsidRDefault="005D6A21" w:rsidP="00C70159">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C70159" w:rsidRDefault="00C70159" w:rsidP="00C70159">
      <w:pPr>
        <w:pStyle w:val="ListParagraph"/>
        <w:spacing w:after="200" w:line="360" w:lineRule="auto"/>
        <w:ind w:left="360"/>
      </w:pPr>
    </w:p>
    <w:p w:rsidR="007C7370" w:rsidRDefault="008801C1" w:rsidP="00C70159">
      <w:pPr>
        <w:pStyle w:val="ListParagraph"/>
        <w:spacing w:after="200" w:line="360" w:lineRule="auto"/>
        <w:ind w:left="360"/>
      </w:pPr>
      <w:r>
        <w:t>is the bank’s spread over the OIS rate.</w:t>
      </w:r>
    </w:p>
    <w:p w:rsidR="00736B33" w:rsidRDefault="00736B33" w:rsidP="006B44A4">
      <w:pPr>
        <w:pStyle w:val="ListParagraph"/>
        <w:numPr>
          <w:ilvl w:val="0"/>
          <w:numId w:val="212"/>
        </w:numPr>
        <w:spacing w:after="200" w:line="360" w:lineRule="auto"/>
      </w:pPr>
      <w:r w:rsidRPr="00736B33">
        <w:rPr>
          <w:u w:val="single"/>
        </w:rPr>
        <w:t>Incorporation of Default Unwind Times</w:t>
      </w:r>
      <w:r w:rsidRPr="00736B33">
        <w:t>:</w:t>
      </w:r>
      <w:r>
        <w:t xml:space="preserve"> It should be noted that there have been considerable debate and disagreement about whether default events or expected unwind times should be merged into the </w:t>
      </w:r>
      <m:oMath>
        <m:r>
          <w:rPr>
            <w:rFonts w:ascii="Cambria Math" w:hAnsi="Cambria Math"/>
          </w:rPr>
          <m:t>SFVA</m:t>
        </m:r>
      </m:oMath>
      <w:r>
        <w:t xml:space="preserve"> above.</w:t>
      </w:r>
    </w:p>
    <w:p w:rsidR="00736B33" w:rsidRDefault="00736B33" w:rsidP="00E438B0">
      <w:pPr>
        <w:pStyle w:val="ListParagraph"/>
        <w:numPr>
          <w:ilvl w:val="0"/>
          <w:numId w:val="212"/>
        </w:numPr>
        <w:spacing w:before="240" w:after="200" w:line="360" w:lineRule="auto"/>
      </w:pPr>
      <w:r>
        <w:rPr>
          <w:u w:val="single"/>
        </w:rPr>
        <w:t>Appropriate Proxies for Funding Spreads</w:t>
      </w:r>
      <w:r w:rsidRPr="00736B33">
        <w:t>:</w:t>
      </w:r>
      <w:r>
        <w:t xml:space="preserve"> It has also been advocated that the funding spread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should be replaced with an industry average spread or with the most favorable spread of </w:t>
      </w:r>
      <w:r>
        <w:lastRenderedPageBreak/>
        <w:t>any bank on the market (</w:t>
      </w:r>
      <w:r>
        <w:rPr>
          <w:i/>
        </w:rPr>
        <w:t>best funder</w:t>
      </w:r>
      <w:r>
        <w:t xml:space="preserve">); the latter is </w:t>
      </w:r>
      <w:r w:rsidR="00E438B0">
        <w:t xml:space="preserve">presumably meant to be consistent with the auction-style </w:t>
      </w:r>
      <w:r w:rsidR="00E438B0">
        <w:rPr>
          <w:i/>
        </w:rPr>
        <w:t>exit-price</w:t>
      </w:r>
      <w:r w:rsidR="00E438B0">
        <w:t xml:space="preserve"> principles favored in accounting definitions of fair value.</w:t>
      </w:r>
    </w:p>
    <w:p w:rsidR="00E438B0" w:rsidRDefault="00E438B0" w:rsidP="00E438B0">
      <w:pPr>
        <w:pStyle w:val="ListParagraph"/>
        <w:numPr>
          <w:ilvl w:val="0"/>
          <w:numId w:val="212"/>
        </w:numPr>
        <w:spacing w:before="240" w:after="200" w:line="360" w:lineRule="auto"/>
      </w:pPr>
      <w:r>
        <w:rPr>
          <w:u w:val="single"/>
        </w:rPr>
        <w:t>Proprietary Composite Blended Spreads</w:t>
      </w:r>
      <w:r w:rsidRPr="00E438B0">
        <w:t>:</w:t>
      </w:r>
      <w:r>
        <w:t xml:space="preserve"> Some banks appear to be using proprietary blends of their own spreads and spreads observed for other banks.</w:t>
      </w:r>
    </w:p>
    <w:p w:rsidR="00C70159" w:rsidRDefault="00E438B0" w:rsidP="00E438B0">
      <w:pPr>
        <w:pStyle w:val="ListParagraph"/>
        <w:numPr>
          <w:ilvl w:val="0"/>
          <w:numId w:val="212"/>
        </w:numPr>
        <w:spacing w:before="240" w:after="200" w:line="360" w:lineRule="auto"/>
      </w:pPr>
      <w:r>
        <w:rPr>
          <w:u w:val="single"/>
        </w:rPr>
        <w:t xml:space="preserve">The </w:t>
      </w:r>
      <w:r w:rsidRPr="00E438B0">
        <w:rPr>
          <w:i/>
          <w:u w:val="single"/>
        </w:rPr>
        <w:t>Funding Benefit Adjustment</w:t>
      </w:r>
      <w:r>
        <w:rPr>
          <w:u w:val="single"/>
        </w:rPr>
        <w:t xml:space="preserve"> (</w:t>
      </w:r>
      <w:r w:rsidRPr="00E438B0">
        <w:rPr>
          <w:i/>
          <w:u w:val="single"/>
        </w:rPr>
        <w:t>FBA</w:t>
      </w:r>
      <w:r>
        <w:rPr>
          <w:u w:val="single"/>
        </w:rPr>
        <w:t>) Metric</w:t>
      </w:r>
      <w:r w:rsidRPr="00E438B0">
        <w:t>:</w:t>
      </w:r>
      <w:r>
        <w:t xml:space="preserve"> </w:t>
      </w:r>
      <w:r w:rsidR="00092C97">
        <w:t xml:space="preserve">The expression for </w:t>
      </w:r>
      <m:oMath>
        <m:r>
          <w:rPr>
            <w:rFonts w:ascii="Cambria Math" w:hAnsi="Cambria Math"/>
          </w:rPr>
          <m:t>SFVA</m:t>
        </m:r>
      </m:oMath>
      <w:r w:rsidR="00092C97">
        <w:t xml:space="preserve"> above may be split into contributions from assets and liabilities. Starting with the latter, one defines the </w:t>
      </w:r>
      <w:r w:rsidR="00092C97">
        <w:rPr>
          <w:i/>
        </w:rPr>
        <w:t>Funding Benefit Adjustment</w:t>
      </w:r>
      <w:r w:rsidR="00092C97">
        <w:t xml:space="preserve"> (</w:t>
      </w:r>
      <m:oMath>
        <m:r>
          <w:rPr>
            <w:rFonts w:ascii="Cambria Math" w:hAnsi="Cambria Math"/>
          </w:rPr>
          <m:t>FBA)</m:t>
        </m:r>
      </m:oMath>
      <w:r w:rsidR="00092C97">
        <w:t xml:space="preserve"> as follows:</w:t>
      </w:r>
    </w:p>
    <w:p w:rsidR="00C70159" w:rsidRDefault="00C70159" w:rsidP="00C70159">
      <w:pPr>
        <w:pStyle w:val="ListParagraph"/>
        <w:spacing w:before="240" w:after="200" w:line="360" w:lineRule="auto"/>
        <w:ind w:left="360"/>
        <w:rPr>
          <w:u w:val="single"/>
        </w:rPr>
      </w:pPr>
    </w:p>
    <w:p w:rsidR="00C70159" w:rsidRDefault="00092C97" w:rsidP="00C70159">
      <w:pPr>
        <w:pStyle w:val="ListParagraph"/>
        <w:spacing w:before="240" w:after="200" w:line="360" w:lineRule="auto"/>
        <w:ind w:left="360"/>
      </w:pPr>
      <m:oMathPara>
        <m:oMath>
          <m:r>
            <w:rPr>
              <w:rFonts w:ascii="Cambria Math" w:hAnsi="Cambria Math"/>
            </w:rPr>
            <m:t>FBA=-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C70159" w:rsidRDefault="00C70159" w:rsidP="00C70159">
      <w:pPr>
        <w:pStyle w:val="ListParagraph"/>
        <w:spacing w:before="240" w:after="200" w:line="360" w:lineRule="auto"/>
        <w:ind w:left="360"/>
      </w:pPr>
    </w:p>
    <w:p w:rsidR="00C70159" w:rsidRDefault="00092C97" w:rsidP="00C70159">
      <w:pPr>
        <w:pStyle w:val="ListParagraph"/>
        <w:spacing w:before="240" w:after="200" w:line="360" w:lineRule="auto"/>
        <w:ind w:left="360"/>
      </w:pPr>
      <w:r>
        <w:t>where the negative superscript is defined as</w:t>
      </w:r>
    </w:p>
    <w:p w:rsidR="00C70159" w:rsidRDefault="00C70159" w:rsidP="00C70159">
      <w:pPr>
        <w:pStyle w:val="ListParagraph"/>
        <w:spacing w:before="240" w:after="200" w:line="360" w:lineRule="auto"/>
        <w:ind w:left="360"/>
      </w:pPr>
    </w:p>
    <w:p w:rsidR="00E438B0" w:rsidRPr="00C70159" w:rsidRDefault="005D6A21" w:rsidP="00C70159">
      <w:pPr>
        <w:pStyle w:val="ListParagraph"/>
        <w:spacing w:before="240" w:after="200"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x, 0</m:t>
                  </m:r>
                </m:e>
              </m:d>
            </m:e>
          </m:func>
        </m:oMath>
      </m:oMathPara>
    </w:p>
    <w:p w:rsidR="00C70159" w:rsidRDefault="00C70159" w:rsidP="00C70159">
      <w:pPr>
        <w:pStyle w:val="ListParagraph"/>
        <w:spacing w:before="240" w:after="200" w:line="360" w:lineRule="auto"/>
        <w:ind w:left="360"/>
      </w:pPr>
    </w:p>
    <w:p w:rsidR="00092C97" w:rsidRDefault="00092C97" w:rsidP="00E438B0">
      <w:pPr>
        <w:pStyle w:val="ListParagraph"/>
        <w:numPr>
          <w:ilvl w:val="0"/>
          <w:numId w:val="212"/>
        </w:numPr>
        <w:spacing w:before="240" w:after="200" w:line="360" w:lineRule="auto"/>
      </w:pPr>
      <w:r w:rsidRPr="00092C97">
        <w:rPr>
          <w:u w:val="single"/>
        </w:rPr>
        <w:t xml:space="preserve">Elimination of </w:t>
      </w:r>
      <m:oMath>
        <m:r>
          <w:rPr>
            <w:rFonts w:ascii="Cambria Math" w:hAnsi="Cambria Math"/>
            <w:u w:val="single"/>
          </w:rPr>
          <m:t>DVA</m:t>
        </m:r>
      </m:oMath>
      <w:r w:rsidRPr="00092C97">
        <w:rPr>
          <w:u w:val="single"/>
        </w:rPr>
        <w:t xml:space="preserve"> from </w:t>
      </w:r>
      <m:oMath>
        <m:r>
          <w:rPr>
            <w:rFonts w:ascii="Cambria Math" w:hAnsi="Cambria Math"/>
            <w:u w:val="single"/>
          </w:rPr>
          <m:t>PFV</m:t>
        </m:r>
      </m:oMath>
      <w:r>
        <w:t xml:space="preserve">: The </w:t>
      </w:r>
      <m:oMath>
        <m:r>
          <w:rPr>
            <w:rFonts w:ascii="Cambria Math" w:hAnsi="Cambria Math"/>
          </w:rPr>
          <m:t>FBA</m:t>
        </m:r>
      </m:oMath>
      <w:r>
        <w:t xml:space="preserve"> is closely related to the unilateral </w:t>
      </w:r>
      <m:oMath>
        <m:r>
          <w:rPr>
            <w:rFonts w:ascii="Cambria Math" w:hAnsi="Cambria Math"/>
          </w:rPr>
          <m:t>DVA</m:t>
        </m:r>
      </m:oMath>
      <w:r>
        <w:t xml:space="preserve"> and gives rise to a double counting paradox that the FCA/FBA method elects to resolve by </w:t>
      </w:r>
      <w:r>
        <w:rPr>
          <w:i/>
        </w:rPr>
        <w:t>removing</w:t>
      </w:r>
      <w:r>
        <w:t xml:space="preserve"> </w:t>
      </w:r>
      <m:oMath>
        <m:r>
          <w:rPr>
            <w:rFonts w:ascii="Cambria Math" w:hAnsi="Cambria Math"/>
          </w:rPr>
          <m:t>DVA</m:t>
        </m:r>
      </m:oMath>
      <w:r>
        <w:t xml:space="preserve"> from </w:t>
      </w:r>
      <m:oMath>
        <m:r>
          <w:rPr>
            <w:rFonts w:ascii="Cambria Math" w:hAnsi="Cambria Math"/>
          </w:rPr>
          <m:t>PFV</m:t>
        </m:r>
      </m:oMath>
      <w:r>
        <w:t xml:space="preserve"> altogether.</w:t>
      </w:r>
    </w:p>
    <w:p w:rsidR="00092C97" w:rsidRDefault="00092C97" w:rsidP="00E438B0">
      <w:pPr>
        <w:pStyle w:val="ListParagraph"/>
        <w:numPr>
          <w:ilvl w:val="0"/>
          <w:numId w:val="212"/>
        </w:numPr>
        <w:spacing w:before="240" w:after="200" w:line="360" w:lineRule="auto"/>
      </w:pPr>
      <m:oMath>
        <m:r>
          <w:rPr>
            <w:rFonts w:ascii="Cambria Math" w:hAnsi="Cambria Math"/>
            <w:u w:val="single"/>
          </w:rPr>
          <m:t>DVA</m:t>
        </m:r>
      </m:oMath>
      <w:r w:rsidRPr="00092C97">
        <w:rPr>
          <w:u w:val="single"/>
        </w:rPr>
        <w:t xml:space="preserve"> in CA/CL Accounts</w:t>
      </w:r>
      <w:r>
        <w:t xml:space="preserve">: However, as </w:t>
      </w:r>
      <m:oMath>
        <m:r>
          <w:rPr>
            <w:rFonts w:ascii="Cambria Math" w:hAnsi="Cambria Math"/>
          </w:rPr>
          <m:t>DVA</m:t>
        </m:r>
      </m:oMath>
      <w:r>
        <w:t xml:space="preserve"> is required by the current accounting rules (e.g., IFRS13), </w:t>
      </w:r>
      <w:r w:rsidR="00DA5175">
        <w:t xml:space="preserve">FCA/FBA will normally institute this by, say, leaving the </w:t>
      </w:r>
      <m:oMath>
        <m:r>
          <w:rPr>
            <w:rFonts w:ascii="Cambria Math" w:hAnsi="Cambria Math"/>
          </w:rPr>
          <m:t>DVA</m:t>
        </m:r>
      </m:oMath>
      <w:r w:rsidR="00DA5175">
        <w:t xml:space="preserve"> in the </w:t>
      </w:r>
      <m:oMath>
        <m:r>
          <w:rPr>
            <w:rFonts w:ascii="Cambria Math" w:hAnsi="Cambria Math"/>
          </w:rPr>
          <m:t>CL</m:t>
        </m:r>
      </m:oMath>
      <w:r w:rsidR="00DA5175">
        <w:t xml:space="preserve"> account, and then adding the </w:t>
      </w:r>
      <m:oMath>
        <m:r>
          <w:rPr>
            <w:rFonts w:ascii="Cambria Math" w:hAnsi="Cambria Math"/>
          </w:rPr>
          <m:t>DVA</m:t>
        </m:r>
      </m:oMath>
      <w:r w:rsidR="00DA5175">
        <w:t xml:space="preserve"> to the </w:t>
      </w:r>
      <m:oMath>
        <m:r>
          <w:rPr>
            <w:rFonts w:ascii="Cambria Math" w:hAnsi="Cambria Math"/>
          </w:rPr>
          <m:t>CA</m:t>
        </m:r>
      </m:oMath>
      <w:r w:rsidR="00DA5175">
        <w:t xml:space="preserve"> account. Note that for </w:t>
      </w:r>
      <m:oMath>
        <m:r>
          <w:rPr>
            <w:rFonts w:ascii="Cambria Math" w:hAnsi="Cambria Math"/>
          </w:rPr>
          <m:t>PFV</m:t>
        </m:r>
      </m:oMath>
      <w:r w:rsidR="00DA5175">
        <w:t xml:space="preserve"> the </w:t>
      </w:r>
      <m:oMath>
        <m:r>
          <w:rPr>
            <w:rFonts w:ascii="Cambria Math" w:hAnsi="Cambria Math"/>
          </w:rPr>
          <m:t>DVA</m:t>
        </m:r>
      </m:oMath>
      <w:r w:rsidR="00DA5175">
        <w:t xml:space="preserve"> entries then cancel.</w:t>
      </w:r>
    </w:p>
    <w:p w:rsidR="00C70159" w:rsidRPr="00C70159" w:rsidRDefault="00C70159" w:rsidP="00E438B0">
      <w:pPr>
        <w:pStyle w:val="ListParagraph"/>
        <w:numPr>
          <w:ilvl w:val="0"/>
          <w:numId w:val="212"/>
        </w:numPr>
        <w:spacing w:before="240" w:after="200" w:line="360" w:lineRule="auto"/>
      </w:pPr>
      <w:r w:rsidRPr="00C70159">
        <w:rPr>
          <w:i/>
          <w:u w:val="single"/>
        </w:rPr>
        <w:t>Funding Cost Adjustment</w:t>
      </w:r>
      <w:r w:rsidRPr="00C70159">
        <w:rPr>
          <w:u w:val="single"/>
        </w:rPr>
        <w:t xml:space="preserve"> (</w:t>
      </w:r>
      <w:r w:rsidRPr="00C70159">
        <w:rPr>
          <w:i/>
          <w:u w:val="single"/>
        </w:rPr>
        <w:t>FCA</w:t>
      </w:r>
      <w:r w:rsidRPr="00C70159">
        <w:rPr>
          <w:u w:val="single"/>
        </w:rPr>
        <w:t>) Metric</w:t>
      </w:r>
      <w:r>
        <w:t xml:space="preserve">: The asset component of </w:t>
      </w:r>
      <w:r>
        <w:rPr>
          <w:i/>
        </w:rPr>
        <w:t>SFV</w:t>
      </w:r>
      <w:r w:rsidRPr="00C70159">
        <w:rPr>
          <w:i/>
        </w:rPr>
        <w:t>A</w:t>
      </w:r>
    </w:p>
    <w:p w:rsidR="00C70159" w:rsidRDefault="00C70159" w:rsidP="00C70159">
      <w:pPr>
        <w:pStyle w:val="ListParagraph"/>
        <w:spacing w:before="240" w:after="200" w:line="360" w:lineRule="auto"/>
        <w:ind w:left="360"/>
        <w:rPr>
          <w:i/>
          <w:u w:val="single"/>
        </w:rPr>
      </w:pPr>
    </w:p>
    <w:p w:rsidR="00C70159" w:rsidRDefault="00C70159" w:rsidP="00C70159">
      <w:pPr>
        <w:pStyle w:val="ListParagraph"/>
        <w:spacing w:before="240" w:after="200" w:line="360" w:lineRule="auto"/>
        <w:ind w:left="360"/>
      </w:pPr>
      <m:oMathPara>
        <m:oMath>
          <m:r>
            <w:rPr>
              <w:rFonts w:ascii="Cambria Math" w:hAnsi="Cambria Math"/>
            </w:rPr>
            <m:t>FCA=SFVA+FBA=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C70159" w:rsidRDefault="00C70159" w:rsidP="00C70159">
      <w:pPr>
        <w:pStyle w:val="ListParagraph"/>
        <w:spacing w:before="240" w:after="200" w:line="360" w:lineRule="auto"/>
        <w:ind w:left="360"/>
      </w:pPr>
    </w:p>
    <w:p w:rsidR="00C70159" w:rsidRDefault="00C70159" w:rsidP="00C70159">
      <w:pPr>
        <w:pStyle w:val="ListParagraph"/>
        <w:spacing w:before="240" w:after="200" w:line="360" w:lineRule="auto"/>
        <w:ind w:left="360"/>
      </w:pPr>
      <w:r>
        <w:t xml:space="preserve">is known as the </w:t>
      </w:r>
      <w:r>
        <w:rPr>
          <w:i/>
        </w:rPr>
        <w:t>Funding Cost Adjustment</w:t>
      </w:r>
      <w:r>
        <w:t xml:space="preserve"> and is kept as a metric for funding costs. The </w:t>
      </w:r>
      <m:oMath>
        <m:r>
          <w:rPr>
            <w:rFonts w:ascii="Cambria Math" w:hAnsi="Cambria Math"/>
          </w:rPr>
          <m:t>FCA</m:t>
        </m:r>
      </m:oMath>
      <w:r>
        <w:t xml:space="preserve"> adds to the contra-asset account and is therefore subtracted from </w:t>
      </w:r>
      <m:oMath>
        <m:r>
          <w:rPr>
            <w:rFonts w:ascii="Cambria Math" w:hAnsi="Cambria Math"/>
          </w:rPr>
          <m:t>CET1</m:t>
        </m:r>
      </m:oMath>
      <w:r>
        <w:t>.</w:t>
      </w:r>
    </w:p>
    <w:p w:rsidR="00C70159" w:rsidRDefault="00C70159" w:rsidP="00C70159">
      <w:pPr>
        <w:spacing w:before="240" w:after="200" w:line="360" w:lineRule="auto"/>
      </w:pPr>
    </w:p>
    <w:p w:rsidR="00C70159" w:rsidRDefault="00C70159" w:rsidP="00C70159">
      <w:pPr>
        <w:spacing w:before="240" w:after="200" w:line="360" w:lineRule="auto"/>
      </w:pPr>
    </w:p>
    <w:p w:rsidR="00C70159" w:rsidRPr="00C70159" w:rsidRDefault="00C70159" w:rsidP="00C70159">
      <w:pPr>
        <w:spacing w:before="240" w:after="200" w:line="360" w:lineRule="auto"/>
        <w:rPr>
          <w:b/>
          <w:sz w:val="28"/>
          <w:szCs w:val="28"/>
        </w:rPr>
      </w:pPr>
      <w:r w:rsidRPr="00C70159">
        <w:rPr>
          <w:b/>
          <w:sz w:val="28"/>
          <w:szCs w:val="28"/>
        </w:rPr>
        <w:t>FVA/FDA Accounting</w:t>
      </w:r>
    </w:p>
    <w:p w:rsidR="00C70159" w:rsidRDefault="00C70159" w:rsidP="00C70159">
      <w:pPr>
        <w:spacing w:before="240" w:after="200" w:line="360" w:lineRule="auto"/>
      </w:pPr>
    </w:p>
    <w:p w:rsidR="00C70159" w:rsidRDefault="00C70159" w:rsidP="00C70159">
      <w:pPr>
        <w:pStyle w:val="ListParagraph"/>
        <w:numPr>
          <w:ilvl w:val="0"/>
          <w:numId w:val="213"/>
        </w:numPr>
        <w:spacing w:before="240" w:after="200" w:line="360" w:lineRule="auto"/>
      </w:pPr>
      <w:r w:rsidRPr="00C70159">
        <w:rPr>
          <w:u w:val="single"/>
        </w:rPr>
        <w:t>Notion of a Funding Set</w:t>
      </w:r>
      <w:r>
        <w:t xml:space="preserve">: In FVA/FDA accounting, the unit of accounting for funding cost metrics is expanded from the netting sets in the CVA/DVA accounting according to the larger notion of a </w:t>
      </w:r>
      <w:r w:rsidRPr="00C70159">
        <w:rPr>
          <w:i/>
        </w:rPr>
        <w:t>funding set</w:t>
      </w:r>
      <w:r>
        <w:t>, a collection of unsecured trades across which cash received for derivatives funding can be re-hypothecated.</w:t>
      </w:r>
    </w:p>
    <w:p w:rsidR="00C70159" w:rsidRDefault="00C70159" w:rsidP="00C70159">
      <w:pPr>
        <w:pStyle w:val="ListParagraph"/>
        <w:numPr>
          <w:ilvl w:val="0"/>
          <w:numId w:val="213"/>
        </w:numPr>
        <w:spacing w:before="240" w:after="200" w:line="360" w:lineRule="auto"/>
      </w:pPr>
      <w:r>
        <w:rPr>
          <w:u w:val="single"/>
        </w:rPr>
        <w:t>Definition of the Funding Set</w:t>
      </w:r>
      <w:r w:rsidRPr="00C70159">
        <w:t>:</w:t>
      </w:r>
      <w:r>
        <w:t xml:space="preserve"> </w:t>
      </w:r>
      <w:r w:rsidR="003B0272">
        <w:t>Equivalently the funding set is a collection of trades for which the variation margin posted on uncollateralized hedges with dealers may be re-hypothecated. For a large bank, funding sets could, say, be defined at the legal entity level and may contain hundreds or even thousands of counterparties and netting sets.</w:t>
      </w:r>
    </w:p>
    <w:p w:rsidR="00350904" w:rsidRDefault="008835EB" w:rsidP="00350904">
      <w:pPr>
        <w:pStyle w:val="ListParagraph"/>
        <w:numPr>
          <w:ilvl w:val="0"/>
          <w:numId w:val="213"/>
        </w:numPr>
        <w:spacing w:before="240" w:after="200" w:line="360" w:lineRule="auto"/>
      </w:pPr>
      <w:r>
        <w:rPr>
          <w:u w:val="single"/>
        </w:rPr>
        <w:t>The Funding Value Adjustment Metric</w:t>
      </w:r>
      <w:r>
        <w:t xml:space="preserve">: Assuming for simplicity all unsecured trades in the derivatives portfolio of a bank constitute one single funding set, the present value of the funding costs is now given by the following </w:t>
      </w:r>
      <w:r>
        <w:rPr>
          <w:i/>
        </w:rPr>
        <w:t>FVA</w:t>
      </w:r>
      <w:r>
        <w:t xml:space="preserve"> (</w:t>
      </w:r>
      <w:r>
        <w:rPr>
          <w:i/>
        </w:rPr>
        <w:t>Funding Value Adjustment</w:t>
      </w:r>
      <w:r>
        <w:t>) metric for uncollateralized trading:</w:t>
      </w:r>
    </w:p>
    <w:p w:rsidR="00350904" w:rsidRDefault="00350904" w:rsidP="00350904">
      <w:pPr>
        <w:pStyle w:val="ListParagraph"/>
        <w:spacing w:before="240" w:after="200" w:line="360" w:lineRule="auto"/>
        <w:ind w:left="360"/>
      </w:pPr>
    </w:p>
    <w:p w:rsidR="00C91088" w:rsidRPr="00350904" w:rsidRDefault="008835EB" w:rsidP="00350904">
      <w:pPr>
        <w:pStyle w:val="ListParagraph"/>
        <w:spacing w:before="240" w:after="200" w:line="360" w:lineRule="auto"/>
        <w:ind w:left="360"/>
      </w:pPr>
      <m:oMathPara>
        <m:oMath>
          <m:r>
            <w:rPr>
              <w:rFonts w:ascii="Cambria Math" w:hAnsi="Cambria Math"/>
            </w:rPr>
            <m:t>FCA=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50904" w:rsidRDefault="00350904" w:rsidP="00350904">
      <w:pPr>
        <w:pStyle w:val="ListParagraph"/>
        <w:spacing w:before="240" w:after="200" w:line="360" w:lineRule="auto"/>
        <w:ind w:left="360"/>
      </w:pPr>
    </w:p>
    <w:p w:rsidR="008835EB" w:rsidRDefault="008835EB" w:rsidP="008835EB">
      <w:pPr>
        <w:pStyle w:val="ListParagraph"/>
        <w:numPr>
          <w:ilvl w:val="0"/>
          <w:numId w:val="213"/>
        </w:numPr>
        <w:spacing w:before="240" w:after="200" w:line="360" w:lineRule="auto"/>
      </w:pPr>
      <w:r>
        <w:rPr>
          <w:u w:val="single"/>
        </w:rPr>
        <w:t>Explicit Bank</w:t>
      </w:r>
      <w:r w:rsidRPr="008835EB">
        <w:rPr>
          <w:u w:val="single"/>
        </w:rPr>
        <w:t>/Counter Party Defaults</w:t>
      </w:r>
      <w:r>
        <w:t xml:space="preserve">: Here the positive superscript denotes the positive part, and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are the default times of the default times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and the bank, respectively.</w:t>
      </w:r>
    </w:p>
    <w:p w:rsidR="008835EB" w:rsidRDefault="008835EB" w:rsidP="00350904">
      <w:pPr>
        <w:pStyle w:val="ListParagraph"/>
        <w:numPr>
          <w:ilvl w:val="0"/>
          <w:numId w:val="213"/>
        </w:numPr>
        <w:spacing w:before="240" w:after="200" w:line="360" w:lineRule="auto"/>
      </w:pPr>
      <w:r>
        <w:rPr>
          <w:u w:val="single"/>
        </w:rPr>
        <w:t>Situation resulting in Funding Costs</w:t>
      </w:r>
      <w:r w:rsidRPr="008835EB">
        <w:t>:</w:t>
      </w:r>
      <w:r>
        <w:t xml:space="preserve"> </w:t>
      </w:r>
      <w:r w:rsidR="00882411">
        <w:t xml:space="preserve">In the FBA expression above, the funding costs arise only when the portfolio valuation </w:t>
      </w:r>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oMath>
      <w:r w:rsidR="00882411">
        <w:t xml:space="preserve"> is positive and the bank is therefore a net poster of the variation margin in its hedges over the funding set. States of the world where the bank is a net receiver of variation margin are assigned zero benefit, as would be the case if the excess collateral were invested over the short-term at the risk-free rate.</w:t>
      </w:r>
    </w:p>
    <w:p w:rsidR="00BE6C02" w:rsidRDefault="00BE6C02" w:rsidP="008835EB">
      <w:pPr>
        <w:pStyle w:val="ListParagraph"/>
        <w:numPr>
          <w:ilvl w:val="0"/>
          <w:numId w:val="213"/>
        </w:numPr>
        <w:spacing w:before="240" w:after="200" w:line="360" w:lineRule="auto"/>
      </w:pPr>
      <w:r>
        <w:rPr>
          <w:u w:val="single"/>
        </w:rPr>
        <w:lastRenderedPageBreak/>
        <w:t>Rationale behind the Re-investment Assumption</w:t>
      </w:r>
      <w:r w:rsidRPr="00BE6C02">
        <w:t>:</w:t>
      </w:r>
      <w:r>
        <w:t xml:space="preserve"> This investment assumption is prudent, and many investment strategies conjectured in the literature, such as retirement of long-term debt, are often not practical due to the volatility and the short-term nature of any excess funds</w:t>
      </w:r>
      <w:r w:rsidR="00694662">
        <w:t xml:space="preserve"> generated by derivatives trading.</w:t>
      </w:r>
    </w:p>
    <w:p w:rsidR="00694662" w:rsidRDefault="00694662" w:rsidP="008835EB">
      <w:pPr>
        <w:pStyle w:val="ListParagraph"/>
        <w:numPr>
          <w:ilvl w:val="0"/>
          <w:numId w:val="213"/>
        </w:numPr>
        <w:spacing w:before="240" w:after="200" w:line="360" w:lineRule="auto"/>
      </w:pPr>
      <w:r>
        <w:rPr>
          <w:u w:val="single"/>
        </w:rPr>
        <w:t>Alternate Re-investment/Cash Assumption/Strategies</w:t>
      </w:r>
      <w:r w:rsidRPr="00694662">
        <w:t>:</w:t>
      </w:r>
      <w:r>
        <w:t xml:space="preserve"> Albanese and Andersen (2014) detail the extensions and a fuller discussion on the possible benefits of cash positions.</w:t>
      </w:r>
    </w:p>
    <w:p w:rsidR="00350904" w:rsidRDefault="00694662" w:rsidP="008835EB">
      <w:pPr>
        <w:pStyle w:val="ListParagraph"/>
        <w:numPr>
          <w:ilvl w:val="0"/>
          <w:numId w:val="213"/>
        </w:numPr>
        <w:spacing w:before="240" w:after="200" w:line="360" w:lineRule="auto"/>
      </w:pPr>
      <w:r>
        <w:rPr>
          <w:u w:val="single"/>
        </w:rPr>
        <w:t>The Funding Debt Adjustment Metric</w:t>
      </w:r>
      <w:r w:rsidRPr="00694662">
        <w:t>:</w:t>
      </w:r>
      <w:r>
        <w:t xml:space="preserve"> From an accounting standpoint the </w:t>
      </w:r>
      <w:r>
        <w:rPr>
          <w:i/>
        </w:rPr>
        <w:t>FVA</w:t>
      </w:r>
      <w:r>
        <w:t xml:space="preserve"> computed in</w:t>
      </w:r>
    </w:p>
    <w:p w:rsidR="00350904" w:rsidRDefault="00350904" w:rsidP="00350904">
      <w:pPr>
        <w:pStyle w:val="ListParagraph"/>
        <w:spacing w:before="240" w:after="200" w:line="360" w:lineRule="auto"/>
        <w:ind w:left="360"/>
        <w:rPr>
          <w:u w:val="single"/>
        </w:rPr>
      </w:pPr>
    </w:p>
    <w:p w:rsidR="00350904" w:rsidRDefault="00694662" w:rsidP="00350904">
      <w:pPr>
        <w:pStyle w:val="ListParagraph"/>
        <w:spacing w:before="240" w:after="200" w:line="360" w:lineRule="auto"/>
        <w:ind w:left="360"/>
      </w:pPr>
      <m:oMathPara>
        <m:oMath>
          <m:r>
            <w:rPr>
              <w:rFonts w:ascii="Cambria Math" w:hAnsi="Cambria Math"/>
            </w:rPr>
            <m:t>FVA=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50904" w:rsidRDefault="00350904" w:rsidP="00350904">
      <w:pPr>
        <w:pStyle w:val="ListParagraph"/>
        <w:spacing w:before="240" w:after="200" w:line="360" w:lineRule="auto"/>
        <w:ind w:left="360"/>
      </w:pPr>
    </w:p>
    <w:p w:rsidR="00694662" w:rsidRDefault="00694662" w:rsidP="00350904">
      <w:pPr>
        <w:pStyle w:val="ListParagraph"/>
        <w:spacing w:before="240" w:after="200" w:line="360" w:lineRule="auto"/>
        <w:ind w:left="360"/>
      </w:pPr>
      <w:r>
        <w:t xml:space="preserve">is configured as a </w:t>
      </w:r>
      <w:r>
        <w:rPr>
          <w:i/>
        </w:rPr>
        <w:t>contra-asset</w:t>
      </w:r>
      <w:r>
        <w:t xml:space="preserve"> entry. The </w:t>
      </w:r>
      <w:r>
        <w:rPr>
          <w:i/>
        </w:rPr>
        <w:t>FVA</w:t>
      </w:r>
      <w:r>
        <w:t xml:space="preserve"> also has a contra-liability twin, denoted </w:t>
      </w:r>
      <w:r>
        <w:rPr>
          <w:i/>
        </w:rPr>
        <w:t>Funding Debt Adjustment</w:t>
      </w:r>
      <w:r>
        <w:t xml:space="preserve"> (</w:t>
      </w:r>
      <w:r>
        <w:rPr>
          <w:i/>
        </w:rPr>
        <w:t>FDA</w:t>
      </w:r>
      <w:r>
        <w:t>).</w:t>
      </w:r>
    </w:p>
    <w:p w:rsidR="005E273D" w:rsidRDefault="005E273D" w:rsidP="008835EB">
      <w:pPr>
        <w:pStyle w:val="ListParagraph"/>
        <w:numPr>
          <w:ilvl w:val="0"/>
          <w:numId w:val="213"/>
        </w:numPr>
        <w:spacing w:before="240" w:after="200" w:line="360" w:lineRule="auto"/>
      </w:pPr>
      <w:r>
        <w:rPr>
          <w:u w:val="single"/>
        </w:rPr>
        <w:t xml:space="preserve">Origin of the </w:t>
      </w:r>
      <w:r w:rsidRPr="005E273D">
        <w:rPr>
          <w:i/>
          <w:u w:val="single"/>
        </w:rPr>
        <w:t>F</w:t>
      </w:r>
      <w:r>
        <w:rPr>
          <w:i/>
          <w:u w:val="single"/>
        </w:rPr>
        <w:t>D</w:t>
      </w:r>
      <w:r w:rsidRPr="005E273D">
        <w:rPr>
          <w:i/>
          <w:u w:val="single"/>
        </w:rPr>
        <w:t>A</w:t>
      </w:r>
      <w:r>
        <w:rPr>
          <w:u w:val="single"/>
        </w:rPr>
        <w:t xml:space="preserve"> Term</w:t>
      </w:r>
      <w:r>
        <w:t xml:space="preserve">: The </w:t>
      </w:r>
      <w:r>
        <w:rPr>
          <w:i/>
        </w:rPr>
        <w:t>FDA</w:t>
      </w:r>
      <w:r>
        <w:t xml:space="preserve"> term fundamentally arises from conservation principles; if funding is a cost to the bank shareholders, other agents must receive a benefit of equal size.</w:t>
      </w:r>
    </w:p>
    <w:p w:rsidR="005E273D" w:rsidRDefault="005E273D" w:rsidP="008835EB">
      <w:pPr>
        <w:pStyle w:val="ListParagraph"/>
        <w:numPr>
          <w:ilvl w:val="0"/>
          <w:numId w:val="213"/>
        </w:numPr>
        <w:spacing w:before="240" w:after="200" w:line="360" w:lineRule="auto"/>
      </w:pPr>
      <w:r>
        <w:rPr>
          <w:u w:val="single"/>
        </w:rPr>
        <w:t xml:space="preserve">Alternate Names for </w:t>
      </w:r>
      <w:r w:rsidRPr="005E273D">
        <w:rPr>
          <w:u w:val="single"/>
        </w:rPr>
        <w:t xml:space="preserve">the </w:t>
      </w:r>
      <w:r w:rsidRPr="005E273D">
        <w:rPr>
          <w:i/>
          <w:u w:val="single"/>
        </w:rPr>
        <w:t>FVA</w:t>
      </w:r>
      <w:r>
        <w:t xml:space="preserve">: Hull and White (2012) first introduced the </w:t>
      </w:r>
      <w:r>
        <w:rPr>
          <w:i/>
        </w:rPr>
        <w:t>FDA</w:t>
      </w:r>
      <w:r w:rsidR="000D70CB">
        <w:t xml:space="preserve"> concept under the moniker </w:t>
      </w:r>
      <w:r w:rsidR="000D70CB">
        <w:rPr>
          <w:i/>
        </w:rPr>
        <w:t>DVA2</w:t>
      </w:r>
      <w:r w:rsidR="000D70CB">
        <w:t xml:space="preserve"> but this treatment prefers a more descriptive term.</w:t>
      </w:r>
    </w:p>
    <w:p w:rsidR="000D70CB" w:rsidRDefault="000D70CB" w:rsidP="008835EB">
      <w:pPr>
        <w:pStyle w:val="ListParagraph"/>
        <w:numPr>
          <w:ilvl w:val="0"/>
          <w:numId w:val="213"/>
        </w:numPr>
        <w:spacing w:before="240" w:after="200" w:line="360" w:lineRule="auto"/>
      </w:pPr>
      <w:r>
        <w:rPr>
          <w:u w:val="single"/>
        </w:rPr>
        <w:t>OTC Derivatives as Non-Repoable Transactions</w:t>
      </w:r>
      <w:r w:rsidRPr="000D70CB">
        <w:t>:</w:t>
      </w:r>
      <w:r>
        <w:t xml:space="preserve"> Consequently we can think of the </w:t>
      </w:r>
      <w:r>
        <w:rPr>
          <w:i/>
        </w:rPr>
        <w:t>FVA</w:t>
      </w:r>
      <w:r>
        <w:t xml:space="preserve"> costs as originating from the lack of repo market on unsecured OTC derivatives, forcing banks to borrow variation margin on hedges on an unsecured basis at a substantial spread to OIS.</w:t>
      </w:r>
    </w:p>
    <w:p w:rsidR="00350904" w:rsidRDefault="00142744" w:rsidP="008835EB">
      <w:pPr>
        <w:pStyle w:val="ListParagraph"/>
        <w:numPr>
          <w:ilvl w:val="0"/>
          <w:numId w:val="213"/>
        </w:numPr>
        <w:spacing w:before="240" w:after="200" w:line="360" w:lineRule="auto"/>
      </w:pPr>
      <w:r w:rsidRPr="00142744">
        <w:rPr>
          <w:u w:val="single"/>
        </w:rPr>
        <w:t xml:space="preserve">Parity between </w:t>
      </w:r>
      <w:r w:rsidRPr="00142744">
        <w:rPr>
          <w:i/>
          <w:u w:val="single"/>
        </w:rPr>
        <w:t>FVA</w:t>
      </w:r>
      <w:r w:rsidRPr="00142744">
        <w:rPr>
          <w:u w:val="single"/>
        </w:rPr>
        <w:t xml:space="preserve"> and </w:t>
      </w:r>
      <w:r w:rsidRPr="00142744">
        <w:rPr>
          <w:i/>
          <w:u w:val="single"/>
        </w:rPr>
        <w:t>FDA</w:t>
      </w:r>
      <w:r w:rsidRPr="00142744">
        <w:t>:</w:t>
      </w:r>
      <w:r>
        <w:t xml:space="preserve"> The flip-side of unsecured borrowing is that the senior creditors are entitled to recover from a pool of unsecured derivatives receivables after a bank default. Under mild assumptions the value of this recovery option may be shown (Albanese and Andersen (2014)) to be equal to the </w:t>
      </w:r>
      <w:r>
        <w:rPr>
          <w:i/>
        </w:rPr>
        <w:t>FVA</w:t>
      </w:r>
      <w:r>
        <w:t>, i.e.,</w:t>
      </w:r>
    </w:p>
    <w:p w:rsidR="00350904" w:rsidRDefault="00350904" w:rsidP="00350904">
      <w:pPr>
        <w:pStyle w:val="ListParagraph"/>
        <w:spacing w:before="240" w:after="200" w:line="360" w:lineRule="auto"/>
        <w:ind w:left="360"/>
        <w:rPr>
          <w:u w:val="single"/>
        </w:rPr>
      </w:pPr>
    </w:p>
    <w:p w:rsidR="00142744" w:rsidRPr="00350904" w:rsidRDefault="004B4C61" w:rsidP="00350904">
      <w:pPr>
        <w:pStyle w:val="ListParagraph"/>
        <w:spacing w:before="240" w:after="200" w:line="360" w:lineRule="auto"/>
        <w:ind w:left="360"/>
      </w:pPr>
      <m:oMathPara>
        <m:oMath>
          <m:r>
            <w:rPr>
              <w:rFonts w:ascii="Cambria Math" w:hAnsi="Cambria Math"/>
            </w:rPr>
            <m:t>FDA=FVA</m:t>
          </m:r>
        </m:oMath>
      </m:oMathPara>
    </w:p>
    <w:p w:rsidR="00350904" w:rsidRDefault="00350904" w:rsidP="00350904">
      <w:pPr>
        <w:pStyle w:val="ListParagraph"/>
        <w:spacing w:before="240" w:after="200" w:line="360" w:lineRule="auto"/>
        <w:ind w:left="360"/>
      </w:pPr>
    </w:p>
    <w:p w:rsidR="00142744" w:rsidRDefault="004B4C61" w:rsidP="008835EB">
      <w:pPr>
        <w:pStyle w:val="ListParagraph"/>
        <w:numPr>
          <w:ilvl w:val="0"/>
          <w:numId w:val="213"/>
        </w:numPr>
        <w:spacing w:before="240" w:after="200" w:line="360" w:lineRule="auto"/>
      </w:pPr>
      <w:r w:rsidRPr="004B4C61">
        <w:rPr>
          <w:u w:val="single"/>
        </w:rPr>
        <w:t xml:space="preserve">Asymmetry between </w:t>
      </w:r>
      <m:oMath>
        <m:r>
          <w:rPr>
            <w:rFonts w:ascii="Cambria Math" w:hAnsi="Cambria Math"/>
            <w:u w:val="single"/>
          </w:rPr>
          <m:t>DVA</m:t>
        </m:r>
      </m:oMath>
      <w:r w:rsidRPr="004B4C61">
        <w:rPr>
          <w:u w:val="single"/>
        </w:rPr>
        <w:t xml:space="preserve"> and </w:t>
      </w:r>
      <m:oMath>
        <m:r>
          <w:rPr>
            <w:rFonts w:ascii="Cambria Math" w:hAnsi="Cambria Math"/>
            <w:u w:val="single"/>
          </w:rPr>
          <m:t>FDA</m:t>
        </m:r>
      </m:oMath>
      <w:r>
        <w:t xml:space="preserve">: It should be noted that the </w:t>
      </w:r>
      <m:oMath>
        <m:r>
          <w:rPr>
            <w:rFonts w:ascii="Cambria Math" w:hAnsi="Cambria Math"/>
          </w:rPr>
          <m:t>DVA</m:t>
        </m:r>
      </m:oMath>
      <w:r>
        <w:t xml:space="preserve"> originates from similar zero-sum considerations as the </w:t>
      </w:r>
      <m:oMath>
        <m:r>
          <w:rPr>
            <w:rFonts w:ascii="Cambria Math" w:hAnsi="Cambria Math"/>
          </w:rPr>
          <m:t>FDA</m:t>
        </m:r>
      </m:oMath>
      <w:r>
        <w:t xml:space="preserve">, but there is an important difference; while </w:t>
      </w:r>
      <m:oMath>
        <m:r>
          <w:rPr>
            <w:rFonts w:ascii="Cambria Math" w:hAnsi="Cambria Math"/>
          </w:rPr>
          <m:t>CVA</m:t>
        </m:r>
      </m:oMath>
      <w:r>
        <w:t xml:space="preserve"> </w:t>
      </w:r>
      <w:r>
        <w:lastRenderedPageBreak/>
        <w:t xml:space="preserve">represents the wealth transfer from the bank to the counterparties due to the acceptance of the counterparty credit risk, </w:t>
      </w:r>
      <m:oMath>
        <m:r>
          <w:rPr>
            <w:rFonts w:ascii="Cambria Math" w:hAnsi="Cambria Math"/>
          </w:rPr>
          <m:t>FVA</m:t>
        </m:r>
      </m:oMath>
      <w:r>
        <w:t xml:space="preserve"> is an </w:t>
      </w:r>
      <w:r>
        <w:rPr>
          <w:i/>
        </w:rPr>
        <w:t>internal</w:t>
      </w:r>
      <w:r>
        <w:t xml:space="preserve"> transfer from the bank shareholders to the bank creditors.</w:t>
      </w:r>
    </w:p>
    <w:p w:rsidR="004B4C61" w:rsidRDefault="004B4C61" w:rsidP="008835EB">
      <w:pPr>
        <w:pStyle w:val="ListParagraph"/>
        <w:numPr>
          <w:ilvl w:val="0"/>
          <w:numId w:val="213"/>
        </w:numPr>
        <w:spacing w:before="240" w:after="200" w:line="360" w:lineRule="auto"/>
      </w:pPr>
      <w:r w:rsidRPr="004B4C61">
        <w:rPr>
          <w:u w:val="single"/>
        </w:rPr>
        <w:t xml:space="preserve">Excluding </w:t>
      </w:r>
      <m:oMath>
        <m:r>
          <w:rPr>
            <w:rFonts w:ascii="Cambria Math" w:hAnsi="Cambria Math"/>
            <w:u w:val="single"/>
          </w:rPr>
          <m:t>FDA</m:t>
        </m:r>
      </m:oMath>
      <w:r w:rsidRPr="004B4C61">
        <w:rPr>
          <w:u w:val="single"/>
        </w:rPr>
        <w:t xml:space="preserve"> Contributions to </w:t>
      </w:r>
      <m:oMath>
        <m:r>
          <w:rPr>
            <w:rFonts w:ascii="Cambria Math" w:hAnsi="Cambria Math"/>
            <w:u w:val="single"/>
          </w:rPr>
          <m:t>CET1</m:t>
        </m:r>
      </m:oMath>
      <w:r>
        <w:t xml:space="preserve">: Hence </w:t>
      </w:r>
      <m:oMath>
        <m:r>
          <w:rPr>
            <w:rFonts w:ascii="Cambria Math" w:hAnsi="Cambria Math"/>
          </w:rPr>
          <m:t>FDA</m:t>
        </m:r>
      </m:oMath>
      <w:r>
        <w:t xml:space="preserve"> is a contra-liability term that contributes to the wealth of the bank senior creditors but should be excluded from </w:t>
      </w:r>
      <m:oMath>
        <m:r>
          <w:rPr>
            <w:rFonts w:ascii="Cambria Math" w:hAnsi="Cambria Math"/>
          </w:rPr>
          <m:t>CET1</m:t>
        </m:r>
      </m:oMath>
      <w:r>
        <w:t>.</w:t>
      </w:r>
    </w:p>
    <w:p w:rsidR="00721408" w:rsidRDefault="00721408" w:rsidP="008835EB">
      <w:pPr>
        <w:pStyle w:val="ListParagraph"/>
        <w:numPr>
          <w:ilvl w:val="0"/>
          <w:numId w:val="213"/>
        </w:numPr>
        <w:spacing w:before="240" w:after="200" w:line="360" w:lineRule="auto"/>
      </w:pPr>
      <w:r>
        <w:rPr>
          <w:u w:val="single"/>
        </w:rPr>
        <w:t>Consequence of FVA/FDA Mismatch</w:t>
      </w:r>
      <w:r w:rsidRPr="00721408">
        <w:t>:</w:t>
      </w:r>
      <w:r>
        <w:t xml:space="preserve"> </w:t>
      </w:r>
      <w:r w:rsidR="00F55C37">
        <w:t xml:space="preserve">With </w:t>
      </w:r>
      <m:oMath>
        <m:r>
          <w:rPr>
            <w:rFonts w:ascii="Cambria Math" w:hAnsi="Cambria Math"/>
          </w:rPr>
          <m:t>FDA</m:t>
        </m:r>
      </m:oMath>
      <w:r w:rsidR="00F55C37">
        <w:t xml:space="preserve"> and </w:t>
      </w:r>
      <m:oMath>
        <m:r>
          <w:rPr>
            <w:rFonts w:ascii="Cambria Math" w:hAnsi="Cambria Math"/>
          </w:rPr>
          <m:t>FVA</m:t>
        </m:r>
      </m:oMath>
      <w:r w:rsidR="00F55C37">
        <w:t xml:space="preserve"> entries being recorded in equal and opposite CA and CL accounts, funding ultimately has no impact on </w:t>
      </w:r>
      <m:oMath>
        <m:r>
          <w:rPr>
            <w:rFonts w:ascii="Cambria Math" w:hAnsi="Cambria Math"/>
          </w:rPr>
          <m:t>PFV</m:t>
        </m:r>
      </m:oMath>
      <w:r w:rsidR="00F55C37">
        <w:t xml:space="preserve"> since </w:t>
      </w:r>
      <m:oMath>
        <m:r>
          <w:rPr>
            <w:rFonts w:ascii="Cambria Math" w:hAnsi="Cambria Math"/>
          </w:rPr>
          <m:t>FVA</m:t>
        </m:r>
      </m:oMath>
      <w:r w:rsidR="00F55C37">
        <w:t xml:space="preserve"> and </w:t>
      </w:r>
      <m:oMath>
        <m:r>
          <w:rPr>
            <w:rFonts w:ascii="Cambria Math" w:hAnsi="Cambria Math"/>
          </w:rPr>
          <m:t>FDA</m:t>
        </m:r>
      </m:oMath>
      <w:r w:rsidR="00F55C37">
        <w:t xml:space="preserve"> cancel. This preserves the symmetry of CVA/DVA accounting, eliminates bank-specific costs from fair valuations, and allows much of the standard finance theory to escape unscathed at the level of </w:t>
      </w:r>
      <m:oMath>
        <m:r>
          <w:rPr>
            <w:rFonts w:ascii="Cambria Math" w:hAnsi="Cambria Math"/>
          </w:rPr>
          <m:t>PFV</m:t>
        </m:r>
      </m:oMath>
      <w:r w:rsidR="00F55C37">
        <w:t>.</w:t>
      </w:r>
    </w:p>
    <w:p w:rsidR="007A1F3D" w:rsidRDefault="007A1F3D" w:rsidP="008835EB">
      <w:pPr>
        <w:pStyle w:val="ListParagraph"/>
        <w:numPr>
          <w:ilvl w:val="0"/>
          <w:numId w:val="213"/>
        </w:numPr>
        <w:spacing w:before="240" w:after="200" w:line="360" w:lineRule="auto"/>
      </w:pPr>
      <w:r w:rsidRPr="007A1F3D">
        <w:rPr>
          <w:u w:val="single"/>
        </w:rPr>
        <w:t xml:space="preserve">Impact at the </w:t>
      </w:r>
      <m:oMath>
        <m:r>
          <w:rPr>
            <w:rFonts w:ascii="Cambria Math" w:hAnsi="Cambria Math"/>
            <w:u w:val="single"/>
          </w:rPr>
          <m:t>CET1</m:t>
        </m:r>
      </m:oMath>
      <w:r w:rsidRPr="007A1F3D">
        <w:rPr>
          <w:u w:val="single"/>
        </w:rPr>
        <w:t xml:space="preserve"> Level</w:t>
      </w:r>
      <w:r w:rsidRPr="007A1F3D">
        <w:t>:</w:t>
      </w:r>
      <w:r>
        <w:t xml:space="preserve"> At the </w:t>
      </w:r>
      <m:oMath>
        <m:r>
          <w:rPr>
            <w:rFonts w:ascii="Cambria Math" w:hAnsi="Cambria Math"/>
          </w:rPr>
          <m:t>CET1</m:t>
        </m:r>
      </m:oMath>
      <w:r>
        <w:t xml:space="preserve"> level, however, we depart from the CVA/DVA accounting by requiring that </w:t>
      </w:r>
      <m:oMath>
        <m:r>
          <w:rPr>
            <w:rFonts w:ascii="Cambria Math" w:hAnsi="Cambria Math"/>
          </w:rPr>
          <m:t>FVA</m:t>
        </m:r>
      </m:oMath>
      <w:r>
        <w:t xml:space="preserve"> be deducted from </w:t>
      </w:r>
      <m:oMath>
        <m:r>
          <w:rPr>
            <w:rFonts w:ascii="Cambria Math" w:hAnsi="Cambria Math"/>
          </w:rPr>
          <m:t>CET1</m:t>
        </m:r>
      </m:oMath>
      <w:r>
        <w:t xml:space="preserve"> to reflect the fact that the bank shareholders are penalized by the funding cost and do not share the </w:t>
      </w:r>
      <m:oMath>
        <m:r>
          <w:rPr>
            <w:rFonts w:ascii="Cambria Math" w:hAnsi="Cambria Math"/>
          </w:rPr>
          <m:t>FDA</m:t>
        </m:r>
      </m:oMath>
      <w:r>
        <w:t xml:space="preserve"> recovery benefit. Albanese and Andersen (2014) demonstrate that the typical own-spread sensitivities of the </w:t>
      </w:r>
      <m:oMath>
        <m:r>
          <w:rPr>
            <w:rFonts w:ascii="Cambria Math" w:hAnsi="Cambria Math"/>
          </w:rPr>
          <m:t>FVA</m:t>
        </m:r>
      </m:oMath>
      <w:r>
        <w:t xml:space="preserve"> term defined above are such that the </w:t>
      </w:r>
      <m:oMath>
        <m:r>
          <w:rPr>
            <w:rFonts w:ascii="Cambria Math" w:hAnsi="Cambria Math"/>
          </w:rPr>
          <m:t>FVA</m:t>
        </m:r>
      </m:oMath>
      <w:r>
        <w:t xml:space="preserve"> qualifies as a valid deduction from the regulatory </w:t>
      </w:r>
      <m:oMath>
        <m:r>
          <w:rPr>
            <w:rFonts w:ascii="Cambria Math" w:hAnsi="Cambria Math"/>
          </w:rPr>
          <m:t>CET1</m:t>
        </m:r>
      </m:oMath>
      <w:r>
        <w:t>.</w:t>
      </w:r>
    </w:p>
    <w:p w:rsidR="00350904" w:rsidRDefault="007A1F3D" w:rsidP="008835EB">
      <w:pPr>
        <w:pStyle w:val="ListParagraph"/>
        <w:numPr>
          <w:ilvl w:val="0"/>
          <w:numId w:val="213"/>
        </w:numPr>
        <w:spacing w:before="240" w:after="200" w:line="360" w:lineRule="auto"/>
      </w:pPr>
      <w:r>
        <w:rPr>
          <w:u w:val="single"/>
        </w:rPr>
        <w:t>Bank/Counter Party Default Impact</w:t>
      </w:r>
      <w:r w:rsidRPr="007A1F3D">
        <w:t>:</w:t>
      </w:r>
      <w:r>
        <w:t xml:space="preserve"> Finally note that the definition of </w:t>
      </w:r>
      <m:oMath>
        <m:r>
          <w:rPr>
            <w:rFonts w:ascii="Cambria Math" w:hAnsi="Cambria Math"/>
          </w:rPr>
          <m:t>FVA</m:t>
        </m:r>
      </m:oMath>
      <w:r>
        <w:t xml:space="preserve"> in</w:t>
      </w:r>
    </w:p>
    <w:p w:rsidR="00350904" w:rsidRDefault="00350904" w:rsidP="00350904">
      <w:pPr>
        <w:pStyle w:val="ListParagraph"/>
        <w:spacing w:before="240" w:after="200" w:line="360" w:lineRule="auto"/>
        <w:ind w:left="360"/>
        <w:rPr>
          <w:u w:val="single"/>
        </w:rPr>
      </w:pPr>
    </w:p>
    <w:p w:rsidR="00350904" w:rsidRDefault="007A1F3D" w:rsidP="00350904">
      <w:pPr>
        <w:pStyle w:val="ListParagraph"/>
        <w:spacing w:before="240" w:after="200" w:line="360" w:lineRule="auto"/>
        <w:ind w:left="360"/>
      </w:pPr>
      <m:oMathPara>
        <m:oMath>
          <m:r>
            <w:rPr>
              <w:rFonts w:ascii="Cambria Math" w:hAnsi="Cambria Math"/>
            </w:rPr>
            <m:t>FVA=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50904" w:rsidRDefault="00350904" w:rsidP="00350904">
      <w:pPr>
        <w:pStyle w:val="ListParagraph"/>
        <w:spacing w:before="240" w:after="200" w:line="360" w:lineRule="auto"/>
        <w:ind w:left="360"/>
      </w:pPr>
    </w:p>
    <w:p w:rsidR="007A1F3D" w:rsidRDefault="007A1F3D" w:rsidP="00350904">
      <w:pPr>
        <w:pStyle w:val="ListParagraph"/>
        <w:spacing w:before="240" w:after="200" w:line="360" w:lineRule="auto"/>
        <w:ind w:left="360"/>
      </w:pPr>
      <w:r>
        <w:t>recognizes that the funding needs for a netting set vanish with either the default of the bank or the counterparty.</w:t>
      </w:r>
    </w:p>
    <w:p w:rsidR="00E156A4" w:rsidRDefault="00E156A4" w:rsidP="008835EB">
      <w:pPr>
        <w:pStyle w:val="ListParagraph"/>
        <w:numPr>
          <w:ilvl w:val="0"/>
          <w:numId w:val="213"/>
        </w:numPr>
        <w:spacing w:before="240" w:after="200" w:line="360" w:lineRule="auto"/>
      </w:pPr>
      <w:r>
        <w:rPr>
          <w:u w:val="single"/>
        </w:rPr>
        <w:t>Bilateral Estimation of FCA/FBA Accounting</w:t>
      </w:r>
      <w:r w:rsidRPr="00E156A4">
        <w:t>:</w:t>
      </w:r>
      <w:r>
        <w:t xml:space="preserve"> </w:t>
      </w:r>
      <w:r w:rsidR="00BE722B">
        <w:t xml:space="preserve">While the </w:t>
      </w:r>
      <m:oMath>
        <m:r>
          <w:rPr>
            <w:rFonts w:ascii="Cambria Math" w:hAnsi="Cambria Math"/>
          </w:rPr>
          <m:t>CVA</m:t>
        </m:r>
      </m:oMath>
      <w:r w:rsidR="00BE722B">
        <w:t xml:space="preserve"> and the </w:t>
      </w:r>
      <m:oMath>
        <m:r>
          <w:rPr>
            <w:rFonts w:ascii="Cambria Math" w:hAnsi="Cambria Math"/>
          </w:rPr>
          <m:t>DVA</m:t>
        </m:r>
      </m:oMath>
      <w:r w:rsidR="00BE722B">
        <w:t xml:space="preserve"> metrics are always calculated on a unilateral basis under the FCA/FBA accounting, FCA/FBA accounting is therefore best done under bilateral definitions of both </w:t>
      </w:r>
      <m:oMath>
        <m:r>
          <w:rPr>
            <w:rFonts w:ascii="Cambria Math" w:hAnsi="Cambria Math"/>
          </w:rPr>
          <m:t>CVA</m:t>
        </m:r>
      </m:oMath>
      <w:r w:rsidR="00BE722B">
        <w:t xml:space="preserve"> and </w:t>
      </w:r>
      <m:oMath>
        <m:r>
          <w:rPr>
            <w:rFonts w:ascii="Cambria Math" w:hAnsi="Cambria Math"/>
          </w:rPr>
          <m:t>DVA</m:t>
        </m:r>
      </m:oMath>
      <w:r w:rsidR="00BE722B">
        <w:t>.</w:t>
      </w:r>
    </w:p>
    <w:p w:rsidR="00BE722B" w:rsidRPr="00327161" w:rsidRDefault="00327161" w:rsidP="008835EB">
      <w:pPr>
        <w:pStyle w:val="ListParagraph"/>
        <w:numPr>
          <w:ilvl w:val="0"/>
          <w:numId w:val="213"/>
        </w:numPr>
        <w:spacing w:before="240" w:after="200" w:line="360" w:lineRule="auto"/>
        <w:rPr>
          <w:i/>
        </w:rPr>
      </w:pPr>
      <w:r w:rsidRPr="00327161">
        <w:rPr>
          <w:u w:val="single"/>
        </w:rPr>
        <w:t xml:space="preserve">First To Default </w:t>
      </w:r>
      <m:oMath>
        <m:r>
          <w:rPr>
            <w:rFonts w:ascii="Cambria Math" w:hAnsi="Cambria Math"/>
            <w:u w:val="single"/>
          </w:rPr>
          <m:t>CVA</m:t>
        </m:r>
      </m:oMath>
      <w:r w:rsidRPr="00327161">
        <w:rPr>
          <w:u w:val="single"/>
        </w:rPr>
        <w:t xml:space="preserve"> (</w:t>
      </w:r>
      <m:oMath>
        <m:r>
          <w:rPr>
            <w:rFonts w:ascii="Cambria Math" w:hAnsi="Cambria Math"/>
            <w:u w:val="single"/>
          </w:rPr>
          <m:t>FTDCVA</m:t>
        </m:r>
      </m:oMath>
      <w:r w:rsidRPr="00327161">
        <w:rPr>
          <w:u w:val="single"/>
        </w:rPr>
        <w:t>)</w:t>
      </w:r>
      <w:r>
        <w:t xml:space="preserve">: Accordingly FVA/FDA accounting excludes </w:t>
      </w:r>
      <m:oMath>
        <m:r>
          <w:rPr>
            <w:rFonts w:ascii="Cambria Math" w:hAnsi="Cambria Math"/>
          </w:rPr>
          <m:t>CVA</m:t>
        </m:r>
      </m:oMath>
      <w:r>
        <w:t xml:space="preserve"> contributions after bank’s own default and replaces FCA/FBA accounting’s unilateral </w:t>
      </w:r>
      <m:oMath>
        <m:r>
          <w:rPr>
            <w:rFonts w:ascii="Cambria Math" w:hAnsi="Cambria Math"/>
          </w:rPr>
          <m:t>CVA</m:t>
        </m:r>
      </m:oMath>
      <w:r>
        <w:t xml:space="preserve"> (</w:t>
      </w:r>
      <m:oMath>
        <m:r>
          <w:rPr>
            <w:rFonts w:ascii="Cambria Math" w:hAnsi="Cambria Math"/>
          </w:rPr>
          <m:t>UCVA</m:t>
        </m:r>
      </m:oMath>
      <w:r>
        <w:t xml:space="preserve">) definition with a bilateral </w:t>
      </w:r>
      <m:oMath>
        <m:r>
          <w:rPr>
            <w:rFonts w:ascii="Cambria Math" w:hAnsi="Cambria Math"/>
          </w:rPr>
          <m:t>CVA</m:t>
        </m:r>
      </m:oMath>
      <w:r>
        <w:t xml:space="preserve"> measure known as </w:t>
      </w:r>
      <w:r>
        <w:rPr>
          <w:i/>
        </w:rPr>
        <w:t>first-to-default</w:t>
      </w:r>
      <w:r>
        <w:t xml:space="preserve"> </w:t>
      </w:r>
      <m:oMath>
        <m:r>
          <w:rPr>
            <w:rFonts w:ascii="Cambria Math" w:hAnsi="Cambria Math"/>
          </w:rPr>
          <m:t>CVA</m:t>
        </m:r>
      </m:oMath>
      <w:r>
        <w:t xml:space="preserve"> (</w:t>
      </w:r>
      <m:oMath>
        <m:r>
          <w:rPr>
            <w:rFonts w:ascii="Cambria Math" w:hAnsi="Cambria Math"/>
          </w:rPr>
          <m:t>FTDCVA</m:t>
        </m:r>
      </m:oMath>
      <w:r>
        <w:t>).</w:t>
      </w:r>
    </w:p>
    <w:p w:rsidR="00327161" w:rsidRPr="005341DB" w:rsidRDefault="00327161" w:rsidP="008835EB">
      <w:pPr>
        <w:pStyle w:val="ListParagraph"/>
        <w:numPr>
          <w:ilvl w:val="0"/>
          <w:numId w:val="213"/>
        </w:numPr>
        <w:spacing w:before="240" w:after="200" w:line="360" w:lineRule="auto"/>
        <w:rPr>
          <w:i/>
        </w:rPr>
      </w:pPr>
      <w:r>
        <w:rPr>
          <w:u w:val="single"/>
        </w:rPr>
        <w:lastRenderedPageBreak/>
        <w:t xml:space="preserve">Mathematical Definitions of </w:t>
      </w:r>
      <m:oMath>
        <m:r>
          <w:rPr>
            <w:rFonts w:ascii="Cambria Math" w:hAnsi="Cambria Math"/>
            <w:u w:val="single"/>
          </w:rPr>
          <m:t>U</m:t>
        </m:r>
        <m:r>
          <w:rPr>
            <w:rFonts w:ascii="Cambria Math" w:hAnsi="Cambria Math"/>
          </w:rPr>
          <m:t>CVA</m:t>
        </m:r>
      </m:oMath>
      <w:r>
        <w:rPr>
          <w:u w:val="single"/>
        </w:rPr>
        <w:t xml:space="preserve"> and </w:t>
      </w:r>
      <m:oMath>
        <m:r>
          <w:rPr>
            <w:rFonts w:ascii="Cambria Math" w:hAnsi="Cambria Math"/>
            <w:u w:val="single"/>
          </w:rPr>
          <m:t>FTD</m:t>
        </m:r>
        <m:r>
          <w:rPr>
            <w:rFonts w:ascii="Cambria Math" w:hAnsi="Cambria Math"/>
          </w:rPr>
          <m:t>CVA</m:t>
        </m:r>
      </m:oMath>
      <w:r w:rsidRPr="00327161">
        <w:t xml:space="preserve">: </w:t>
      </w:r>
      <w:r>
        <w:t xml:space="preserve">For the well-known mathematical definitions of </w:t>
      </w:r>
      <m:oMath>
        <m:r>
          <w:rPr>
            <w:rFonts w:ascii="Cambria Math" w:hAnsi="Cambria Math"/>
          </w:rPr>
          <m:t>UCVA</m:t>
        </m:r>
      </m:oMath>
      <w:r>
        <w:t xml:space="preserve"> and </w:t>
      </w:r>
      <m:oMath>
        <m:r>
          <w:rPr>
            <w:rFonts w:ascii="Cambria Math" w:hAnsi="Cambria Math"/>
          </w:rPr>
          <m:t>FTDCVA</m:t>
        </m:r>
      </m:oMath>
      <w:r>
        <w:t xml:space="preserve"> we refer to Albanese and Andersen (2014) which also discusses the effect of ISDA close-out protocols on </w:t>
      </w:r>
      <m:oMath>
        <m:r>
          <w:rPr>
            <w:rFonts w:ascii="Cambria Math" w:hAnsi="Cambria Math"/>
          </w:rPr>
          <m:t>CVA</m:t>
        </m:r>
      </m:oMath>
      <w:r>
        <w:t>.</w:t>
      </w:r>
    </w:p>
    <w:p w:rsidR="005341DB" w:rsidRPr="005341DB" w:rsidRDefault="005341DB" w:rsidP="008835EB">
      <w:pPr>
        <w:pStyle w:val="ListParagraph"/>
        <w:numPr>
          <w:ilvl w:val="0"/>
          <w:numId w:val="213"/>
        </w:numPr>
        <w:spacing w:before="240" w:after="200" w:line="360" w:lineRule="auto"/>
        <w:rPr>
          <w:i/>
        </w:rPr>
      </w:pPr>
      <w:r>
        <w:rPr>
          <w:u w:val="single"/>
        </w:rPr>
        <w:t>Regulatory Guidelines Induced Accounting Modifications</w:t>
      </w:r>
      <w:r>
        <w:t xml:space="preserve">: As </w:t>
      </w:r>
      <m:oMath>
        <m:r>
          <w:rPr>
            <w:rFonts w:ascii="Cambria Math" w:hAnsi="Cambria Math"/>
          </w:rPr>
          <m:t>FTDCVA</m:t>
        </m:r>
      </m:oMath>
      <w:r>
        <w:t xml:space="preserve"> decreases in the bank’s credit spread, a slight modification of the accounting rules above is needed in order to not run afoul of regulatory guidelines.</w:t>
      </w:r>
    </w:p>
    <w:p w:rsidR="00350904" w:rsidRPr="00350904" w:rsidRDefault="005341DB" w:rsidP="008835EB">
      <w:pPr>
        <w:pStyle w:val="ListParagraph"/>
        <w:numPr>
          <w:ilvl w:val="0"/>
          <w:numId w:val="213"/>
        </w:numPr>
        <w:spacing w:before="240" w:after="200" w:line="360" w:lineRule="auto"/>
        <w:rPr>
          <w:i/>
        </w:rPr>
      </w:pPr>
      <w:r>
        <w:rPr>
          <w:u w:val="single"/>
        </w:rPr>
        <w:t xml:space="preserve">Decomposition of the </w:t>
      </w:r>
      <m:oMath>
        <m:r>
          <w:rPr>
            <w:rFonts w:ascii="Cambria Math" w:hAnsi="Cambria Math"/>
            <w:u w:val="single"/>
          </w:rPr>
          <m:t>FTD</m:t>
        </m:r>
        <m:r>
          <w:rPr>
            <w:rFonts w:ascii="Cambria Math" w:hAnsi="Cambria Math"/>
          </w:rPr>
          <m:t>CVA</m:t>
        </m:r>
      </m:oMath>
      <w:r>
        <w:rPr>
          <w:u w:val="single"/>
        </w:rPr>
        <w:t xml:space="preserve"> Metric</w:t>
      </w:r>
      <w:r>
        <w:t xml:space="preserve">: In particular, rather than registering the entire </w:t>
      </w:r>
      <m:oMath>
        <m:r>
          <w:rPr>
            <w:rFonts w:ascii="Cambria Math" w:hAnsi="Cambria Math"/>
          </w:rPr>
          <m:t>FTDCVA</m:t>
        </m:r>
      </m:oMath>
      <w:r>
        <w:t xml:space="preserve"> as a CA entry, the decomposition</w:t>
      </w:r>
    </w:p>
    <w:p w:rsidR="00350904" w:rsidRDefault="00350904" w:rsidP="00350904">
      <w:pPr>
        <w:pStyle w:val="ListParagraph"/>
        <w:spacing w:before="240" w:after="200" w:line="360" w:lineRule="auto"/>
        <w:ind w:left="360"/>
        <w:rPr>
          <w:u w:val="single"/>
        </w:rPr>
      </w:pPr>
    </w:p>
    <w:p w:rsidR="00350904" w:rsidRDefault="005341DB" w:rsidP="00350904">
      <w:pPr>
        <w:pStyle w:val="ListParagraph"/>
        <w:spacing w:before="240" w:after="200" w:line="360" w:lineRule="auto"/>
        <w:ind w:left="360"/>
      </w:pPr>
      <m:oMathPara>
        <m:oMath>
          <m:r>
            <w:rPr>
              <w:rFonts w:ascii="Cambria Math" w:hAnsi="Cambria Math"/>
            </w:rPr>
            <m:t>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50904" w:rsidRDefault="00350904" w:rsidP="00350904">
      <w:pPr>
        <w:pStyle w:val="ListParagraph"/>
        <w:spacing w:before="240" w:after="200" w:line="360" w:lineRule="auto"/>
        <w:ind w:left="360"/>
      </w:pPr>
    </w:p>
    <w:p w:rsidR="005341DB" w:rsidRPr="005341DB" w:rsidRDefault="005341DB" w:rsidP="00350904">
      <w:pPr>
        <w:pStyle w:val="ListParagraph"/>
        <w:spacing w:before="240" w:after="200" w:line="360" w:lineRule="auto"/>
        <w:ind w:left="360"/>
        <w:rPr>
          <w:i/>
        </w:rPr>
      </w:pPr>
      <w:r>
        <w:t xml:space="preserve">is applied, and the </w:t>
      </w:r>
      <m:oMath>
        <m:r>
          <w:rPr>
            <w:rFonts w:ascii="Cambria Math" w:hAnsi="Cambria Math"/>
          </w:rPr>
          <m:t>UCVA</m:t>
        </m:r>
      </m:oMath>
      <w:r>
        <w:t xml:space="preserve"> is recorded as a CA entry and the </w:t>
      </w:r>
      <w:r>
        <w:rPr>
          <w:i/>
        </w:rPr>
        <w:t>DVA of CVA</w:t>
      </w:r>
      <w:r>
        <w:t xml:space="preserve"> term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as a CL entry. This ensures that the self-default benefits are relegated to the CL account.</w:t>
      </w:r>
    </w:p>
    <w:p w:rsidR="005341DB" w:rsidRPr="00A21CE0" w:rsidRDefault="005341DB" w:rsidP="008835EB">
      <w:pPr>
        <w:pStyle w:val="ListParagraph"/>
        <w:numPr>
          <w:ilvl w:val="0"/>
          <w:numId w:val="213"/>
        </w:numPr>
        <w:spacing w:before="240" w:after="200" w:line="360" w:lineRule="auto"/>
        <w:rPr>
          <w:i/>
        </w:rPr>
      </w:pPr>
      <w:r>
        <w:rPr>
          <w:u w:val="single"/>
        </w:rPr>
        <w:t xml:space="preserve">Decomposition of the </w:t>
      </w:r>
      <m:oMath>
        <m:r>
          <w:rPr>
            <w:rFonts w:ascii="Cambria Math" w:hAnsi="Cambria Math"/>
            <w:u w:val="single"/>
          </w:rPr>
          <m:t>FTDDVA</m:t>
        </m:r>
      </m:oMath>
      <w:r>
        <w:rPr>
          <w:u w:val="single"/>
        </w:rPr>
        <w:t xml:space="preserve"> Metric</w:t>
      </w:r>
      <w:r>
        <w:t xml:space="preserve">: Similar break-outs can be entertained for the </w:t>
      </w:r>
      <m:oMath>
        <m:r>
          <w:rPr>
            <w:rFonts w:ascii="Cambria Math" w:hAnsi="Cambria Math"/>
          </w:rPr>
          <m:t>DVA</m:t>
        </m:r>
      </m:oMath>
      <w:r>
        <w:t xml:space="preserve">, which in the FVA/FDA accounting must be computed bilaterally as the </w:t>
      </w:r>
      <m:oMath>
        <m:r>
          <w:rPr>
            <w:rFonts w:ascii="Cambria Math" w:hAnsi="Cambria Math"/>
          </w:rPr>
          <m:t>FTDDVA</m:t>
        </m:r>
      </m:oMath>
      <w:r>
        <w:t xml:space="preserve">. This treatment, however, simply places the entire </w:t>
      </w:r>
      <m:oMath>
        <m:r>
          <w:rPr>
            <w:rFonts w:ascii="Cambria Math" w:hAnsi="Cambria Math"/>
          </w:rPr>
          <m:t>FTDDVA</m:t>
        </m:r>
      </m:oMath>
      <w:r>
        <w:t xml:space="preserve"> in the CL account.</w:t>
      </w:r>
    </w:p>
    <w:p w:rsidR="00350904" w:rsidRPr="00350904" w:rsidRDefault="00A21CE0" w:rsidP="008835EB">
      <w:pPr>
        <w:pStyle w:val="ListParagraph"/>
        <w:numPr>
          <w:ilvl w:val="0"/>
          <w:numId w:val="213"/>
        </w:numPr>
        <w:spacing w:before="240" w:after="200" w:line="360" w:lineRule="auto"/>
        <w:rPr>
          <w:i/>
        </w:rPr>
      </w:pPr>
      <w:r>
        <w:rPr>
          <w:u w:val="single"/>
        </w:rPr>
        <w:t>FCA/FBA and FVA/FDA Accounting Measures</w:t>
      </w:r>
      <w:r>
        <w:t xml:space="preserve">: A summary of the accounting entries under both the FCA/FBA and the FVA/FDA frameworks is in the table below. For both methods, </w:t>
      </w:r>
      <m:oMath>
        <m:r>
          <w:rPr>
            <w:rFonts w:ascii="Cambria Math" w:hAnsi="Cambria Math"/>
          </w:rPr>
          <m:t>PFV</m:t>
        </m:r>
      </m:oMath>
      <w:r>
        <w:t xml:space="preserve"> and </w:t>
      </w:r>
      <m:oMath>
        <m:r>
          <w:rPr>
            <w:rFonts w:ascii="Cambria Math" w:hAnsi="Cambria Math"/>
          </w:rPr>
          <m:t>CET1</m:t>
        </m:r>
      </m:oMath>
      <w:r>
        <w:t xml:space="preserve"> are computed as per</w:t>
      </w:r>
    </w:p>
    <w:p w:rsidR="00350904" w:rsidRDefault="00350904" w:rsidP="00350904">
      <w:pPr>
        <w:pStyle w:val="ListParagraph"/>
        <w:spacing w:before="240" w:after="200" w:line="360" w:lineRule="auto"/>
        <w:ind w:left="360"/>
        <w:rPr>
          <w:u w:val="single"/>
        </w:rPr>
      </w:pPr>
    </w:p>
    <w:p w:rsidR="00350904" w:rsidRDefault="00A21CE0" w:rsidP="00350904">
      <w:pPr>
        <w:pStyle w:val="ListParagraph"/>
        <w:spacing w:before="240" w:after="200" w:line="360" w:lineRule="auto"/>
        <w:ind w:left="360"/>
      </w:pPr>
      <m:oMathPara>
        <m:oMath>
          <m:r>
            <w:rPr>
              <w:rFonts w:ascii="Cambria Math" w:hAnsi="Cambria Math"/>
            </w:rPr>
            <m:t>PFV=A-L-CA+CL</m:t>
          </m:r>
        </m:oMath>
      </m:oMathPara>
    </w:p>
    <w:p w:rsidR="00350904" w:rsidRDefault="00350904" w:rsidP="00350904">
      <w:pPr>
        <w:pStyle w:val="ListParagraph"/>
        <w:spacing w:before="240" w:after="200" w:line="360" w:lineRule="auto"/>
        <w:ind w:left="360"/>
      </w:pPr>
    </w:p>
    <w:p w:rsidR="00350904" w:rsidRDefault="00A21CE0" w:rsidP="00350904">
      <w:pPr>
        <w:pStyle w:val="ListParagraph"/>
        <w:spacing w:before="240" w:after="200" w:line="360" w:lineRule="auto"/>
        <w:ind w:left="360"/>
      </w:pPr>
      <w:r>
        <w:t>and</w:t>
      </w:r>
    </w:p>
    <w:p w:rsidR="00350904" w:rsidRDefault="00350904" w:rsidP="00350904">
      <w:pPr>
        <w:pStyle w:val="ListParagraph"/>
        <w:spacing w:before="240" w:after="200" w:line="360" w:lineRule="auto"/>
        <w:ind w:left="360"/>
      </w:pPr>
    </w:p>
    <w:p w:rsidR="00350904" w:rsidRDefault="00A21CE0" w:rsidP="00350904">
      <w:pPr>
        <w:pStyle w:val="ListParagraph"/>
        <w:spacing w:before="240" w:after="200" w:line="360" w:lineRule="auto"/>
        <w:ind w:left="360"/>
      </w:pPr>
      <m:oMathPara>
        <m:oMath>
          <m:r>
            <w:rPr>
              <w:rFonts w:ascii="Cambria Math" w:hAnsi="Cambria Math"/>
            </w:rPr>
            <m:t>CET1=Equity-CL=Cash+A-CA-L</m:t>
          </m:r>
        </m:oMath>
      </m:oMathPara>
    </w:p>
    <w:p w:rsidR="00350904" w:rsidRDefault="00350904" w:rsidP="00350904">
      <w:pPr>
        <w:pStyle w:val="ListParagraph"/>
        <w:spacing w:before="240" w:after="200" w:line="360" w:lineRule="auto"/>
        <w:ind w:left="360"/>
      </w:pPr>
    </w:p>
    <w:p w:rsidR="00A21CE0" w:rsidRPr="00350904" w:rsidRDefault="00A21CE0" w:rsidP="00350904">
      <w:pPr>
        <w:pStyle w:val="ListParagraph"/>
        <w:spacing w:before="240" w:after="200" w:line="360" w:lineRule="auto"/>
        <w:ind w:left="360"/>
        <w:rPr>
          <w:i/>
        </w:rPr>
      </w:pPr>
      <w:r>
        <w:t xml:space="preserve">Note that the </w:t>
      </w:r>
      <m:oMath>
        <m:r>
          <w:rPr>
            <w:rFonts w:ascii="Cambria Math" w:hAnsi="Cambria Math"/>
          </w:rPr>
          <m:t>DVA</m:t>
        </m:r>
      </m:oMath>
      <w:r>
        <w:t xml:space="preserve"> entries in the table for the FCA/FBA and the FVA/FDA methods are unilateral (</w:t>
      </w:r>
      <m:oMath>
        <m:r>
          <w:rPr>
            <w:rFonts w:ascii="Cambria Math" w:hAnsi="Cambria Math"/>
          </w:rPr>
          <m:t>UDVA</m:t>
        </m:r>
      </m:oMath>
      <w:r>
        <w:t>) and bilateral (</w:t>
      </w:r>
      <m:oMath>
        <m:r>
          <w:rPr>
            <w:rFonts w:ascii="Cambria Math" w:hAnsi="Cambria Math"/>
          </w:rPr>
          <m:t>FTDDVA</m:t>
        </m:r>
      </m:oMath>
      <w:r>
        <w:t>) respectively.</w:t>
      </w:r>
    </w:p>
    <w:p w:rsidR="00350904" w:rsidRPr="00350904" w:rsidRDefault="00350904" w:rsidP="008835EB">
      <w:pPr>
        <w:pStyle w:val="ListParagraph"/>
        <w:numPr>
          <w:ilvl w:val="0"/>
          <w:numId w:val="213"/>
        </w:numPr>
        <w:spacing w:before="240" w:after="200" w:line="360" w:lineRule="auto"/>
        <w:rPr>
          <w:i/>
        </w:rPr>
      </w:pPr>
      <w:r>
        <w:rPr>
          <w:u w:val="single"/>
        </w:rPr>
        <w:t>FCA/FBA FVA/FDA CA and CL</w:t>
      </w:r>
      <w:r>
        <w:t>:</w:t>
      </w:r>
    </w:p>
    <w:tbl>
      <w:tblPr>
        <w:tblStyle w:val="TableGrid"/>
        <w:tblW w:w="0" w:type="auto"/>
        <w:tblLook w:val="04A0" w:firstRow="1" w:lastRow="0" w:firstColumn="1" w:lastColumn="0" w:noHBand="0" w:noVBand="1"/>
      </w:tblPr>
      <w:tblGrid>
        <w:gridCol w:w="1728"/>
        <w:gridCol w:w="4656"/>
        <w:gridCol w:w="3192"/>
      </w:tblGrid>
      <w:tr w:rsidR="00350904" w:rsidTr="00350904">
        <w:tc>
          <w:tcPr>
            <w:tcW w:w="1728" w:type="dxa"/>
            <w:vAlign w:val="center"/>
          </w:tcPr>
          <w:p w:rsidR="00350904" w:rsidRDefault="00350904" w:rsidP="00350904">
            <w:pPr>
              <w:spacing w:before="240" w:after="200" w:line="360" w:lineRule="auto"/>
              <w:jc w:val="center"/>
            </w:pPr>
          </w:p>
        </w:tc>
        <w:tc>
          <w:tcPr>
            <w:tcW w:w="4656" w:type="dxa"/>
            <w:vAlign w:val="center"/>
          </w:tcPr>
          <w:p w:rsidR="00350904" w:rsidRPr="00350904" w:rsidRDefault="00350904" w:rsidP="00350904">
            <w:pPr>
              <w:spacing w:before="240" w:after="200" w:line="360" w:lineRule="auto"/>
              <w:jc w:val="center"/>
              <w:rPr>
                <w:b/>
              </w:rPr>
            </w:pPr>
            <w:r w:rsidRPr="00350904">
              <w:rPr>
                <w:b/>
              </w:rPr>
              <w:t>CA Adjustment</w:t>
            </w:r>
          </w:p>
        </w:tc>
        <w:tc>
          <w:tcPr>
            <w:tcW w:w="3192" w:type="dxa"/>
            <w:vAlign w:val="center"/>
          </w:tcPr>
          <w:p w:rsidR="00350904" w:rsidRPr="00350904" w:rsidRDefault="00350904" w:rsidP="00350904">
            <w:pPr>
              <w:spacing w:before="240" w:after="200" w:line="360" w:lineRule="auto"/>
              <w:jc w:val="center"/>
              <w:rPr>
                <w:b/>
              </w:rPr>
            </w:pPr>
            <w:r w:rsidRPr="00350904">
              <w:rPr>
                <w:b/>
              </w:rPr>
              <w:t>CL Adjustment</w:t>
            </w:r>
          </w:p>
        </w:tc>
      </w:tr>
      <w:tr w:rsidR="00350904" w:rsidTr="00350904">
        <w:tc>
          <w:tcPr>
            <w:tcW w:w="1728" w:type="dxa"/>
            <w:vAlign w:val="center"/>
          </w:tcPr>
          <w:p w:rsidR="00350904" w:rsidRPr="00350904" w:rsidRDefault="00350904" w:rsidP="00350904">
            <w:pPr>
              <w:spacing w:before="240" w:after="200" w:line="360" w:lineRule="auto"/>
              <w:jc w:val="center"/>
              <w:rPr>
                <w:b/>
              </w:rPr>
            </w:pPr>
            <w:r w:rsidRPr="00350904">
              <w:rPr>
                <w:b/>
              </w:rPr>
              <w:t>FVA/FDA</w:t>
            </w:r>
          </w:p>
        </w:tc>
        <w:tc>
          <w:tcPr>
            <w:tcW w:w="4656" w:type="dxa"/>
            <w:vAlign w:val="center"/>
          </w:tcPr>
          <w:p w:rsidR="00350904" w:rsidRDefault="00350904" w:rsidP="00350904">
            <w:pPr>
              <w:spacing w:before="240" w:after="200" w:line="360" w:lineRule="auto"/>
              <w:jc w:val="center"/>
            </w:pPr>
            <m:oMathPara>
              <m:oMath>
                <m:r>
                  <w:rPr>
                    <w:rFonts w:ascii="Cambria Math" w:hAnsi="Cambria Math"/>
                  </w:rPr>
                  <m:t>UCVA+FVA</m:t>
                </m:r>
              </m:oMath>
            </m:oMathPara>
          </w:p>
        </w:tc>
        <w:tc>
          <w:tcPr>
            <w:tcW w:w="3192" w:type="dxa"/>
            <w:vAlign w:val="center"/>
          </w:tcPr>
          <w:p w:rsidR="00350904" w:rsidRDefault="005D6A21" w:rsidP="00350904">
            <w:pPr>
              <w:spacing w:before="240" w:after="200"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+FTDDVA+FDA</m:t>
                </m:r>
              </m:oMath>
            </m:oMathPara>
          </w:p>
        </w:tc>
      </w:tr>
      <w:tr w:rsidR="00350904" w:rsidTr="00350904">
        <w:tc>
          <w:tcPr>
            <w:tcW w:w="1728" w:type="dxa"/>
            <w:vAlign w:val="center"/>
          </w:tcPr>
          <w:p w:rsidR="00350904" w:rsidRPr="00350904" w:rsidRDefault="00350904" w:rsidP="00350904">
            <w:pPr>
              <w:spacing w:before="240" w:after="200" w:line="360" w:lineRule="auto"/>
              <w:jc w:val="center"/>
              <w:rPr>
                <w:b/>
              </w:rPr>
            </w:pPr>
            <w:r w:rsidRPr="00350904">
              <w:rPr>
                <w:b/>
              </w:rPr>
              <w:t>FCA/FBA</w:t>
            </w:r>
          </w:p>
        </w:tc>
        <w:tc>
          <w:tcPr>
            <w:tcW w:w="4656" w:type="dxa"/>
            <w:vAlign w:val="center"/>
          </w:tcPr>
          <w:p w:rsidR="00350904" w:rsidRDefault="00350904" w:rsidP="00350904">
            <w:pPr>
              <w:spacing w:before="240" w:after="200" w:line="360" w:lineRule="auto"/>
              <w:jc w:val="center"/>
            </w:pPr>
            <m:oMathPara>
              <m:oMath>
                <m:r>
                  <w:rPr>
                    <w:rFonts w:ascii="Cambria Math" w:hAnsi="Cambria Math"/>
                  </w:rPr>
                  <m:t>UCVA+FCA-FBA+UDVA</m:t>
                </m:r>
              </m:oMath>
            </m:oMathPara>
          </w:p>
        </w:tc>
        <w:tc>
          <w:tcPr>
            <w:tcW w:w="3192" w:type="dxa"/>
            <w:vAlign w:val="center"/>
          </w:tcPr>
          <w:p w:rsidR="00350904" w:rsidRDefault="00350904" w:rsidP="00350904">
            <w:pPr>
              <w:spacing w:before="240" w:after="200" w:line="360" w:lineRule="auto"/>
              <w:jc w:val="center"/>
            </w:pPr>
            <m:oMathPara>
              <m:oMath>
                <m:r>
                  <w:rPr>
                    <w:rFonts w:ascii="Cambria Math" w:hAnsi="Cambria Math"/>
                  </w:rPr>
                  <m:t>UDVA</m:t>
                </m:r>
              </m:oMath>
            </m:oMathPara>
          </w:p>
        </w:tc>
      </w:tr>
    </w:tbl>
    <w:p w:rsidR="00350904" w:rsidRPr="00350904" w:rsidRDefault="00350904" w:rsidP="00350904">
      <w:pPr>
        <w:spacing w:before="240" w:after="200" w:line="360" w:lineRule="auto"/>
      </w:pPr>
    </w:p>
    <w:p w:rsidR="0054675B" w:rsidRDefault="0054675B" w:rsidP="008D5CAB">
      <w:pPr>
        <w:spacing w:after="200" w:line="360" w:lineRule="auto"/>
      </w:pPr>
    </w:p>
    <w:p w:rsidR="00AF621C" w:rsidRDefault="00AF621C" w:rsidP="008D5CAB">
      <w:pPr>
        <w:spacing w:after="200" w:line="360" w:lineRule="auto"/>
      </w:pPr>
    </w:p>
    <w:p w:rsidR="00AF621C" w:rsidRPr="00AF621C" w:rsidRDefault="00AF621C" w:rsidP="00AF621C">
      <w:pPr>
        <w:spacing w:after="200" w:line="360" w:lineRule="auto"/>
        <w:rPr>
          <w:b/>
        </w:rPr>
      </w:pPr>
      <w:r>
        <w:rPr>
          <w:b/>
        </w:rPr>
        <w:t>References</w:t>
      </w:r>
    </w:p>
    <w:p w:rsidR="00AF621C" w:rsidRDefault="00AF621C" w:rsidP="00AF621C">
      <w:pPr>
        <w:spacing w:after="200" w:line="360" w:lineRule="auto"/>
      </w:pPr>
    </w:p>
    <w:p w:rsidR="00AF621C" w:rsidRDefault="00AF621C" w:rsidP="00AF621C">
      <w:pPr>
        <w:pStyle w:val="Footer"/>
        <w:numPr>
          <w:ilvl w:val="0"/>
          <w:numId w:val="1"/>
        </w:numPr>
        <w:tabs>
          <w:tab w:val="clear" w:pos="4320"/>
          <w:tab w:val="clear" w:pos="8640"/>
        </w:tabs>
        <w:spacing w:line="360" w:lineRule="auto"/>
      </w:pPr>
      <w:r>
        <w:t xml:space="preserve">Albanese, C., and L. Andersen (2014): </w:t>
      </w:r>
      <w:hyperlink r:id="rId69" w:history="1">
        <w:r>
          <w:rPr>
            <w:rStyle w:val="Hyperlink"/>
          </w:rPr>
          <w:t>Accounting for OTC Derivatives: Funding Adjustments and the Re-Hypothecation Option</w:t>
        </w:r>
      </w:hyperlink>
      <w:r>
        <w:t xml:space="preserve"> </w:t>
      </w:r>
      <w:r>
        <w:rPr>
          <w:b/>
          <w:bCs/>
        </w:rPr>
        <w:t>eSSRN</w:t>
      </w:r>
      <w:r>
        <w:t>.</w:t>
      </w:r>
    </w:p>
    <w:p w:rsidR="008D5CAB" w:rsidRDefault="008D5CAB" w:rsidP="008D5CAB">
      <w:pPr>
        <w:pStyle w:val="Footer"/>
        <w:numPr>
          <w:ilvl w:val="0"/>
          <w:numId w:val="1"/>
        </w:numPr>
        <w:tabs>
          <w:tab w:val="clear" w:pos="4320"/>
          <w:tab w:val="clear" w:pos="8640"/>
        </w:tabs>
        <w:spacing w:line="360" w:lineRule="auto"/>
      </w:pPr>
      <w:r>
        <w:t xml:space="preserve">Albanese, C., L. Andersen, and S. Iabichino (2014): </w:t>
      </w:r>
      <w:hyperlink r:id="rId70" w:history="1">
        <w:r>
          <w:rPr>
            <w:rStyle w:val="Hyperlink"/>
          </w:rPr>
          <w:t>The FVA Puzzle: Accounting, Risk Management, and Collateral Trading</w:t>
        </w:r>
      </w:hyperlink>
      <w:r>
        <w:t xml:space="preserve"> </w:t>
      </w:r>
      <w:r>
        <w:rPr>
          <w:b/>
          <w:bCs/>
        </w:rPr>
        <w:t>eSSRN</w:t>
      </w:r>
      <w:r>
        <w:t>.</w:t>
      </w:r>
    </w:p>
    <w:p w:rsidR="00FA089C" w:rsidRDefault="00FA089C" w:rsidP="008D5CAB">
      <w:pPr>
        <w:pStyle w:val="Footer"/>
        <w:numPr>
          <w:ilvl w:val="0"/>
          <w:numId w:val="1"/>
        </w:numPr>
        <w:tabs>
          <w:tab w:val="clear" w:pos="4320"/>
          <w:tab w:val="clear" w:pos="8640"/>
        </w:tabs>
        <w:spacing w:line="360" w:lineRule="auto"/>
      </w:pPr>
      <w:r>
        <w:t xml:space="preserve">BCBS (2012): Consultative Document: Application of Own Credit Risk Adjustments to Derivatives </w:t>
      </w:r>
      <w:r>
        <w:rPr>
          <w:i/>
        </w:rPr>
        <w:t>Basel Committee on Bank Supervision</w:t>
      </w:r>
      <w:r>
        <w:t>.</w:t>
      </w:r>
    </w:p>
    <w:p w:rsidR="00DE3602" w:rsidRPr="004D1639" w:rsidRDefault="00DE3602" w:rsidP="00DE3602">
      <w:pPr>
        <w:pStyle w:val="Footer"/>
        <w:numPr>
          <w:ilvl w:val="0"/>
          <w:numId w:val="1"/>
        </w:numPr>
        <w:tabs>
          <w:tab w:val="clear" w:pos="4320"/>
          <w:tab w:val="clear" w:pos="8640"/>
        </w:tabs>
        <w:spacing w:line="360" w:lineRule="auto"/>
      </w:pPr>
      <w:r>
        <w:t>Burgard, C., and M. Kjaer (2011</w:t>
      </w:r>
      <w:r w:rsidRPr="004D1639">
        <w:t xml:space="preserve">): In the Balance </w:t>
      </w:r>
      <w:r w:rsidRPr="004F0A0D">
        <w:rPr>
          <w:i/>
        </w:rPr>
        <w:t>Risk</w:t>
      </w:r>
      <w:r w:rsidRPr="004D1639">
        <w:t xml:space="preserve"> </w:t>
      </w:r>
      <w:r w:rsidRPr="004D1639">
        <w:rPr>
          <w:b/>
        </w:rPr>
        <w:t>24 (11)</w:t>
      </w:r>
      <w:r w:rsidRPr="004D1639">
        <w:t xml:space="preserve"> 72-75.</w:t>
      </w:r>
    </w:p>
    <w:p w:rsidR="00DE3602" w:rsidRDefault="00DE3602" w:rsidP="00DE3602">
      <w:pPr>
        <w:pStyle w:val="Footer"/>
        <w:numPr>
          <w:ilvl w:val="0"/>
          <w:numId w:val="1"/>
        </w:numPr>
        <w:tabs>
          <w:tab w:val="clear" w:pos="4320"/>
          <w:tab w:val="clear" w:pos="8640"/>
        </w:tabs>
        <w:spacing w:line="360" w:lineRule="auto"/>
      </w:pPr>
      <w:r w:rsidRPr="004F0A0D">
        <w:t>Burgard, C., and M. Kjaer (2013): Funding Costs, Funding Strategies</w:t>
      </w:r>
      <w:r w:rsidRPr="004F0A0D">
        <w:rPr>
          <w:i/>
        </w:rPr>
        <w:t xml:space="preserve"> Risk</w:t>
      </w:r>
      <w:r w:rsidRPr="004F0A0D">
        <w:t xml:space="preserve"> </w:t>
      </w:r>
      <w:r w:rsidRPr="004D1639">
        <w:rPr>
          <w:b/>
        </w:rPr>
        <w:t>2</w:t>
      </w:r>
      <w:r>
        <w:rPr>
          <w:b/>
        </w:rPr>
        <w:t>6</w:t>
      </w:r>
      <w:r w:rsidRPr="004D1639">
        <w:rPr>
          <w:b/>
        </w:rPr>
        <w:t xml:space="preserve"> (1</w:t>
      </w:r>
      <w:r>
        <w:rPr>
          <w:b/>
        </w:rPr>
        <w:t>2</w:t>
      </w:r>
      <w:r w:rsidRPr="004D1639">
        <w:rPr>
          <w:b/>
        </w:rPr>
        <w:t>)</w:t>
      </w:r>
      <w:r w:rsidRPr="004D1639">
        <w:t xml:space="preserve"> </w:t>
      </w:r>
      <w:r w:rsidRPr="004F0A0D">
        <w:t>82-87.</w:t>
      </w:r>
    </w:p>
    <w:p w:rsidR="00245BBE" w:rsidRDefault="00245BBE" w:rsidP="00245BBE">
      <w:pPr>
        <w:pStyle w:val="Footer"/>
        <w:numPr>
          <w:ilvl w:val="0"/>
          <w:numId w:val="1"/>
        </w:numPr>
        <w:tabs>
          <w:tab w:val="clear" w:pos="4320"/>
          <w:tab w:val="clear" w:pos="8640"/>
        </w:tabs>
        <w:spacing w:line="360" w:lineRule="auto"/>
      </w:pPr>
      <w:r>
        <w:t>Cameron, M</w:t>
      </w:r>
      <w:r w:rsidR="003B7B18">
        <w:t>.</w:t>
      </w:r>
      <w:r>
        <w:t xml:space="preserve"> (2013): The Black Art of FVA</w:t>
      </w:r>
      <w:r w:rsidRPr="004F0A0D">
        <w:rPr>
          <w:i/>
        </w:rPr>
        <w:t xml:space="preserve"> Risk</w:t>
      </w:r>
      <w:r w:rsidRPr="004F0A0D">
        <w:t xml:space="preserve"> </w:t>
      </w:r>
      <w:r w:rsidRPr="004D1639">
        <w:rPr>
          <w:b/>
        </w:rPr>
        <w:t>2</w:t>
      </w:r>
      <w:r>
        <w:rPr>
          <w:b/>
        </w:rPr>
        <w:t>6</w:t>
      </w:r>
      <w:r w:rsidRPr="004D1639">
        <w:rPr>
          <w:b/>
        </w:rPr>
        <w:t xml:space="preserve"> (</w:t>
      </w:r>
      <w:r>
        <w:rPr>
          <w:b/>
        </w:rPr>
        <w:t>3</w:t>
      </w:r>
      <w:r w:rsidRPr="004D1639">
        <w:rPr>
          <w:b/>
        </w:rPr>
        <w:t>)</w:t>
      </w:r>
      <w:r w:rsidRPr="004D1639">
        <w:t xml:space="preserve"> </w:t>
      </w:r>
      <w:r w:rsidRPr="004F0A0D">
        <w:t>82-87.</w:t>
      </w:r>
    </w:p>
    <w:p w:rsidR="00FA089C" w:rsidRPr="004F0A0D" w:rsidRDefault="00FA089C" w:rsidP="00245BBE">
      <w:pPr>
        <w:pStyle w:val="Footer"/>
        <w:numPr>
          <w:ilvl w:val="0"/>
          <w:numId w:val="1"/>
        </w:numPr>
        <w:tabs>
          <w:tab w:val="clear" w:pos="4320"/>
          <w:tab w:val="clear" w:pos="8640"/>
        </w:tabs>
        <w:spacing w:line="360" w:lineRule="auto"/>
      </w:pPr>
      <w:r>
        <w:t xml:space="preserve">Federal Register (2014): </w:t>
      </w:r>
      <w:r w:rsidR="006B44A4">
        <w:rPr>
          <w:i/>
        </w:rPr>
        <w:t>Rules and Regulations</w:t>
      </w:r>
      <w:r w:rsidR="006B44A4">
        <w:t xml:space="preserve"> </w:t>
      </w:r>
      <w:r w:rsidR="006B44A4">
        <w:rPr>
          <w:b/>
        </w:rPr>
        <w:t>79</w:t>
      </w:r>
      <w:r w:rsidR="006B44A4">
        <w:t>.</w:t>
      </w:r>
    </w:p>
    <w:p w:rsidR="00AB4193" w:rsidRDefault="00AB4193" w:rsidP="00AB4193">
      <w:pPr>
        <w:pStyle w:val="Footer"/>
        <w:numPr>
          <w:ilvl w:val="0"/>
          <w:numId w:val="1"/>
        </w:numPr>
        <w:tabs>
          <w:tab w:val="clear" w:pos="4320"/>
          <w:tab w:val="clear" w:pos="8640"/>
        </w:tabs>
        <w:spacing w:line="360" w:lineRule="auto"/>
      </w:pPr>
      <w:r>
        <w:t>Hull</w:t>
      </w:r>
      <w:r w:rsidRPr="004F0A0D">
        <w:t xml:space="preserve">, </w:t>
      </w:r>
      <w:r>
        <w:t>J</w:t>
      </w:r>
      <w:r w:rsidRPr="004F0A0D">
        <w:t xml:space="preserve">., and </w:t>
      </w:r>
      <w:r>
        <w:t>A</w:t>
      </w:r>
      <w:r w:rsidRPr="004F0A0D">
        <w:t xml:space="preserve">. </w:t>
      </w:r>
      <w:r>
        <w:t>White</w:t>
      </w:r>
      <w:r w:rsidRPr="004F0A0D">
        <w:t xml:space="preserve"> (201</w:t>
      </w:r>
      <w:r>
        <w:t>2</w:t>
      </w:r>
      <w:r w:rsidRPr="004F0A0D">
        <w:t xml:space="preserve">): </w:t>
      </w:r>
      <w:r>
        <w:t>The FVA Debate</w:t>
      </w:r>
      <w:r w:rsidRPr="004F0A0D">
        <w:rPr>
          <w:i/>
        </w:rPr>
        <w:t xml:space="preserve"> Risk</w:t>
      </w:r>
      <w:r w:rsidRPr="004F0A0D">
        <w:t xml:space="preserve"> </w:t>
      </w:r>
      <w:r w:rsidRPr="004D1639">
        <w:rPr>
          <w:b/>
        </w:rPr>
        <w:t>2</w:t>
      </w:r>
      <w:r>
        <w:rPr>
          <w:b/>
        </w:rPr>
        <w:t>5</w:t>
      </w:r>
      <w:r w:rsidRPr="004D1639">
        <w:rPr>
          <w:b/>
        </w:rPr>
        <w:t xml:space="preserve"> (</w:t>
      </w:r>
      <w:r>
        <w:rPr>
          <w:b/>
        </w:rPr>
        <w:t>8</w:t>
      </w:r>
      <w:r w:rsidRPr="004D1639">
        <w:rPr>
          <w:b/>
        </w:rPr>
        <w:t>)</w:t>
      </w:r>
      <w:r w:rsidRPr="004D1639">
        <w:t xml:space="preserve"> </w:t>
      </w:r>
      <w:r w:rsidRPr="004F0A0D">
        <w:t>8</w:t>
      </w:r>
      <w:r>
        <w:t>3</w:t>
      </w:r>
      <w:r w:rsidRPr="004F0A0D">
        <w:t>-8</w:t>
      </w:r>
      <w:r>
        <w:t>5</w:t>
      </w:r>
      <w:r w:rsidRPr="004F0A0D">
        <w:t>.</w:t>
      </w:r>
    </w:p>
    <w:p w:rsidR="00CB178E" w:rsidRDefault="00CB178E">
      <w:pPr>
        <w:spacing w:after="200" w:line="276" w:lineRule="auto"/>
      </w:pPr>
      <w:r>
        <w:br w:type="page"/>
      </w:r>
    </w:p>
    <w:p w:rsidR="00040E92" w:rsidRDefault="00040E92" w:rsidP="00CB178E">
      <w:pPr>
        <w:spacing w:line="360" w:lineRule="auto"/>
      </w:pPr>
    </w:p>
    <w:p w:rsidR="00DA35A3" w:rsidRPr="00040E92" w:rsidRDefault="00040E92" w:rsidP="00040E92">
      <w:pPr>
        <w:spacing w:line="360" w:lineRule="auto"/>
        <w:jc w:val="center"/>
        <w:rPr>
          <w:b/>
          <w:sz w:val="32"/>
          <w:szCs w:val="32"/>
        </w:rPr>
      </w:pPr>
      <w:r>
        <w:rPr>
          <w:b/>
          <w:sz w:val="32"/>
          <w:szCs w:val="32"/>
        </w:rPr>
        <w:t>Derivatives Funding, Netting, and Accounting</w:t>
      </w:r>
    </w:p>
    <w:p w:rsidR="00CB178E" w:rsidRDefault="00CB178E" w:rsidP="00CB178E">
      <w:pPr>
        <w:spacing w:line="360" w:lineRule="auto"/>
      </w:pPr>
    </w:p>
    <w:p w:rsidR="00CB178E" w:rsidRDefault="00CB178E" w:rsidP="00CB178E">
      <w:pPr>
        <w:spacing w:line="360" w:lineRule="auto"/>
      </w:pPr>
    </w:p>
    <w:p w:rsidR="00CB178E" w:rsidRPr="00040E92" w:rsidRDefault="00CB178E" w:rsidP="00CB178E">
      <w:pPr>
        <w:spacing w:line="360" w:lineRule="auto"/>
        <w:rPr>
          <w:b/>
          <w:sz w:val="28"/>
          <w:szCs w:val="28"/>
        </w:rPr>
      </w:pPr>
      <w:r w:rsidRPr="00040E92">
        <w:rPr>
          <w:b/>
          <w:sz w:val="28"/>
          <w:szCs w:val="28"/>
        </w:rPr>
        <w:t>Introduction</w:t>
      </w:r>
      <w:r w:rsidR="00040E92">
        <w:rPr>
          <w:b/>
          <w:sz w:val="28"/>
          <w:szCs w:val="28"/>
        </w:rPr>
        <w:t>, Motivation, Scope, and Synopsis</w:t>
      </w:r>
    </w:p>
    <w:p w:rsidR="00CB178E" w:rsidRDefault="00CB178E" w:rsidP="00CB178E">
      <w:pPr>
        <w:spacing w:line="360" w:lineRule="auto"/>
      </w:pPr>
    </w:p>
    <w:p w:rsidR="00CB178E" w:rsidRDefault="00040E92" w:rsidP="00D83552">
      <w:pPr>
        <w:pStyle w:val="ListParagraph"/>
        <w:numPr>
          <w:ilvl w:val="0"/>
          <w:numId w:val="106"/>
        </w:numPr>
        <w:spacing w:line="360" w:lineRule="auto"/>
      </w:pPr>
      <w:r w:rsidRPr="00040E92">
        <w:rPr>
          <w:u w:val="single"/>
        </w:rPr>
        <w:t>Portfolio Counterparty and Funding</w:t>
      </w:r>
      <w:r>
        <w:t>: This chapter expands the previous replication results for economic value of derivatives including funding costs and counter party risk into several counter parties and netting sets. It also identifies the specific funding and replication strategy that corresponds to a popular accounting and pricing proposal</w:t>
      </w:r>
      <w:r w:rsidR="004F0A0D">
        <w:t xml:space="preserve"> (Burgard and Kjaer (2015))</w:t>
      </w:r>
      <w:r>
        <w:t>.</w:t>
      </w:r>
    </w:p>
    <w:p w:rsidR="00040E92" w:rsidRDefault="00040E92" w:rsidP="00D83552">
      <w:pPr>
        <w:pStyle w:val="ListParagraph"/>
        <w:numPr>
          <w:ilvl w:val="0"/>
          <w:numId w:val="106"/>
        </w:numPr>
        <w:spacing w:line="360" w:lineRule="auto"/>
      </w:pPr>
      <w:r>
        <w:rPr>
          <w:u w:val="single"/>
        </w:rPr>
        <w:t>Asymmetry of the Accounting Proposal</w:t>
      </w:r>
      <w:r w:rsidRPr="00040E92">
        <w:t>:</w:t>
      </w:r>
      <w:r>
        <w:t xml:space="preserve"> The resulting strategy is asymmetric in that the negative net cash of the derivatives portfolio is funded at the funding rate, whereas the positive net cash is invested at the risk free rate. This asymmetry makes the funding cost adjustments non-additive across the netting sets.</w:t>
      </w:r>
    </w:p>
    <w:p w:rsidR="00040E92" w:rsidRDefault="00040E92" w:rsidP="00D83552">
      <w:pPr>
        <w:pStyle w:val="ListParagraph"/>
        <w:numPr>
          <w:ilvl w:val="0"/>
          <w:numId w:val="106"/>
        </w:numPr>
        <w:spacing w:line="360" w:lineRule="auto"/>
      </w:pPr>
      <w:r>
        <w:rPr>
          <w:u w:val="single"/>
        </w:rPr>
        <w:t>Symmetric Funding Transfer Mechanism Strategies</w:t>
      </w:r>
      <w:r w:rsidRPr="00040E92">
        <w:t>:</w:t>
      </w:r>
      <w:r>
        <w:t xml:space="preserve"> In contrast, funding transfer mechanisms that recycle positive cash for other funding purposes enable symmetric funding strategies, resulting in additive adjustments across funding sets. </w:t>
      </w:r>
      <w:r w:rsidR="00606910">
        <w:t>These can generate a higher economic value over the life of the trade than the one accounted for under the proposed methodology.</w:t>
      </w:r>
    </w:p>
    <w:p w:rsidR="00606910" w:rsidRDefault="00606910" w:rsidP="00606910">
      <w:pPr>
        <w:spacing w:line="360" w:lineRule="auto"/>
      </w:pPr>
    </w:p>
    <w:p w:rsidR="00606910" w:rsidRDefault="00606910" w:rsidP="00606910">
      <w:pPr>
        <w:spacing w:line="360" w:lineRule="auto"/>
      </w:pPr>
    </w:p>
    <w:p w:rsidR="00606910" w:rsidRPr="00606910" w:rsidRDefault="00606910" w:rsidP="00606910">
      <w:pPr>
        <w:spacing w:line="360" w:lineRule="auto"/>
        <w:rPr>
          <w:b/>
          <w:sz w:val="32"/>
          <w:szCs w:val="32"/>
        </w:rPr>
      </w:pPr>
      <w:r w:rsidRPr="00606910">
        <w:rPr>
          <w:b/>
          <w:sz w:val="32"/>
          <w:szCs w:val="32"/>
        </w:rPr>
        <w:t>Model Setup and Asset Dynamics</w:t>
      </w:r>
    </w:p>
    <w:p w:rsidR="00606910" w:rsidRDefault="00606910" w:rsidP="00606910">
      <w:pPr>
        <w:spacing w:line="360" w:lineRule="auto"/>
      </w:pPr>
    </w:p>
    <w:p w:rsidR="00606910" w:rsidRDefault="00606910" w:rsidP="00D83552">
      <w:pPr>
        <w:pStyle w:val="ListParagraph"/>
        <w:numPr>
          <w:ilvl w:val="0"/>
          <w:numId w:val="107"/>
        </w:numPr>
        <w:spacing w:line="360" w:lineRule="auto"/>
      </w:pPr>
      <w:r w:rsidRPr="00606910">
        <w:rPr>
          <w:u w:val="single"/>
        </w:rPr>
        <w:t>Albanese and Andersen (2014) Accounting Approach</w:t>
      </w:r>
      <w:r>
        <w:t>: In their paper, Albanese and Andersen (2014) discuss how to account for the OTC derivatives with funding costs and counter party risks in a way that is consistent with general accounting principles. This is an important contribution to the debate around funding value adjustments.</w:t>
      </w:r>
    </w:p>
    <w:p w:rsidR="007C472E" w:rsidRDefault="007C472E" w:rsidP="00D83552">
      <w:pPr>
        <w:pStyle w:val="ListParagraph"/>
        <w:numPr>
          <w:ilvl w:val="0"/>
          <w:numId w:val="107"/>
        </w:numPr>
        <w:spacing w:line="360" w:lineRule="auto"/>
      </w:pPr>
      <w:r>
        <w:rPr>
          <w:u w:val="single"/>
        </w:rPr>
        <w:t>Contra Asset and Contra Liability</w:t>
      </w:r>
      <w:r w:rsidRPr="007C472E">
        <w:t>:</w:t>
      </w:r>
      <w:r>
        <w:t xml:space="preserve"> Albanese and Andersen (2014) propose contra-asset and contra-liability terms related to counter party and funding costs that account for a total </w:t>
      </w:r>
      <w:r>
        <w:lastRenderedPageBreak/>
        <w:t>enterprise value to the shareholders and the bondholders that is consistent with the Modigliani-Miller Theorem.</w:t>
      </w:r>
    </w:p>
    <w:p w:rsidR="007C472E" w:rsidRDefault="007C472E" w:rsidP="00D83552">
      <w:pPr>
        <w:pStyle w:val="ListParagraph"/>
        <w:numPr>
          <w:ilvl w:val="0"/>
          <w:numId w:val="107"/>
        </w:numPr>
        <w:spacing w:line="360" w:lineRule="auto"/>
      </w:pPr>
      <w:r>
        <w:rPr>
          <w:u w:val="single"/>
        </w:rPr>
        <w:t>CET1 Enhancement Policy for the FTP</w:t>
      </w:r>
      <w:r w:rsidRPr="007C472E">
        <w:t>:</w:t>
      </w:r>
      <w:r>
        <w:t xml:space="preserve"> They also propose a funds transfer policy for the derivatives that keeps the Core Equity Tier 1 (CET1) constant when adding new derivatives to the book, resulting in a funding cost adjustment being applied to the price.</w:t>
      </w:r>
    </w:p>
    <w:p w:rsidR="007C472E" w:rsidRDefault="007C472E" w:rsidP="00D83552">
      <w:pPr>
        <w:pStyle w:val="ListParagraph"/>
        <w:numPr>
          <w:ilvl w:val="0"/>
          <w:numId w:val="107"/>
        </w:numPr>
        <w:spacing w:line="360" w:lineRule="auto"/>
      </w:pPr>
      <w:r>
        <w:rPr>
          <w:u w:val="single"/>
        </w:rPr>
        <w:t>Funding Strategy Impact on CET1</w:t>
      </w:r>
      <w:r w:rsidRPr="007C472E">
        <w:t>:</w:t>
      </w:r>
      <w:r>
        <w:t xml:space="preserve"> Burgard and Kjaer (201</w:t>
      </w:r>
      <w:r w:rsidR="00BC2EF5">
        <w:t>3</w:t>
      </w:r>
      <w:r>
        <w:t>) have shown that different funding strategies correspond to different economic value to the shareholders. So what funding strategy would generate an economic value to the shareholder over the life of the trading book that corresponds to the price that keeps the CET1 constant under the accounting methodology proposed by Albanese and Andersen (2014)? And what happens if a different funding strategy is followed?</w:t>
      </w:r>
    </w:p>
    <w:p w:rsidR="00BC2EF5" w:rsidRDefault="00BC2EF5" w:rsidP="00D83552">
      <w:pPr>
        <w:pStyle w:val="ListParagraph"/>
        <w:numPr>
          <w:ilvl w:val="0"/>
          <w:numId w:val="107"/>
        </w:numPr>
        <w:spacing w:line="360" w:lineRule="auto"/>
      </w:pPr>
      <w:r>
        <w:rPr>
          <w:u w:val="single"/>
        </w:rPr>
        <w:t>Funding Strategy Portfolio Effects Impact</w:t>
      </w:r>
      <w:r w:rsidRPr="00BC2EF5">
        <w:t>:</w:t>
      </w:r>
      <w:r>
        <w:t xml:space="preserve"> To address these questions, this chapter uses the replication framework of Burgard and Kjaer (2011a, 2011b, 2011c, 2013). In order to study the portfolio effects, the framework is extended to two counterparties and allows for several netting sets for each. The portfolio is assumed to be within a single funding set, i.e., the whole portfolio is funded with a single funding strategy.</w:t>
      </w:r>
    </w:p>
    <w:p w:rsidR="00B243A0" w:rsidRDefault="00B243A0" w:rsidP="00D83552">
      <w:pPr>
        <w:pStyle w:val="ListParagraph"/>
        <w:numPr>
          <w:ilvl w:val="0"/>
          <w:numId w:val="107"/>
        </w:numPr>
        <w:spacing w:line="360" w:lineRule="auto"/>
      </w:pPr>
      <w:r>
        <w:rPr>
          <w:u w:val="single"/>
        </w:rPr>
        <w:t>Single Currency Default Free Funding Source</w:t>
      </w:r>
      <w:r w:rsidRPr="00B243A0">
        <w:t>:</w:t>
      </w:r>
      <w:r>
        <w:t xml:space="preserve"> For simplicity, it is assumed that the trade between the issuer and any of the counter parties are uncollateralized, and a single currency economy with a default provider of funding and hedge assets is considered.</w:t>
      </w:r>
    </w:p>
    <w:p w:rsidR="00B243A0" w:rsidRDefault="00B243A0" w:rsidP="00D83552">
      <w:pPr>
        <w:pStyle w:val="ListParagraph"/>
        <w:numPr>
          <w:ilvl w:val="0"/>
          <w:numId w:val="107"/>
        </w:numPr>
        <w:spacing w:line="360" w:lineRule="auto"/>
      </w:pPr>
      <w:r>
        <w:rPr>
          <w:u w:val="single"/>
        </w:rPr>
        <w:t>Risk Free Bond in Portfolio</w:t>
      </w:r>
      <w:r w:rsidRPr="00B243A0">
        <w:t>:</w:t>
      </w:r>
      <w:r>
        <w:t xml:space="preserve"> </w:t>
      </w:r>
      <w:r w:rsidR="00854440">
        <w:t>A third risk-free bond is added to the funding portfolio to allow for the case considered in Albanese and Andersen (2014) where excess cash is invested in risk free assets rather than being used to repurchase own bonds, or being recycled for other funding purposes of the issuer.</w:t>
      </w:r>
    </w:p>
    <w:p w:rsidR="00854440" w:rsidRDefault="00854440" w:rsidP="00D83552">
      <w:pPr>
        <w:pStyle w:val="ListParagraph"/>
        <w:numPr>
          <w:ilvl w:val="0"/>
          <w:numId w:val="107"/>
        </w:numPr>
        <w:spacing w:line="360" w:lineRule="auto"/>
      </w:pPr>
      <w:r>
        <w:rPr>
          <w:u w:val="single"/>
        </w:rPr>
        <w:t>Neglecting the Feedback Effects</w:t>
      </w:r>
      <w:r w:rsidRPr="00854440">
        <w:t>:</w:t>
      </w:r>
      <w:r>
        <w:t xml:space="preserve"> Like Burgard and Kjaer (2013) and Albanese and Andersen (2014), the balance sheet feedback effects are neglected. Such effects were discussed in Burgard and Kjaer (2011b, 2011c) but depend on the funding cost of the existing debt to be directly significant to the shareholders. For simplicity deterministic rates, credit, and funding spread are assumed, although the results can easily be extended in that regard.</w:t>
      </w:r>
    </w:p>
    <w:p w:rsidR="00854440" w:rsidRDefault="00854440" w:rsidP="00D83552">
      <w:pPr>
        <w:pStyle w:val="ListParagraph"/>
        <w:numPr>
          <w:ilvl w:val="0"/>
          <w:numId w:val="107"/>
        </w:numPr>
        <w:spacing w:line="360" w:lineRule="auto"/>
      </w:pPr>
      <w:r>
        <w:rPr>
          <w:u w:val="single"/>
        </w:rPr>
        <w:t>Notations used in the Formulation</w:t>
      </w:r>
      <w:r>
        <w:t>:</w:t>
      </w:r>
    </w:p>
    <w:p w:rsidR="00854440" w:rsidRDefault="00854440" w:rsidP="00854440">
      <w:pPr>
        <w:spacing w:line="360" w:lineRule="auto"/>
      </w:pPr>
    </w:p>
    <w:tbl>
      <w:tblPr>
        <w:tblStyle w:val="TableGrid"/>
        <w:tblW w:w="0" w:type="auto"/>
        <w:tblLook w:val="04A0" w:firstRow="1" w:lastRow="0" w:firstColumn="1" w:lastColumn="0" w:noHBand="0" w:noVBand="1"/>
      </w:tblPr>
      <w:tblGrid>
        <w:gridCol w:w="1278"/>
        <w:gridCol w:w="8298"/>
      </w:tblGrid>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w:lastRenderedPageBreak/>
                  <m:t>i</m:t>
                </m:r>
              </m:oMath>
            </m:oMathPara>
          </w:p>
        </w:tc>
        <w:tc>
          <w:tcPr>
            <w:tcW w:w="8298" w:type="dxa"/>
            <w:vAlign w:val="center"/>
          </w:tcPr>
          <w:p w:rsidR="00854440" w:rsidRDefault="00417086" w:rsidP="00417086">
            <w:pPr>
              <w:spacing w:line="360" w:lineRule="auto"/>
              <w:jc w:val="center"/>
            </w:pPr>
            <w:r>
              <w:t xml:space="preserve">Counter Party Index such that </w:t>
            </w:r>
            <m:oMath>
              <m:r>
                <w:rPr>
                  <w:rFonts w:ascii="Cambria Math" w:hAnsi="Cambria Math"/>
                </w:rPr>
                <m:t>i=1, 2</m:t>
              </m:r>
            </m:oMath>
          </w:p>
        </w:tc>
      </w:tr>
      <w:tr w:rsidR="00854440" w:rsidTr="00854440">
        <w:tc>
          <w:tcPr>
            <w:tcW w:w="1278" w:type="dxa"/>
            <w:vAlign w:val="center"/>
          </w:tcPr>
          <w:p w:rsidR="00854440" w:rsidRDefault="005D6A21" w:rsidP="00854440">
            <w:pPr>
              <w:spacing w:line="360" w:lineRule="auto"/>
              <w:jc w:val="cente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Independent Poisson Processes during Defaults of the Issuer </w:t>
            </w:r>
            <m:oMath>
              <m:r>
                <w:rPr>
                  <w:rFonts w:ascii="Cambria Math" w:hAnsi="Cambria Math"/>
                </w:rPr>
                <m:t>B</m:t>
              </m:r>
            </m:oMath>
            <w:r>
              <w:t xml:space="preserve"> and the Counter Party </w:t>
            </w:r>
            <m:oMath>
              <m:r>
                <w:rPr>
                  <w:rFonts w:ascii="Cambria Math" w:hAnsi="Cambria Math"/>
                </w:rPr>
                <m:t>i</m:t>
              </m:r>
            </m:oMath>
          </w:p>
        </w:tc>
      </w:tr>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m:t>S</m:t>
                </m:r>
              </m:oMath>
            </m:oMathPara>
          </w:p>
        </w:tc>
        <w:tc>
          <w:tcPr>
            <w:tcW w:w="8298" w:type="dxa"/>
            <w:vAlign w:val="center"/>
          </w:tcPr>
          <w:p w:rsidR="00854440" w:rsidRDefault="00417086" w:rsidP="00854440">
            <w:pPr>
              <w:spacing w:line="360" w:lineRule="auto"/>
              <w:jc w:val="center"/>
            </w:pPr>
            <w:r>
              <w:t>The Underlying Asset</w:t>
            </w:r>
          </w:p>
        </w:tc>
      </w:tr>
      <w:tr w:rsidR="00854440" w:rsidTr="00854440">
        <w:tc>
          <w:tcPr>
            <w:tcW w:w="1278" w:type="dxa"/>
            <w:vAlign w:val="center"/>
          </w:tcPr>
          <w:p w:rsidR="00854440" w:rsidRDefault="005D6A21"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oMath>
            </m:oMathPara>
          </w:p>
        </w:tc>
        <w:tc>
          <w:tcPr>
            <w:tcW w:w="8298" w:type="dxa"/>
            <w:vAlign w:val="center"/>
          </w:tcPr>
          <w:p w:rsidR="00854440" w:rsidRDefault="00417086" w:rsidP="00417086">
            <w:pPr>
              <w:spacing w:line="360" w:lineRule="auto"/>
              <w:jc w:val="center"/>
            </w:pPr>
            <w:r>
              <w:t xml:space="preserve">Risk Free Zero Coupon Bond with Rate </w:t>
            </w:r>
            <m:oMath>
              <m:r>
                <w:rPr>
                  <w:rFonts w:ascii="Cambria Math" w:hAnsi="Cambria Math"/>
                </w:rPr>
                <m:t>r</m:t>
              </m:r>
            </m:oMath>
          </w:p>
        </w:tc>
      </w:tr>
      <w:tr w:rsidR="00854440" w:rsidTr="00854440">
        <w:tc>
          <w:tcPr>
            <w:tcW w:w="1278" w:type="dxa"/>
            <w:vAlign w:val="center"/>
          </w:tcPr>
          <w:p w:rsidR="00854440" w:rsidRDefault="005D6A21"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oMath>
            </m:oMathPara>
          </w:p>
        </w:tc>
        <w:tc>
          <w:tcPr>
            <w:tcW w:w="8298" w:type="dxa"/>
            <w:vAlign w:val="center"/>
          </w:tcPr>
          <w:p w:rsidR="00854440" w:rsidRDefault="00417086" w:rsidP="00417086">
            <w:pPr>
              <w:spacing w:line="360" w:lineRule="auto"/>
              <w:jc w:val="center"/>
            </w:pPr>
            <w:r>
              <w:t xml:space="preserve">Issuer Risky ZCB with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and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p>
        </w:tc>
      </w:tr>
      <w:tr w:rsidR="00854440" w:rsidTr="00854440">
        <w:tc>
          <w:tcPr>
            <w:tcW w:w="1278" w:type="dxa"/>
            <w:vAlign w:val="center"/>
          </w:tcPr>
          <w:p w:rsidR="00854440" w:rsidRDefault="005D6A21"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Counter Party </w:t>
            </w:r>
            <m:oMath>
              <m:r>
                <w:rPr>
                  <w:rFonts w:ascii="Cambria Math" w:hAnsi="Cambria Math"/>
                </w:rPr>
                <m:t>i</m:t>
              </m:r>
            </m:oMath>
            <w:r>
              <w:t xml:space="preserve"> ZCB with rate </w:t>
            </w:r>
            <m:oMath>
              <m:sSub>
                <m:sSubPr>
                  <m:ctrlPr>
                    <w:rPr>
                      <w:rFonts w:ascii="Cambria Math" w:hAnsi="Cambria Math"/>
                      <w:i/>
                    </w:rPr>
                  </m:ctrlPr>
                </m:sSubPr>
                <m:e>
                  <m:r>
                    <w:rPr>
                      <w:rFonts w:ascii="Cambria Math" w:hAnsi="Cambria Math"/>
                    </w:rPr>
                    <m:t>r</m:t>
                  </m:r>
                </m:e>
                <m:sub>
                  <m:r>
                    <w:rPr>
                      <w:rFonts w:ascii="Cambria Math" w:hAnsi="Cambria Math"/>
                    </w:rPr>
                    <m:t>Ci</m:t>
                  </m:r>
                </m:sub>
              </m:sSub>
            </m:oMath>
            <w:r>
              <w:t xml:space="preserve"> and zero recovery</w:t>
            </w:r>
          </w:p>
        </w:tc>
      </w:tr>
      <w:tr w:rsidR="00854440" w:rsidTr="00854440">
        <w:tc>
          <w:tcPr>
            <w:tcW w:w="1278" w:type="dxa"/>
            <w:vAlign w:val="center"/>
          </w:tcPr>
          <w:p w:rsidR="00854440" w:rsidRDefault="005D6A21"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S</m:t>
                    </m:r>
                  </m:sub>
                </m:sSub>
              </m:oMath>
            </m:oMathPara>
          </w:p>
        </w:tc>
        <w:tc>
          <w:tcPr>
            <w:tcW w:w="8298" w:type="dxa"/>
            <w:vAlign w:val="center"/>
          </w:tcPr>
          <w:p w:rsidR="00854440" w:rsidRDefault="00854440" w:rsidP="00417086">
            <w:pPr>
              <w:spacing w:line="360" w:lineRule="auto"/>
              <w:jc w:val="center"/>
            </w:pPr>
            <w:r>
              <w:t xml:space="preserve">Asset Cash Account with the Net Rate </w:t>
            </w:r>
            <m:oMath>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oMath>
          </w:p>
        </w:tc>
      </w:tr>
      <w:tr w:rsidR="00854440" w:rsidTr="00854440">
        <w:tc>
          <w:tcPr>
            <w:tcW w:w="1278" w:type="dxa"/>
            <w:vAlign w:val="center"/>
          </w:tcPr>
          <w:p w:rsidR="00854440" w:rsidRDefault="005D6A21"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Ci</m:t>
                    </m:r>
                  </m:sub>
                </m:sSub>
              </m:oMath>
            </m:oMathPara>
          </w:p>
        </w:tc>
        <w:tc>
          <w:tcPr>
            <w:tcW w:w="8298" w:type="dxa"/>
            <w:vAlign w:val="center"/>
          </w:tcPr>
          <w:p w:rsidR="00854440" w:rsidRDefault="00854440" w:rsidP="00854440">
            <w:pPr>
              <w:spacing w:line="360" w:lineRule="auto"/>
              <w:jc w:val="center"/>
            </w:pPr>
            <w:r>
              <w:t xml:space="preserve">Bond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Hedge </w:t>
            </w:r>
            <w:r w:rsidR="004E3431">
              <w:t>C</w:t>
            </w:r>
            <w:r>
              <w:t>ash Account</w:t>
            </w:r>
          </w:p>
        </w:tc>
      </w:tr>
    </w:tbl>
    <w:p w:rsidR="00854440" w:rsidRDefault="00854440" w:rsidP="00854440">
      <w:pPr>
        <w:spacing w:line="360" w:lineRule="auto"/>
      </w:pPr>
    </w:p>
    <w:p w:rsidR="009C274C" w:rsidRDefault="00980BB2" w:rsidP="00D83552">
      <w:pPr>
        <w:pStyle w:val="ListParagraph"/>
        <w:numPr>
          <w:ilvl w:val="0"/>
          <w:numId w:val="107"/>
        </w:numPr>
        <w:spacing w:line="360" w:lineRule="auto"/>
      </w:pPr>
      <w:r w:rsidRPr="009C274C">
        <w:rPr>
          <w:u w:val="single"/>
        </w:rPr>
        <w:t>Asset/Bank/Counter Party Dynamics</w:t>
      </w:r>
      <w:r>
        <w:t>: Next the following simple dynamics are assumed.</w:t>
      </w:r>
    </w:p>
    <w:p w:rsidR="009C274C" w:rsidRDefault="009C274C" w:rsidP="009C274C">
      <w:pPr>
        <w:pStyle w:val="ListParagraph"/>
        <w:spacing w:line="360" w:lineRule="auto"/>
        <w:ind w:left="360"/>
        <w:rPr>
          <w:u w:val="single"/>
        </w:rPr>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oMath>
      </m:oMathPara>
    </w:p>
    <w:p w:rsidR="009C274C" w:rsidRDefault="009C274C" w:rsidP="009C274C">
      <w:pPr>
        <w:pStyle w:val="ListParagraph"/>
        <w:spacing w:line="360" w:lineRule="auto"/>
        <w:ind w:left="360"/>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p w:rsidR="009C274C" w:rsidRDefault="009C274C" w:rsidP="009C274C">
      <w:pPr>
        <w:pStyle w:val="ListParagraph"/>
        <w:spacing w:line="360" w:lineRule="auto"/>
        <w:ind w:left="360"/>
      </w:pPr>
    </w:p>
    <w:p w:rsidR="00980BB2" w:rsidRDefault="009C274C" w:rsidP="009C274C">
      <w:pPr>
        <w:pStyle w:val="ListParagraph"/>
        <w:spacing w:line="360" w:lineRule="auto"/>
        <w:ind w:left="360"/>
      </w:pPr>
      <m:oMathPara>
        <m:oMath>
          <m:r>
            <w:rPr>
              <w:rFonts w:ascii="Cambria Math" w:hAnsi="Cambria Math"/>
            </w:rPr>
            <m:t>∆S=rS∆t+σS∆W</m:t>
          </m:r>
        </m:oMath>
      </m:oMathPara>
    </w:p>
    <w:p w:rsidR="007C472E" w:rsidRDefault="007C472E" w:rsidP="00BC2EF5">
      <w:pPr>
        <w:spacing w:line="360" w:lineRule="auto"/>
      </w:pPr>
    </w:p>
    <w:p w:rsidR="009C274C" w:rsidRDefault="009C274C" w:rsidP="00BC2EF5">
      <w:pPr>
        <w:spacing w:line="360" w:lineRule="auto"/>
      </w:pPr>
    </w:p>
    <w:p w:rsidR="009C274C" w:rsidRPr="009C274C" w:rsidRDefault="002567C9" w:rsidP="00BC2EF5">
      <w:pPr>
        <w:spacing w:line="360" w:lineRule="auto"/>
        <w:rPr>
          <w:b/>
          <w:sz w:val="28"/>
          <w:szCs w:val="28"/>
        </w:rPr>
      </w:pPr>
      <w:r>
        <w:rPr>
          <w:b/>
          <w:sz w:val="28"/>
          <w:szCs w:val="28"/>
        </w:rPr>
        <w:t>Balance Sheet Dynamics u</w:t>
      </w:r>
      <w:r w:rsidR="009C274C" w:rsidRPr="009C274C">
        <w:rPr>
          <w:b/>
          <w:sz w:val="28"/>
          <w:szCs w:val="28"/>
        </w:rPr>
        <w:t>nder Semi-Replication</w:t>
      </w:r>
    </w:p>
    <w:p w:rsidR="009C274C" w:rsidRDefault="009C274C" w:rsidP="00BC2EF5">
      <w:pPr>
        <w:spacing w:line="360" w:lineRule="auto"/>
      </w:pPr>
    </w:p>
    <w:p w:rsidR="009C274C" w:rsidRDefault="009C274C" w:rsidP="00D83552">
      <w:pPr>
        <w:pStyle w:val="ListParagraph"/>
        <w:numPr>
          <w:ilvl w:val="0"/>
          <w:numId w:val="108"/>
        </w:numPr>
        <w:spacing w:line="360" w:lineRule="auto"/>
      </w:pPr>
      <w:r w:rsidRPr="002567C9">
        <w:rPr>
          <w:u w:val="single"/>
        </w:rPr>
        <w:t>Two Counter Parties and Multiple Netting Sets</w:t>
      </w:r>
      <w:r>
        <w:t xml:space="preserve">: </w:t>
      </w:r>
      <w:r w:rsidR="002567C9">
        <w:t xml:space="preserve">To derive the replication results the derivation methodology of Burgard and Kjaer (2013) is closely followed, extending it to two counter parties and several netting sets. The issuer has entered into uncollateralized derivatives with both counter parties and for simplicity it is assumed that all trades have the </w:t>
      </w:r>
      <w:r w:rsidR="002567C9">
        <w:lastRenderedPageBreak/>
        <w:t xml:space="preserve">same maturity </w:t>
      </w:r>
      <m:oMath>
        <m:r>
          <w:rPr>
            <w:rFonts w:ascii="Cambria Math" w:hAnsi="Cambria Math"/>
          </w:rPr>
          <m:t>T</m:t>
        </m:r>
      </m:oMath>
      <w:r w:rsidR="002567C9">
        <w:t xml:space="preserve">. Let </w:t>
      </w:r>
      <m:oMath>
        <m:sSub>
          <m:sSubPr>
            <m:ctrlPr>
              <w:rPr>
                <w:rFonts w:ascii="Cambria Math" w:hAnsi="Cambria Math"/>
                <w:i/>
              </w:rPr>
            </m:ctrlPr>
          </m:sSubPr>
          <m:e>
            <m:r>
              <w:rPr>
                <w:rFonts w:ascii="Cambria Math" w:hAnsi="Cambria Math"/>
              </w:rPr>
              <m:t>H</m:t>
            </m:r>
          </m:e>
          <m:sub>
            <m:r>
              <w:rPr>
                <w:rFonts w:ascii="Cambria Math" w:hAnsi="Cambria Math"/>
              </w:rPr>
              <m:t>ij</m:t>
            </m:r>
          </m:sub>
        </m:sSub>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w:r w:rsidR="002567C9">
        <w:t xml:space="preserve"> denote the payoff at the expiry of trades belonging to counter party </w:t>
      </w:r>
      <m:oMath>
        <m:r>
          <w:rPr>
            <w:rFonts w:ascii="Cambria Math" w:hAnsi="Cambria Math"/>
          </w:rPr>
          <m:t>i</m:t>
        </m:r>
      </m:oMath>
      <w:r w:rsidR="002567C9">
        <w:t xml:space="preserve"> and netting set </w:t>
      </w:r>
      <m:oMath>
        <m:r>
          <w:rPr>
            <w:rFonts w:ascii="Cambria Math" w:hAnsi="Cambria Math"/>
          </w:rPr>
          <m:t>j</m:t>
        </m:r>
      </m:oMath>
      <w:r w:rsidR="002567C9">
        <w:t>.</w:t>
      </w:r>
    </w:p>
    <w:p w:rsidR="002567C9" w:rsidRDefault="002567C9" w:rsidP="00D83552">
      <w:pPr>
        <w:pStyle w:val="ListParagraph"/>
        <w:numPr>
          <w:ilvl w:val="0"/>
          <w:numId w:val="108"/>
        </w:numPr>
        <w:spacing w:line="360" w:lineRule="auto"/>
      </w:pPr>
      <w:r>
        <w:rPr>
          <w:u w:val="single"/>
        </w:rPr>
        <w:t>Value of Portfolio to Bank</w:t>
      </w:r>
      <w:r w:rsidRPr="002567C9">
        <w:t>:</w:t>
      </w:r>
      <w:r>
        <w:t xml:space="preserve"> Different trades with a counter party may belong to different netting units. Let </w:t>
      </w:r>
      <m:oMath>
        <m:acc>
          <m:accPr>
            <m:ctrlPr>
              <w:rPr>
                <w:rFonts w:ascii="Cambria Math" w:hAnsi="Cambria Math"/>
                <w:i/>
              </w:rPr>
            </m:ctrlPr>
          </m:accPr>
          <m:e>
            <m:r>
              <w:rPr>
                <w:rFonts w:ascii="Cambria Math" w:hAnsi="Cambria Math"/>
              </w:rPr>
              <m:t>V</m:t>
            </m:r>
          </m:e>
        </m:acc>
      </m:oMath>
      <w:r>
        <w:t xml:space="preserve"> be the total economic value of the portfolio including funding costs and counter party risks before the default of any of the counter parties.</w:t>
      </w:r>
    </w:p>
    <w:p w:rsidR="002567C9" w:rsidRDefault="002567C9" w:rsidP="00D83552">
      <w:pPr>
        <w:pStyle w:val="ListParagraph"/>
        <w:numPr>
          <w:ilvl w:val="0"/>
          <w:numId w:val="108"/>
        </w:numPr>
        <w:spacing w:line="360" w:lineRule="auto"/>
      </w:pPr>
      <w:r>
        <w:rPr>
          <w:u w:val="single"/>
        </w:rPr>
        <w:t>Definition of the Economic Value</w:t>
      </w:r>
      <w:r w:rsidRPr="002567C9">
        <w:t>:</w:t>
      </w:r>
      <w:r>
        <w:t xml:space="preserve"> Economic value is defined to be the expected (and discounted) value</w:t>
      </w:r>
      <w:r w:rsidR="00D94404">
        <w:t xml:space="preserve"> that will be realized over the life of the trade by the issuer’s shareholders.</w:t>
      </w:r>
    </w:p>
    <w:p w:rsidR="00D94404" w:rsidRDefault="00D94404" w:rsidP="00D83552">
      <w:pPr>
        <w:pStyle w:val="ListParagraph"/>
        <w:numPr>
          <w:ilvl w:val="0"/>
          <w:numId w:val="108"/>
        </w:numPr>
        <w:spacing w:line="360" w:lineRule="auto"/>
      </w:pPr>
      <w:r>
        <w:rPr>
          <w:u w:val="single"/>
        </w:rPr>
        <w:t>Value on Counter Party Default</w:t>
      </w:r>
      <w:r w:rsidRPr="00D94404">
        <w:t>:</w:t>
      </w:r>
      <w:r>
        <w:t xml:space="preserve"> Analogously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is the total value of the trades with counter party </w:t>
      </w:r>
      <m:oMath>
        <m:r>
          <w:rPr>
            <w:rFonts w:ascii="Cambria Math" w:hAnsi="Cambria Math"/>
          </w:rPr>
          <m:t>i</m:t>
        </m:r>
      </m:oMath>
      <w:r>
        <w:t xml:space="preserve"> when this name is considered in isolation. This value becomes relevant once the other counter party has defaulted.</w:t>
      </w:r>
    </w:p>
    <w:p w:rsidR="00D94404" w:rsidRDefault="002C0A59" w:rsidP="00D83552">
      <w:pPr>
        <w:pStyle w:val="ListParagraph"/>
        <w:numPr>
          <w:ilvl w:val="0"/>
          <w:numId w:val="108"/>
        </w:numPr>
        <w:spacing w:line="360" w:lineRule="auto"/>
      </w:pPr>
      <w:r w:rsidRPr="002C0A59">
        <w:rPr>
          <w:u w:val="single"/>
        </w:rPr>
        <w:t>Value of the Unadjusted Reference Portfolio</w:t>
      </w:r>
      <w:r>
        <w:t xml:space="preserve">: Finally the total reference value </w:t>
      </w:r>
      <m:oMath>
        <m:r>
          <w:rPr>
            <w:rFonts w:ascii="Cambria Math" w:hAnsi="Cambria Math"/>
          </w:rPr>
          <m:t>V</m:t>
        </m:r>
      </m:oMath>
      <w:r>
        <w:t xml:space="preserve"> on top of which the valuation adjustments are computed is the value of the book with the same payoff but done on a fully collateralized basis with the collateral rate </w:t>
      </w:r>
      <m:oMath>
        <m:r>
          <w:rPr>
            <w:rFonts w:ascii="Cambria Math" w:hAnsi="Cambria Math"/>
          </w:rPr>
          <m:t>r</m:t>
        </m:r>
      </m:oMath>
      <w:r>
        <w:t>.</w:t>
      </w:r>
    </w:p>
    <w:p w:rsidR="001101CE" w:rsidRDefault="002C0A59" w:rsidP="00D83552">
      <w:pPr>
        <w:pStyle w:val="ListParagraph"/>
        <w:numPr>
          <w:ilvl w:val="0"/>
          <w:numId w:val="108"/>
        </w:numPr>
        <w:spacing w:line="360" w:lineRule="auto"/>
      </w:pPr>
      <w:r>
        <w:rPr>
          <w:u w:val="single"/>
        </w:rPr>
        <w:t>Aggregation across Counter Party/Netting Sets</w:t>
      </w:r>
      <w:r w:rsidRPr="002C0A59">
        <w:t>:</w:t>
      </w:r>
      <w:r>
        <w:t xml:space="preserve"> If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is the reference value of the trades with counter party </w:t>
      </w:r>
      <m:oMath>
        <m:r>
          <w:rPr>
            <w:rFonts w:ascii="Cambria Math" w:hAnsi="Cambria Math"/>
          </w:rPr>
          <m:t>i</m:t>
        </m:r>
      </m:oMath>
      <w:r>
        <w:t xml:space="preserve"> and netting unit </w:t>
      </w:r>
      <m:oMath>
        <m:r>
          <w:rPr>
            <w:rFonts w:ascii="Cambria Math" w:hAnsi="Cambria Math"/>
          </w:rPr>
          <m:t>j</m:t>
        </m:r>
      </m:oMath>
      <w:r>
        <w:t xml:space="preserve"> then</w:t>
      </w:r>
    </w:p>
    <w:p w:rsidR="001101CE" w:rsidRDefault="001101CE" w:rsidP="001101CE">
      <w:pPr>
        <w:pStyle w:val="ListParagraph"/>
        <w:spacing w:line="360" w:lineRule="auto"/>
        <w:ind w:left="360"/>
        <w:rPr>
          <w:u w:val="single"/>
        </w:rPr>
      </w:pPr>
    </w:p>
    <w:p w:rsidR="001101CE" w:rsidRDefault="002C0A59" w:rsidP="001101CE">
      <w:pPr>
        <w:pStyle w:val="ListParagraph"/>
        <w:spacing w:line="360" w:lineRule="auto"/>
        <w:ind w:left="360"/>
      </w:pPr>
      <m:oMathPara>
        <m:oMath>
          <m:r>
            <w:rPr>
              <w:rFonts w:ascii="Cambria Math" w:hAnsi="Cambria Math"/>
            </w:rPr>
            <m:t>V=</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1101CE" w:rsidRDefault="002C0A59" w:rsidP="001101CE">
      <w:pPr>
        <w:pStyle w:val="ListParagraph"/>
        <w:spacing w:line="360" w:lineRule="auto"/>
        <w:ind w:left="360"/>
      </w:pPr>
      <w:r>
        <w:t>Analogously</w:t>
      </w:r>
    </w:p>
    <w:p w:rsidR="001101CE" w:rsidRDefault="001101CE" w:rsidP="001101CE">
      <w:pPr>
        <w:pStyle w:val="ListParagraph"/>
        <w:spacing w:line="360" w:lineRule="auto"/>
        <w:ind w:left="360"/>
      </w:pPr>
    </w:p>
    <w:p w:rsidR="001101CE" w:rsidRDefault="005D6A21" w:rsidP="001101CE">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2C0A59" w:rsidRDefault="00F21CDE" w:rsidP="001101CE">
      <w:pPr>
        <w:pStyle w:val="ListParagraph"/>
        <w:spacing w:line="360" w:lineRule="auto"/>
        <w:ind w:left="360"/>
      </w:pPr>
      <w:r>
        <w:t xml:space="preserve">is the reference value of the trades with the counter party </w:t>
      </w:r>
      <m:oMath>
        <m:r>
          <w:rPr>
            <w:rFonts w:ascii="Cambria Math" w:hAnsi="Cambria Math"/>
          </w:rPr>
          <m:t>i</m:t>
        </m:r>
      </m:oMath>
      <w:r>
        <w:t>.</w:t>
      </w:r>
    </w:p>
    <w:p w:rsidR="001101CE" w:rsidRDefault="008800F8" w:rsidP="00D83552">
      <w:pPr>
        <w:pStyle w:val="ListParagraph"/>
        <w:numPr>
          <w:ilvl w:val="0"/>
          <w:numId w:val="108"/>
        </w:numPr>
        <w:spacing w:line="360" w:lineRule="auto"/>
      </w:pPr>
      <w:r>
        <w:rPr>
          <w:u w:val="single"/>
        </w:rPr>
        <w:t>Portfolio Book Value Post Default</w:t>
      </w:r>
      <w:r w:rsidRPr="008800F8">
        <w:t>:</w:t>
      </w:r>
      <w:r>
        <w:t xml:space="preserve"> With this notation in place the book value immediately post a first default of issuer </w:t>
      </w:r>
      <m:oMath>
        <m:r>
          <w:rPr>
            <w:rFonts w:ascii="Cambria Math" w:hAnsi="Cambria Math"/>
          </w:rPr>
          <m:t>B</m:t>
        </m:r>
      </m:oMath>
      <w:r>
        <w:t xml:space="preserve"> or one of the counter parties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or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is defined by</w:t>
      </w:r>
    </w:p>
    <w:p w:rsidR="001101CE" w:rsidRDefault="001101CE" w:rsidP="001101CE">
      <w:pPr>
        <w:pStyle w:val="ListParagraph"/>
        <w:spacing w:line="360" w:lineRule="auto"/>
        <w:ind w:left="360"/>
        <w:rPr>
          <w:u w:val="single"/>
        </w:rPr>
      </w:pPr>
    </w:p>
    <w:p w:rsidR="001101CE" w:rsidRDefault="005D6A21"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B2</m:t>
              </m:r>
            </m:sub>
          </m:sSub>
        </m:oMath>
      </m:oMathPara>
    </w:p>
    <w:p w:rsidR="001101CE" w:rsidRDefault="001101CE" w:rsidP="001101CE">
      <w:pPr>
        <w:pStyle w:val="ListParagraph"/>
        <w:spacing w:line="360" w:lineRule="auto"/>
        <w:ind w:left="360"/>
      </w:pPr>
    </w:p>
    <w:p w:rsidR="001101CE" w:rsidRDefault="005D6A21"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5D6A21"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8800F8" w:rsidRDefault="00035C7B" w:rsidP="001101CE">
      <w:pPr>
        <w:pStyle w:val="ListParagraph"/>
        <w:spacing w:line="360" w:lineRule="auto"/>
        <w:ind w:left="360"/>
      </w:pPr>
      <w:r>
        <w:t>respectively, where for simplicity, regular bilateral close-outs are assumed.</w:t>
      </w:r>
    </w:p>
    <w:p w:rsidR="00035C7B" w:rsidRDefault="00035C7B" w:rsidP="00D83552">
      <w:pPr>
        <w:pStyle w:val="ListParagraph"/>
        <w:numPr>
          <w:ilvl w:val="0"/>
          <w:numId w:val="108"/>
        </w:numPr>
        <w:spacing w:line="360" w:lineRule="auto"/>
      </w:pPr>
      <w:r>
        <w:rPr>
          <w:u w:val="single"/>
        </w:rPr>
        <w:t>Book Value Post Counter Party Default</w:t>
      </w:r>
      <w:r w:rsidRPr="00035C7B">
        <w:t>:</w:t>
      </w:r>
      <w:r>
        <w:t xml:space="preserve"> What these boundary conditions say is that when the counter party </w:t>
      </w:r>
      <m:oMath>
        <m:r>
          <w:rPr>
            <w:rFonts w:ascii="Cambria Math" w:hAnsi="Cambria Math"/>
          </w:rPr>
          <m:t>k</m:t>
        </m:r>
      </m:oMath>
      <w:r>
        <w:t xml:space="preserve"> is the first to default, the issuer gets the closeout value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Ck</m:t>
            </m:r>
          </m:sub>
        </m:sSub>
      </m:oMath>
      <w:r>
        <w:t xml:space="preserve"> based on the close-out of the trades with </w:t>
      </w:r>
      <w:r>
        <w:rPr>
          <w:i/>
        </w:rPr>
        <w:t>that</w:t>
      </w:r>
      <w:r>
        <w:t xml:space="preserve"> counter party, </w:t>
      </w:r>
      <w:r>
        <w:rPr>
          <w:i/>
        </w:rPr>
        <w:t>plus</w:t>
      </w:r>
      <w:r>
        <w:t xml:space="preserve"> it continues to hold the total value (including counter party risks and funding costs) of the trades with the surviving counter party.</w:t>
      </w:r>
    </w:p>
    <w:p w:rsidR="00035C7B" w:rsidRDefault="00035C7B" w:rsidP="00D83552">
      <w:pPr>
        <w:pStyle w:val="ListParagraph"/>
        <w:numPr>
          <w:ilvl w:val="0"/>
          <w:numId w:val="108"/>
        </w:numPr>
        <w:spacing w:line="360" w:lineRule="auto"/>
      </w:pPr>
      <w:r>
        <w:rPr>
          <w:u w:val="single"/>
        </w:rPr>
        <w:t>Counter Party/Bank Default Boundary Conditions</w:t>
      </w:r>
      <w:r w:rsidRPr="00035C7B">
        <w:t>:</w:t>
      </w:r>
      <w:r>
        <w:t xml:space="preserve"> If </w:t>
      </w:r>
      <m:oMath>
        <m:r>
          <w:rPr>
            <w:rFonts w:ascii="Cambria Math" w:hAnsi="Cambria Math"/>
          </w:rPr>
          <m:t>i</m:t>
        </m:r>
      </m:oMath>
      <w:r>
        <w:t xml:space="preserve"> is the surviving counter party, if it then subsequently defaults, the boundary condition is given by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w:r w:rsidR="00AA126B">
        <w:t xml:space="preserve">, whereas if the issuer defaults it is given by </w:t>
      </w:r>
      <m:oMath>
        <m:sSub>
          <m:sSubPr>
            <m:ctrlPr>
              <w:rPr>
                <w:rFonts w:ascii="Cambria Math" w:hAnsi="Cambria Math"/>
                <w:i/>
              </w:rPr>
            </m:ctrlPr>
          </m:sSubPr>
          <m:e>
            <m:r>
              <w:rPr>
                <w:rFonts w:ascii="Cambria Math" w:hAnsi="Cambria Math"/>
              </w:rPr>
              <m:t>g</m:t>
            </m:r>
          </m:e>
          <m:sub>
            <m:r>
              <w:rPr>
                <w:rFonts w:ascii="Cambria Math" w:hAnsi="Cambria Math"/>
              </w:rPr>
              <m:t>Bi</m:t>
            </m:r>
          </m:sub>
        </m:sSub>
      </m:oMath>
      <w:r w:rsidR="00AA126B">
        <w:t>.</w:t>
      </w:r>
    </w:p>
    <w:p w:rsidR="00CA5F70" w:rsidRDefault="00CA5F70" w:rsidP="00D83552">
      <w:pPr>
        <w:pStyle w:val="ListParagraph"/>
        <w:numPr>
          <w:ilvl w:val="0"/>
          <w:numId w:val="108"/>
        </w:numPr>
        <w:spacing w:line="360" w:lineRule="auto"/>
      </w:pPr>
      <w:r>
        <w:rPr>
          <w:u w:val="single"/>
        </w:rPr>
        <w:t>No Cross Asset Default Impact</w:t>
      </w:r>
      <w:r w:rsidRPr="00CA5F70">
        <w:t>:</w:t>
      </w:r>
      <w:r>
        <w:t xml:space="preserve"> Note that it is implicitly assumed here that the default of one counter party does not impact the value of the portfolio with the other counter party. This assumption could be relaxed by considering close-outs </w:t>
      </w:r>
      <m:oMath>
        <m:sSub>
          <m:sSubPr>
            <m:ctrlPr>
              <w:rPr>
                <w:rFonts w:ascii="Cambria Math" w:hAnsi="Cambria Math"/>
                <w:i/>
              </w:rPr>
            </m:ctrlPr>
          </m:sSubPr>
          <m:e>
            <m:r>
              <w:rPr>
                <w:rFonts w:ascii="Cambria Math" w:hAnsi="Cambria Math"/>
              </w:rPr>
              <m:t>g</m:t>
            </m:r>
          </m:e>
          <m:sub>
            <m:r>
              <w:rPr>
                <w:rFonts w:ascii="Cambria Math" w:hAnsi="Cambria Math"/>
              </w:rPr>
              <m:t>Ck</m:t>
            </m:r>
          </m:sub>
        </m:sSub>
      </m:oMath>
      <w:r>
        <w:t xml:space="preserve"> that are more complicated functions of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w:t>
      </w:r>
    </w:p>
    <w:p w:rsidR="001101CE" w:rsidRDefault="00CA5F70" w:rsidP="00D83552">
      <w:pPr>
        <w:pStyle w:val="ListParagraph"/>
        <w:numPr>
          <w:ilvl w:val="0"/>
          <w:numId w:val="108"/>
        </w:numPr>
        <w:spacing w:line="360" w:lineRule="auto"/>
      </w:pPr>
      <w:r>
        <w:rPr>
          <w:u w:val="single"/>
        </w:rPr>
        <w:t>The Derivative Master Replication Portfolio</w:t>
      </w:r>
      <w:r>
        <w:t xml:space="preserve">: Assuming all parties are alive, a portfolio </w:t>
      </w:r>
      <m:oMath>
        <m:r>
          <m:rPr>
            <m:sty m:val="p"/>
          </m:rPr>
          <w:rPr>
            <w:rFonts w:ascii="Cambria Math" w:hAnsi="Cambria Math"/>
          </w:rPr>
          <m:t>Π</m:t>
        </m:r>
      </m:oMath>
      <w:r>
        <w:t xml:space="preserve"> can be setup as</w:t>
      </w:r>
    </w:p>
    <w:p w:rsidR="001101CE" w:rsidRDefault="001101CE" w:rsidP="001101CE">
      <w:pPr>
        <w:pStyle w:val="ListParagraph"/>
        <w:spacing w:line="360" w:lineRule="auto"/>
        <w:ind w:left="360"/>
        <w:rPr>
          <w:u w:val="single"/>
        </w:rPr>
      </w:pPr>
    </w:p>
    <w:p w:rsidR="00CA5F70" w:rsidRPr="001101CE" w:rsidRDefault="00CA5F70" w:rsidP="001101CE">
      <w:pPr>
        <w:pStyle w:val="ListParagraph"/>
        <w:spacing w:line="360" w:lineRule="auto"/>
        <w:ind w:left="360"/>
      </w:pPr>
      <m:oMathPara>
        <m:oMath>
          <m:r>
            <m:rPr>
              <m:sty m:val="p"/>
            </m:rPr>
            <w:rPr>
              <w:rFonts w:ascii="Cambria Math" w:hAnsi="Cambria Math"/>
            </w:rPr>
            <m:t>Π=</m:t>
          </m:r>
          <m:r>
            <w:rPr>
              <w:rFonts w:ascii="Cambria Math" w:hAnsi="Cambria Math"/>
            </w:rPr>
            <m:t>δS+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C1</m:t>
              </m:r>
            </m:sub>
          </m:sSub>
          <m:sSub>
            <m:sSubPr>
              <m:ctrlPr>
                <w:rPr>
                  <w:rFonts w:ascii="Cambria Math" w:hAnsi="Cambria Math"/>
                  <w:i/>
                </w:rPr>
              </m:ctrlPr>
            </m:sSubPr>
            <m:e>
              <m:r>
                <w:rPr>
                  <w:rFonts w:ascii="Cambria Math" w:hAnsi="Cambria Math"/>
                </w:rPr>
                <m:t>P</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C2</m:t>
              </m:r>
            </m:sub>
          </m:sSub>
          <m:sSub>
            <m:sSubPr>
              <m:ctrlPr>
                <w:rPr>
                  <w:rFonts w:ascii="Cambria Math" w:hAnsi="Cambria Math"/>
                  <w:i/>
                </w:rPr>
              </m:ctrlPr>
            </m:sSubPr>
            <m:e>
              <m:r>
                <w:rPr>
                  <w:rFonts w:ascii="Cambria Math" w:hAnsi="Cambria Math"/>
                </w:rPr>
                <m:t>P</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C2</m:t>
              </m:r>
            </m:sub>
          </m:sSub>
        </m:oMath>
      </m:oMathPara>
    </w:p>
    <w:p w:rsidR="001101CE" w:rsidRDefault="001101CE" w:rsidP="001101CE">
      <w:pPr>
        <w:pStyle w:val="ListParagraph"/>
        <w:spacing w:line="360" w:lineRule="auto"/>
        <w:ind w:left="360"/>
      </w:pPr>
    </w:p>
    <w:p w:rsidR="00CA5F70" w:rsidRDefault="00CA5F70" w:rsidP="00D83552">
      <w:pPr>
        <w:pStyle w:val="ListParagraph"/>
        <w:numPr>
          <w:ilvl w:val="0"/>
          <w:numId w:val="108"/>
        </w:numPr>
        <w:spacing w:line="360" w:lineRule="auto"/>
      </w:pPr>
      <w:r>
        <w:rPr>
          <w:u w:val="single"/>
        </w:rPr>
        <w:t>No Hedging at Bank Default</w:t>
      </w:r>
      <w:r>
        <w:t xml:space="preserve">: This portfolio includes the funding instruments and aims to replicate the derivative value </w:t>
      </w:r>
      <m:oMath>
        <m:acc>
          <m:accPr>
            <m:ctrlPr>
              <w:rPr>
                <w:rFonts w:ascii="Cambria Math" w:hAnsi="Cambria Math"/>
                <w:i/>
              </w:rPr>
            </m:ctrlPr>
          </m:accPr>
          <m:e>
            <m:r>
              <w:rPr>
                <w:rFonts w:ascii="Cambria Math" w:hAnsi="Cambria Math"/>
              </w:rPr>
              <m:t>V</m:t>
            </m:r>
          </m:e>
        </m:acc>
      </m:oMath>
      <w:r>
        <w:t xml:space="preserve"> in all scenarios except possibly issuer default.</w:t>
      </w:r>
    </w:p>
    <w:p w:rsidR="001101CE" w:rsidRDefault="00CA5F70" w:rsidP="00D83552">
      <w:pPr>
        <w:pStyle w:val="ListParagraph"/>
        <w:numPr>
          <w:ilvl w:val="0"/>
          <w:numId w:val="108"/>
        </w:numPr>
        <w:spacing w:line="360" w:lineRule="auto"/>
      </w:pPr>
      <w:r>
        <w:rPr>
          <w:u w:val="single"/>
        </w:rPr>
        <w:t>Financing/Counter Party Portfolio Positions</w:t>
      </w:r>
      <w:r w:rsidRPr="00CA5F70">
        <w:t>:</w:t>
      </w:r>
      <w:r>
        <w:t xml:space="preserve"> </w:t>
      </w:r>
      <w:r w:rsidR="0053128D">
        <w:t xml:space="preserve">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sidR="0053128D">
        <w:t xml:space="preserve"> and </w:t>
      </w:r>
      <m:oMath>
        <m:sSub>
          <m:sSubPr>
            <m:ctrlPr>
              <w:rPr>
                <w:rFonts w:ascii="Cambria Math" w:hAnsi="Cambria Math"/>
                <w:i/>
              </w:rPr>
            </m:ctrlPr>
          </m:sSubPr>
          <m:e>
            <m:r>
              <w:rPr>
                <w:rFonts w:ascii="Cambria Math" w:hAnsi="Cambria Math"/>
              </w:rPr>
              <m:t>β</m:t>
            </m:r>
          </m:e>
          <m:sub>
            <m:r>
              <w:rPr>
                <w:rFonts w:ascii="Cambria Math" w:hAnsi="Cambria Math"/>
              </w:rPr>
              <m:t>Ci</m:t>
            </m:r>
          </m:sub>
        </m:sSub>
      </m:oMath>
      <w:r w:rsidR="0053128D">
        <w:t xml:space="preserve"> are used to finance the </w:t>
      </w:r>
      <m:oMath>
        <m:r>
          <w:rPr>
            <w:rFonts w:ascii="Cambria Math" w:hAnsi="Cambria Math"/>
          </w:rPr>
          <m:t>S</m:t>
        </m:r>
      </m:oMath>
      <w:r w:rsidR="0053128D">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rsidR="001101CE">
        <w:t xml:space="preserve"> positions, i.e.</w:t>
      </w:r>
    </w:p>
    <w:p w:rsidR="001101CE" w:rsidRDefault="001101CE" w:rsidP="001101CE">
      <w:pPr>
        <w:pStyle w:val="ListParagraph"/>
        <w:spacing w:line="360" w:lineRule="auto"/>
        <w:ind w:left="360"/>
        <w:rPr>
          <w:u w:val="single"/>
        </w:rPr>
      </w:pPr>
    </w:p>
    <w:p w:rsidR="001101CE" w:rsidRDefault="005D6A21" w:rsidP="001101CE">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Ci</m:t>
              </m:r>
            </m:sub>
          </m:sSub>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Ci</m:t>
              </m:r>
            </m:sub>
          </m:sSub>
          <m:r>
            <w:rPr>
              <w:rFonts w:ascii="Cambria Math" w:hAnsi="Cambria Math"/>
            </w:rPr>
            <m:t>=0</m:t>
          </m:r>
        </m:oMath>
      </m:oMathPara>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w:r>
        <w:t>and</w:t>
      </w:r>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m:oMathPara>
        <m:oMath>
          <m:r>
            <w:rPr>
              <w:rFonts w:ascii="Cambria Math" w:hAnsi="Cambria Math"/>
            </w:rPr>
            <m:t>δS+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1101CE" w:rsidRDefault="001101CE" w:rsidP="001101CE">
      <w:pPr>
        <w:pStyle w:val="ListParagraph"/>
        <w:spacing w:line="360" w:lineRule="auto"/>
        <w:ind w:left="360"/>
      </w:pPr>
    </w:p>
    <w:p w:rsidR="00CA5F70" w:rsidRDefault="0053128D" w:rsidP="001101CE">
      <w:pPr>
        <w:pStyle w:val="ListParagraph"/>
        <w:spacing w:line="360" w:lineRule="auto"/>
        <w:ind w:left="360"/>
      </w:pPr>
      <w:r>
        <w:t xml:space="preserve">and are assumed to pay net rates of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respectively, where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may be a dividend income.</w:t>
      </w:r>
    </w:p>
    <w:p w:rsidR="001101CE" w:rsidRDefault="008237E2" w:rsidP="00D83552">
      <w:pPr>
        <w:pStyle w:val="ListParagraph"/>
        <w:numPr>
          <w:ilvl w:val="0"/>
          <w:numId w:val="108"/>
        </w:numPr>
        <w:spacing w:line="360" w:lineRule="auto"/>
      </w:pPr>
      <w:r>
        <w:rPr>
          <w:u w:val="single"/>
        </w:rPr>
        <w:t>Definition of the Funding Constraint</w:t>
      </w:r>
      <w:r w:rsidRPr="008237E2">
        <w:t>:</w:t>
      </w:r>
      <w:r>
        <w:t xml:space="preserve"> The hedge positions maybe collateralized or repo’ed, so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t xml:space="preserve"> or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may be the collateral or the repo rates, respectively. Any other cash is financed/invested via the bond positions </w:t>
      </w:r>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w:r w:rsidR="002426A3">
        <w:t xml:space="preserve">, or </w:t>
      </w:r>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which implies that the </w:t>
      </w:r>
      <w:r>
        <w:rPr>
          <w:i/>
        </w:rPr>
        <w:t>funding constraint</w:t>
      </w:r>
    </w:p>
    <w:p w:rsidR="001101CE" w:rsidRDefault="001101CE" w:rsidP="001101CE">
      <w:pPr>
        <w:pStyle w:val="ListParagraph"/>
        <w:spacing w:line="360" w:lineRule="auto"/>
        <w:ind w:left="360"/>
        <w:rPr>
          <w:u w:val="single"/>
        </w:rPr>
      </w:pPr>
    </w:p>
    <w:p w:rsidR="001101CE" w:rsidRDefault="005D6A21"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8237E2" w:rsidRDefault="008237E2" w:rsidP="001101CE">
      <w:pPr>
        <w:pStyle w:val="ListParagraph"/>
        <w:spacing w:line="360" w:lineRule="auto"/>
        <w:ind w:left="360"/>
      </w:pPr>
      <w:r>
        <w:t>must hold at all times until the first default.</w:t>
      </w:r>
      <w:r w:rsidR="002426A3">
        <w:t xml:space="preserve"> Later on different funding strategies are specified, but for now this is kept general.</w:t>
      </w:r>
    </w:p>
    <w:p w:rsidR="002426A3" w:rsidRDefault="002426A3" w:rsidP="00D83552">
      <w:pPr>
        <w:pStyle w:val="ListParagraph"/>
        <w:numPr>
          <w:ilvl w:val="0"/>
          <w:numId w:val="108"/>
        </w:numPr>
        <w:spacing w:line="360" w:lineRule="auto"/>
      </w:pPr>
      <w:r>
        <w:rPr>
          <w:u w:val="single"/>
        </w:rPr>
        <w:t>Eliminating Market/Counter Party Risks</w:t>
      </w:r>
      <w:r w:rsidRPr="002426A3">
        <w:t>:</w:t>
      </w:r>
      <w:r>
        <w:t xml:space="preserve"> Next considered is the combination of the derivative book and the hedge portfolio, where </w:t>
      </w:r>
      <m:oMath>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α</m:t>
                </m:r>
              </m:e>
              <m:sub>
                <m:r>
                  <w:rPr>
                    <w:rFonts w:ascii="Cambria Math" w:hAnsi="Cambria Math"/>
                  </w:rPr>
                  <m:t>C1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C2</m:t>
                </m:r>
              </m:sub>
            </m:sSub>
          </m:e>
        </m:d>
      </m:oMath>
      <w:r>
        <w:t xml:space="preserve"> have been chosen such that all the market and the counter party risks have been eliminated.</w:t>
      </w:r>
    </w:p>
    <w:p w:rsidR="001101CE" w:rsidRDefault="002426A3" w:rsidP="00D83552">
      <w:pPr>
        <w:pStyle w:val="ListParagraph"/>
        <w:numPr>
          <w:ilvl w:val="0"/>
          <w:numId w:val="108"/>
        </w:numPr>
        <w:spacing w:line="360" w:lineRule="auto"/>
      </w:pPr>
      <w:r>
        <w:rPr>
          <w:u w:val="single"/>
        </w:rPr>
        <w:t>Evolution of the Derivative Portfolio</w:t>
      </w:r>
      <w:r w:rsidRPr="002426A3">
        <w:t>:</w:t>
      </w:r>
      <w:r>
        <w:t xml:space="preserve"> Going through algebra similar to that as in Burgard and Kjaer (2013), it can be shown that subject to the funding constraint</w:t>
      </w:r>
    </w:p>
    <w:p w:rsidR="001101CE" w:rsidRDefault="001101CE" w:rsidP="001101CE">
      <w:pPr>
        <w:pStyle w:val="ListParagraph"/>
        <w:spacing w:line="360" w:lineRule="auto"/>
        <w:ind w:left="360"/>
        <w:rPr>
          <w:u w:val="single"/>
        </w:rPr>
      </w:pPr>
    </w:p>
    <w:p w:rsidR="001101CE" w:rsidRDefault="005D6A21"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the combination of the derivatives and the replicating portfolio (which includes the funding instruments) evolves as</w:t>
      </w:r>
    </w:p>
    <w:p w:rsidR="001101CE" w:rsidRDefault="001101CE" w:rsidP="001101CE">
      <w:pPr>
        <w:pStyle w:val="ListParagraph"/>
        <w:spacing w:line="360" w:lineRule="auto"/>
        <w:ind w:left="360"/>
      </w:pPr>
    </w:p>
    <w:p w:rsidR="001101CE" w:rsidRDefault="00821B54" w:rsidP="001101CE">
      <w:pPr>
        <w:pStyle w:val="ListParagraph"/>
        <w:spacing w:line="360" w:lineRule="auto"/>
        <w:ind w:left="360"/>
      </w:pPr>
      <m:oMathPara>
        <m:oMath>
          <m:r>
            <m:rPr>
              <m:sty m:val="p"/>
            </m:rPr>
            <w:rPr>
              <w:rFonts w:ascii="Cambria Math" w:hAnsi="Cambria Math"/>
            </w:rPr>
            <w:lastRenderedPageBreak/>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where</w:t>
      </w:r>
    </w:p>
    <w:p w:rsidR="001101CE" w:rsidRDefault="001101CE" w:rsidP="001101CE">
      <w:pPr>
        <w:pStyle w:val="ListParagraph"/>
        <w:spacing w:line="360" w:lineRule="auto"/>
        <w:ind w:left="360"/>
      </w:pPr>
    </w:p>
    <w:p w:rsidR="001101CE" w:rsidRDefault="005D6A21" w:rsidP="001101C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e>
          </m:d>
          <m:r>
            <w:rPr>
              <w:rFonts w:ascii="Cambria Math" w:hAnsi="Cambria Math"/>
            </w:rPr>
            <m:t>S</m:t>
          </m:r>
          <m:f>
            <m:fPr>
              <m:ctrlPr>
                <w:rPr>
                  <w:rFonts w:ascii="Cambria Math" w:hAnsi="Cambria Math"/>
                  <w:i/>
                </w:rPr>
              </m:ctrlPr>
            </m:fPr>
            <m:num>
              <m:r>
                <w:rPr>
                  <w:rFonts w:ascii="Cambria Math" w:hAnsi="Cambria Math"/>
                </w:rPr>
                <m:t>∂</m:t>
              </m:r>
            </m:num>
            <m:den>
              <m:r>
                <w:rPr>
                  <w:rFonts w:ascii="Cambria Math" w:hAnsi="Cambria Math"/>
                </w:rPr>
                <m:t>∂S</m:t>
              </m:r>
            </m:den>
          </m:f>
        </m:oMath>
      </m:oMathPara>
    </w:p>
    <w:p w:rsidR="001101CE" w:rsidRDefault="001101CE" w:rsidP="001101CE">
      <w:pPr>
        <w:pStyle w:val="ListParagraph"/>
        <w:spacing w:line="360" w:lineRule="auto"/>
        <w:ind w:left="360"/>
      </w:pPr>
    </w:p>
    <w:p w:rsidR="001101CE" w:rsidRDefault="005D6A21" w:rsidP="001101CE">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is the post-issuer default value of the issuer bond portfolio, and</w:t>
      </w:r>
    </w:p>
    <w:p w:rsidR="001101CE" w:rsidRDefault="001101CE" w:rsidP="001101CE">
      <w:pPr>
        <w:pStyle w:val="ListParagraph"/>
        <w:spacing w:line="360" w:lineRule="auto"/>
        <w:ind w:left="360"/>
      </w:pPr>
    </w:p>
    <w:p w:rsidR="001101CE" w:rsidRDefault="005D6A21"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Ci</m:t>
              </m:r>
            </m:sub>
          </m:sSub>
        </m:oMath>
      </m:oMathPara>
    </w:p>
    <w:p w:rsidR="001101CE" w:rsidRDefault="001101CE" w:rsidP="001101CE">
      <w:pPr>
        <w:pStyle w:val="ListParagraph"/>
        <w:spacing w:line="360" w:lineRule="auto"/>
        <w:ind w:left="360"/>
      </w:pPr>
    </w:p>
    <w:p w:rsidR="002426A3" w:rsidRDefault="002426A3" w:rsidP="001101CE">
      <w:pPr>
        <w:pStyle w:val="ListParagraph"/>
        <w:spacing w:line="360" w:lineRule="auto"/>
        <w:ind w:left="360"/>
      </w:pPr>
      <w:r>
        <w:t xml:space="preserve">is the spread of the yield of zero coupon bonds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over its repo rate, i.e., the surviving rate of the counter party default hedge position.</w:t>
      </w:r>
    </w:p>
    <w:p w:rsidR="001101CE" w:rsidRDefault="002835A7" w:rsidP="00D83552">
      <w:pPr>
        <w:pStyle w:val="ListParagraph"/>
        <w:numPr>
          <w:ilvl w:val="0"/>
          <w:numId w:val="108"/>
        </w:numPr>
        <w:spacing w:line="360" w:lineRule="auto"/>
      </w:pPr>
      <w:r>
        <w:rPr>
          <w:u w:val="single"/>
        </w:rPr>
        <w:t>Absence of Cash/Funding Basis</w:t>
      </w:r>
      <w:r w:rsidRPr="002835A7">
        <w:t>:</w:t>
      </w:r>
      <w:r>
        <w:t xml:space="preserve"> Under the assumption of zero basis between bonds</w:t>
      </w:r>
    </w:p>
    <w:p w:rsidR="001101CE" w:rsidRDefault="001101CE" w:rsidP="001101CE">
      <w:pPr>
        <w:pStyle w:val="ListParagraph"/>
        <w:spacing w:line="360" w:lineRule="auto"/>
        <w:ind w:left="360"/>
        <w:rPr>
          <w:u w:val="single"/>
        </w:rPr>
      </w:pPr>
    </w:p>
    <w:p w:rsidR="001101CE" w:rsidRDefault="005D6A21" w:rsidP="001101CE">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where</w:t>
      </w:r>
    </w:p>
    <w:p w:rsidR="001101CE" w:rsidRDefault="001101CE" w:rsidP="001101CE">
      <w:pPr>
        <w:pStyle w:val="ListParagraph"/>
        <w:spacing w:line="360" w:lineRule="auto"/>
        <w:ind w:left="360"/>
      </w:pPr>
    </w:p>
    <w:p w:rsidR="001101CE" w:rsidRDefault="005D6A21"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Inserting this into</w:t>
      </w:r>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lastRenderedPageBreak/>
        <w:t>yields</w:t>
      </w:r>
    </w:p>
    <w:p w:rsidR="001101CE" w:rsidRDefault="001101CE" w:rsidP="001101CE">
      <w:pPr>
        <w:pStyle w:val="ListParagraph"/>
        <w:spacing w:line="360" w:lineRule="auto"/>
        <w:ind w:left="360"/>
      </w:pPr>
    </w:p>
    <w:p w:rsidR="002835A7" w:rsidRP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1101CE" w:rsidRDefault="00CD728E" w:rsidP="00D83552">
      <w:pPr>
        <w:pStyle w:val="ListParagraph"/>
        <w:numPr>
          <w:ilvl w:val="0"/>
          <w:numId w:val="108"/>
        </w:numPr>
        <w:spacing w:line="360" w:lineRule="auto"/>
      </w:pPr>
      <w:r>
        <w:rPr>
          <w:u w:val="single"/>
        </w:rPr>
        <w:t>The Bank Default Hedge Error</w:t>
      </w:r>
      <w:r>
        <w:t xml:space="preserve">: It is thus evident that all risks except own default have been hedged, and as in Burgard and Kjaer (2013), the hedge error upon issuer default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can be defined as</w:t>
      </w:r>
    </w:p>
    <w:p w:rsidR="001101CE" w:rsidRDefault="001101CE" w:rsidP="001101CE">
      <w:pPr>
        <w:pStyle w:val="ListParagraph"/>
        <w:spacing w:line="360" w:lineRule="auto"/>
        <w:ind w:left="360"/>
        <w:rPr>
          <w:u w:val="single"/>
        </w:rPr>
      </w:pPr>
    </w:p>
    <w:p w:rsidR="001101CE" w:rsidRDefault="005D6A21"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CD728E" w:rsidP="001101CE">
      <w:pPr>
        <w:pStyle w:val="ListParagraph"/>
        <w:spacing w:line="360" w:lineRule="auto"/>
        <w:ind w:left="360"/>
      </w:pPr>
      <w:r>
        <w:t>subject to the funding constraint</w:t>
      </w:r>
    </w:p>
    <w:p w:rsidR="001101CE" w:rsidRDefault="001101CE" w:rsidP="001101CE">
      <w:pPr>
        <w:pStyle w:val="ListParagraph"/>
        <w:spacing w:line="360" w:lineRule="auto"/>
        <w:ind w:left="360"/>
      </w:pPr>
    </w:p>
    <w:p w:rsidR="00CD728E" w:rsidRPr="001101CE" w:rsidRDefault="005D6A21"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CD728E" w:rsidP="00D83552">
      <w:pPr>
        <w:pStyle w:val="ListParagraph"/>
        <w:numPr>
          <w:ilvl w:val="0"/>
          <w:numId w:val="108"/>
        </w:numPr>
        <w:spacing w:line="360" w:lineRule="auto"/>
      </w:pPr>
      <w:r>
        <w:rPr>
          <w:u w:val="single"/>
        </w:rPr>
        <w:t>Application of the Self Financing Criterion</w:t>
      </w:r>
      <w:r>
        <w:t xml:space="preserve">: While the user is still alive, the </w:t>
      </w:r>
      <m:oMath>
        <m:r>
          <m:rPr>
            <m:sty m:val="p"/>
          </m:rPr>
          <w:rPr>
            <w:rFonts w:ascii="Cambria Math" w:hAnsi="Cambria Math"/>
          </w:rPr>
          <m:t>Δ</m:t>
        </m:r>
        <m:r>
          <w:rPr>
            <w:rFonts w:ascii="Cambria Math" w:hAnsi="Cambria Math"/>
          </w:rPr>
          <m:t>t</m:t>
        </m:r>
      </m:oMath>
      <w:r>
        <w:t xml:space="preserve"> terms in</w:t>
      </w:r>
    </w:p>
    <w:p w:rsidR="001101CE" w:rsidRDefault="001101CE" w:rsidP="001101CE">
      <w:pPr>
        <w:pStyle w:val="ListParagraph"/>
        <w:spacing w:line="360" w:lineRule="auto"/>
        <w:ind w:left="360"/>
        <w:rPr>
          <w:u w:val="single"/>
        </w:rPr>
      </w:pPr>
    </w:p>
    <w:p w:rsidR="001101CE" w:rsidRDefault="00C2577C"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CD728E" w:rsidRDefault="00CD728E" w:rsidP="001101CE">
      <w:pPr>
        <w:pStyle w:val="ListParagraph"/>
        <w:spacing w:line="360" w:lineRule="auto"/>
        <w:ind w:left="360"/>
      </w:pPr>
      <w:r>
        <w:t>should add to zero for the strategy to be self-financing</w:t>
      </w:r>
      <w:r w:rsidR="00C2577C">
        <w:t>. This gives a PDE for the economic value in this state.</w:t>
      </w:r>
    </w:p>
    <w:p w:rsidR="00C2577C" w:rsidRDefault="00C2577C" w:rsidP="00D83552">
      <w:pPr>
        <w:pStyle w:val="ListParagraph"/>
        <w:numPr>
          <w:ilvl w:val="0"/>
          <w:numId w:val="108"/>
        </w:numPr>
        <w:spacing w:line="360" w:lineRule="auto"/>
      </w:pPr>
      <w:r>
        <w:rPr>
          <w:u w:val="single"/>
        </w:rPr>
        <w:t>Validity of the Funding Constraint</w:t>
      </w:r>
      <w:r w:rsidRPr="00C2577C">
        <w:t>:</w:t>
      </w:r>
      <w:r>
        <w:t xml:space="preserve"> Without issuer default the total value of the portfolio </w:t>
      </w:r>
      <m:oMath>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Π</m:t>
        </m:r>
      </m:oMath>
      <w:r>
        <w:t xml:space="preserve"> remains zero, i.e., yielding perfect replication, while if the issuer defaults first, it jumps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w:t>
      </w:r>
    </w:p>
    <w:p w:rsidR="001101CE" w:rsidRDefault="00C2577C" w:rsidP="00D83552">
      <w:pPr>
        <w:pStyle w:val="ListParagraph"/>
        <w:numPr>
          <w:ilvl w:val="0"/>
          <w:numId w:val="108"/>
        </w:numPr>
        <w:spacing w:line="360" w:lineRule="auto"/>
      </w:pPr>
      <w:r>
        <w:rPr>
          <w:u w:val="single"/>
        </w:rPr>
        <w:t>Counter Party Default Close Out</w:t>
      </w:r>
      <w:r w:rsidRPr="00C2577C">
        <w:t>:</w:t>
      </w:r>
      <w:r>
        <w:t xml:space="preserve"> According to</w:t>
      </w:r>
    </w:p>
    <w:p w:rsidR="001101CE" w:rsidRDefault="001101CE" w:rsidP="001101CE">
      <w:pPr>
        <w:pStyle w:val="ListParagraph"/>
        <w:spacing w:line="360" w:lineRule="auto"/>
        <w:ind w:left="360"/>
        <w:rPr>
          <w:u w:val="single"/>
        </w:rPr>
      </w:pPr>
    </w:p>
    <w:p w:rsidR="001101CE" w:rsidRDefault="005D6A21"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C2577C" w:rsidP="001101CE">
      <w:pPr>
        <w:pStyle w:val="ListParagraph"/>
        <w:spacing w:line="360" w:lineRule="auto"/>
        <w:ind w:left="360"/>
      </w:pPr>
      <w:r>
        <w:t>and</w:t>
      </w:r>
    </w:p>
    <w:p w:rsidR="001101CE" w:rsidRDefault="001101CE" w:rsidP="001101CE">
      <w:pPr>
        <w:pStyle w:val="ListParagraph"/>
        <w:spacing w:line="360" w:lineRule="auto"/>
        <w:ind w:left="360"/>
      </w:pPr>
    </w:p>
    <w:p w:rsidR="001101CE" w:rsidRDefault="005D6A21"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C2577C" w:rsidRDefault="00C2577C" w:rsidP="001101CE">
      <w:pPr>
        <w:pStyle w:val="ListParagraph"/>
        <w:spacing w:line="360" w:lineRule="auto"/>
        <w:ind w:left="360"/>
      </w:pPr>
      <w:r>
        <w:t xml:space="preserve">the closeout amounts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depend upon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 Thus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needs to be determined first.</w:t>
      </w:r>
    </w:p>
    <w:p w:rsidR="001101CE" w:rsidRDefault="00C2577C" w:rsidP="00D83552">
      <w:pPr>
        <w:pStyle w:val="ListParagraph"/>
        <w:numPr>
          <w:ilvl w:val="0"/>
          <w:numId w:val="108"/>
        </w:numPr>
        <w:spacing w:line="360" w:lineRule="auto"/>
      </w:pPr>
      <w:r>
        <w:rPr>
          <w:u w:val="single"/>
        </w:rPr>
        <w:t>Surviving Counter Party Replication Portfolio</w:t>
      </w:r>
      <w:r w:rsidRPr="00C2577C">
        <w:t>:</w:t>
      </w:r>
      <w:r>
        <w:t xml:space="preserve"> Describing the funding strategy in this state by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t xml:space="preserve"> the balance sheet dynamics becomes</w:t>
      </w:r>
    </w:p>
    <w:p w:rsidR="001101CE" w:rsidRDefault="001101CE" w:rsidP="001101CE">
      <w:pPr>
        <w:pStyle w:val="ListParagraph"/>
        <w:spacing w:line="360" w:lineRule="auto"/>
        <w:ind w:left="360"/>
        <w:rPr>
          <w:u w:val="single"/>
        </w:rPr>
      </w:pPr>
    </w:p>
    <w:p w:rsidR="001101CE" w:rsidRDefault="004E1678" w:rsidP="001101CE">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BF12C9" w:rsidRDefault="00C2577C" w:rsidP="001101CE">
      <w:pPr>
        <w:pStyle w:val="ListParagraph"/>
        <w:spacing w:line="360" w:lineRule="auto"/>
        <w:ind w:left="360"/>
      </w:pPr>
      <w:r>
        <w:t>with hedge error</w:t>
      </w:r>
    </w:p>
    <w:p w:rsidR="00BF12C9" w:rsidRDefault="00BF12C9" w:rsidP="001101CE">
      <w:pPr>
        <w:pStyle w:val="ListParagraph"/>
        <w:spacing w:line="360" w:lineRule="auto"/>
        <w:ind w:left="360"/>
      </w:pPr>
    </w:p>
    <w:p w:rsidR="00BF12C9" w:rsidRDefault="005D6A21"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BF12C9" w:rsidRDefault="00BF12C9" w:rsidP="001101CE">
      <w:pPr>
        <w:pStyle w:val="ListParagraph"/>
        <w:spacing w:line="360" w:lineRule="auto"/>
        <w:ind w:left="360"/>
      </w:pPr>
    </w:p>
    <w:p w:rsidR="00BF12C9" w:rsidRDefault="00C2577C" w:rsidP="001101CE">
      <w:pPr>
        <w:pStyle w:val="ListParagraph"/>
        <w:spacing w:line="360" w:lineRule="auto"/>
        <w:ind w:left="360"/>
      </w:pPr>
      <w:r>
        <w:t>subject to the funding constraint</w:t>
      </w:r>
    </w:p>
    <w:p w:rsidR="00BF12C9" w:rsidRDefault="00BF12C9" w:rsidP="001101CE">
      <w:pPr>
        <w:pStyle w:val="ListParagraph"/>
        <w:spacing w:line="360" w:lineRule="auto"/>
        <w:ind w:left="360"/>
      </w:pPr>
    </w:p>
    <w:p w:rsidR="00C2577C" w:rsidRDefault="005D6A21" w:rsidP="001101CE">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7C472E" w:rsidRDefault="007C472E" w:rsidP="00BC2EF5">
      <w:pPr>
        <w:spacing w:line="360" w:lineRule="auto"/>
      </w:pPr>
    </w:p>
    <w:p w:rsidR="005A324B" w:rsidRDefault="005A324B" w:rsidP="00BC2EF5">
      <w:pPr>
        <w:spacing w:line="360" w:lineRule="auto"/>
      </w:pPr>
    </w:p>
    <w:p w:rsidR="005A324B" w:rsidRPr="001101CE" w:rsidRDefault="005A324B" w:rsidP="00BC2EF5">
      <w:pPr>
        <w:spacing w:line="360" w:lineRule="auto"/>
        <w:rPr>
          <w:b/>
          <w:sz w:val="28"/>
          <w:szCs w:val="28"/>
        </w:rPr>
      </w:pPr>
      <w:r w:rsidRPr="001101CE">
        <w:rPr>
          <w:b/>
          <w:sz w:val="28"/>
          <w:szCs w:val="28"/>
        </w:rPr>
        <w:t>Economic Values</w:t>
      </w:r>
    </w:p>
    <w:p w:rsidR="005A324B" w:rsidRDefault="005A324B" w:rsidP="00BC2EF5">
      <w:pPr>
        <w:spacing w:line="360" w:lineRule="auto"/>
      </w:pPr>
    </w:p>
    <w:p w:rsidR="0060273C" w:rsidRDefault="005A324B" w:rsidP="00D83552">
      <w:pPr>
        <w:pStyle w:val="ListParagraph"/>
        <w:numPr>
          <w:ilvl w:val="0"/>
          <w:numId w:val="109"/>
        </w:numPr>
        <w:spacing w:line="360" w:lineRule="auto"/>
      </w:pPr>
      <w:r w:rsidRPr="001101CE">
        <w:rPr>
          <w:u w:val="single"/>
        </w:rPr>
        <w:lastRenderedPageBreak/>
        <w:t>Lack of Own-Default Benefit</w:t>
      </w:r>
      <w:r>
        <w:t xml:space="preserve">: The next step is to solve for the economic values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then </w:t>
      </w:r>
      <m:oMath>
        <m:acc>
          <m:accPr>
            <m:ctrlPr>
              <w:rPr>
                <w:rFonts w:ascii="Cambria Math" w:hAnsi="Cambria Math"/>
                <w:i/>
              </w:rPr>
            </m:ctrlPr>
          </m:accPr>
          <m:e>
            <m:r>
              <w:rPr>
                <w:rFonts w:ascii="Cambria Math" w:hAnsi="Cambria Math"/>
              </w:rPr>
              <m:t>V</m:t>
            </m:r>
          </m:e>
        </m:acc>
      </m:oMath>
      <w:r>
        <w:t>. As per</w:t>
      </w:r>
    </w:p>
    <w:p w:rsidR="0060273C" w:rsidRDefault="0060273C" w:rsidP="0060273C">
      <w:pPr>
        <w:pStyle w:val="ListParagraph"/>
        <w:spacing w:line="360" w:lineRule="auto"/>
        <w:ind w:left="360"/>
        <w:rPr>
          <w:u w:val="single"/>
        </w:rPr>
      </w:pPr>
    </w:p>
    <w:p w:rsidR="0060273C" w:rsidRDefault="005A324B"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5A324B" w:rsidRDefault="005A324B" w:rsidP="0060273C">
      <w:pPr>
        <w:pStyle w:val="ListParagraph"/>
        <w:spacing w:line="360" w:lineRule="auto"/>
        <w:ind w:left="360"/>
      </w:pPr>
      <w:r>
        <w:t xml:space="preserve">when the counterparty </w:t>
      </w:r>
      <m:oMath>
        <m:r>
          <w:rPr>
            <w:rFonts w:ascii="Cambria Math" w:hAnsi="Cambria Math"/>
          </w:rPr>
          <m:t>k</m:t>
        </m:r>
      </m:oMath>
      <w:r>
        <w:t xml:space="preserve"> has defaulted and only counterparty </w:t>
      </w:r>
      <m:oMath>
        <m:r>
          <w:rPr>
            <w:rFonts w:ascii="Cambria Math" w:hAnsi="Cambria Math"/>
          </w:rPr>
          <m:t>i</m:t>
        </m:r>
      </m:oMath>
      <w:r>
        <w:t xml:space="preserve"> is alive the shareholders earn or pay the amount</w:t>
      </w:r>
      <w:r w:rsidR="001101CE">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of time during the life of the issuer while not receiving the benefit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upon own default.</w:t>
      </w:r>
    </w:p>
    <w:p w:rsidR="0060273C" w:rsidRDefault="004E3431" w:rsidP="00D83552">
      <w:pPr>
        <w:pStyle w:val="ListParagraph"/>
        <w:numPr>
          <w:ilvl w:val="0"/>
          <w:numId w:val="109"/>
        </w:numPr>
        <w:spacing w:line="360" w:lineRule="auto"/>
      </w:pPr>
      <w:r>
        <w:rPr>
          <w:u w:val="single"/>
        </w:rPr>
        <w:t>Economic Value of the Surviving Party</w:t>
      </w:r>
      <w:r w:rsidRPr="004E3431">
        <w:t>:</w:t>
      </w:r>
      <w:r>
        <w:t xml:space="preserve">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but not the windfall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should therefore be included in the </w:t>
      </w:r>
      <w:r w:rsidRPr="004E3431">
        <w:rPr>
          <w:i/>
        </w:rPr>
        <w:t>economic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to the shareholders, which satisfies the PDE</w:t>
      </w:r>
    </w:p>
    <w:p w:rsidR="0060273C" w:rsidRDefault="0060273C" w:rsidP="0060273C">
      <w:pPr>
        <w:pStyle w:val="ListParagraph"/>
        <w:spacing w:line="360" w:lineRule="auto"/>
        <w:ind w:left="360"/>
        <w:rPr>
          <w:u w:val="single"/>
        </w:rPr>
      </w:pPr>
    </w:p>
    <w:p w:rsidR="0060273C" w:rsidRDefault="005D6A21"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4E3431" w:rsidRPr="0060273C" w:rsidRDefault="005D6A21"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1040D" w:rsidP="00D83552">
      <w:pPr>
        <w:pStyle w:val="ListParagraph"/>
        <w:numPr>
          <w:ilvl w:val="0"/>
          <w:numId w:val="109"/>
        </w:numPr>
        <w:spacing w:line="360" w:lineRule="auto"/>
      </w:pPr>
      <w:r>
        <w:rPr>
          <w:u w:val="single"/>
        </w:rPr>
        <w:t xml:space="preserve">Expression for Solution to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m:t>
            </m:r>
          </m:sub>
        </m:sSub>
      </m:oMath>
      <w:r>
        <w:t>: By Burgard and Kjaer (2013) the solution is given by</w:t>
      </w:r>
    </w:p>
    <w:p w:rsidR="0060273C" w:rsidRDefault="0060273C" w:rsidP="0060273C">
      <w:pPr>
        <w:pStyle w:val="ListParagraph"/>
        <w:spacing w:line="360" w:lineRule="auto"/>
        <w:ind w:left="360"/>
        <w:rPr>
          <w:u w:val="single"/>
        </w:rPr>
      </w:pPr>
    </w:p>
    <w:p w:rsidR="0060273C" w:rsidRDefault="005D6A21"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0273C" w:rsidRDefault="0060273C" w:rsidP="0060273C">
      <w:pPr>
        <w:pStyle w:val="ListParagraph"/>
        <w:spacing w:line="360" w:lineRule="auto"/>
        <w:ind w:left="360"/>
      </w:pPr>
    </w:p>
    <w:p w:rsidR="0060273C" w:rsidRDefault="0051040D" w:rsidP="0060273C">
      <w:pPr>
        <w:pStyle w:val="ListParagraph"/>
        <w:spacing w:line="360" w:lineRule="auto"/>
        <w:ind w:left="360"/>
      </w:pPr>
      <w:r>
        <w:t>with</w:t>
      </w:r>
    </w:p>
    <w:p w:rsidR="006F1D53" w:rsidRDefault="006F1D53" w:rsidP="0060273C">
      <w:pPr>
        <w:pStyle w:val="ListParagraph"/>
        <w:spacing w:line="360" w:lineRule="auto"/>
        <w:ind w:left="360"/>
      </w:pPr>
    </w:p>
    <w:p w:rsidR="0060273C" w:rsidRDefault="005D6A21" w:rsidP="006F1D53">
      <w:pPr>
        <w:pStyle w:val="ListParagraph"/>
        <w:spacing w:line="360" w:lineRule="auto"/>
        <w:ind w:left="360"/>
        <w:jc w:val="center"/>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0273C" w:rsidRDefault="0060273C" w:rsidP="0060273C">
      <w:pPr>
        <w:pStyle w:val="ListParagraph"/>
        <w:spacing w:line="360" w:lineRule="auto"/>
        <w:ind w:left="360"/>
      </w:pPr>
    </w:p>
    <w:p w:rsidR="0051040D" w:rsidRPr="0060273C" w:rsidRDefault="005D6A21"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0273C" w:rsidRDefault="0060273C" w:rsidP="0060273C">
      <w:pPr>
        <w:pStyle w:val="ListParagraph"/>
        <w:spacing w:line="360" w:lineRule="auto"/>
        <w:ind w:left="360"/>
      </w:pPr>
    </w:p>
    <w:p w:rsidR="001F03C3" w:rsidRDefault="001F03C3" w:rsidP="00D83552">
      <w:pPr>
        <w:pStyle w:val="ListParagraph"/>
        <w:numPr>
          <w:ilvl w:val="0"/>
          <w:numId w:val="109"/>
        </w:numPr>
        <w:spacing w:line="360" w:lineRule="auto"/>
      </w:pPr>
      <w:r>
        <w:rPr>
          <w:u w:val="single"/>
        </w:rPr>
        <w:t>Backwards Iteration from Counter Party Default</w:t>
      </w:r>
      <w:r>
        <w:t xml:space="preserve">: The default of the counter party </w:t>
      </w:r>
      <m:oMath>
        <m:r>
          <w:rPr>
            <w:rFonts w:ascii="Cambria Math" w:hAnsi="Cambria Math"/>
          </w:rPr>
          <m:t>k</m:t>
        </m:r>
      </m:oMath>
      <w:r>
        <w:t xml:space="preserve"> is a zero PnL event as the counter party credit risk is hedged, so we can continue backwards across the default event to the state where all the parties are alive in a self-financing fashion.</w:t>
      </w:r>
    </w:p>
    <w:p w:rsidR="0060273C" w:rsidRDefault="00D83A71" w:rsidP="00D83552">
      <w:pPr>
        <w:pStyle w:val="ListParagraph"/>
        <w:numPr>
          <w:ilvl w:val="0"/>
          <w:numId w:val="109"/>
        </w:numPr>
        <w:spacing w:line="360" w:lineRule="auto"/>
      </w:pPr>
      <w:r>
        <w:rPr>
          <w:u w:val="single"/>
        </w:rPr>
        <w:t>Funding Costs Incurred to Shareholders</w:t>
      </w:r>
      <w:r w:rsidRPr="00D83A71">
        <w:t>:</w:t>
      </w:r>
      <w:r>
        <w:t xml:space="preserve"> Analogous to before</w:t>
      </w:r>
    </w:p>
    <w:p w:rsidR="0060273C" w:rsidRDefault="0060273C" w:rsidP="0060273C">
      <w:pPr>
        <w:pStyle w:val="ListParagraph"/>
        <w:spacing w:line="360" w:lineRule="auto"/>
        <w:ind w:left="360"/>
        <w:rPr>
          <w:u w:val="single"/>
        </w:rPr>
      </w:pPr>
    </w:p>
    <w:p w:rsidR="0060273C" w:rsidRDefault="00D83A71" w:rsidP="0060273C">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tell us that in this state the shareholders earn or pay the amount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per unit time during the life of the issuer while not receiving the benefit of the hedge error  upon own default, and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should also be included in the economic value </w:t>
      </w:r>
      <m:oMath>
        <m:acc>
          <m:accPr>
            <m:ctrlPr>
              <w:rPr>
                <w:rFonts w:ascii="Cambria Math" w:hAnsi="Cambria Math"/>
                <w:i/>
              </w:rPr>
            </m:ctrlPr>
          </m:accPr>
          <m:e>
            <m:r>
              <w:rPr>
                <w:rFonts w:ascii="Cambria Math" w:hAnsi="Cambria Math"/>
              </w:rPr>
              <m:t>V</m:t>
            </m:r>
          </m:e>
        </m:acc>
      </m:oMath>
      <w:r>
        <w:t xml:space="preserve"> to the shareholders.</w:t>
      </w:r>
    </w:p>
    <w:p w:rsidR="0060273C" w:rsidRDefault="00D83A71" w:rsidP="00D83552">
      <w:pPr>
        <w:pStyle w:val="ListParagraph"/>
        <w:numPr>
          <w:ilvl w:val="0"/>
          <w:numId w:val="109"/>
        </w:numPr>
        <w:spacing w:line="360" w:lineRule="auto"/>
      </w:pPr>
      <w:r>
        <w:rPr>
          <w:u w:val="single"/>
        </w:rPr>
        <w:t>PDE for the Derivative Value</w:t>
      </w:r>
      <w:r w:rsidRPr="00D83A71">
        <w:t>:</w:t>
      </w:r>
      <w:r>
        <w:t xml:space="preserve"> The value is then given as the solution to the PDE</w:t>
      </w:r>
    </w:p>
    <w:p w:rsidR="0060273C" w:rsidRDefault="0060273C" w:rsidP="0060273C">
      <w:pPr>
        <w:pStyle w:val="ListParagraph"/>
        <w:spacing w:line="360" w:lineRule="auto"/>
        <w:ind w:left="360"/>
        <w:rPr>
          <w:u w:val="single"/>
        </w:rPr>
      </w:pPr>
    </w:p>
    <w:p w:rsidR="0060273C" w:rsidRDefault="005D6A21"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5D6A21"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r>
        <w:t xml:space="preserve">where it is to be recalled that the closeout values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as given by</w:t>
      </w:r>
    </w:p>
    <w:p w:rsidR="0060273C" w:rsidRDefault="0060273C" w:rsidP="0060273C">
      <w:pPr>
        <w:pStyle w:val="ListParagraph"/>
        <w:spacing w:line="360" w:lineRule="auto"/>
        <w:ind w:left="360"/>
      </w:pPr>
    </w:p>
    <w:p w:rsidR="0060273C" w:rsidRPr="0060273C" w:rsidRDefault="005D6A21" w:rsidP="0060273C">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60273C" w:rsidRDefault="005D3AF6" w:rsidP="0060273C">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 depend on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w:t>
      </w:r>
    </w:p>
    <w:p w:rsidR="0060273C" w:rsidRDefault="005D3AF6" w:rsidP="00D83552">
      <w:pPr>
        <w:pStyle w:val="ListParagraph"/>
        <w:numPr>
          <w:ilvl w:val="0"/>
          <w:numId w:val="109"/>
        </w:numPr>
        <w:spacing w:line="360" w:lineRule="auto"/>
      </w:pPr>
      <w:r>
        <w:rPr>
          <w:u w:val="single"/>
        </w:rPr>
        <w:t>Solving the Coupled System of PDE’s</w:t>
      </w:r>
      <w:r w:rsidRPr="005D3AF6">
        <w:t>:</w:t>
      </w:r>
      <w:r>
        <w:t xml:space="preserve"> Consequently the PDE’s</w:t>
      </w:r>
    </w:p>
    <w:p w:rsidR="0060273C" w:rsidRDefault="0060273C" w:rsidP="0060273C">
      <w:pPr>
        <w:pStyle w:val="ListParagraph"/>
        <w:spacing w:line="360" w:lineRule="auto"/>
        <w:ind w:left="360"/>
        <w:rPr>
          <w:u w:val="single"/>
        </w:rPr>
      </w:pPr>
    </w:p>
    <w:p w:rsidR="0060273C" w:rsidRDefault="005D6A21"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5D6A21"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D3AF6"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5D6A21"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60273C" w:rsidRDefault="005D6A21"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5D3AF6" w:rsidRDefault="005D3AF6" w:rsidP="0060273C">
      <w:pPr>
        <w:pStyle w:val="ListParagraph"/>
        <w:spacing w:line="360" w:lineRule="auto"/>
        <w:ind w:left="360"/>
      </w:pPr>
      <w:r>
        <w:t>form a coupled system of PDE’s where the to the former feeds into the latter.</w:t>
      </w:r>
    </w:p>
    <w:p w:rsidR="0060273C" w:rsidRDefault="003E08B2" w:rsidP="00D83552">
      <w:pPr>
        <w:pStyle w:val="ListParagraph"/>
        <w:numPr>
          <w:ilvl w:val="0"/>
          <w:numId w:val="109"/>
        </w:numPr>
        <w:spacing w:line="360" w:lineRule="auto"/>
      </w:pPr>
      <w:r>
        <w:rPr>
          <w:u w:val="single"/>
        </w:rPr>
        <w:t>Funding Strategy Specific Value Adjustments</w:t>
      </w:r>
      <w:r w:rsidRPr="003E08B2">
        <w:t>:</w:t>
      </w:r>
      <w:r>
        <w:t xml:space="preserve"> Based on this observation one creates the Ansatze</w:t>
      </w:r>
    </w:p>
    <w:p w:rsidR="0060273C" w:rsidRDefault="0060273C" w:rsidP="0060273C">
      <w:pPr>
        <w:pStyle w:val="ListParagraph"/>
        <w:spacing w:line="360" w:lineRule="auto"/>
        <w:ind w:left="360"/>
        <w:rPr>
          <w:u w:val="single"/>
        </w:rPr>
      </w:pPr>
    </w:p>
    <w:p w:rsidR="0060273C" w:rsidRDefault="005D6A21"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60273C" w:rsidRDefault="0060273C" w:rsidP="0060273C">
      <w:pPr>
        <w:pStyle w:val="ListParagraph"/>
        <w:spacing w:line="360" w:lineRule="auto"/>
        <w:ind w:left="360"/>
      </w:pPr>
    </w:p>
    <w:p w:rsidR="0060273C" w:rsidRDefault="002C7FA2"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5D6A21"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0273C" w:rsidRDefault="0060273C" w:rsidP="0060273C">
      <w:pPr>
        <w:pStyle w:val="ListParagraph"/>
        <w:spacing w:line="360" w:lineRule="auto"/>
        <w:ind w:left="360"/>
      </w:pPr>
    </w:p>
    <w:p w:rsidR="001976FD" w:rsidRDefault="002C7FA2" w:rsidP="0060273C">
      <w:pPr>
        <w:pStyle w:val="ListParagraph"/>
        <w:spacing w:line="360" w:lineRule="auto"/>
        <w:ind w:left="360"/>
      </w:pPr>
      <w:r>
        <w:lastRenderedPageBreak/>
        <w:t>and after some details (next section) one obtains</w:t>
      </w:r>
    </w:p>
    <w:p w:rsidR="001976FD" w:rsidRDefault="001976FD" w:rsidP="0060273C">
      <w:pPr>
        <w:pStyle w:val="ListParagraph"/>
        <w:spacing w:line="360" w:lineRule="auto"/>
        <w:ind w:left="360"/>
      </w:pPr>
    </w:p>
    <w:p w:rsidR="001976FD" w:rsidRDefault="005D6A21"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r>
        <w:t>with</w:t>
      </w:r>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m:oMathPara>
        <m:oMath>
          <m:r>
            <w:rPr>
              <w:rFonts w:ascii="Cambria Math" w:hAnsi="Cambria Math"/>
            </w:rPr>
            <m:t>BLCVA=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BLCVA</m:t>
                  </m:r>
                </m:e>
                <m:sub>
                  <m:r>
                    <w:rPr>
                      <w:rFonts w:ascii="Cambria Math" w:hAnsi="Cambria Math"/>
                    </w:rPr>
                    <m:t>i, j</m:t>
                  </m:r>
                </m:sub>
              </m:sSub>
            </m:e>
          </m:nary>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r>
        <w:t>and</w:t>
      </w:r>
    </w:p>
    <w:p w:rsidR="001976FD" w:rsidRDefault="001976FD" w:rsidP="0060273C">
      <w:pPr>
        <w:pStyle w:val="ListParagraph"/>
        <w:spacing w:line="360" w:lineRule="auto"/>
        <w:ind w:left="360"/>
      </w:pPr>
    </w:p>
    <w:p w:rsidR="001976FD" w:rsidRDefault="005D6A21"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w:r>
        <w:t xml:space="preserve">where the dependence of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oMath>
      <w:r>
        <w:t xml:space="preserve">, the funding cost adjustment </w:t>
      </w:r>
      <m:oMath>
        <m:sSub>
          <m:sSubPr>
            <m:ctrlPr>
              <w:rPr>
                <w:rFonts w:ascii="Cambria Math" w:hAnsi="Cambria Math"/>
                <w:i/>
              </w:rPr>
            </m:ctrlPr>
          </m:sSubPr>
          <m:e>
            <m:r>
              <w:rPr>
                <w:rFonts w:ascii="Cambria Math" w:hAnsi="Cambria Math"/>
              </w:rPr>
              <m:t>FCA</m:t>
            </m:r>
          </m:e>
          <m:sub>
            <m:r>
              <w:rPr>
                <w:rFonts w:ascii="Cambria Math" w:hAnsi="Cambria Math"/>
              </w:rPr>
              <m:t>α</m:t>
            </m:r>
          </m:sub>
        </m:sSub>
      </m:oMath>
      <w:r>
        <w:t xml:space="preserve">, and the hedges </w:t>
      </w:r>
      <m:oMath>
        <m:sSub>
          <m:sSubPr>
            <m:ctrlPr>
              <w:rPr>
                <w:rFonts w:ascii="Cambria Math" w:hAnsi="Cambria Math"/>
                <w:i/>
              </w:rPr>
            </m:ctrlPr>
          </m:sSubPr>
          <m:e>
            <m:r>
              <w:rPr>
                <w:rFonts w:ascii="Cambria Math" w:hAnsi="Cambria Math"/>
              </w:rPr>
              <m:t>ϵ</m:t>
            </m:r>
          </m:e>
          <m:sub>
            <m:r>
              <w:rPr>
                <w:rFonts w:ascii="Cambria Math" w:hAnsi="Cambria Math"/>
              </w:rPr>
              <m:t>h1, α</m:t>
            </m:r>
          </m:sub>
        </m:sSub>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h2, α</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 α</m:t>
            </m:r>
          </m:sub>
        </m:sSub>
      </m:oMath>
      <w:r>
        <w:t xml:space="preserve"> on the specific funding strategy</w:t>
      </w:r>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m:oMathPara>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m:oMathPara>
    </w:p>
    <w:p w:rsidR="001976FD" w:rsidRDefault="001976FD" w:rsidP="0060273C">
      <w:pPr>
        <w:pStyle w:val="ListParagraph"/>
        <w:spacing w:line="360" w:lineRule="auto"/>
        <w:ind w:left="360"/>
      </w:pPr>
    </w:p>
    <w:p w:rsidR="003E08B2" w:rsidRDefault="0029169A" w:rsidP="0060273C">
      <w:pPr>
        <w:pStyle w:val="ListParagraph"/>
        <w:spacing w:line="360" w:lineRule="auto"/>
        <w:ind w:left="360"/>
      </w:pPr>
      <w:r>
        <w:t>has been made explicit. Even when there is no strategy superscript for the benefit of clarity, the dependence on the funding strategy is implicit.</w:t>
      </w:r>
    </w:p>
    <w:p w:rsidR="005F5287" w:rsidRDefault="005F5287" w:rsidP="00D83552">
      <w:pPr>
        <w:pStyle w:val="ListParagraph"/>
        <w:numPr>
          <w:ilvl w:val="0"/>
          <w:numId w:val="109"/>
        </w:numPr>
        <w:spacing w:line="360" w:lineRule="auto"/>
      </w:pPr>
      <w:r>
        <w:rPr>
          <w:u w:val="single"/>
        </w:rPr>
        <w:lastRenderedPageBreak/>
        <w:t>Correspondence to the Default Scenarios</w:t>
      </w:r>
      <w:r w:rsidRPr="005F5287">
        <w:t>:</w:t>
      </w:r>
      <w:r>
        <w:t xml:space="preserve"> The four te</w:t>
      </w:r>
      <w:r w:rsidR="00075039">
        <w:t>r</w:t>
      </w:r>
      <w:r>
        <w:t>ms of the  correspond to the following four default scenarios:</w:t>
      </w:r>
    </w:p>
    <w:p w:rsidR="005F5287" w:rsidRDefault="005F5287" w:rsidP="00D83552">
      <w:pPr>
        <w:pStyle w:val="ListParagraph"/>
        <w:numPr>
          <w:ilvl w:val="1"/>
          <w:numId w:val="109"/>
        </w:numPr>
        <w:spacing w:line="360" w:lineRule="auto"/>
      </w:pPr>
      <w:r>
        <w:t>No counter party has defaulted prior to the issuer default</w:t>
      </w:r>
    </w:p>
    <w:p w:rsidR="005F5287" w:rsidRDefault="00075039" w:rsidP="00D83552">
      <w:pPr>
        <w:pStyle w:val="ListParagraph"/>
        <w:numPr>
          <w:ilvl w:val="1"/>
          <w:numId w:val="109"/>
        </w:numPr>
        <w:spacing w:line="360" w:lineRule="auto"/>
      </w:pPr>
      <w:r>
        <w:t>Only counter party 1 has defaulted prior to the issuer default</w:t>
      </w:r>
    </w:p>
    <w:p w:rsidR="00075039" w:rsidRDefault="00075039" w:rsidP="00D83552">
      <w:pPr>
        <w:pStyle w:val="ListParagraph"/>
        <w:numPr>
          <w:ilvl w:val="1"/>
          <w:numId w:val="109"/>
        </w:numPr>
        <w:spacing w:line="360" w:lineRule="auto"/>
      </w:pPr>
      <w:r>
        <w:t>Only counter party 2 has defaulted prior to the issuer default</w:t>
      </w:r>
    </w:p>
    <w:p w:rsidR="00075039" w:rsidRDefault="00075039" w:rsidP="00D83552">
      <w:pPr>
        <w:pStyle w:val="ListParagraph"/>
        <w:numPr>
          <w:ilvl w:val="1"/>
          <w:numId w:val="109"/>
        </w:numPr>
        <w:spacing w:line="360" w:lineRule="auto"/>
      </w:pPr>
      <w:r>
        <w:t>Both counter parties have defaulted prior to the issuer default</w:t>
      </w:r>
    </w:p>
    <w:p w:rsidR="00075039" w:rsidRDefault="00075039" w:rsidP="00D83552">
      <w:pPr>
        <w:pStyle w:val="ListParagraph"/>
        <w:numPr>
          <w:ilvl w:val="0"/>
          <w:numId w:val="109"/>
        </w:numPr>
        <w:spacing w:line="360" w:lineRule="auto"/>
      </w:pPr>
      <w:r>
        <w:rPr>
          <w:u w:val="single"/>
        </w:rPr>
        <w:t>Multiple Counter Parties Valuation Adjustment</w:t>
      </w:r>
      <w:r w:rsidRPr="005F5287">
        <w:t>:</w:t>
      </w:r>
      <w:r>
        <w:t xml:space="preserve"> As discussed earlier as well as in Burgard and Kjaer (2013), the FCA is the expected value of the windfall or shortfall at the issuer default. The difference in the multi-name setup is that the difference is extended over the four scenarios.</w:t>
      </w:r>
    </w:p>
    <w:p w:rsidR="009D49F0" w:rsidRDefault="00BC675F" w:rsidP="00D83552">
      <w:pPr>
        <w:pStyle w:val="ListParagraph"/>
        <w:numPr>
          <w:ilvl w:val="0"/>
          <w:numId w:val="109"/>
        </w:numPr>
        <w:spacing w:line="360" w:lineRule="auto"/>
      </w:pPr>
      <w:r>
        <w:rPr>
          <w:u w:val="single"/>
        </w:rPr>
        <w:t>Applicability of the Modigliani Miller Theorem</w:t>
      </w:r>
      <w:r w:rsidRPr="00BC675F">
        <w:t>:</w:t>
      </w:r>
      <w:r>
        <w:t xml:space="preserve"> In each of the scenarios, the second additive terms of</w:t>
      </w:r>
    </w:p>
    <w:p w:rsidR="009D49F0" w:rsidRDefault="009D49F0" w:rsidP="009D49F0">
      <w:pPr>
        <w:pStyle w:val="ListParagraph"/>
        <w:spacing w:line="360" w:lineRule="auto"/>
        <w:ind w:left="360"/>
        <w:rPr>
          <w:u w:val="single"/>
        </w:rPr>
      </w:pPr>
    </w:p>
    <w:p w:rsidR="009D49F0" w:rsidRDefault="00BC675F" w:rsidP="009D49F0">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w:r>
        <w:t>and</w:t>
      </w:r>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BC675F" w:rsidRDefault="00BC675F" w:rsidP="009D49F0">
      <w:pPr>
        <w:pStyle w:val="ListParagraph"/>
        <w:spacing w:line="360" w:lineRule="auto"/>
        <w:ind w:left="360"/>
      </w:pPr>
      <w:r>
        <w:t>are zero sum games in the expectations between the shareholders and the creditors, and hence do not affect the total value of the firm, in line with the Modigliani-Miller Theorem.</w:t>
      </w:r>
    </w:p>
    <w:p w:rsidR="00BC675F" w:rsidRDefault="00BC675F" w:rsidP="00D83552">
      <w:pPr>
        <w:pStyle w:val="ListParagraph"/>
        <w:numPr>
          <w:ilvl w:val="0"/>
          <w:numId w:val="109"/>
        </w:numPr>
        <w:spacing w:line="360" w:lineRule="auto"/>
      </w:pPr>
      <w:r>
        <w:rPr>
          <w:u w:val="single"/>
        </w:rPr>
        <w:t>Terms affecting the Bond Holders</w:t>
      </w:r>
      <w:r w:rsidRPr="00BC675F">
        <w:t>:</w:t>
      </w:r>
      <w:r>
        <w:t xml:space="preserve"> The first terms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w:t>
      </w:r>
      <w:r w:rsidR="000321F9">
        <w:t>a</w:t>
      </w:r>
      <w:r>
        <w:t>ffect the bond holders only, and correspond to the FDA accounting term in Albanese and Andersen (2014) – alias the DVA2 accounting term in Hull and White (2012).</w:t>
      </w:r>
    </w:p>
    <w:p w:rsidR="000321F9" w:rsidRDefault="000321F9" w:rsidP="00D83552">
      <w:pPr>
        <w:pStyle w:val="ListParagraph"/>
        <w:numPr>
          <w:ilvl w:val="0"/>
          <w:numId w:val="109"/>
        </w:numPr>
        <w:spacing w:line="360" w:lineRule="auto"/>
      </w:pPr>
      <w:r>
        <w:rPr>
          <w:u w:val="single"/>
        </w:rPr>
        <w:t>Terms affecting the Shareholders</w:t>
      </w:r>
      <w:r w:rsidRPr="000321F9">
        <w:t>:</w:t>
      </w:r>
      <w:r>
        <w:t xml:space="preserve"> The second terms, the compensating drift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hi</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affect the shareholders while there are live trades, and give rise to the FCA.</w:t>
      </w:r>
    </w:p>
    <w:p w:rsidR="009D49F0" w:rsidRDefault="001A1390" w:rsidP="00D83552">
      <w:pPr>
        <w:pStyle w:val="ListParagraph"/>
        <w:numPr>
          <w:ilvl w:val="0"/>
          <w:numId w:val="109"/>
        </w:numPr>
        <w:spacing w:line="360" w:lineRule="auto"/>
      </w:pPr>
      <w:r>
        <w:rPr>
          <w:u w:val="single"/>
        </w:rPr>
        <w:lastRenderedPageBreak/>
        <w:t>FCA Dependence on Funding Strategy</w:t>
      </w:r>
      <w:r w:rsidRPr="001A1390">
        <w:t>:</w:t>
      </w:r>
      <w:r>
        <w:t xml:space="preserve"> Since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depend on the specific funding strategy, the FCA given by</w:t>
      </w:r>
    </w:p>
    <w:p w:rsidR="009D49F0" w:rsidRDefault="009D49F0" w:rsidP="009D49F0">
      <w:pPr>
        <w:pStyle w:val="ListParagraph"/>
        <w:spacing w:line="360" w:lineRule="auto"/>
        <w:ind w:left="360"/>
        <w:rPr>
          <w:u w:val="single"/>
        </w:rPr>
      </w:pPr>
    </w:p>
    <w:p w:rsidR="009D49F0" w:rsidRDefault="005D6A21" w:rsidP="009D49F0">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9D49F0" w:rsidRDefault="009D49F0" w:rsidP="009D49F0">
      <w:pPr>
        <w:pStyle w:val="ListParagraph"/>
        <w:spacing w:line="360" w:lineRule="auto"/>
        <w:ind w:left="360"/>
      </w:pPr>
    </w:p>
    <w:p w:rsidR="001A1390" w:rsidRDefault="001A1390" w:rsidP="009D49F0">
      <w:pPr>
        <w:pStyle w:val="ListParagraph"/>
        <w:spacing w:line="360" w:lineRule="auto"/>
        <w:ind w:left="360"/>
      </w:pPr>
      <w:r>
        <w:t xml:space="preserve">depends on it as well. In particular it may depend on </w:t>
      </w:r>
      <m:oMath>
        <m:acc>
          <m:accPr>
            <m:ctrlPr>
              <w:rPr>
                <w:rFonts w:ascii="Cambria Math" w:hAnsi="Cambria Math"/>
                <w:i/>
              </w:rPr>
            </m:ctrlPr>
          </m:accPr>
          <m:e>
            <m:r>
              <w:rPr>
                <w:rFonts w:ascii="Cambria Math" w:hAnsi="Cambria Math"/>
              </w:rPr>
              <m:t>V</m:t>
            </m:r>
          </m:e>
        </m:acc>
      </m:oMath>
      <w:r>
        <w:t xml:space="preserve"> in a non-linear way and thus may not be explicitly computable.</w:t>
      </w:r>
    </w:p>
    <w:p w:rsidR="001A1390" w:rsidRDefault="001A1390" w:rsidP="00D83552">
      <w:pPr>
        <w:pStyle w:val="ListParagraph"/>
        <w:numPr>
          <w:ilvl w:val="0"/>
          <w:numId w:val="109"/>
        </w:numPr>
        <w:spacing w:line="360" w:lineRule="auto"/>
      </w:pPr>
      <w:r>
        <w:rPr>
          <w:u w:val="single"/>
        </w:rPr>
        <w:t>Fee Transfer Pricing (FTP) Calculation</w:t>
      </w:r>
      <w:r w:rsidRPr="001A1390">
        <w:t>:</w:t>
      </w:r>
      <w:r>
        <w:t xml:space="preserve"> From the arguments above and in the last paragraph in particular it follows that the new trades should be charged with the incremental economic value </w:t>
      </w:r>
      <m:oMath>
        <m:r>
          <m:rPr>
            <m:sty m:val="p"/>
          </m:rPr>
          <w:rPr>
            <w:rFonts w:ascii="Cambria Math" w:hAnsi="Cambria Math"/>
          </w:rPr>
          <m:t>Δ</m:t>
        </m:r>
        <m:acc>
          <m:accPr>
            <m:ctrlPr>
              <w:rPr>
                <w:rFonts w:ascii="Cambria Math" w:hAnsi="Cambria Math"/>
                <w:i/>
              </w:rPr>
            </m:ctrlPr>
          </m:accPr>
          <m:e>
            <m:r>
              <w:rPr>
                <w:rFonts w:ascii="Cambria Math" w:hAnsi="Cambria Math"/>
              </w:rPr>
              <m:t>V</m:t>
            </m:r>
          </m:e>
        </m:acc>
      </m:oMath>
      <w:r>
        <w:t xml:space="preserve"> such that the shareholders do not loose money over the life of the book.</w:t>
      </w:r>
    </w:p>
    <w:p w:rsidR="001A1390" w:rsidRDefault="001A1390" w:rsidP="00D83552">
      <w:pPr>
        <w:pStyle w:val="ListParagraph"/>
        <w:numPr>
          <w:ilvl w:val="0"/>
          <w:numId w:val="109"/>
        </w:numPr>
        <w:spacing w:line="360" w:lineRule="auto"/>
      </w:pPr>
      <w:r>
        <w:rPr>
          <w:u w:val="single"/>
        </w:rPr>
        <w:t>FCA Additivity over Netting Sets</w:t>
      </w:r>
      <w:r w:rsidRPr="001A1390">
        <w:t>:</w:t>
      </w:r>
      <w:r>
        <w:t xml:space="preserve"> The choice of the funding strategy also determines whether the FCA is additive over the counter parties and the netting sets or not, as will be determined in the section on funding strategies.</w:t>
      </w:r>
    </w:p>
    <w:p w:rsidR="005A324B" w:rsidRDefault="005A324B" w:rsidP="00BC2EF5">
      <w:pPr>
        <w:spacing w:line="360" w:lineRule="auto"/>
      </w:pPr>
    </w:p>
    <w:p w:rsidR="0060273C" w:rsidRDefault="0060273C" w:rsidP="00BC2EF5">
      <w:pPr>
        <w:spacing w:line="360" w:lineRule="auto"/>
      </w:pPr>
    </w:p>
    <w:p w:rsidR="0060273C" w:rsidRPr="0060273C" w:rsidRDefault="0060273C" w:rsidP="00BC2EF5">
      <w:pPr>
        <w:spacing w:line="360" w:lineRule="auto"/>
        <w:rPr>
          <w:b/>
          <w:sz w:val="28"/>
          <w:szCs w:val="28"/>
        </w:rPr>
      </w:pPr>
      <w:r w:rsidRPr="0060273C">
        <w:rPr>
          <w:b/>
          <w:sz w:val="28"/>
          <w:szCs w:val="28"/>
        </w:rPr>
        <w:t>Derivation of the Coupled Solutions</w:t>
      </w:r>
    </w:p>
    <w:p w:rsidR="0060273C" w:rsidRDefault="0060273C" w:rsidP="00BC2EF5">
      <w:pPr>
        <w:spacing w:line="360" w:lineRule="auto"/>
      </w:pPr>
    </w:p>
    <w:p w:rsidR="004D767E" w:rsidRDefault="0060273C" w:rsidP="00D83552">
      <w:pPr>
        <w:pStyle w:val="ListParagraph"/>
        <w:numPr>
          <w:ilvl w:val="0"/>
          <w:numId w:val="110"/>
        </w:numPr>
        <w:spacing w:line="360" w:lineRule="auto"/>
      </w:pPr>
      <w:r w:rsidRPr="001B0293">
        <w:rPr>
          <w:u w:val="single"/>
        </w:rPr>
        <w:t xml:space="preserve">Decomposition of </w:t>
      </w:r>
      <m:oMath>
        <m:acc>
          <m:accPr>
            <m:ctrlPr>
              <w:rPr>
                <w:rFonts w:ascii="Cambria Math" w:hAnsi="Cambria Math"/>
                <w:i/>
                <w:u w:val="single"/>
              </w:rPr>
            </m:ctrlPr>
          </m:accPr>
          <m:e>
            <m:r>
              <w:rPr>
                <w:rFonts w:ascii="Cambria Math" w:hAnsi="Cambria Math"/>
                <w:u w:val="single"/>
              </w:rPr>
              <m:t>V</m:t>
            </m:r>
          </m:e>
        </m:acc>
      </m:oMath>
      <w:r w:rsidRPr="001B0293">
        <w:rPr>
          <w:u w:val="single"/>
        </w:rPr>
        <w:t xml:space="preserve"> and Re-arrangement</w:t>
      </w:r>
      <w:r>
        <w:t>:</w:t>
      </w:r>
      <w:r w:rsidR="00E92592">
        <w:t xml:space="preserve"> One wishes to solve the coupled PDE system</w:t>
      </w:r>
    </w:p>
    <w:p w:rsidR="004D767E" w:rsidRDefault="004D767E" w:rsidP="004D767E">
      <w:pPr>
        <w:pStyle w:val="ListParagraph"/>
        <w:spacing w:line="360" w:lineRule="auto"/>
        <w:ind w:left="360"/>
        <w:rPr>
          <w:u w:val="single"/>
        </w:rPr>
      </w:pPr>
    </w:p>
    <w:p w:rsidR="004D767E" w:rsidRDefault="005D6A21" w:rsidP="004D767E">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5D6A21"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and</w:t>
      </w:r>
    </w:p>
    <w:p w:rsidR="004D767E" w:rsidRDefault="004D767E" w:rsidP="004D767E">
      <w:pPr>
        <w:pStyle w:val="ListParagraph"/>
        <w:spacing w:line="360" w:lineRule="auto"/>
        <w:ind w:left="360"/>
      </w:pPr>
    </w:p>
    <w:p w:rsidR="004D767E" w:rsidRDefault="005D6A21"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5D6A21"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Inserting the Ansatze</w:t>
      </w:r>
    </w:p>
    <w:p w:rsidR="004D767E" w:rsidRDefault="004D767E" w:rsidP="004D767E">
      <w:pPr>
        <w:pStyle w:val="ListParagraph"/>
        <w:spacing w:line="360" w:lineRule="auto"/>
        <w:ind w:left="360"/>
      </w:pPr>
    </w:p>
    <w:p w:rsidR="004D767E" w:rsidRDefault="005D6A21"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into</w:t>
      </w:r>
    </w:p>
    <w:p w:rsidR="004D767E" w:rsidRDefault="004D767E" w:rsidP="004D767E">
      <w:pPr>
        <w:pStyle w:val="ListParagraph"/>
        <w:spacing w:line="360" w:lineRule="auto"/>
        <w:ind w:left="360"/>
      </w:pPr>
    </w:p>
    <w:p w:rsidR="004D767E" w:rsidRDefault="005D6A21"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5D6A21"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yields</w:t>
      </w:r>
    </w:p>
    <w:p w:rsidR="004D767E" w:rsidRDefault="004D767E" w:rsidP="004D767E">
      <w:pPr>
        <w:pStyle w:val="ListParagraph"/>
        <w:spacing w:line="360" w:lineRule="auto"/>
        <w:ind w:left="360"/>
      </w:pPr>
    </w:p>
    <w:p w:rsidR="00E92592" w:rsidRPr="004D767E" w:rsidRDefault="005D6A21"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1B0293" w:rsidP="00D83552">
      <w:pPr>
        <w:pStyle w:val="ListParagraph"/>
        <w:numPr>
          <w:ilvl w:val="0"/>
          <w:numId w:val="110"/>
        </w:numPr>
        <w:spacing w:line="360" w:lineRule="auto"/>
      </w:pPr>
      <w:r>
        <w:rPr>
          <w:u w:val="single"/>
        </w:rPr>
        <w:t xml:space="preserve">Substituting the Expressions for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2</m:t>
            </m:r>
          </m:sub>
        </m:sSub>
      </m:oMath>
      <w:r w:rsidR="004D1D90">
        <w:t>: Identifying the terms of the PDE</w:t>
      </w:r>
    </w:p>
    <w:p w:rsidR="004D767E" w:rsidRDefault="004D767E" w:rsidP="004D767E">
      <w:pPr>
        <w:pStyle w:val="ListParagraph"/>
        <w:spacing w:line="360" w:lineRule="auto"/>
        <w:ind w:left="360"/>
        <w:rPr>
          <w:u w:val="single"/>
        </w:rPr>
      </w:pPr>
    </w:p>
    <w:p w:rsidR="004D767E" w:rsidRPr="00ED114F" w:rsidRDefault="005D6A21" w:rsidP="004D767E">
      <w:pPr>
        <w:pStyle w:val="ListParagraph"/>
        <w:spacing w:line="360" w:lineRule="auto"/>
        <w:ind w:left="360"/>
      </w:pPr>
      <m:oMathPara>
        <m:oMathParaPr>
          <m:jc m:val="center"/>
        </m:oMathParaPr>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Pr="00ED114F" w:rsidRDefault="005D6A21" w:rsidP="004D767E">
      <w:pPr>
        <w:pStyle w:val="ListParagraph"/>
        <w:spacing w:line="360" w:lineRule="auto"/>
        <w:ind w:left="360"/>
      </w:pPr>
      <m:oMathPara>
        <m:oMathParaPr>
          <m:jc m:val="center"/>
        </m:oMathParaP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4D1D90" w:rsidP="004D767E">
      <w:pPr>
        <w:pStyle w:val="ListParagraph"/>
        <w:spacing w:line="360" w:lineRule="auto"/>
        <w:ind w:left="360"/>
      </w:pPr>
      <w:r>
        <w:t>allows the elimination of many of the terms resulting in</w:t>
      </w:r>
    </w:p>
    <w:p w:rsidR="004D767E" w:rsidRDefault="004D767E" w:rsidP="004D767E">
      <w:pPr>
        <w:pStyle w:val="ListParagraph"/>
        <w:spacing w:line="360" w:lineRule="auto"/>
        <w:ind w:left="360"/>
      </w:pPr>
    </w:p>
    <w:p w:rsidR="004D767E" w:rsidRDefault="005D6A21"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r>
                    <w:rPr>
                      <w:rFonts w:ascii="Cambria Math" w:hAnsi="Cambria Math"/>
                    </w:rPr>
                    <m:t>2</m:t>
                  </m:r>
                </m:sub>
              </m:sSub>
            </m:e>
          </m:d>
        </m:oMath>
      </m:oMathPara>
    </w:p>
    <w:p w:rsidR="004D767E" w:rsidRDefault="004D767E" w:rsidP="004D767E">
      <w:pPr>
        <w:pStyle w:val="ListParagraph"/>
        <w:spacing w:line="360" w:lineRule="auto"/>
        <w:ind w:left="360"/>
      </w:pPr>
    </w:p>
    <w:p w:rsidR="001A0093" w:rsidRDefault="005D6A21"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A0093" w:rsidRDefault="001A0093" w:rsidP="004D767E">
      <w:pPr>
        <w:pStyle w:val="ListParagraph"/>
        <w:spacing w:line="360" w:lineRule="auto"/>
        <w:ind w:left="360"/>
      </w:pPr>
    </w:p>
    <w:p w:rsidR="001A0093" w:rsidRDefault="004D1D90" w:rsidP="004D767E">
      <w:pPr>
        <w:pStyle w:val="ListParagraph"/>
        <w:spacing w:line="360" w:lineRule="auto"/>
        <w:ind w:left="360"/>
      </w:pPr>
      <w:r>
        <w:t>with the solution</w:t>
      </w:r>
    </w:p>
    <w:p w:rsidR="001A0093" w:rsidRDefault="001A0093" w:rsidP="004D767E">
      <w:pPr>
        <w:pStyle w:val="ListParagraph"/>
        <w:spacing w:line="360" w:lineRule="auto"/>
        <w:ind w:left="360"/>
      </w:pPr>
    </w:p>
    <w:p w:rsidR="001B0293" w:rsidRPr="001A0093" w:rsidRDefault="005D6A21"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r>
                        <w:rPr>
                          <w:rFonts w:ascii="Cambria Math" w:hAnsi="Cambria Math"/>
                        </w:rPr>
                        <m:t>2</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A0093" w:rsidRDefault="001A0093" w:rsidP="004D767E">
      <w:pPr>
        <w:pStyle w:val="ListParagraph"/>
        <w:spacing w:line="360" w:lineRule="auto"/>
        <w:ind w:left="360"/>
      </w:pPr>
    </w:p>
    <w:p w:rsidR="001A0093" w:rsidRDefault="004D1D90" w:rsidP="00D83552">
      <w:pPr>
        <w:pStyle w:val="ListParagraph"/>
        <w:numPr>
          <w:ilvl w:val="0"/>
          <w:numId w:val="110"/>
        </w:numPr>
        <w:spacing w:line="360" w:lineRule="auto"/>
      </w:pPr>
      <w:r>
        <w:rPr>
          <w:u w:val="single"/>
        </w:rPr>
        <w:t>Replacing the Expression for FCA</w:t>
      </w:r>
      <w:r>
        <w:t>: With</w:t>
      </w:r>
    </w:p>
    <w:p w:rsidR="001A0093" w:rsidRDefault="001A0093" w:rsidP="001A0093">
      <w:pPr>
        <w:pStyle w:val="ListParagraph"/>
        <w:spacing w:line="360" w:lineRule="auto"/>
        <w:ind w:left="360"/>
        <w:rPr>
          <w:u w:val="single"/>
        </w:rPr>
      </w:pPr>
    </w:p>
    <w:p w:rsidR="001A0093" w:rsidRDefault="005D6A21"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one can write</w:t>
      </w:r>
    </w:p>
    <w:p w:rsidR="001A0093" w:rsidRDefault="001A0093" w:rsidP="001A0093">
      <w:pPr>
        <w:pStyle w:val="ListParagraph"/>
        <w:spacing w:line="360" w:lineRule="auto"/>
        <w:ind w:left="360"/>
      </w:pPr>
    </w:p>
    <w:p w:rsidR="001A0093" w:rsidRDefault="005D6A21" w:rsidP="001A009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BLCVA</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and can thus define</w:t>
      </w:r>
    </w:p>
    <w:p w:rsidR="001A0093" w:rsidRDefault="001A0093" w:rsidP="001A0093">
      <w:pPr>
        <w:pStyle w:val="ListParagraph"/>
        <w:spacing w:line="360" w:lineRule="auto"/>
        <w:ind w:left="360"/>
      </w:pPr>
    </w:p>
    <w:p w:rsidR="001A0093" w:rsidRDefault="002E6E28" w:rsidP="001A0093">
      <w:pPr>
        <w:pStyle w:val="ListParagraph"/>
        <w:spacing w:line="360" w:lineRule="auto"/>
        <w:ind w:left="360"/>
      </w:pPr>
      <m:oMathPara>
        <m:oMath>
          <m:r>
            <w:rPr>
              <w:rFonts w:ascii="Cambria Math" w:hAnsi="Cambria Math"/>
            </w:rPr>
            <w:lastRenderedPageBreak/>
            <m:t>FCA≡</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to end up with the equations</w:t>
      </w:r>
    </w:p>
    <w:p w:rsidR="001A0093" w:rsidRDefault="001A0093" w:rsidP="001A0093">
      <w:pPr>
        <w:pStyle w:val="ListParagraph"/>
        <w:spacing w:line="360" w:lineRule="auto"/>
        <w:ind w:left="360"/>
      </w:pPr>
    </w:p>
    <w:p w:rsidR="001A0093" w:rsidRDefault="005D6A21"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A0093" w:rsidRDefault="001A0093" w:rsidP="001A0093">
      <w:pPr>
        <w:pStyle w:val="ListParagraph"/>
        <w:spacing w:line="360" w:lineRule="auto"/>
        <w:ind w:left="360"/>
      </w:pPr>
    </w:p>
    <w:p w:rsidR="001A0093" w:rsidRDefault="001A0093" w:rsidP="001A0093">
      <w:pPr>
        <w:pStyle w:val="ListParagraph"/>
        <w:spacing w:line="360" w:lineRule="auto"/>
        <w:ind w:left="360"/>
      </w:pPr>
      <w:r>
        <w:t>and</w:t>
      </w:r>
    </w:p>
    <w:p w:rsidR="001A0093" w:rsidRDefault="001A0093" w:rsidP="001A0093">
      <w:pPr>
        <w:pStyle w:val="ListParagraph"/>
        <w:spacing w:line="360" w:lineRule="auto"/>
        <w:ind w:left="360"/>
      </w:pPr>
    </w:p>
    <w:p w:rsidR="004D1D90" w:rsidRDefault="005D6A21" w:rsidP="001A0093">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0273C" w:rsidRDefault="0060273C" w:rsidP="00BC2EF5">
      <w:pPr>
        <w:spacing w:line="360" w:lineRule="auto"/>
      </w:pPr>
    </w:p>
    <w:p w:rsidR="009C274C" w:rsidRDefault="009C274C" w:rsidP="00BC2EF5">
      <w:pPr>
        <w:spacing w:line="360" w:lineRule="auto"/>
      </w:pPr>
    </w:p>
    <w:p w:rsidR="002E6E28" w:rsidRPr="002E6E28" w:rsidRDefault="002E6E28" w:rsidP="00BC2EF5">
      <w:pPr>
        <w:spacing w:line="360" w:lineRule="auto"/>
        <w:rPr>
          <w:b/>
          <w:sz w:val="28"/>
          <w:szCs w:val="28"/>
        </w:rPr>
      </w:pPr>
      <w:r w:rsidRPr="002E6E28">
        <w:rPr>
          <w:b/>
          <w:sz w:val="28"/>
          <w:szCs w:val="28"/>
        </w:rPr>
        <w:t>Fair Values</w:t>
      </w:r>
    </w:p>
    <w:p w:rsidR="002E6E28" w:rsidRDefault="002E6E28" w:rsidP="00BC2EF5">
      <w:pPr>
        <w:spacing w:line="360" w:lineRule="auto"/>
      </w:pPr>
    </w:p>
    <w:p w:rsidR="00ED114F" w:rsidRDefault="002E6E28" w:rsidP="00D83552">
      <w:pPr>
        <w:pStyle w:val="ListParagraph"/>
        <w:numPr>
          <w:ilvl w:val="0"/>
          <w:numId w:val="111"/>
        </w:numPr>
        <w:spacing w:line="360" w:lineRule="auto"/>
      </w:pPr>
      <w:r w:rsidRPr="004D767E">
        <w:rPr>
          <w:u w:val="single"/>
        </w:rPr>
        <w:t>Correspondence with Albanese/Andersen Taxonomy</w:t>
      </w:r>
      <w:r>
        <w:t>:</w:t>
      </w:r>
      <w:r w:rsidR="00673D82">
        <w:t xml:space="preserve"> </w:t>
      </w:r>
      <w:r w:rsidR="001B1B3D">
        <w:t>The different parts of the cash flows in</w:t>
      </w:r>
    </w:p>
    <w:p w:rsidR="00ED114F" w:rsidRDefault="00ED114F" w:rsidP="00ED114F">
      <w:pPr>
        <w:pStyle w:val="ListParagraph"/>
        <w:spacing w:line="360" w:lineRule="auto"/>
        <w:ind w:left="360"/>
        <w:rPr>
          <w:u w:val="single"/>
        </w:rPr>
      </w:pPr>
    </w:p>
    <w:p w:rsidR="00ED114F" w:rsidRDefault="00EB23AC" w:rsidP="00ED114F">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w:r>
        <w:t>and</w:t>
      </w:r>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m:oMathPara>
        <m:oMath>
          <m:r>
            <m:rPr>
              <m:sty m:val="p"/>
            </m:rPr>
            <w:rPr>
              <w:rFonts w:ascii="Cambria Math" w:hAnsi="Cambria Math"/>
            </w:rPr>
            <w:lastRenderedPageBreak/>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2E6E28" w:rsidRDefault="001B1B3D" w:rsidP="00ED114F">
      <w:pPr>
        <w:pStyle w:val="ListParagraph"/>
        <w:spacing w:line="360" w:lineRule="auto"/>
        <w:ind w:left="360"/>
      </w:pPr>
      <w:r>
        <w:t>can be identified with the cash flow types CF1 to CF5 introduced in Albanese and Andersen (2014).</w:t>
      </w:r>
    </w:p>
    <w:p w:rsidR="001B1B3D" w:rsidRDefault="001B1B3D" w:rsidP="00D83552">
      <w:pPr>
        <w:pStyle w:val="ListParagraph"/>
        <w:numPr>
          <w:ilvl w:val="0"/>
          <w:numId w:val="111"/>
        </w:numPr>
        <w:spacing w:line="360" w:lineRule="auto"/>
      </w:pPr>
      <w:r>
        <w:rPr>
          <w:u w:val="single"/>
        </w:rPr>
        <w:t>Counter Party Default Dynamic Hedging</w:t>
      </w:r>
      <w:r w:rsidRPr="001B1B3D">
        <w:t>:</w:t>
      </w:r>
      <w:r>
        <w:t xml:space="preserve"> As all the counter party risks are hedged the CF2 cash flows (counter party default) have been transferred into CF4 (dynamic hedging).</w:t>
      </w:r>
    </w:p>
    <w:p w:rsidR="001B1B3D" w:rsidRDefault="001B1B3D" w:rsidP="00D83552">
      <w:pPr>
        <w:pStyle w:val="ListParagraph"/>
        <w:numPr>
          <w:ilvl w:val="0"/>
          <w:numId w:val="111"/>
        </w:numPr>
        <w:spacing w:line="360" w:lineRule="auto"/>
      </w:pPr>
      <w:r>
        <w:rPr>
          <w:u w:val="single"/>
        </w:rPr>
        <w:t>Windfall/Shortfall Cash Flows</w:t>
      </w:r>
      <w:r w:rsidRPr="001B1B3D">
        <w:t>:</w:t>
      </w:r>
      <w:r>
        <w:t xml:space="preserve"> As discussed, the components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are martingales with short term jump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which are CF5 terms that represent windfalls or shortfalls to the creditor (aka the funding provider) and can be accounted for through a contra-liability term FDA, and </w:t>
      </w:r>
      <w:r w:rsidR="00EB23AC">
        <w:t>t</w:t>
      </w:r>
      <w:r>
        <w:t>he drift compensators</w:t>
      </w:r>
      <w:r w:rsidR="00EB23AC">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rsidR="00EB23AC">
        <w:t xml:space="preserve"> and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time are of CF4 types and generate the FCA (this is called FVA in Albanese and Andersen (2014)) through the life of the trade.</w:t>
      </w:r>
    </w:p>
    <w:p w:rsidR="00ED114F" w:rsidRDefault="004B1053" w:rsidP="00D83552">
      <w:pPr>
        <w:pStyle w:val="ListParagraph"/>
        <w:numPr>
          <w:ilvl w:val="0"/>
          <w:numId w:val="111"/>
        </w:numPr>
        <w:spacing w:line="360" w:lineRule="auto"/>
      </w:pPr>
      <w:r>
        <w:rPr>
          <w:u w:val="single"/>
        </w:rPr>
        <w:t>Equivalence of the FCA and the FDA</w:t>
      </w:r>
      <w:r w:rsidRPr="004B1053">
        <w:t>:</w:t>
      </w:r>
      <w:r>
        <w:t xml:space="preserve"> Since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have zero expectations it follows that</w:t>
      </w:r>
    </w:p>
    <w:p w:rsidR="00ED114F" w:rsidRDefault="00ED114F" w:rsidP="00ED114F">
      <w:pPr>
        <w:pStyle w:val="ListParagraph"/>
        <w:spacing w:line="360" w:lineRule="auto"/>
        <w:ind w:left="360"/>
        <w:rPr>
          <w:u w:val="single"/>
        </w:rPr>
      </w:pPr>
    </w:p>
    <w:p w:rsidR="00ED114F" w:rsidRDefault="004B1053" w:rsidP="00ED114F">
      <w:pPr>
        <w:pStyle w:val="ListParagraph"/>
        <w:spacing w:line="360" w:lineRule="auto"/>
        <w:ind w:left="360"/>
      </w:pPr>
      <m:oMathPara>
        <m:oMath>
          <m:r>
            <w:rPr>
              <w:rFonts w:ascii="Cambria Math" w:hAnsi="Cambria Math"/>
            </w:rPr>
            <m:t>FCA=FDA</m:t>
          </m:r>
        </m:oMath>
      </m:oMathPara>
    </w:p>
    <w:p w:rsidR="00ED114F" w:rsidRDefault="00ED114F" w:rsidP="00ED114F">
      <w:pPr>
        <w:pStyle w:val="ListParagraph"/>
        <w:spacing w:line="360" w:lineRule="auto"/>
        <w:ind w:left="360"/>
      </w:pPr>
    </w:p>
    <w:p w:rsidR="004B1053" w:rsidRDefault="004B1053" w:rsidP="00ED114F">
      <w:pPr>
        <w:pStyle w:val="ListParagraph"/>
        <w:spacing w:line="360" w:lineRule="auto"/>
        <w:ind w:left="360"/>
      </w:pPr>
      <w:r>
        <w:t xml:space="preserve">The total terms of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therefore do not contribute to the value of shareholders and bondholders.</w:t>
      </w:r>
    </w:p>
    <w:p w:rsidR="00ED114F" w:rsidRDefault="004B1053" w:rsidP="00D83552">
      <w:pPr>
        <w:pStyle w:val="ListParagraph"/>
        <w:numPr>
          <w:ilvl w:val="0"/>
          <w:numId w:val="111"/>
        </w:numPr>
        <w:spacing w:line="360" w:lineRule="auto"/>
      </w:pPr>
      <w:r>
        <w:rPr>
          <w:u w:val="single"/>
        </w:rPr>
        <w:t>Portfolio Fair Value to Bank</w:t>
      </w:r>
      <w:r w:rsidRPr="004B1053">
        <w:t>:</w:t>
      </w:r>
      <w:r>
        <w:t xml:space="preserve"> Referring to the combined value as the </w:t>
      </w:r>
      <w:r>
        <w:rPr>
          <w:i/>
        </w:rPr>
        <w:t>fair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t xml:space="preserve"> it then follows that</w:t>
      </w:r>
    </w:p>
    <w:p w:rsidR="00ED114F" w:rsidRDefault="00ED114F" w:rsidP="00ED114F">
      <w:pPr>
        <w:pStyle w:val="ListParagraph"/>
        <w:spacing w:line="360" w:lineRule="auto"/>
        <w:ind w:left="360"/>
        <w:rPr>
          <w:u w:val="single"/>
        </w:rPr>
      </w:pPr>
    </w:p>
    <w:p w:rsidR="00ED114F" w:rsidRDefault="005D6A21" w:rsidP="00ED114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FV,ij</m:t>
                  </m:r>
                </m:sub>
              </m:sSub>
            </m:e>
          </m:nary>
        </m:oMath>
      </m:oMathPara>
    </w:p>
    <w:p w:rsidR="00ED114F" w:rsidRDefault="00ED114F" w:rsidP="00ED114F">
      <w:pPr>
        <w:pStyle w:val="ListParagraph"/>
        <w:spacing w:line="360" w:lineRule="auto"/>
        <w:ind w:left="360"/>
      </w:pPr>
    </w:p>
    <w:p w:rsidR="00ED114F" w:rsidRDefault="004B1053" w:rsidP="00ED114F">
      <w:pPr>
        <w:pStyle w:val="ListParagraph"/>
        <w:spacing w:line="360" w:lineRule="auto"/>
        <w:ind w:left="360"/>
      </w:pPr>
      <w:r>
        <w:t>where the bilateral CVA is given in</w:t>
      </w:r>
    </w:p>
    <w:p w:rsidR="00ED114F" w:rsidRDefault="006F1D53" w:rsidP="00ED114F">
      <w:pPr>
        <w:pStyle w:val="ListParagraph"/>
        <w:spacing w:line="360" w:lineRule="auto"/>
        <w:ind w:left="360"/>
      </w:pPr>
      <m:oMathPara>
        <m:oMath>
          <m:r>
            <m:rPr>
              <m:sty m:val="p"/>
            </m:rPr>
            <w:rPr>
              <w:rFonts w:ascii="Cambria Math" w:hAnsi="Cambria Math"/>
            </w:rPr>
            <w:lastRenderedPageBreak/>
            <w:br/>
          </m:r>
        </m:oMath>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ED114F" w:rsidRDefault="00ED114F" w:rsidP="00ED114F">
      <w:pPr>
        <w:pStyle w:val="ListParagraph"/>
        <w:spacing w:line="360" w:lineRule="auto"/>
        <w:ind w:left="360"/>
      </w:pPr>
    </w:p>
    <w:p w:rsidR="004B1053" w:rsidRDefault="005D6A21" w:rsidP="00ED114F">
      <w:pPr>
        <w:pStyle w:val="ListParagraph"/>
        <w:spacing w:line="360" w:lineRule="auto"/>
        <w:ind w:left="360"/>
      </w:pP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rsidR="004B1053">
        <w:t xml:space="preserve"> corresponds to the fair value that </w:t>
      </w:r>
      <w:r w:rsidR="006F1D53">
        <w:t>keeps PFV constant in Albanese and Andersen (2014).</w:t>
      </w:r>
    </w:p>
    <w:p w:rsidR="002E6E28" w:rsidRDefault="002E6E28" w:rsidP="00BC2EF5">
      <w:pPr>
        <w:spacing w:line="360" w:lineRule="auto"/>
      </w:pPr>
    </w:p>
    <w:p w:rsidR="006F1D53" w:rsidRDefault="006F1D53" w:rsidP="00BC2EF5">
      <w:pPr>
        <w:spacing w:line="360" w:lineRule="auto"/>
      </w:pPr>
    </w:p>
    <w:p w:rsidR="006F1D53" w:rsidRPr="006F1D53" w:rsidRDefault="006F1D53" w:rsidP="00BC2EF5">
      <w:pPr>
        <w:spacing w:line="360" w:lineRule="auto"/>
        <w:rPr>
          <w:b/>
          <w:sz w:val="28"/>
          <w:szCs w:val="28"/>
        </w:rPr>
      </w:pPr>
      <w:r w:rsidRPr="006F1D53">
        <w:rPr>
          <w:b/>
          <w:sz w:val="28"/>
          <w:szCs w:val="28"/>
        </w:rPr>
        <w:t>Funding Strategies</w:t>
      </w:r>
    </w:p>
    <w:p w:rsidR="002E6E28" w:rsidRDefault="002E6E28" w:rsidP="00BC2EF5">
      <w:pPr>
        <w:spacing w:line="360" w:lineRule="auto"/>
      </w:pPr>
    </w:p>
    <w:p w:rsidR="006F1D53" w:rsidRDefault="006F1D53" w:rsidP="00D83552">
      <w:pPr>
        <w:pStyle w:val="ListParagraph"/>
        <w:numPr>
          <w:ilvl w:val="0"/>
          <w:numId w:val="112"/>
        </w:numPr>
        <w:spacing w:line="360" w:lineRule="auto"/>
      </w:pPr>
      <w:r w:rsidRPr="006F1D53">
        <w:rPr>
          <w:u w:val="single"/>
        </w:rPr>
        <w:t>Exploring Alternate Funding Strategies</w:t>
      </w:r>
      <w:r>
        <w:t>: This section considers four funding strategies. The first three strategies are described in Burgard and Kjaer (2013) and extended to the multi-name setup, so that the additivity of the adjustments may be studied. The last strategy is the one that replicates the adjustments proposed in Albanese and Andersen (2014).</w:t>
      </w:r>
    </w:p>
    <w:p w:rsidR="006F1D53" w:rsidRDefault="006F1D53" w:rsidP="00D83552">
      <w:pPr>
        <w:pStyle w:val="ListParagraph"/>
        <w:numPr>
          <w:ilvl w:val="0"/>
          <w:numId w:val="112"/>
        </w:numPr>
        <w:spacing w:line="360" w:lineRule="auto"/>
      </w:pPr>
      <w:r>
        <w:rPr>
          <w:u w:val="single"/>
        </w:rPr>
        <w:t>Counter Party Default Portfolio Change</w:t>
      </w:r>
      <w:r w:rsidRPr="006F1D53">
        <w:t>:</w:t>
      </w:r>
      <w:r>
        <w:t xml:space="preserve"> For the strategies presented here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w:r w:rsidR="00ED114F">
        <w:t xml:space="preserve"> represents the holdings prior to the first default, and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rsidR="00ED114F">
        <w:t xml:space="preserve"> represents that holdings when counter party </w:t>
      </w:r>
      <m:oMath>
        <m:r>
          <w:rPr>
            <w:rFonts w:ascii="Cambria Math" w:hAnsi="Cambria Math"/>
          </w:rPr>
          <m:t>k</m:t>
        </m:r>
      </m:oMath>
      <w:r w:rsidR="00ED114F">
        <w:t xml:space="preserve"> has defaulted, but counter party </w:t>
      </w:r>
      <m:oMath>
        <m:r>
          <w:rPr>
            <w:rFonts w:ascii="Cambria Math" w:hAnsi="Cambria Math"/>
          </w:rPr>
          <m:t>i</m:t>
        </m:r>
      </m:oMath>
      <w:r w:rsidR="00ED114F">
        <w:t xml:space="preserve"> and the issuer are still alive.</w:t>
      </w:r>
    </w:p>
    <w:p w:rsidR="00B57288" w:rsidRDefault="00545B8A" w:rsidP="00D83552">
      <w:pPr>
        <w:pStyle w:val="ListParagraph"/>
        <w:numPr>
          <w:ilvl w:val="0"/>
          <w:numId w:val="112"/>
        </w:numPr>
        <w:spacing w:line="360" w:lineRule="auto"/>
      </w:pPr>
      <w:r>
        <w:rPr>
          <w:u w:val="single"/>
        </w:rPr>
        <w:t>Perfect Replication Strategy Portfolio Composition</w:t>
      </w:r>
      <w:r w:rsidRPr="00545B8A">
        <w:t>:</w:t>
      </w:r>
      <w:r>
        <w:t xml:space="preserve"> </w:t>
      </w:r>
      <w:r w:rsidR="00AA7A7B">
        <w:t>There are many strategies that imply perfect replication, i.e.,</w:t>
      </w:r>
    </w:p>
    <w:p w:rsidR="00B57288" w:rsidRDefault="00B57288" w:rsidP="00B57288">
      <w:pPr>
        <w:pStyle w:val="ListParagraph"/>
        <w:spacing w:line="360" w:lineRule="auto"/>
        <w:ind w:left="360"/>
        <w:rPr>
          <w:u w:val="single"/>
        </w:rPr>
      </w:pPr>
    </w:p>
    <w:p w:rsidR="00B57288" w:rsidRDefault="005D6A21"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5D6A21"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in addition to the funding constraints</w:t>
      </w:r>
    </w:p>
    <w:p w:rsidR="00B57288" w:rsidRDefault="00B57288" w:rsidP="00B57288">
      <w:pPr>
        <w:pStyle w:val="ListParagraph"/>
        <w:spacing w:line="360" w:lineRule="auto"/>
        <w:ind w:left="360"/>
      </w:pPr>
    </w:p>
    <w:p w:rsidR="00B57288" w:rsidRDefault="005D6A21" w:rsidP="00B57288">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5D6A21" w:rsidP="00B57288">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for example</w:t>
      </w:r>
    </w:p>
    <w:p w:rsidR="00B57288" w:rsidRDefault="00B57288" w:rsidP="00B57288">
      <w:pPr>
        <w:pStyle w:val="ListParagraph"/>
        <w:spacing w:line="360" w:lineRule="auto"/>
        <w:ind w:left="360"/>
      </w:pPr>
    </w:p>
    <w:p w:rsidR="00B57288" w:rsidRDefault="005D6A21"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5D6A21"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5D6A21"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5D6A21"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5D6A21"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5D6A21"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545B8A" w:rsidRDefault="00432C49" w:rsidP="00B57288">
      <w:pPr>
        <w:pStyle w:val="ListParagraph"/>
        <w:spacing w:line="360" w:lineRule="auto"/>
        <w:ind w:left="360"/>
      </w:pPr>
      <w:r>
        <w:t xml:space="preserve">which implies that the economic value in this case is equal to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p>
    <w:p w:rsidR="00432C49" w:rsidRDefault="00432C49" w:rsidP="00D83552">
      <w:pPr>
        <w:pStyle w:val="ListParagraph"/>
        <w:numPr>
          <w:ilvl w:val="0"/>
          <w:numId w:val="112"/>
        </w:numPr>
        <w:spacing w:line="360" w:lineRule="auto"/>
      </w:pPr>
      <w:r>
        <w:rPr>
          <w:u w:val="single"/>
        </w:rPr>
        <w:t>Violation of the Bond Covenants</w:t>
      </w:r>
      <w:r>
        <w:t>: However, as discussed in Burgard and Kjaer (2013) these funding strategies involve issuing senior bonds to repurchase risker ones in a dynamic fashion, and would, in general, violate bond covenants.</w:t>
      </w:r>
    </w:p>
    <w:p w:rsidR="00B57288" w:rsidRDefault="00432C49" w:rsidP="00D83552">
      <w:pPr>
        <w:pStyle w:val="ListParagraph"/>
        <w:numPr>
          <w:ilvl w:val="0"/>
          <w:numId w:val="112"/>
        </w:numPr>
        <w:spacing w:line="360" w:lineRule="auto"/>
      </w:pPr>
      <w:r>
        <w:rPr>
          <w:u w:val="single"/>
        </w:rPr>
        <w:t>Strategy I in Burgard and Kjaer (2013)</w:t>
      </w:r>
      <w:r w:rsidRPr="00432C49">
        <w:t>:</w:t>
      </w:r>
      <w:r>
        <w:t xml:space="preserve"> In a multi-name setup, the strategy I of Burgard and Kjaer (2013) corresponds to the following:</w:t>
      </w:r>
      <w:r w:rsidRPr="00432C49">
        <w:t xml:space="preserve"> </w:t>
      </w:r>
      <w:r>
        <w:t>example</w:t>
      </w:r>
    </w:p>
    <w:p w:rsidR="00B57288" w:rsidRDefault="00B57288" w:rsidP="00B57288">
      <w:pPr>
        <w:pStyle w:val="ListParagraph"/>
        <w:spacing w:line="360" w:lineRule="auto"/>
        <w:ind w:left="360"/>
        <w:rPr>
          <w:u w:val="single"/>
        </w:rPr>
      </w:pPr>
    </w:p>
    <w:p w:rsidR="00B57288" w:rsidRDefault="005D6A21"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5D6A21"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oMath>
      </m:oMathPara>
    </w:p>
    <w:p w:rsidR="00B57288" w:rsidRDefault="00B57288" w:rsidP="00B57288">
      <w:pPr>
        <w:pStyle w:val="ListParagraph"/>
        <w:spacing w:line="360" w:lineRule="auto"/>
        <w:ind w:left="360"/>
      </w:pPr>
    </w:p>
    <w:p w:rsidR="00B57288" w:rsidRDefault="005D6A21"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57288" w:rsidRDefault="00B57288" w:rsidP="00B57288">
      <w:pPr>
        <w:pStyle w:val="ListParagraph"/>
        <w:spacing w:line="360" w:lineRule="auto"/>
        <w:ind w:left="360"/>
      </w:pPr>
    </w:p>
    <w:p w:rsidR="00B57288" w:rsidRDefault="005D6A21"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5D6A21"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m:oMathPara>
    </w:p>
    <w:p w:rsidR="00B57288" w:rsidRDefault="00B57288" w:rsidP="00B57288">
      <w:pPr>
        <w:pStyle w:val="ListParagraph"/>
        <w:spacing w:line="360" w:lineRule="auto"/>
        <w:ind w:left="360"/>
      </w:pPr>
    </w:p>
    <w:p w:rsidR="00432C49" w:rsidRPr="00B57288" w:rsidRDefault="005D6A21"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432C49" w:rsidP="00D83552">
      <w:pPr>
        <w:pStyle w:val="ListParagraph"/>
        <w:numPr>
          <w:ilvl w:val="0"/>
          <w:numId w:val="112"/>
        </w:numPr>
        <w:spacing w:line="360" w:lineRule="auto"/>
      </w:pPr>
      <w:r>
        <w:rPr>
          <w:u w:val="single"/>
        </w:rPr>
        <w:t>No Adjustment on Bank Default</w:t>
      </w:r>
      <w:r>
        <w:t xml:space="preserve">: This strategy is deigned to wipe out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upon default of the issuer.</w:t>
      </w:r>
      <w:r w:rsidR="002670A7">
        <w:t xml:space="preserve"> As a result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2670A7">
        <w:t xml:space="preserve"> and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2670A7">
        <w:t xml:space="preserve"> for this strategy are given by</w:t>
      </w:r>
    </w:p>
    <w:p w:rsidR="00B57288" w:rsidRDefault="00B57288" w:rsidP="00B57288">
      <w:pPr>
        <w:pStyle w:val="ListParagraph"/>
        <w:spacing w:line="360" w:lineRule="auto"/>
        <w:ind w:left="360"/>
        <w:rPr>
          <w:u w:val="single"/>
        </w:rPr>
      </w:pPr>
    </w:p>
    <w:p w:rsidR="00B57288" w:rsidRDefault="005D6A21"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5D6A21"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 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 I</m:t>
              </m:r>
            </m:sub>
          </m:sSub>
        </m:oMath>
      </m:oMathPara>
    </w:p>
    <w:p w:rsidR="00B57288" w:rsidRDefault="00B57288" w:rsidP="00B57288">
      <w:pPr>
        <w:pStyle w:val="ListParagraph"/>
        <w:spacing w:line="360" w:lineRule="auto"/>
        <w:ind w:left="360"/>
      </w:pPr>
    </w:p>
    <w:p w:rsidR="00432C49" w:rsidRDefault="002670A7" w:rsidP="00B57288">
      <w:pPr>
        <w:pStyle w:val="ListParagraph"/>
        <w:spacing w:line="360" w:lineRule="auto"/>
        <w:ind w:left="360"/>
      </w:pPr>
      <w:r>
        <w:t>which are always positive and thus a windfall to the bondholders.</w:t>
      </w:r>
    </w:p>
    <w:p w:rsidR="00B57288" w:rsidRDefault="00793420" w:rsidP="00D83552">
      <w:pPr>
        <w:pStyle w:val="ListParagraph"/>
        <w:numPr>
          <w:ilvl w:val="0"/>
          <w:numId w:val="112"/>
        </w:numPr>
        <w:spacing w:line="360" w:lineRule="auto"/>
      </w:pPr>
      <w:r>
        <w:rPr>
          <w:u w:val="single"/>
        </w:rPr>
        <w:t>Value of the Derivative to the Bank</w:t>
      </w:r>
      <w:r w:rsidRPr="00793420">
        <w:t>:</w:t>
      </w:r>
      <w:r>
        <w:t xml:space="preserve"> It follows from</w:t>
      </w:r>
    </w:p>
    <w:p w:rsidR="00B57288" w:rsidRDefault="00B57288" w:rsidP="00B57288">
      <w:pPr>
        <w:pStyle w:val="ListParagraph"/>
        <w:spacing w:line="360" w:lineRule="auto"/>
        <w:ind w:left="360"/>
        <w:rPr>
          <w:u w:val="single"/>
        </w:rPr>
      </w:pPr>
    </w:p>
    <w:p w:rsidR="00B57288" w:rsidRDefault="005D6A21"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5D6A21" w:rsidP="00B57288">
      <w:pPr>
        <w:pStyle w:val="ListParagraph"/>
        <w:spacing w:line="360" w:lineRule="auto"/>
        <w:ind w:left="360"/>
        <w:jc w:val="both"/>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 xml:space="preserve">that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FCA for this strategy </w:t>
      </w:r>
      <w:r w:rsidR="00B57288">
        <w:t>is</w:t>
      </w:r>
      <w:r>
        <w:t xml:space="preserve"> given by</w:t>
      </w:r>
    </w:p>
    <w:p w:rsidR="00B57288" w:rsidRDefault="00B57288" w:rsidP="00B57288">
      <w:pPr>
        <w:pStyle w:val="ListParagraph"/>
        <w:spacing w:line="360" w:lineRule="auto"/>
        <w:ind w:left="360"/>
      </w:pPr>
    </w:p>
    <w:p w:rsidR="00B57288" w:rsidRDefault="005D6A21"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5D6A21"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m:t>
                  </m:r>
                </m:sub>
              </m:sSub>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with</w:t>
      </w:r>
    </w:p>
    <w:p w:rsidR="00B57288" w:rsidRDefault="00B57288" w:rsidP="00B57288">
      <w:pPr>
        <w:pStyle w:val="ListParagraph"/>
        <w:spacing w:line="360" w:lineRule="auto"/>
        <w:ind w:left="360"/>
      </w:pPr>
    </w:p>
    <w:p w:rsidR="00B57288" w:rsidRDefault="005D6A21"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where</w:t>
      </w:r>
    </w:p>
    <w:p w:rsidR="00B57288" w:rsidRDefault="00B57288" w:rsidP="00B57288">
      <w:pPr>
        <w:pStyle w:val="ListParagraph"/>
        <w:spacing w:line="360" w:lineRule="auto"/>
        <w:ind w:left="360"/>
      </w:pPr>
    </w:p>
    <w:p w:rsidR="00793420" w:rsidRPr="00B57288" w:rsidRDefault="005D6A21" w:rsidP="00B57288">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B57288" w:rsidRDefault="00B57288" w:rsidP="00B57288">
      <w:pPr>
        <w:pStyle w:val="ListParagraph"/>
        <w:spacing w:line="360" w:lineRule="auto"/>
        <w:ind w:left="360"/>
      </w:pPr>
    </w:p>
    <w:p w:rsidR="009D7797" w:rsidRDefault="009D7797" w:rsidP="00D83552">
      <w:pPr>
        <w:pStyle w:val="ListParagraph"/>
        <w:numPr>
          <w:ilvl w:val="0"/>
          <w:numId w:val="112"/>
        </w:numPr>
        <w:spacing w:line="360" w:lineRule="auto"/>
      </w:pPr>
      <w:r>
        <w:rPr>
          <w:u w:val="single"/>
        </w:rPr>
        <w:t>Additivity across the Netting Sets</w:t>
      </w:r>
      <w:r>
        <w:t xml:space="preserve">: Hence for this funding strategy </w:t>
      </w:r>
      <m:oMath>
        <m:acc>
          <m:accPr>
            <m:ctrlPr>
              <w:rPr>
                <w:rFonts w:ascii="Cambria Math" w:hAnsi="Cambria Math"/>
                <w:i/>
              </w:rPr>
            </m:ctrlPr>
          </m:accPr>
          <m:e>
            <m:r>
              <w:rPr>
                <w:rFonts w:ascii="Cambria Math" w:hAnsi="Cambria Math"/>
              </w:rPr>
              <m:t>V</m:t>
            </m:r>
          </m:e>
        </m:acc>
      </m:oMath>
      <w:r>
        <w:t xml:space="preserve"> and FCA are additive across funding sets.</w:t>
      </w:r>
    </w:p>
    <w:p w:rsidR="009D7797" w:rsidRDefault="009D7797" w:rsidP="00D83552">
      <w:pPr>
        <w:pStyle w:val="ListParagraph"/>
        <w:numPr>
          <w:ilvl w:val="0"/>
          <w:numId w:val="112"/>
        </w:numPr>
        <w:spacing w:line="360" w:lineRule="auto"/>
      </w:pPr>
      <w:r>
        <w:rPr>
          <w:u w:val="single"/>
        </w:rPr>
        <w:lastRenderedPageBreak/>
        <w:t>Using Senior Unsecured Bank Bond</w:t>
      </w:r>
      <w:r w:rsidRPr="009D7797">
        <w:t>:</w:t>
      </w:r>
      <w:r>
        <w:t xml:space="preserve"> Strategy II of Burgard and Kjaer (2013) makes use of only senior unsecured bonds of a single recovery, and does so regardless of the sign.</w:t>
      </w:r>
    </w:p>
    <w:p w:rsidR="005F1E57" w:rsidRDefault="00091F8B" w:rsidP="00D83552">
      <w:pPr>
        <w:pStyle w:val="ListParagraph"/>
        <w:numPr>
          <w:ilvl w:val="0"/>
          <w:numId w:val="112"/>
        </w:numPr>
        <w:spacing w:line="360" w:lineRule="auto"/>
      </w:pPr>
      <w:r>
        <w:rPr>
          <w:u w:val="single"/>
        </w:rPr>
        <w:t>Portfolio Composition of the Strategy</w:t>
      </w:r>
      <w:r w:rsidRPr="00091F8B">
        <w:t>:</w:t>
      </w:r>
      <w:r>
        <w:t xml:space="preserve"> In a multi-name setup this is described by</w:t>
      </w:r>
    </w:p>
    <w:p w:rsidR="005F1E57" w:rsidRDefault="005F1E57" w:rsidP="005F1E57">
      <w:pPr>
        <w:pStyle w:val="ListParagraph"/>
        <w:spacing w:line="360" w:lineRule="auto"/>
        <w:ind w:left="360"/>
        <w:rPr>
          <w:u w:val="single"/>
        </w:rPr>
      </w:pPr>
    </w:p>
    <w:p w:rsidR="005F1E57" w:rsidRDefault="005D6A2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5D6A2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5D6A2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5D6A2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5D6A2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091F8B" w:rsidRPr="005F1E57" w:rsidRDefault="005D6A2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B580C" w:rsidP="00D83552">
      <w:pPr>
        <w:pStyle w:val="ListParagraph"/>
        <w:numPr>
          <w:ilvl w:val="0"/>
          <w:numId w:val="112"/>
        </w:numPr>
        <w:spacing w:line="360" w:lineRule="auto"/>
      </w:pPr>
      <w:r>
        <w:rPr>
          <w:u w:val="single"/>
        </w:rPr>
        <w:t>Hedge Errors of the Strategy</w:t>
      </w:r>
      <w:r>
        <w:t>: In this case, the hedge errors are given by</w:t>
      </w:r>
    </w:p>
    <w:p w:rsidR="005F1E57" w:rsidRDefault="005F1E57" w:rsidP="005F1E57">
      <w:pPr>
        <w:pStyle w:val="ListParagraph"/>
        <w:spacing w:line="360" w:lineRule="auto"/>
        <w:ind w:left="360"/>
        <w:rPr>
          <w:u w:val="single"/>
        </w:rPr>
      </w:pPr>
    </w:p>
    <w:p w:rsidR="005F1E57" w:rsidRDefault="005D6A21"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5D6A21"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U</m:t>
          </m:r>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 the FCA</w:t>
      </w:r>
    </w:p>
    <w:p w:rsidR="005F1E57" w:rsidRDefault="005F1E57" w:rsidP="005F1E57">
      <w:pPr>
        <w:pStyle w:val="ListParagraph"/>
        <w:spacing w:line="360" w:lineRule="auto"/>
        <w:ind w:left="360"/>
      </w:pPr>
    </w:p>
    <w:p w:rsidR="005F1E57" w:rsidRDefault="005D6A21"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5F1E57" w:rsidRDefault="005F1E57" w:rsidP="005F1E57">
      <w:pPr>
        <w:pStyle w:val="ListParagraph"/>
        <w:spacing w:line="360" w:lineRule="auto"/>
        <w:ind w:left="360"/>
      </w:pPr>
    </w:p>
    <w:p w:rsidR="008B580C" w:rsidRDefault="008B580C" w:rsidP="005F1E57">
      <w:pPr>
        <w:pStyle w:val="ListParagraph"/>
        <w:spacing w:line="360" w:lineRule="auto"/>
        <w:ind w:left="360"/>
      </w:pPr>
      <w:r>
        <w:t xml:space="preserve">becomes recursive due to its dependence on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w:t>
      </w:r>
    </w:p>
    <w:p w:rsidR="005F1E57" w:rsidRDefault="008B580C" w:rsidP="00D83552">
      <w:pPr>
        <w:pStyle w:val="ListParagraph"/>
        <w:numPr>
          <w:ilvl w:val="0"/>
          <w:numId w:val="112"/>
        </w:numPr>
        <w:spacing w:line="360" w:lineRule="auto"/>
      </w:pPr>
      <w:r>
        <w:rPr>
          <w:u w:val="single"/>
        </w:rPr>
        <w:t>Formulation without using the Adjustment</w:t>
      </w:r>
      <w:r w:rsidRPr="008B580C">
        <w:t>:</w:t>
      </w:r>
      <w:r>
        <w:t xml:space="preserve"> However, analogous to Burgard and Kjaer (2013) it is possible to rewrite</w:t>
      </w:r>
    </w:p>
    <w:p w:rsidR="005F1E57" w:rsidRDefault="005F1E57" w:rsidP="005F1E57">
      <w:pPr>
        <w:pStyle w:val="ListParagraph"/>
        <w:spacing w:line="360" w:lineRule="auto"/>
        <w:ind w:left="360"/>
        <w:rPr>
          <w:u w:val="single"/>
        </w:rPr>
      </w:pPr>
    </w:p>
    <w:p w:rsidR="005F1E57" w:rsidRDefault="005D6A21"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5D6A21"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as</w:t>
      </w:r>
    </w:p>
    <w:p w:rsidR="005F1E57" w:rsidRDefault="005F1E57" w:rsidP="005F1E57">
      <w:pPr>
        <w:pStyle w:val="ListParagraph"/>
        <w:spacing w:line="360" w:lineRule="auto"/>
        <w:ind w:left="360"/>
      </w:pPr>
    </w:p>
    <w:p w:rsidR="005F1E57" w:rsidRDefault="005D6A21"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4C777F"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5D6A21"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with the boundary conditions</w:t>
      </w:r>
    </w:p>
    <w:p w:rsidR="005F1E57" w:rsidRDefault="005F1E57" w:rsidP="005F1E57">
      <w:pPr>
        <w:pStyle w:val="ListParagraph"/>
        <w:spacing w:line="360" w:lineRule="auto"/>
        <w:ind w:left="360"/>
      </w:pPr>
    </w:p>
    <w:p w:rsidR="005F1E57" w:rsidRDefault="005D6A21"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w:t>
      </w:r>
    </w:p>
    <w:p w:rsidR="005F1E57" w:rsidRDefault="005F1E57" w:rsidP="005F1E57">
      <w:pPr>
        <w:pStyle w:val="ListParagraph"/>
        <w:spacing w:line="360" w:lineRule="auto"/>
        <w:ind w:left="360"/>
      </w:pPr>
    </w:p>
    <w:p w:rsidR="008B580C" w:rsidRPr="005F1E57" w:rsidRDefault="005D6A21"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1F1086" w:rsidP="00D83552">
      <w:pPr>
        <w:pStyle w:val="ListParagraph"/>
        <w:numPr>
          <w:ilvl w:val="0"/>
          <w:numId w:val="112"/>
        </w:numPr>
        <w:spacing w:line="360" w:lineRule="auto"/>
      </w:pPr>
      <w:r>
        <w:rPr>
          <w:u w:val="single"/>
        </w:rPr>
        <w:t>Solution for CVA and FVA</w:t>
      </w:r>
      <w:r>
        <w:t>: Solving this equation via Feynman-Kac gives</w:t>
      </w:r>
    </w:p>
    <w:p w:rsidR="005F1E57" w:rsidRDefault="005F1E57" w:rsidP="005F1E57">
      <w:pPr>
        <w:pStyle w:val="ListParagraph"/>
        <w:spacing w:line="360" w:lineRule="auto"/>
        <w:ind w:left="360"/>
        <w:rPr>
          <w:u w:val="single"/>
        </w:rPr>
      </w:pPr>
    </w:p>
    <w:p w:rsidR="005F1E57" w:rsidRDefault="005D6A21"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 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 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where the modified adjustments</w:t>
      </w:r>
    </w:p>
    <w:p w:rsidR="005F1E57" w:rsidRDefault="005F1E57" w:rsidP="005F1E57">
      <w:pPr>
        <w:pStyle w:val="ListParagraph"/>
        <w:spacing w:line="360" w:lineRule="auto"/>
        <w:ind w:left="360"/>
      </w:pPr>
    </w:p>
    <w:p w:rsidR="005F1E57" w:rsidRDefault="005D6A21"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CVA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5D6A21" w:rsidP="005F1E57">
      <w:pPr>
        <w:pStyle w:val="ListParagraph"/>
        <w:spacing w:line="360" w:lineRule="auto"/>
        <w:ind w:left="360"/>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are additive across counter parties and netting sets with</w:t>
      </w:r>
    </w:p>
    <w:p w:rsidR="005F1E57" w:rsidRDefault="005F1E57" w:rsidP="005F1E57">
      <w:pPr>
        <w:pStyle w:val="ListParagraph"/>
        <w:spacing w:line="360" w:lineRule="auto"/>
        <w:ind w:left="360"/>
      </w:pPr>
    </w:p>
    <w:p w:rsidR="005F1E57" w:rsidRDefault="005D6A21"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ij,F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F1086" w:rsidRPr="005F1E57" w:rsidRDefault="005D6A21"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369F0" w:rsidRDefault="001369F0" w:rsidP="00D83552">
      <w:pPr>
        <w:pStyle w:val="ListParagraph"/>
        <w:numPr>
          <w:ilvl w:val="0"/>
          <w:numId w:val="112"/>
        </w:numPr>
        <w:spacing w:line="360" w:lineRule="auto"/>
      </w:pPr>
      <w:r>
        <w:rPr>
          <w:u w:val="single"/>
        </w:rPr>
        <w:t>Unconventional CVA and FVA Terms</w:t>
      </w:r>
      <w:r>
        <w:t>:</w:t>
      </w:r>
      <w:r w:rsidR="00E9418F">
        <w:t xml:space="preserve"> Please note that these are not the traditional CVA and FVA terms, in particular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E9418F">
        <w:t xml:space="preserve"> is not the </w:t>
      </w:r>
      <w:r w:rsidR="00C24948">
        <w:t xml:space="preserve">expected values of the losses due to the counter party default, and the </w:t>
      </w:r>
      <m:oMath>
        <m:sSub>
          <m:sSubPr>
            <m:ctrlPr>
              <w:rPr>
                <w:rFonts w:ascii="Cambria Math" w:hAnsi="Cambria Math"/>
                <w:i/>
              </w:rPr>
            </m:ctrlPr>
          </m:sSubPr>
          <m:e>
            <m:r>
              <w:rPr>
                <w:rFonts w:ascii="Cambria Math" w:hAnsi="Cambria Math"/>
              </w:rPr>
              <m:t>FCA</m:t>
            </m:r>
          </m:e>
          <m:sub>
            <m:r>
              <w:rPr>
                <w:rFonts w:ascii="Cambria Math" w:hAnsi="Cambria Math"/>
              </w:rPr>
              <m:t>ij, F</m:t>
            </m:r>
          </m:sub>
        </m:sSub>
      </m:oMath>
      <w:r w:rsidR="00C24948">
        <w:t xml:space="preserve"> embedded in the </w:t>
      </w:r>
      <m:oMath>
        <m:sSub>
          <m:sSubPr>
            <m:ctrlPr>
              <w:rPr>
                <w:rFonts w:ascii="Cambria Math" w:hAnsi="Cambria Math"/>
                <w:i/>
              </w:rPr>
            </m:ctrlPr>
          </m:sSubPr>
          <m:e>
            <m:r>
              <w:rPr>
                <w:rFonts w:ascii="Cambria Math" w:hAnsi="Cambria Math"/>
              </w:rPr>
              <m:t>CVA</m:t>
            </m:r>
          </m:e>
          <m:sub>
            <m:r>
              <w:rPr>
                <w:rFonts w:ascii="Cambria Math" w:hAnsi="Cambria Math"/>
              </w:rPr>
              <m:t>i</m:t>
            </m:r>
            <m:r>
              <w:rPr>
                <w:rFonts w:ascii="Cambria Math" w:hAnsi="Cambria Math"/>
              </w:rPr>
              <m:t>j, F</m:t>
            </m:r>
          </m:sub>
        </m:sSub>
      </m:oMath>
      <w:r w:rsidR="00C24948">
        <w:t xml:space="preserve"> is not the expected value of the hedge errors upon issuer default anymore.</w:t>
      </w:r>
    </w:p>
    <w:p w:rsidR="005F1E57" w:rsidRDefault="00C24948" w:rsidP="00D83552">
      <w:pPr>
        <w:pStyle w:val="ListParagraph"/>
        <w:numPr>
          <w:ilvl w:val="0"/>
          <w:numId w:val="112"/>
        </w:numPr>
        <w:spacing w:line="360" w:lineRule="auto"/>
      </w:pPr>
      <w:r>
        <w:rPr>
          <w:u w:val="single"/>
        </w:rPr>
        <w:t xml:space="preserve">Derivative Value and </w:t>
      </w:r>
      <w:r w:rsidRPr="00C24948">
        <w:rPr>
          <w:u w:val="single"/>
        </w:rPr>
        <w:t xml:space="preserve">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t xml:space="preserve">: Thus these terms would not be the ones to be used in contra-asset and the contra-liability accounting entries. However since the total sum of the adjustments </w:t>
      </w:r>
      <m:oMath>
        <m:r>
          <w:rPr>
            <w:rFonts w:ascii="Cambria Math" w:hAnsi="Cambria Math"/>
          </w:rPr>
          <m:t>U</m:t>
        </m:r>
      </m:oMath>
      <w:r>
        <w:t xml:space="preserve"> are the same, it is still possible to extract the </w:t>
      </w:r>
      <m:oMath>
        <m:r>
          <w:rPr>
            <w:rFonts w:ascii="Cambria Math" w:hAnsi="Cambria Math"/>
          </w:rPr>
          <m:t>FCA</m:t>
        </m:r>
      </m:oMath>
      <w:r>
        <w:t xml:space="preserve"> by means of</w:t>
      </w:r>
    </w:p>
    <w:p w:rsidR="005F1E57" w:rsidRDefault="005F1E57" w:rsidP="005F1E57">
      <w:pPr>
        <w:pStyle w:val="ListParagraph"/>
        <w:spacing w:line="360" w:lineRule="auto"/>
        <w:ind w:left="360"/>
        <w:rPr>
          <w:u w:val="single"/>
        </w:rPr>
      </w:pPr>
    </w:p>
    <w:p w:rsidR="005F1E57" w:rsidRDefault="005D6A21"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C24948" w:rsidP="005F1E57">
      <w:pPr>
        <w:pStyle w:val="ListParagraph"/>
        <w:spacing w:line="360" w:lineRule="auto"/>
        <w:ind w:left="360"/>
      </w:pPr>
      <w:r>
        <w:t>and thus</w:t>
      </w:r>
    </w:p>
    <w:p w:rsidR="005F1E57" w:rsidRDefault="005F1E57" w:rsidP="005F1E57">
      <w:pPr>
        <w:pStyle w:val="ListParagraph"/>
        <w:spacing w:line="360" w:lineRule="auto"/>
        <w:ind w:left="360"/>
      </w:pPr>
    </w:p>
    <w:p w:rsidR="00C24948" w:rsidRPr="005F1E57" w:rsidRDefault="005D6A21"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ij,II</m:t>
                  </m:r>
                </m:sub>
              </m:sSub>
            </m:e>
          </m:nary>
        </m:oMath>
      </m:oMathPara>
    </w:p>
    <w:p w:rsidR="005F1E57" w:rsidRDefault="005F1E57" w:rsidP="005F1E57">
      <w:pPr>
        <w:pStyle w:val="ListParagraph"/>
        <w:spacing w:line="360" w:lineRule="auto"/>
        <w:ind w:left="360"/>
      </w:pPr>
    </w:p>
    <w:p w:rsidR="005F1E57" w:rsidRDefault="005D6A21" w:rsidP="00D83552">
      <w:pPr>
        <w:pStyle w:val="ListParagraph"/>
        <w:numPr>
          <w:ilvl w:val="0"/>
          <w:numId w:val="112"/>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rsidR="00C24948" w:rsidRPr="00C24948">
        <w:rPr>
          <w:u w:val="single"/>
        </w:rPr>
        <w:t xml:space="preserve"> Additivity across the Netting Sets</w:t>
      </w:r>
      <w:r w:rsidR="00C24948">
        <w:t xml:space="preserve">: </w:t>
      </w:r>
      <m:oMath>
        <m:sSub>
          <m:sSubPr>
            <m:ctrlPr>
              <w:rPr>
                <w:rFonts w:ascii="Cambria Math" w:hAnsi="Cambria Math"/>
                <w:i/>
              </w:rPr>
            </m:ctrlPr>
          </m:sSubPr>
          <m:e>
            <m:r>
              <w:rPr>
                <w:rFonts w:ascii="Cambria Math" w:hAnsi="Cambria Math"/>
              </w:rPr>
              <m:t>FCA</m:t>
            </m:r>
          </m:e>
          <m:sub>
            <m:r>
              <w:rPr>
                <w:rFonts w:ascii="Cambria Math" w:hAnsi="Cambria Math"/>
              </w:rPr>
              <m:t>II</m:t>
            </m:r>
          </m:sub>
        </m:sSub>
      </m:oMath>
      <w:r w:rsidR="00C24948">
        <w:t xml:space="preserve"> is therefore additive across netting sets. </w:t>
      </w:r>
      <w:r w:rsidR="00722DFA">
        <w:t>Strategy II as defined in</w:t>
      </w:r>
    </w:p>
    <w:p w:rsidR="005F1E57" w:rsidRPr="005F1E57" w:rsidRDefault="005F1E57" w:rsidP="005F1E57">
      <w:pPr>
        <w:pStyle w:val="ListParagraph"/>
        <w:spacing w:line="360" w:lineRule="auto"/>
        <w:ind w:left="360"/>
        <w:rPr>
          <w:u w:val="single"/>
        </w:rPr>
      </w:pPr>
    </w:p>
    <w:p w:rsidR="005F1E57" w:rsidRDefault="005D6A2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5D6A2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5D6A2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5D6A2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5D6A2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5D6A2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C24948" w:rsidRPr="005F1E57" w:rsidRDefault="00722DFA" w:rsidP="005F1E57">
      <w:pPr>
        <w:pStyle w:val="ListParagraph"/>
        <w:spacing w:line="360" w:lineRule="auto"/>
        <w:ind w:left="360"/>
      </w:pPr>
      <w:r>
        <w:t xml:space="preserve">implies that the replication of the adjustments themselves are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w:t>
      </w:r>
    </w:p>
    <w:p w:rsidR="00722DFA" w:rsidRDefault="00722DFA" w:rsidP="00D83552">
      <w:pPr>
        <w:pStyle w:val="ListParagraph"/>
        <w:numPr>
          <w:ilvl w:val="0"/>
          <w:numId w:val="112"/>
        </w:numPr>
        <w:spacing w:line="360" w:lineRule="auto"/>
      </w:pPr>
      <w:r w:rsidRPr="00722DFA">
        <w:rPr>
          <w:u w:val="single"/>
        </w:rPr>
        <w:t>Corre</w:t>
      </w:r>
      <w:r>
        <w:rPr>
          <w:u w:val="single"/>
        </w:rPr>
        <w:t>s</w:t>
      </w:r>
      <w:r w:rsidRPr="00722DFA">
        <w:rPr>
          <w:u w:val="single"/>
        </w:rPr>
        <w:t>pondence with the Piterbarg Met</w:t>
      </w:r>
      <w:r>
        <w:rPr>
          <w:u w:val="single"/>
        </w:rPr>
        <w:t>h</w:t>
      </w:r>
      <w:r w:rsidRPr="00722DFA">
        <w:rPr>
          <w:u w:val="single"/>
        </w:rPr>
        <w:t>odology</w:t>
      </w:r>
      <w:r>
        <w:t xml:space="preserve">: Finally note that if there is no counterparty risk, then this model is equivalent to the one developed in Piterbarg (2010) where everything boils down to discounting with the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curve.</w:t>
      </w:r>
    </w:p>
    <w:p w:rsidR="006043D1" w:rsidRDefault="006043D1" w:rsidP="00D83552">
      <w:pPr>
        <w:pStyle w:val="ListParagraph"/>
        <w:numPr>
          <w:ilvl w:val="0"/>
          <w:numId w:val="112"/>
        </w:numPr>
        <w:spacing w:line="360" w:lineRule="auto"/>
      </w:pPr>
      <w:r>
        <w:rPr>
          <w:u w:val="single"/>
        </w:rPr>
        <w:t>Albanese and Andersen (2014) Strategy III</w:t>
      </w:r>
      <w:r w:rsidRPr="006043D1">
        <w:t>:</w:t>
      </w:r>
      <w:r>
        <w:t xml:space="preserve"> In Albanese and Andersen (2014) it is assumed that any excess variation margin of a funding set has to be invested at the risk free rate </w:t>
      </w:r>
      <m:oMath>
        <m:r>
          <w:rPr>
            <w:rFonts w:ascii="Cambria Math" w:hAnsi="Cambria Math"/>
          </w:rPr>
          <m:t>r</m:t>
        </m:r>
      </m:oMath>
      <w:r>
        <w:t xml:space="preserve"> whereas any shortfall must be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albeit it is let somewhat unclear as to how the adjustments themselves are funded.</w:t>
      </w:r>
    </w:p>
    <w:p w:rsidR="006043D1" w:rsidRDefault="006043D1" w:rsidP="00D83552">
      <w:pPr>
        <w:pStyle w:val="ListParagraph"/>
        <w:numPr>
          <w:ilvl w:val="0"/>
          <w:numId w:val="112"/>
        </w:numPr>
        <w:spacing w:line="360" w:lineRule="auto"/>
      </w:pPr>
      <w:r>
        <w:rPr>
          <w:u w:val="single"/>
        </w:rPr>
        <w:t>Differential between Investment and Funding</w:t>
      </w:r>
      <w:r w:rsidRPr="006043D1">
        <w:t>:</w:t>
      </w:r>
      <w:r>
        <w:t xml:space="preserve"> The simplest such strategy would be to invest the total amount </w:t>
      </w:r>
      <m:oMath>
        <m:r>
          <w:rPr>
            <w:rFonts w:ascii="Cambria Math" w:hAnsi="Cambria Math"/>
          </w:rPr>
          <m:t>-</m:t>
        </m:r>
        <m:acc>
          <m:accPr>
            <m:ctrlPr>
              <w:rPr>
                <w:rFonts w:ascii="Cambria Math" w:hAnsi="Cambria Math"/>
                <w:i/>
              </w:rPr>
            </m:ctrlPr>
          </m:accPr>
          <m:e>
            <m:r>
              <w:rPr>
                <w:rFonts w:ascii="Cambria Math" w:hAnsi="Cambria Math"/>
              </w:rPr>
              <m:t>V</m:t>
            </m:r>
          </m:e>
        </m:acc>
      </m:oMath>
      <w:r>
        <w:t xml:space="preserve"> into risk free bonds, if positive, and to fund via the unsecured bond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t xml:space="preserve"> if negative.</w:t>
      </w:r>
    </w:p>
    <w:p w:rsidR="005F1E57" w:rsidRDefault="006043D1" w:rsidP="00D83552">
      <w:pPr>
        <w:pStyle w:val="ListParagraph"/>
        <w:numPr>
          <w:ilvl w:val="0"/>
          <w:numId w:val="112"/>
        </w:numPr>
        <w:spacing w:line="360" w:lineRule="auto"/>
      </w:pPr>
      <w:r>
        <w:rPr>
          <w:u w:val="single"/>
        </w:rPr>
        <w:t>The Corresponding Portfolio Allocation Strategy</w:t>
      </w:r>
      <w:r w:rsidRPr="006043D1">
        <w:t>:</w:t>
      </w:r>
      <w:r>
        <w:t xml:space="preserve"> This approach translates into the strategy</w:t>
      </w:r>
    </w:p>
    <w:p w:rsidR="005F1E57" w:rsidRDefault="005F1E57" w:rsidP="005F1E57">
      <w:pPr>
        <w:pStyle w:val="ListParagraph"/>
        <w:spacing w:line="360" w:lineRule="auto"/>
        <w:ind w:left="360"/>
        <w:rPr>
          <w:u w:val="single"/>
        </w:rPr>
      </w:pPr>
    </w:p>
    <w:p w:rsidR="005F1E57" w:rsidRDefault="005D6A2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5D6A2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5D6A2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5D6A2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5D6A2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6043D1" w:rsidRPr="005F1E57" w:rsidRDefault="005D6A2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6043D1" w:rsidP="00D83552">
      <w:pPr>
        <w:pStyle w:val="ListParagraph"/>
        <w:numPr>
          <w:ilvl w:val="0"/>
          <w:numId w:val="112"/>
        </w:numPr>
        <w:spacing w:line="360" w:lineRule="auto"/>
      </w:pPr>
      <w:r>
        <w:rPr>
          <w:u w:val="single"/>
        </w:rPr>
        <w:lastRenderedPageBreak/>
        <w:t>The PDE Driving the Economic Value</w:t>
      </w:r>
      <w:r>
        <w:t>: It would follow that the economic value satisfies the non-linear PDE system</w:t>
      </w:r>
    </w:p>
    <w:p w:rsidR="005F1E57" w:rsidRDefault="005F1E57" w:rsidP="005F1E57">
      <w:pPr>
        <w:pStyle w:val="ListParagraph"/>
        <w:spacing w:line="360" w:lineRule="auto"/>
        <w:ind w:left="360"/>
        <w:rPr>
          <w:u w:val="single"/>
        </w:rPr>
      </w:pPr>
    </w:p>
    <w:p w:rsidR="005F1E57" w:rsidRDefault="005D6A21"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5D6A21"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5D6A21"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6043D1" w:rsidRPr="005F1E57" w:rsidRDefault="005D6A21"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E44946" w:rsidRDefault="00E44946" w:rsidP="00D83552">
      <w:pPr>
        <w:pStyle w:val="ListParagraph"/>
        <w:numPr>
          <w:ilvl w:val="0"/>
          <w:numId w:val="112"/>
        </w:numPr>
        <w:spacing w:line="360" w:lineRule="auto"/>
      </w:pPr>
      <w:r>
        <w:rPr>
          <w:u w:val="single"/>
        </w:rPr>
        <w:t>Use of Monte Carlo Methods</w:t>
      </w:r>
      <w:r>
        <w:t>: This non-linear PDE could be solved using Monte-Carlo methods, see e.g., Labordere (2012), but the performance of such methods is unclear for real world large portfolios such as the one studied in Albanese and Andersen (2014).</w:t>
      </w:r>
    </w:p>
    <w:p w:rsidR="005F1E57" w:rsidRDefault="00E44946" w:rsidP="00D83552">
      <w:pPr>
        <w:pStyle w:val="ListParagraph"/>
        <w:numPr>
          <w:ilvl w:val="0"/>
          <w:numId w:val="112"/>
        </w:numPr>
        <w:spacing w:line="360" w:lineRule="auto"/>
      </w:pPr>
      <w:r>
        <w:rPr>
          <w:u w:val="single"/>
        </w:rPr>
        <w:t>Nonlinear PDE Adjustment Impact</w:t>
      </w:r>
      <w:r w:rsidRPr="00E44946">
        <w:t>:</w:t>
      </w:r>
      <w:r>
        <w:t xml:space="preserve"> Note that due to non-linearity there may be no natural way of expressing </w:t>
      </w:r>
      <m:oMath>
        <m:acc>
          <m:accPr>
            <m:ctrlPr>
              <w:rPr>
                <w:rFonts w:ascii="Cambria Math" w:hAnsi="Cambria Math"/>
                <w:i/>
              </w:rPr>
            </m:ctrlPr>
          </m:accPr>
          <m:e>
            <m:r>
              <w:rPr>
                <w:rFonts w:ascii="Cambria Math" w:hAnsi="Cambria Math"/>
              </w:rPr>
              <m:t>V</m:t>
            </m:r>
          </m:e>
        </m:acc>
      </m:oMath>
      <w:r>
        <w:t xml:space="preserve"> as a sum of </w:t>
      </w:r>
      <m:oMath>
        <m:r>
          <w:rPr>
            <w:rFonts w:ascii="Cambria Math" w:hAnsi="Cambria Math"/>
          </w:rPr>
          <m:t>V</m:t>
        </m:r>
      </m:oMath>
      <w:r>
        <w:t xml:space="preserve"> and some valuation adjustment </w:t>
      </w:r>
      <m:oMath>
        <m:r>
          <w:rPr>
            <w:rFonts w:ascii="Cambria Math" w:hAnsi="Cambria Math"/>
          </w:rPr>
          <m:t>U</m:t>
        </m:r>
      </m:oMath>
      <w:r>
        <w:t xml:space="preserve"> other than defining</w:t>
      </w:r>
    </w:p>
    <w:p w:rsidR="005F1E57" w:rsidRDefault="005F1E57" w:rsidP="005F1E57">
      <w:pPr>
        <w:pStyle w:val="ListParagraph"/>
        <w:spacing w:line="360" w:lineRule="auto"/>
        <w:ind w:left="360"/>
        <w:rPr>
          <w:u w:val="single"/>
        </w:rPr>
      </w:pPr>
    </w:p>
    <w:p w:rsidR="005F1E57" w:rsidRDefault="00E44946" w:rsidP="005F1E57">
      <w:pPr>
        <w:pStyle w:val="ListParagraph"/>
        <w:spacing w:line="360" w:lineRule="auto"/>
        <w:ind w:left="360"/>
      </w:pPr>
      <m:oMathPara>
        <m:oMath>
          <m:r>
            <w:rPr>
              <w:rFonts w:ascii="Cambria Math"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5F1E57" w:rsidRDefault="005F1E57" w:rsidP="005F1E57">
      <w:pPr>
        <w:pStyle w:val="ListParagraph"/>
        <w:spacing w:line="360" w:lineRule="auto"/>
        <w:ind w:left="360"/>
      </w:pPr>
    </w:p>
    <w:p w:rsidR="00E44946" w:rsidRDefault="00E44946" w:rsidP="005F1E57">
      <w:pPr>
        <w:pStyle w:val="ListParagraph"/>
        <w:spacing w:line="360" w:lineRule="auto"/>
        <w:ind w:left="360"/>
      </w:pPr>
      <w:r>
        <w:t>In any case this strategy will not lead to the adjustments described in Albanese and Andersen (2014).</w:t>
      </w:r>
    </w:p>
    <w:p w:rsidR="005F1E57" w:rsidRDefault="00BE36F7" w:rsidP="00D83552">
      <w:pPr>
        <w:pStyle w:val="ListParagraph"/>
        <w:numPr>
          <w:ilvl w:val="0"/>
          <w:numId w:val="112"/>
        </w:numPr>
        <w:spacing w:line="360" w:lineRule="auto"/>
      </w:pPr>
      <w:r>
        <w:rPr>
          <w:u w:val="single"/>
        </w:rPr>
        <w:t>A</w:t>
      </w:r>
      <w:r w:rsidR="00E44946">
        <w:rPr>
          <w:u w:val="single"/>
        </w:rPr>
        <w:t xml:space="preserve"> Variation Implied Funding Strategy</w:t>
      </w:r>
      <w:r w:rsidR="00E44946" w:rsidRPr="00E44946">
        <w:t>:</w:t>
      </w:r>
      <w:r w:rsidR="00E44946">
        <w:t xml:space="preserve"> The non-linearity is caused by the funding strategy being non-linear function </w:t>
      </w:r>
      <w:r>
        <w:t xml:space="preserve">of </w:t>
      </w:r>
      <m:oMath>
        <m:acc>
          <m:accPr>
            <m:ctrlPr>
              <w:rPr>
                <w:rFonts w:ascii="Cambria Math" w:hAnsi="Cambria Math"/>
                <w:i/>
              </w:rPr>
            </m:ctrlPr>
          </m:accPr>
          <m:e>
            <m:r>
              <w:rPr>
                <w:rFonts w:ascii="Cambria Math" w:hAnsi="Cambria Math"/>
              </w:rPr>
              <m:t>V</m:t>
            </m:r>
          </m:e>
        </m:acc>
      </m:oMath>
      <w:r>
        <w:t>. The following small variation of this strategy – called strategy III henceforth – yields a system of linear PDE’s:</w:t>
      </w:r>
    </w:p>
    <w:p w:rsidR="005F1E57" w:rsidRDefault="005F1E57" w:rsidP="005F1E57">
      <w:pPr>
        <w:pStyle w:val="ListParagraph"/>
        <w:spacing w:line="360" w:lineRule="auto"/>
        <w:ind w:left="360"/>
        <w:rPr>
          <w:u w:val="single"/>
        </w:rPr>
      </w:pPr>
    </w:p>
    <w:p w:rsidR="005F1E57" w:rsidRDefault="005D6A2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5D6A2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5D6A2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5F1E57" w:rsidRDefault="005F1E57" w:rsidP="005F1E57">
      <w:pPr>
        <w:pStyle w:val="ListParagraph"/>
        <w:spacing w:line="360" w:lineRule="auto"/>
        <w:ind w:left="360"/>
      </w:pPr>
    </w:p>
    <w:p w:rsidR="005F1E57" w:rsidRDefault="005D6A2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5D6A2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5D6A2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E44946" w:rsidRDefault="00BE36F7" w:rsidP="005F1E57">
      <w:pPr>
        <w:pStyle w:val="ListParagraph"/>
        <w:spacing w:line="360" w:lineRule="auto"/>
        <w:ind w:left="360"/>
      </w:pPr>
      <w:r>
        <w:t xml:space="preserve">where the usage of the zero-recovery bonds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for the funding of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is motivated by the fact that for closeouts based on the risk free values of the derivatives the adjustments disappear on default.</w:t>
      </w:r>
    </w:p>
    <w:p w:rsidR="005F1E57" w:rsidRDefault="00BE36F7" w:rsidP="00D83552">
      <w:pPr>
        <w:pStyle w:val="ListParagraph"/>
        <w:numPr>
          <w:ilvl w:val="0"/>
          <w:numId w:val="112"/>
        </w:numPr>
        <w:spacing w:line="360" w:lineRule="auto"/>
      </w:pPr>
      <w:r>
        <w:rPr>
          <w:u w:val="single"/>
        </w:rPr>
        <w:t>Hedge Errors of the Strategy</w:t>
      </w:r>
      <w:r w:rsidRPr="00BE36F7">
        <w:t>:</w:t>
      </w:r>
      <w:r>
        <w:t xml:space="preserve"> Thus funding the adjustment </w:t>
      </w:r>
      <m:oMath>
        <m:r>
          <w:rPr>
            <w:rFonts w:ascii="Cambria Math" w:hAnsi="Cambria Math"/>
          </w:rPr>
          <m:t>U</m:t>
        </m:r>
      </m:oMath>
      <w:r>
        <w:t xml:space="preserve"> via a zero recovery bond ensures that the funding disappears as well when the issuer defaults. The hedge errors in this case are given by</w:t>
      </w:r>
    </w:p>
    <w:p w:rsidR="005F1E57" w:rsidRDefault="005F1E57" w:rsidP="005F1E57">
      <w:pPr>
        <w:pStyle w:val="ListParagraph"/>
        <w:spacing w:line="360" w:lineRule="auto"/>
        <w:ind w:left="360"/>
        <w:rPr>
          <w:u w:val="single"/>
        </w:rPr>
      </w:pPr>
    </w:p>
    <w:p w:rsidR="005F1E57" w:rsidRDefault="005D6A21"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5D6A21"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676437" w:rsidRDefault="00BE36F7" w:rsidP="005F1E57">
      <w:pPr>
        <w:pStyle w:val="ListParagraph"/>
        <w:spacing w:line="360" w:lineRule="auto"/>
        <w:ind w:left="360"/>
      </w:pPr>
      <w:r>
        <w:t>and inserting</w:t>
      </w:r>
      <w:r w:rsidR="00194686">
        <w:t xml:space="preserve"> these into the general formula</w:t>
      </w:r>
    </w:p>
    <w:p w:rsidR="00676437" w:rsidRDefault="00676437" w:rsidP="005F1E57">
      <w:pPr>
        <w:pStyle w:val="ListParagraph"/>
        <w:spacing w:line="360" w:lineRule="auto"/>
        <w:ind w:left="360"/>
      </w:pPr>
    </w:p>
    <w:p w:rsidR="00676437" w:rsidRDefault="005D6A21"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yields</w:t>
      </w:r>
    </w:p>
    <w:p w:rsidR="00676437" w:rsidRDefault="00676437" w:rsidP="005F1E57">
      <w:pPr>
        <w:pStyle w:val="ListParagraph"/>
        <w:spacing w:line="360" w:lineRule="auto"/>
        <w:ind w:left="360"/>
      </w:pPr>
    </w:p>
    <w:p w:rsidR="00676437" w:rsidRDefault="005D6A21" w:rsidP="005F1E57">
      <w:pPr>
        <w:pStyle w:val="ListParagraph"/>
        <w:spacing w:line="360" w:lineRule="auto"/>
        <w:ind w:left="360"/>
      </w:pPr>
      <m:oMathPara>
        <m:oMath>
          <m:sSub>
            <m:sSubPr>
              <m:ctrlPr>
                <w:rPr>
                  <w:rFonts w:ascii="Cambria Math" w:hAnsi="Cambria Math"/>
                  <w:i/>
                </w:rPr>
              </m:ctrlPr>
            </m:sSubPr>
            <m:e>
              <m:r>
                <w:rPr>
                  <w:rFonts w:ascii="Cambria Math" w:hAnsi="Cambria Math"/>
                </w:rPr>
                <m:t>FC</m:t>
              </m:r>
              <m:r>
                <w:rPr>
                  <w:rFonts w:ascii="Cambria Math" w:hAnsi="Cambria Math"/>
                </w:rPr>
                <m:t>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FBA</m:t>
            </m:r>
          </m:e>
          <m:sub>
            <m:r>
              <w:rPr>
                <w:rFonts w:ascii="Cambria Math" w:hAnsi="Cambria Math"/>
              </w:rPr>
              <m:t>ij</m:t>
            </m:r>
          </m:sub>
        </m:sSub>
      </m:oMath>
      <w:r>
        <w:t xml:space="preserve"> </w:t>
      </w:r>
      <w:r w:rsidR="00F6761B">
        <w:t>is defined from</w:t>
      </w:r>
    </w:p>
    <w:p w:rsidR="00676437" w:rsidRDefault="00676437" w:rsidP="005F1E57">
      <w:pPr>
        <w:pStyle w:val="ListParagraph"/>
        <w:spacing w:line="360" w:lineRule="auto"/>
        <w:ind w:left="360"/>
      </w:pPr>
    </w:p>
    <w:p w:rsidR="00676437" w:rsidRDefault="005D6A21" w:rsidP="005F1E57">
      <w:pPr>
        <w:pStyle w:val="ListParagraph"/>
        <w:spacing w:line="360" w:lineRule="auto"/>
        <w:ind w:left="360"/>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and</w:t>
      </w:r>
    </w:p>
    <w:p w:rsidR="00676437" w:rsidRDefault="005D6A21"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F6761B" w:rsidP="005F1E57">
      <w:pPr>
        <w:pStyle w:val="ListParagraph"/>
        <w:spacing w:line="360" w:lineRule="auto"/>
        <w:ind w:left="360"/>
      </w:pPr>
      <w:r>
        <w:t xml:space="preserve">where </w:t>
      </w:r>
      <w:r w:rsidR="00BE36F7">
        <w:t>the zero bond basis relation</w:t>
      </w:r>
    </w:p>
    <w:p w:rsidR="00676437" w:rsidRDefault="00676437" w:rsidP="005F1E57">
      <w:pPr>
        <w:pStyle w:val="ListParagraph"/>
        <w:spacing w:line="360" w:lineRule="auto"/>
        <w:ind w:left="360"/>
      </w:pPr>
    </w:p>
    <w:p w:rsidR="00676437" w:rsidRDefault="005D6A21" w:rsidP="005F1E5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676437" w:rsidRDefault="00676437" w:rsidP="005F1E57">
      <w:pPr>
        <w:pStyle w:val="ListParagraph"/>
        <w:spacing w:line="360" w:lineRule="auto"/>
        <w:ind w:left="360"/>
      </w:pPr>
    </w:p>
    <w:p w:rsidR="00BE36F7" w:rsidRDefault="00BE36F7" w:rsidP="005F1E57">
      <w:pPr>
        <w:pStyle w:val="ListParagraph"/>
        <w:spacing w:line="360" w:lineRule="auto"/>
        <w:ind w:left="360"/>
      </w:pPr>
      <w:r>
        <w:t>has been used.</w:t>
      </w:r>
    </w:p>
    <w:p w:rsidR="00A76589" w:rsidRDefault="00A76589" w:rsidP="00D83552">
      <w:pPr>
        <w:pStyle w:val="ListParagraph"/>
        <w:numPr>
          <w:ilvl w:val="0"/>
          <w:numId w:val="112"/>
        </w:numPr>
        <w:spacing w:line="360" w:lineRule="auto"/>
      </w:pPr>
      <w:r>
        <w:rPr>
          <w:u w:val="single"/>
        </w:rPr>
        <w:t>Independence of the Default Poisson’s</w:t>
      </w:r>
      <w:r w:rsidRPr="00A76589">
        <w:t>:</w:t>
      </w:r>
      <w:r>
        <w:t xml:space="preserve">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corresponds to the funding cost adjustment used in Albanese and Andersen (2014)</w:t>
      </w:r>
      <w:r w:rsidR="00DB3082">
        <w:t xml:space="preserve"> – where it is referred to as FVA – provided that the default times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DB3082">
        <w:t xml:space="preserve"> are given by the first jump times of independent (of each other and the market) Poisson processes with intensities </w:t>
      </w:r>
      <m:oMath>
        <m:sSub>
          <m:sSubPr>
            <m:ctrlPr>
              <w:rPr>
                <w:rFonts w:ascii="Cambria Math" w:hAnsi="Cambria Math"/>
                <w:i/>
              </w:rPr>
            </m:ctrlPr>
          </m:sSubPr>
          <m:e>
            <m:r>
              <w:rPr>
                <w:rFonts w:ascii="Cambria Math" w:hAnsi="Cambria Math"/>
              </w:rPr>
              <m:t>λ</m:t>
            </m:r>
          </m:e>
          <m:sub>
            <m:r>
              <w:rPr>
                <w:rFonts w:ascii="Cambria Math" w:hAnsi="Cambria Math"/>
              </w:rPr>
              <m:t>Ci</m:t>
            </m:r>
          </m:sub>
        </m:sSub>
      </m:oMath>
      <w:r w:rsidR="00DB3082">
        <w:t>.</w:t>
      </w:r>
    </w:p>
    <w:p w:rsidR="00676437" w:rsidRDefault="00DB3082" w:rsidP="00D83552">
      <w:pPr>
        <w:pStyle w:val="ListParagraph"/>
        <w:numPr>
          <w:ilvl w:val="0"/>
          <w:numId w:val="112"/>
        </w:numPr>
        <w:spacing w:line="360" w:lineRule="auto"/>
      </w:pPr>
      <w:r>
        <w:rPr>
          <w:u w:val="single"/>
        </w:rPr>
        <w:t xml:space="preserve">Non Additivity of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t>: From</w:t>
      </w:r>
    </w:p>
    <w:p w:rsidR="00676437" w:rsidRDefault="00676437" w:rsidP="00676437">
      <w:pPr>
        <w:pStyle w:val="ListParagraph"/>
        <w:spacing w:line="360" w:lineRule="auto"/>
        <w:ind w:left="360"/>
      </w:pPr>
    </w:p>
    <w:p w:rsidR="00676437" w:rsidRDefault="005D6A21"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676437">
      <w:pPr>
        <w:pStyle w:val="ListParagraph"/>
        <w:spacing w:line="360" w:lineRule="auto"/>
        <w:ind w:left="360"/>
      </w:pPr>
    </w:p>
    <w:p w:rsidR="00DB3082" w:rsidRDefault="00DB3082" w:rsidP="00676437">
      <w:pPr>
        <w:pStyle w:val="ListParagraph"/>
        <w:spacing w:line="360" w:lineRule="auto"/>
        <w:ind w:left="360"/>
      </w:pPr>
      <w:r>
        <w:t xml:space="preserve">it can be seen that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non-additive and its calculation requires the simulation of the entire funding set in a path consistent way which would be a challenging task in terms of memory requirements.</w:t>
      </w:r>
    </w:p>
    <w:p w:rsidR="00676437" w:rsidRDefault="00DB3082" w:rsidP="00D83552">
      <w:pPr>
        <w:pStyle w:val="ListParagraph"/>
        <w:numPr>
          <w:ilvl w:val="0"/>
          <w:numId w:val="112"/>
        </w:numPr>
        <w:spacing w:line="360" w:lineRule="auto"/>
      </w:pPr>
      <w:r w:rsidRPr="004F1450">
        <w:rPr>
          <w:u w:val="single"/>
        </w:rPr>
        <w:t xml:space="preserve">Relation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Pr="004F1450">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sidRPr="004F1450">
        <w:rPr>
          <w:u w:val="single"/>
        </w:rPr>
        <w:t xml:space="preserve"> </w:t>
      </w:r>
      <w:r w:rsidRPr="00DB3082">
        <w:t>:</w:t>
      </w:r>
      <w:r>
        <w:t xml:space="preserve"> It is worth noting that the negative FBA component in the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of</w:t>
      </w:r>
    </w:p>
    <w:p w:rsidR="00676437" w:rsidRDefault="00676437" w:rsidP="00676437">
      <w:pPr>
        <w:pStyle w:val="ListParagraph"/>
        <w:spacing w:line="360" w:lineRule="auto"/>
        <w:ind w:left="360"/>
        <w:rPr>
          <w:u w:val="single"/>
        </w:rPr>
      </w:pPr>
    </w:p>
    <w:p w:rsidR="00676437" w:rsidRDefault="005D6A21"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DB3082" w:rsidP="00676437">
      <w:pPr>
        <w:pStyle w:val="ListParagraph"/>
        <w:spacing w:line="360" w:lineRule="auto"/>
        <w:ind w:left="360"/>
      </w:pPr>
      <w:r>
        <w:t>cancels the FBA component of the bilateral CVA such that the economic value may be written as</w:t>
      </w:r>
    </w:p>
    <w:p w:rsidR="00676437" w:rsidRDefault="00676437" w:rsidP="00676437">
      <w:pPr>
        <w:pStyle w:val="ListParagraph"/>
        <w:spacing w:line="360" w:lineRule="auto"/>
        <w:ind w:left="360"/>
      </w:pPr>
    </w:p>
    <w:p w:rsidR="006F1D53" w:rsidRPr="00676437" w:rsidRDefault="005D6A21"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4F1450" w:rsidRDefault="004F1450" w:rsidP="00D83552">
      <w:pPr>
        <w:pStyle w:val="ListParagraph"/>
        <w:numPr>
          <w:ilvl w:val="0"/>
          <w:numId w:val="112"/>
        </w:numPr>
        <w:spacing w:line="360" w:lineRule="auto"/>
      </w:pPr>
      <w:r>
        <w:rPr>
          <w:u w:val="single"/>
        </w:rPr>
        <w:t>Expectation of the Hedge Error</w:t>
      </w:r>
      <w:r>
        <w:t>: Similar to the</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t xml:space="preserve">  in strategy II it should be noted that</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not the expected value of the hedge error at issuer default – this is given by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w:t>
      </w:r>
    </w:p>
    <w:p w:rsidR="00676437" w:rsidRDefault="004F1450" w:rsidP="00D83552">
      <w:pPr>
        <w:pStyle w:val="ListParagraph"/>
        <w:numPr>
          <w:ilvl w:val="0"/>
          <w:numId w:val="112"/>
        </w:numPr>
        <w:spacing w:line="360" w:lineRule="auto"/>
      </w:pPr>
      <w:r>
        <w:rPr>
          <w:u w:val="single"/>
        </w:rPr>
        <w:t>FTP Policy of Albanese and Andersen (2014)</w:t>
      </w:r>
      <w:r>
        <w:t xml:space="preserve">: The adjustment obtained by charging the incremental </w:t>
      </w:r>
      <m:oMath>
        <m:acc>
          <m:accPr>
            <m:ctrlPr>
              <w:rPr>
                <w:rFonts w:ascii="Cambria Math" w:hAnsi="Cambria Math"/>
                <w:i/>
              </w:rPr>
            </m:ctrlPr>
          </m:accPr>
          <m:e>
            <m:r>
              <w:rPr>
                <w:rFonts w:ascii="Cambria Math" w:hAnsi="Cambria Math"/>
              </w:rPr>
              <m:t>V</m:t>
            </m:r>
          </m:e>
        </m:acc>
      </m:oMath>
      <w:r>
        <w:t xml:space="preserve"> is very similar to the FTP pricing proposed in Albanese and Andersen (2014), </w:t>
      </w:r>
      <w:r>
        <w:lastRenderedPageBreak/>
        <w:t>with the only difference being that they propose charging the increment of the slightly different economic value</w:t>
      </w:r>
    </w:p>
    <w:p w:rsidR="00676437" w:rsidRDefault="00676437" w:rsidP="00676437">
      <w:pPr>
        <w:pStyle w:val="ListParagraph"/>
        <w:spacing w:line="360" w:lineRule="auto"/>
        <w:ind w:left="360"/>
        <w:rPr>
          <w:u w:val="single"/>
        </w:rPr>
      </w:pPr>
    </w:p>
    <w:p w:rsidR="00676437" w:rsidRDefault="005D6A21"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where the unilateral CVA is defined as</w:t>
      </w:r>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with</w:t>
      </w:r>
    </w:p>
    <w:p w:rsidR="00676437" w:rsidRDefault="00676437" w:rsidP="00676437">
      <w:pPr>
        <w:pStyle w:val="ListParagraph"/>
        <w:spacing w:line="360" w:lineRule="auto"/>
        <w:ind w:left="360"/>
      </w:pPr>
    </w:p>
    <w:p w:rsidR="00676437" w:rsidRDefault="005D6A21" w:rsidP="00676437">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and has replaced FTDCVA in</w:t>
      </w:r>
    </w:p>
    <w:p w:rsidR="00676437" w:rsidRDefault="00676437" w:rsidP="00676437">
      <w:pPr>
        <w:pStyle w:val="ListParagraph"/>
        <w:spacing w:line="360" w:lineRule="auto"/>
        <w:ind w:left="360"/>
      </w:pPr>
    </w:p>
    <w:p w:rsidR="004F1450" w:rsidRPr="00676437" w:rsidRDefault="005D6A21"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3634F" w:rsidRDefault="0063634F" w:rsidP="00D83552">
      <w:pPr>
        <w:pStyle w:val="ListParagraph"/>
        <w:numPr>
          <w:ilvl w:val="0"/>
          <w:numId w:val="112"/>
        </w:numPr>
        <w:spacing w:line="360" w:lineRule="auto"/>
      </w:pPr>
      <w:r>
        <w:rPr>
          <w:u w:val="single"/>
        </w:rPr>
        <w:t>Incorporating Accounting and Regulatory Principles</w:t>
      </w:r>
      <w:r>
        <w:t>: Albanese and Andersen (2014) motivate this choice by means of accounting and regulatory principles that stipulate that CVA should be unilateral and not depend on the issuer credit quality.</w:t>
      </w:r>
    </w:p>
    <w:p w:rsidR="00676437" w:rsidRDefault="0063634F" w:rsidP="00D83552">
      <w:pPr>
        <w:pStyle w:val="ListParagraph"/>
        <w:numPr>
          <w:ilvl w:val="0"/>
          <w:numId w:val="112"/>
        </w:numPr>
        <w:spacing w:line="360" w:lineRule="auto"/>
      </w:pPr>
      <w:r>
        <w:rPr>
          <w:u w:val="single"/>
        </w:rPr>
        <w:t>Derivative Value to the Book</w:t>
      </w:r>
      <w:r w:rsidRPr="0063634F">
        <w:t>:</w:t>
      </w:r>
      <w:r>
        <w:t xml:space="preserve"> In the next section it is shown that a small, albeit more complicated modification of the funding strategy</w:t>
      </w:r>
    </w:p>
    <w:p w:rsidR="00676437" w:rsidRDefault="00676437" w:rsidP="00676437">
      <w:pPr>
        <w:pStyle w:val="ListParagraph"/>
        <w:spacing w:line="360" w:lineRule="auto"/>
        <w:ind w:left="360"/>
        <w:rPr>
          <w:u w:val="single"/>
        </w:rPr>
      </w:pPr>
    </w:p>
    <w:p w:rsidR="00676437" w:rsidRDefault="005D6A21"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5D6A21"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5D6A21"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676437" w:rsidRDefault="00676437" w:rsidP="00676437">
      <w:pPr>
        <w:pStyle w:val="ListParagraph"/>
        <w:spacing w:line="360" w:lineRule="auto"/>
        <w:ind w:left="360"/>
      </w:pPr>
    </w:p>
    <w:p w:rsidR="00676437" w:rsidRDefault="005D6A21"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5D6A21"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5D6A21"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 the strategy IV – yields the economic value</w:t>
      </w:r>
    </w:p>
    <w:p w:rsidR="00676437" w:rsidRDefault="00676437" w:rsidP="00676437">
      <w:pPr>
        <w:pStyle w:val="ListParagraph"/>
        <w:spacing w:line="360" w:lineRule="auto"/>
        <w:ind w:left="360"/>
      </w:pPr>
    </w:p>
    <w:p w:rsidR="00676437" w:rsidRDefault="005D6A21"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rather than</w:t>
      </w:r>
    </w:p>
    <w:p w:rsidR="00676437" w:rsidRDefault="00676437" w:rsidP="00676437">
      <w:pPr>
        <w:pStyle w:val="ListParagraph"/>
        <w:spacing w:line="360" w:lineRule="auto"/>
        <w:ind w:left="360"/>
      </w:pPr>
    </w:p>
    <w:p w:rsidR="0063634F" w:rsidRPr="00676437" w:rsidRDefault="005D6A21"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D83552">
      <w:pPr>
        <w:pStyle w:val="ListParagraph"/>
        <w:numPr>
          <w:ilvl w:val="0"/>
          <w:numId w:val="112"/>
        </w:numPr>
        <w:spacing w:line="360" w:lineRule="auto"/>
      </w:pPr>
      <w:r>
        <w:rPr>
          <w:u w:val="single"/>
        </w:rPr>
        <w:t>Comparison of the FCA Magnitudes</w:t>
      </w:r>
      <w:r>
        <w:t xml:space="preserve">: </w:t>
      </w:r>
      <w:r w:rsidR="008070FF">
        <w:t xml:space="preserve">Intuitively, this strategy is more conservative than the other strategies, in that </w:t>
      </w:r>
      <m:oMath>
        <m:sSub>
          <m:sSubPr>
            <m:ctrlPr>
              <w:rPr>
                <w:rFonts w:ascii="Cambria Math" w:hAnsi="Cambria Math"/>
                <w:i/>
              </w:rPr>
            </m:ctrlPr>
          </m:sSubPr>
          <m:e>
            <m:r>
              <w:rPr>
                <w:rFonts w:ascii="Cambria Math" w:hAnsi="Cambria Math"/>
              </w:rPr>
              <m:t>FCA</m:t>
            </m:r>
          </m:e>
          <m:sub>
            <m:r>
              <w:rPr>
                <w:rFonts w:ascii="Cambria Math" w:hAnsi="Cambria Math"/>
              </w:rPr>
              <m:t>IV</m:t>
            </m:r>
          </m:sub>
        </m:sSub>
      </m:oMath>
      <w:r w:rsidR="008070FF">
        <w:t xml:space="preserve"> is most negative. The section below proves that the inequality</w:t>
      </w:r>
    </w:p>
    <w:p w:rsidR="00676437" w:rsidRDefault="00676437" w:rsidP="00676437">
      <w:pPr>
        <w:pStyle w:val="ListParagraph"/>
        <w:spacing w:line="360" w:lineRule="auto"/>
        <w:ind w:left="360"/>
        <w:rPr>
          <w:u w:val="single"/>
        </w:rPr>
      </w:pPr>
    </w:p>
    <w:p w:rsidR="00676437" w:rsidRDefault="005D6A21"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&lt;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76437" w:rsidRDefault="00676437" w:rsidP="00676437">
      <w:pPr>
        <w:pStyle w:val="ListParagraph"/>
        <w:spacing w:line="360" w:lineRule="auto"/>
        <w:ind w:left="360"/>
      </w:pPr>
    </w:p>
    <w:p w:rsidR="0063634F" w:rsidRDefault="008070FF" w:rsidP="00676437">
      <w:pPr>
        <w:pStyle w:val="ListParagraph"/>
        <w:spacing w:line="360" w:lineRule="auto"/>
        <w:ind w:left="360"/>
      </w:pPr>
      <w:r>
        <w:t>indeed holds.</w:t>
      </w:r>
    </w:p>
    <w:p w:rsidR="006F1D53" w:rsidRDefault="006F1D53" w:rsidP="00BC2EF5">
      <w:pPr>
        <w:spacing w:line="360" w:lineRule="auto"/>
      </w:pPr>
    </w:p>
    <w:p w:rsidR="0063410C" w:rsidRDefault="0063410C" w:rsidP="00BC2EF5">
      <w:pPr>
        <w:spacing w:line="360" w:lineRule="auto"/>
      </w:pPr>
    </w:p>
    <w:p w:rsidR="0063410C" w:rsidRPr="0063410C" w:rsidRDefault="0063410C" w:rsidP="00BC2EF5">
      <w:pPr>
        <w:spacing w:line="360" w:lineRule="auto"/>
        <w:rPr>
          <w:b/>
          <w:sz w:val="32"/>
          <w:szCs w:val="32"/>
        </w:rPr>
      </w:pPr>
      <w:r w:rsidRPr="0063410C">
        <w:rPr>
          <w:b/>
          <w:sz w:val="32"/>
          <w:szCs w:val="32"/>
        </w:rPr>
        <w:t xml:space="preserve">Derivation of </w:t>
      </w:r>
      <m:oMath>
        <m:sSub>
          <m:sSubPr>
            <m:ctrlPr>
              <w:rPr>
                <w:rFonts w:ascii="Cambria Math" w:hAnsi="Cambria Math"/>
                <w:b/>
                <w:i/>
                <w:sz w:val="32"/>
                <w:szCs w:val="32"/>
              </w:rPr>
            </m:ctrlPr>
          </m:sSubPr>
          <m:e>
            <m:acc>
              <m:accPr>
                <m:ctrlPr>
                  <w:rPr>
                    <w:rFonts w:ascii="Cambria Math" w:hAnsi="Cambria Math"/>
                    <w:b/>
                    <w:i/>
                    <w:sz w:val="32"/>
                    <w:szCs w:val="32"/>
                  </w:rPr>
                </m:ctrlPr>
              </m:accPr>
              <m:e>
                <m:r>
                  <m:rPr>
                    <m:sty m:val="bi"/>
                  </m:rPr>
                  <w:rPr>
                    <w:rFonts w:ascii="Cambria Math" w:hAnsi="Cambria Math"/>
                    <w:sz w:val="32"/>
                    <w:szCs w:val="32"/>
                  </w:rPr>
                  <m:t>V</m:t>
                </m:r>
              </m:e>
            </m:acc>
          </m:e>
          <m:sub>
            <m:r>
              <m:rPr>
                <m:sty m:val="bi"/>
              </m:rPr>
              <w:rPr>
                <w:rFonts w:ascii="Cambria Math" w:hAnsi="Cambria Math"/>
                <w:sz w:val="32"/>
                <w:szCs w:val="32"/>
              </w:rPr>
              <m:t>IV</m:t>
            </m:r>
          </m:sub>
        </m:sSub>
      </m:oMath>
    </w:p>
    <w:p w:rsidR="0063410C" w:rsidRDefault="0063410C" w:rsidP="00BC2EF5">
      <w:pPr>
        <w:spacing w:line="360" w:lineRule="auto"/>
      </w:pPr>
    </w:p>
    <w:p w:rsidR="008A7C9B" w:rsidRDefault="0063410C" w:rsidP="00D83552">
      <w:pPr>
        <w:pStyle w:val="ListParagraph"/>
        <w:numPr>
          <w:ilvl w:val="0"/>
          <w:numId w:val="113"/>
        </w:numPr>
        <w:spacing w:line="360" w:lineRule="auto"/>
      </w:pPr>
      <w:r w:rsidRPr="0063410C">
        <w:rPr>
          <w:u w:val="single"/>
        </w:rPr>
        <w:t xml:space="preserve">Funding Strategy that generates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oMath>
      <w:r>
        <w:t xml:space="preserve">: This section specifies the funding strategy that generates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oMath>
      <w:r>
        <w:t xml:space="preserve"> given in</w:t>
      </w:r>
    </w:p>
    <w:p w:rsidR="008A7C9B" w:rsidRDefault="008A7C9B" w:rsidP="008A7C9B">
      <w:pPr>
        <w:pStyle w:val="ListParagraph"/>
        <w:spacing w:line="360" w:lineRule="auto"/>
        <w:ind w:left="360"/>
        <w:rPr>
          <w:u w:val="single"/>
        </w:rPr>
      </w:pPr>
    </w:p>
    <w:p w:rsidR="0063410C" w:rsidRPr="008A7C9B" w:rsidRDefault="005D6A21"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8A7C9B" w:rsidRDefault="008A7C9B" w:rsidP="008A7C9B">
      <w:pPr>
        <w:pStyle w:val="ListParagraph"/>
        <w:spacing w:line="360" w:lineRule="auto"/>
        <w:ind w:left="360"/>
      </w:pPr>
    </w:p>
    <w:p w:rsidR="008A7C9B" w:rsidRDefault="00EE1AF1" w:rsidP="00D83552">
      <w:pPr>
        <w:pStyle w:val="ListParagraph"/>
        <w:numPr>
          <w:ilvl w:val="0"/>
          <w:numId w:val="113"/>
        </w:numPr>
        <w:spacing w:line="360" w:lineRule="auto"/>
      </w:pPr>
      <w:r>
        <w:rPr>
          <w:u w:val="single"/>
        </w:rPr>
        <w:t>Methodology for Calculating the Adjustment</w:t>
      </w:r>
      <w:r>
        <w:t xml:space="preserve">: So far in this chapter, the methodology has been to specify a funding strategy, derive the resulting economic value </w:t>
      </w:r>
      <m:oMath>
        <m:acc>
          <m:accPr>
            <m:ctrlPr>
              <w:rPr>
                <w:rFonts w:ascii="Cambria Math" w:hAnsi="Cambria Math"/>
                <w:i/>
              </w:rPr>
            </m:ctrlPr>
          </m:accPr>
          <m:e>
            <m:r>
              <w:rPr>
                <w:rFonts w:ascii="Cambria Math" w:hAnsi="Cambria Math"/>
              </w:rPr>
              <m:t>V</m:t>
            </m:r>
          </m:e>
        </m:acc>
      </m:oMath>
      <w:r>
        <w:t>, and finally derive the valuation adjustment(s) by making the Ansatze</w:t>
      </w:r>
    </w:p>
    <w:p w:rsidR="008A7C9B" w:rsidRDefault="008A7C9B" w:rsidP="008A7C9B">
      <w:pPr>
        <w:pStyle w:val="ListParagraph"/>
        <w:spacing w:line="360" w:lineRule="auto"/>
        <w:ind w:left="360"/>
        <w:rPr>
          <w:u w:val="single"/>
        </w:rPr>
      </w:pPr>
    </w:p>
    <w:p w:rsidR="00EE1AF1" w:rsidRPr="008A7C9B" w:rsidRDefault="005D6A21"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8A7C9B" w:rsidRDefault="008A7C9B" w:rsidP="008A7C9B">
      <w:pPr>
        <w:pStyle w:val="ListParagraph"/>
        <w:spacing w:line="360" w:lineRule="auto"/>
        <w:ind w:left="360"/>
      </w:pPr>
    </w:p>
    <w:p w:rsidR="00EE1AF1" w:rsidRDefault="00EE1AF1" w:rsidP="00D83552">
      <w:pPr>
        <w:pStyle w:val="ListParagraph"/>
        <w:numPr>
          <w:ilvl w:val="0"/>
          <w:numId w:val="113"/>
        </w:numPr>
        <w:spacing w:line="360" w:lineRule="auto"/>
      </w:pPr>
      <w:r>
        <w:rPr>
          <w:u w:val="single"/>
        </w:rPr>
        <w:t>Avoidance of Logical Formulation Fallacy</w:t>
      </w:r>
      <w:r>
        <w:t xml:space="preserve">: </w:t>
      </w:r>
      <w:r w:rsidR="00D862E5">
        <w:t>The</w:t>
      </w:r>
      <w:r>
        <w:t xml:space="preserve"> strategy developed in this section contains the </w:t>
      </w:r>
      <m:oMath>
        <m:r>
          <w:rPr>
            <w:rFonts w:ascii="Cambria Math" w:hAnsi="Cambria Math"/>
          </w:rPr>
          <m:t>UCVA</m:t>
        </m:r>
      </m:oMath>
      <w:r>
        <w:t xml:space="preserve">, </w:t>
      </w:r>
      <w:r w:rsidR="00F73DE0">
        <w:t xml:space="preserve">so it is critical that the arguments are developed carefully to avoid the logical fallacy of </w:t>
      </w:r>
      <w:r w:rsidR="00F73DE0">
        <w:rPr>
          <w:i/>
        </w:rPr>
        <w:t>circulus in probando</w:t>
      </w:r>
      <w:r w:rsidR="00F73DE0">
        <w:t>.</w:t>
      </w:r>
    </w:p>
    <w:p w:rsidR="008A7C9B" w:rsidRDefault="00F73DE0" w:rsidP="00D83552">
      <w:pPr>
        <w:pStyle w:val="ListParagraph"/>
        <w:numPr>
          <w:ilvl w:val="0"/>
          <w:numId w:val="113"/>
        </w:numPr>
        <w:spacing w:line="360" w:lineRule="auto"/>
      </w:pPr>
      <w:r>
        <w:rPr>
          <w:u w:val="single"/>
        </w:rPr>
        <w:t>Definition of the Unilateral CVA - UCVA</w:t>
      </w:r>
      <w:r w:rsidRPr="00F73DE0">
        <w:t>:</w:t>
      </w:r>
      <w:r>
        <w:t xml:space="preserve"> Let </w:t>
      </w:r>
      <m:oMath>
        <m:r>
          <w:rPr>
            <w:rFonts w:ascii="Cambria Math" w:hAnsi="Cambria Math"/>
          </w:rPr>
          <m:t>i, j</m:t>
        </m:r>
      </m:oMath>
      <w:r>
        <w:t xml:space="preserve"> be the counter party and the netting unit index, respectively. The unilateral CVA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is defined as</w:t>
      </w:r>
    </w:p>
    <w:p w:rsidR="008A7C9B" w:rsidRDefault="008A7C9B" w:rsidP="008A7C9B">
      <w:pPr>
        <w:pStyle w:val="ListParagraph"/>
        <w:spacing w:line="360" w:lineRule="auto"/>
        <w:ind w:left="360"/>
        <w:rPr>
          <w:u w:val="single"/>
        </w:rPr>
      </w:pPr>
    </w:p>
    <w:p w:rsidR="008A7C9B" w:rsidRDefault="005D6A21"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8A7C9B" w:rsidRDefault="008A7C9B" w:rsidP="008A7C9B">
      <w:pPr>
        <w:pStyle w:val="ListParagraph"/>
        <w:spacing w:line="360" w:lineRule="auto"/>
        <w:ind w:left="360"/>
      </w:pPr>
    </w:p>
    <w:p w:rsidR="008A7C9B" w:rsidRDefault="00F73DE0" w:rsidP="008A7C9B">
      <w:pPr>
        <w:pStyle w:val="ListParagraph"/>
        <w:spacing w:line="360" w:lineRule="auto"/>
        <w:ind w:left="360"/>
      </w:pPr>
      <w:r>
        <w:t>which is the solution to</w:t>
      </w:r>
    </w:p>
    <w:p w:rsidR="008A7C9B" w:rsidRDefault="008A7C9B" w:rsidP="008A7C9B">
      <w:pPr>
        <w:pStyle w:val="ListParagraph"/>
        <w:spacing w:line="360" w:lineRule="auto"/>
        <w:ind w:left="360"/>
      </w:pPr>
    </w:p>
    <w:p w:rsidR="008A7C9B" w:rsidRDefault="005D6A21"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8A7C9B" w:rsidRDefault="008A7C9B" w:rsidP="008A7C9B">
      <w:pPr>
        <w:pStyle w:val="ListParagraph"/>
        <w:spacing w:line="360" w:lineRule="auto"/>
        <w:ind w:left="360"/>
      </w:pPr>
    </w:p>
    <w:p w:rsidR="00F73DE0" w:rsidRPr="008A7C9B" w:rsidRDefault="005D6A21"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8A7C9B" w:rsidRDefault="008A7C9B" w:rsidP="008A7C9B">
      <w:pPr>
        <w:pStyle w:val="ListParagraph"/>
        <w:spacing w:line="360" w:lineRule="auto"/>
        <w:ind w:left="360"/>
      </w:pPr>
    </w:p>
    <w:p w:rsidR="008A7C9B" w:rsidRDefault="00D862E5" w:rsidP="00D83552">
      <w:pPr>
        <w:pStyle w:val="ListParagraph"/>
        <w:numPr>
          <w:ilvl w:val="0"/>
          <w:numId w:val="113"/>
        </w:numPr>
        <w:spacing w:line="360" w:lineRule="auto"/>
      </w:pPr>
      <w:r>
        <w:rPr>
          <w:u w:val="single"/>
        </w:rPr>
        <w:t>Counter Party/Netting Set Additivity</w:t>
      </w:r>
      <w:r>
        <w:t>: Furthermore the following definitions are set to hold:</w:t>
      </w:r>
    </w:p>
    <w:p w:rsidR="008A7C9B" w:rsidRDefault="008A7C9B" w:rsidP="008A7C9B">
      <w:pPr>
        <w:pStyle w:val="ListParagraph"/>
        <w:spacing w:line="360" w:lineRule="auto"/>
        <w:ind w:left="360"/>
        <w:rPr>
          <w:u w:val="single"/>
        </w:rPr>
      </w:pPr>
    </w:p>
    <w:p w:rsidR="008A7C9B" w:rsidRDefault="005D6A21"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and</w:t>
      </w:r>
    </w:p>
    <w:p w:rsidR="008A7C9B" w:rsidRDefault="008A7C9B" w:rsidP="008A7C9B">
      <w:pPr>
        <w:pStyle w:val="ListParagraph"/>
        <w:spacing w:line="360" w:lineRule="auto"/>
        <w:ind w:left="360"/>
      </w:pPr>
    </w:p>
    <w:p w:rsidR="00D862E5" w:rsidRPr="008A7C9B" w:rsidRDefault="00D862E5" w:rsidP="008A7C9B">
      <w:pPr>
        <w:pStyle w:val="ListParagraph"/>
        <w:spacing w:line="360" w:lineRule="auto"/>
        <w:ind w:left="360"/>
      </w:pPr>
      <m:oMathPara>
        <m:oMath>
          <m:r>
            <w:rPr>
              <w:rFonts w:ascii="Cambria Math" w:hAnsi="Cambria Math"/>
            </w:rPr>
            <w:lastRenderedPageBreak/>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8A7C9B" w:rsidRDefault="008A7C9B" w:rsidP="008A7C9B">
      <w:pPr>
        <w:pStyle w:val="ListParagraph"/>
        <w:spacing w:line="360" w:lineRule="auto"/>
        <w:ind w:left="360"/>
      </w:pPr>
    </w:p>
    <w:p w:rsidR="008A7C9B" w:rsidRDefault="00D862E5" w:rsidP="00D83552">
      <w:pPr>
        <w:pStyle w:val="ListParagraph"/>
        <w:numPr>
          <w:ilvl w:val="0"/>
          <w:numId w:val="113"/>
        </w:numPr>
        <w:spacing w:line="360" w:lineRule="auto"/>
      </w:pPr>
      <w:r>
        <w:rPr>
          <w:u w:val="single"/>
        </w:rPr>
        <w:t>Motivation for the UCVA Definition</w:t>
      </w:r>
      <w:r>
        <w:t>: These definitions are motivated by making the issuer default-free by setting</w:t>
      </w:r>
    </w:p>
    <w:p w:rsidR="008A7C9B" w:rsidRDefault="008A7C9B" w:rsidP="008A7C9B">
      <w:pPr>
        <w:pStyle w:val="ListParagraph"/>
        <w:spacing w:line="360" w:lineRule="auto"/>
        <w:ind w:left="360"/>
        <w:rPr>
          <w:u w:val="single"/>
        </w:rPr>
      </w:pPr>
    </w:p>
    <w:p w:rsidR="008A7C9B" w:rsidRDefault="005D6A21" w:rsidP="008A7C9B">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=0</m:t>
          </m:r>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in the PDE’s</w:t>
      </w:r>
    </w:p>
    <w:p w:rsidR="008A7C9B" w:rsidRDefault="008A7C9B" w:rsidP="008A7C9B">
      <w:pPr>
        <w:pStyle w:val="ListParagraph"/>
        <w:spacing w:line="360" w:lineRule="auto"/>
        <w:ind w:left="360"/>
      </w:pPr>
    </w:p>
    <w:p w:rsidR="008A7C9B" w:rsidRDefault="005D6A21"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8A7C9B" w:rsidRDefault="008A7C9B" w:rsidP="008A7C9B">
      <w:pPr>
        <w:pStyle w:val="ListParagraph"/>
        <w:spacing w:line="360" w:lineRule="auto"/>
        <w:ind w:left="360"/>
      </w:pPr>
    </w:p>
    <w:p w:rsidR="008A7C9B" w:rsidRDefault="005D6A21"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and</w:t>
      </w:r>
    </w:p>
    <w:p w:rsidR="008A7C9B" w:rsidRDefault="008A7C9B" w:rsidP="008A7C9B">
      <w:pPr>
        <w:pStyle w:val="ListParagraph"/>
        <w:spacing w:line="360" w:lineRule="auto"/>
        <w:ind w:left="360"/>
      </w:pPr>
    </w:p>
    <w:p w:rsidR="008A7C9B" w:rsidRDefault="005D6A21" w:rsidP="008A7C9B">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8A7C9B" w:rsidRDefault="008A7C9B" w:rsidP="008A7C9B">
      <w:pPr>
        <w:pStyle w:val="ListParagraph"/>
        <w:spacing w:line="360" w:lineRule="auto"/>
        <w:ind w:left="360"/>
      </w:pPr>
    </w:p>
    <w:p w:rsidR="008A7C9B" w:rsidRDefault="005D6A21"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in which case one obtains</w:t>
      </w:r>
    </w:p>
    <w:p w:rsidR="008A7C9B" w:rsidRDefault="008A7C9B" w:rsidP="008A7C9B">
      <w:pPr>
        <w:pStyle w:val="ListParagraph"/>
        <w:spacing w:line="360" w:lineRule="auto"/>
        <w:ind w:left="360"/>
      </w:pPr>
    </w:p>
    <w:p w:rsidR="008A7C9B" w:rsidRDefault="005D6A21"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8A7C9B" w:rsidRDefault="008A7C9B" w:rsidP="008A7C9B">
      <w:pPr>
        <w:pStyle w:val="ListParagraph"/>
        <w:spacing w:line="360" w:lineRule="auto"/>
        <w:ind w:left="360"/>
      </w:pPr>
    </w:p>
    <w:p w:rsidR="008A7C9B" w:rsidRDefault="00566250" w:rsidP="008A7C9B">
      <w:pPr>
        <w:pStyle w:val="ListParagraph"/>
        <w:spacing w:line="360" w:lineRule="auto"/>
        <w:ind w:left="360"/>
      </w:pPr>
      <w:r>
        <w:t>and</w:t>
      </w:r>
    </w:p>
    <w:p w:rsidR="008A7C9B" w:rsidRDefault="008A7C9B" w:rsidP="008A7C9B">
      <w:pPr>
        <w:pStyle w:val="ListParagraph"/>
        <w:spacing w:line="360" w:lineRule="auto"/>
        <w:ind w:left="360"/>
      </w:pPr>
    </w:p>
    <w:p w:rsidR="00D862E5" w:rsidRPr="008A7C9B" w:rsidRDefault="005D6A21"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=V+UCVA</m:t>
          </m:r>
        </m:oMath>
      </m:oMathPara>
    </w:p>
    <w:p w:rsidR="008A7C9B" w:rsidRDefault="008A7C9B" w:rsidP="008A7C9B">
      <w:pPr>
        <w:pStyle w:val="ListParagraph"/>
        <w:spacing w:line="360" w:lineRule="auto"/>
        <w:ind w:left="360"/>
      </w:pPr>
    </w:p>
    <w:p w:rsidR="00A57A13" w:rsidRDefault="00566250" w:rsidP="00D83552">
      <w:pPr>
        <w:pStyle w:val="ListParagraph"/>
        <w:numPr>
          <w:ilvl w:val="0"/>
          <w:numId w:val="113"/>
        </w:numPr>
        <w:spacing w:line="360" w:lineRule="auto"/>
      </w:pPr>
      <w:r>
        <w:rPr>
          <w:u w:val="single"/>
        </w:rPr>
        <w:t>Determination of the Funding Strategy</w:t>
      </w:r>
      <w:r>
        <w:t>: Before specifying the funding strategy one writes</w:t>
      </w:r>
    </w:p>
    <w:p w:rsidR="00A57A13" w:rsidRDefault="00A57A13" w:rsidP="00A57A13">
      <w:pPr>
        <w:pStyle w:val="ListParagraph"/>
        <w:spacing w:line="360" w:lineRule="auto"/>
        <w:ind w:left="360"/>
      </w:pPr>
    </w:p>
    <w:p w:rsidR="00A57A13" w:rsidRDefault="005D6A21" w:rsidP="00A57A1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A57A13" w:rsidRDefault="00A57A13" w:rsidP="00A57A13">
      <w:pPr>
        <w:pStyle w:val="ListParagraph"/>
        <w:spacing w:line="360" w:lineRule="auto"/>
        <w:ind w:left="360"/>
      </w:pPr>
    </w:p>
    <w:p w:rsidR="00A57A13" w:rsidRDefault="00566250" w:rsidP="00A57A13">
      <w:pPr>
        <w:pStyle w:val="ListParagraph"/>
        <w:spacing w:line="360" w:lineRule="auto"/>
        <w:ind w:left="360"/>
      </w:pPr>
      <w:r>
        <w:t>and</w:t>
      </w:r>
    </w:p>
    <w:p w:rsidR="00A57A13" w:rsidRDefault="00A57A13" w:rsidP="00A57A13">
      <w:pPr>
        <w:pStyle w:val="ListParagraph"/>
        <w:spacing w:line="360" w:lineRule="auto"/>
        <w:ind w:left="360"/>
      </w:pPr>
    </w:p>
    <w:p w:rsidR="00A57A13" w:rsidRDefault="005D6A21" w:rsidP="00A57A1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+U=V+UCVA+</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oMath>
      </m:oMathPara>
    </w:p>
    <w:p w:rsidR="00A57A13" w:rsidRDefault="00A57A13" w:rsidP="00A57A13">
      <w:pPr>
        <w:pStyle w:val="ListParagraph"/>
        <w:spacing w:line="360" w:lineRule="auto"/>
        <w:ind w:left="360"/>
      </w:pPr>
    </w:p>
    <w:p w:rsidR="00566250" w:rsidRDefault="00566250" w:rsidP="00A57A13">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UCVA</m:t>
            </m:r>
          </m:e>
          <m:sub>
            <m:r>
              <w:rPr>
                <w:rFonts w:ascii="Cambria Math" w:hAnsi="Cambria Math"/>
              </w:rPr>
              <m:t>i</m:t>
            </m:r>
          </m:sub>
        </m:sSub>
      </m:oMath>
      <w:r>
        <w:t xml:space="preserve"> and </w:t>
      </w:r>
      <m:oMath>
        <m:r>
          <w:rPr>
            <w:rFonts w:ascii="Cambria Math" w:hAnsi="Cambria Math"/>
          </w:rPr>
          <m:t>UCVA</m:t>
        </m:r>
      </m:oMath>
      <w:r>
        <w:t xml:space="preserve"> are defined above and the remaining valuation adjustments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 xml:space="preserve"> are unspecified for now.</w:t>
      </w:r>
    </w:p>
    <w:p w:rsidR="00A57A13" w:rsidRDefault="00566250" w:rsidP="00D83552">
      <w:pPr>
        <w:pStyle w:val="ListParagraph"/>
        <w:numPr>
          <w:ilvl w:val="0"/>
          <w:numId w:val="113"/>
        </w:numPr>
        <w:spacing w:line="360" w:lineRule="auto"/>
      </w:pPr>
      <w:r>
        <w:rPr>
          <w:u w:val="single"/>
        </w:rPr>
        <w:t>The Funding Strategy Portfolio Components</w:t>
      </w:r>
      <w:r w:rsidRPr="00566250">
        <w:t>:</w:t>
      </w:r>
      <w:r>
        <w:t xml:space="preserve"> </w:t>
      </w:r>
      <w:r w:rsidR="00103E3C">
        <w:t>The funding strategy is then given by</w:t>
      </w:r>
    </w:p>
    <w:p w:rsidR="00A57A13" w:rsidRDefault="00A57A13" w:rsidP="00A57A13">
      <w:pPr>
        <w:pStyle w:val="ListParagraph"/>
        <w:spacing w:line="360" w:lineRule="auto"/>
        <w:ind w:left="360"/>
        <w:rPr>
          <w:u w:val="single"/>
        </w:rPr>
      </w:pPr>
    </w:p>
    <w:p w:rsidR="00A57A13" w:rsidRDefault="005D6A21"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A57A13" w:rsidRDefault="00A57A13" w:rsidP="00A57A13">
      <w:pPr>
        <w:pStyle w:val="ListParagraph"/>
        <w:spacing w:line="360" w:lineRule="auto"/>
        <w:ind w:left="360"/>
      </w:pPr>
    </w:p>
    <w:p w:rsidR="00BE63F3" w:rsidRDefault="005D6A21"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A57A13">
      <w:pPr>
        <w:pStyle w:val="ListParagraph"/>
        <w:spacing w:line="360" w:lineRule="auto"/>
        <w:ind w:left="360"/>
      </w:pPr>
    </w:p>
    <w:p w:rsidR="00BE63F3" w:rsidRDefault="005D6A21"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BE63F3" w:rsidRDefault="00BE63F3" w:rsidP="00A57A13">
      <w:pPr>
        <w:pStyle w:val="ListParagraph"/>
        <w:spacing w:line="360" w:lineRule="auto"/>
        <w:ind w:left="360"/>
      </w:pPr>
    </w:p>
    <w:p w:rsidR="00BE63F3" w:rsidRDefault="005D6A21"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5D6A21"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A57A13">
      <w:pPr>
        <w:pStyle w:val="ListParagraph"/>
        <w:spacing w:line="360" w:lineRule="auto"/>
        <w:ind w:left="360"/>
      </w:pPr>
    </w:p>
    <w:p w:rsidR="00566250" w:rsidRPr="00BE63F3" w:rsidRDefault="005D6A21"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795C38" w:rsidP="00D83552">
      <w:pPr>
        <w:pStyle w:val="ListParagraph"/>
        <w:numPr>
          <w:ilvl w:val="0"/>
          <w:numId w:val="113"/>
        </w:numPr>
        <w:spacing w:line="360" w:lineRule="auto"/>
      </w:pPr>
      <w:r>
        <w:rPr>
          <w:u w:val="single"/>
        </w:rPr>
        <w:t>Funding of CVA/Other Adjustments</w:t>
      </w:r>
      <w:r>
        <w:t>: This strategy is very similar to the strategy</w:t>
      </w:r>
    </w:p>
    <w:p w:rsidR="00BE63F3" w:rsidRDefault="00BE63F3" w:rsidP="00BE63F3">
      <w:pPr>
        <w:pStyle w:val="ListParagraph"/>
        <w:spacing w:line="360" w:lineRule="auto"/>
        <w:ind w:left="360"/>
        <w:rPr>
          <w:u w:val="single"/>
        </w:rPr>
      </w:pPr>
    </w:p>
    <w:p w:rsidR="00BE63F3" w:rsidRDefault="005D6A21"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5D6A21"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5D6A21"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E63F3" w:rsidRDefault="00BE63F3" w:rsidP="00BE63F3">
      <w:pPr>
        <w:pStyle w:val="ListParagraph"/>
        <w:spacing w:line="360" w:lineRule="auto"/>
        <w:ind w:left="360"/>
      </w:pPr>
    </w:p>
    <w:p w:rsidR="00BE63F3" w:rsidRDefault="005D6A21"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5D6A21"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5D6A21"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BE63F3">
      <w:pPr>
        <w:pStyle w:val="ListParagraph"/>
        <w:spacing w:line="360" w:lineRule="auto"/>
        <w:ind w:left="360"/>
      </w:pPr>
    </w:p>
    <w:p w:rsidR="00795C38" w:rsidRDefault="00795C38" w:rsidP="00BE63F3">
      <w:pPr>
        <w:pStyle w:val="ListParagraph"/>
        <w:spacing w:line="360" w:lineRule="auto"/>
        <w:ind w:left="360"/>
      </w:pPr>
      <w:r>
        <w:t xml:space="preserve">apart from that the unilateral CVA is funded at the risk-free rate and the remaining adjustments (denoted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at the zero recovery bond rate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w:t>
      </w:r>
    </w:p>
    <w:p w:rsidR="00493DE7" w:rsidRDefault="00795C38" w:rsidP="00D83552">
      <w:pPr>
        <w:pStyle w:val="ListParagraph"/>
        <w:numPr>
          <w:ilvl w:val="0"/>
          <w:numId w:val="113"/>
        </w:numPr>
        <w:spacing w:line="360" w:lineRule="auto"/>
      </w:pPr>
      <w:r>
        <w:rPr>
          <w:u w:val="single"/>
        </w:rPr>
        <w:t>The “One Counter Party” Case</w:t>
      </w:r>
      <w:r w:rsidRPr="00795C38">
        <w:t>:</w:t>
      </w:r>
      <w:r>
        <w:t xml:space="preserve"> From</w:t>
      </w:r>
    </w:p>
    <w:p w:rsidR="00493DE7" w:rsidRDefault="00493DE7" w:rsidP="00493DE7">
      <w:pPr>
        <w:pStyle w:val="ListParagraph"/>
        <w:spacing w:line="360" w:lineRule="auto"/>
        <w:ind w:left="360"/>
        <w:rPr>
          <w:u w:val="single"/>
        </w:rPr>
      </w:pPr>
    </w:p>
    <w:p w:rsidR="00493DE7" w:rsidRDefault="00795C38" w:rsidP="00493DE7">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it follows that the PDE</w:t>
      </w:r>
    </w:p>
    <w:p w:rsidR="00493DE7" w:rsidRDefault="00493DE7" w:rsidP="00493DE7">
      <w:pPr>
        <w:pStyle w:val="ListParagraph"/>
        <w:spacing w:line="360" w:lineRule="auto"/>
        <w:ind w:left="360"/>
      </w:pPr>
    </w:p>
    <w:p w:rsidR="00493DE7" w:rsidRDefault="005D6A21"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93DE7" w:rsidRDefault="00493DE7" w:rsidP="00493DE7">
      <w:pPr>
        <w:pStyle w:val="ListParagraph"/>
        <w:spacing w:line="360" w:lineRule="auto"/>
        <w:ind w:left="360"/>
      </w:pPr>
    </w:p>
    <w:p w:rsidR="00493DE7" w:rsidRDefault="005D6A21"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before invoking the zero basis conditions</w:t>
      </w:r>
    </w:p>
    <w:p w:rsidR="00493DE7" w:rsidRDefault="00493DE7" w:rsidP="00493DE7">
      <w:pPr>
        <w:pStyle w:val="ListParagraph"/>
        <w:spacing w:line="360" w:lineRule="auto"/>
        <w:ind w:left="360"/>
      </w:pPr>
    </w:p>
    <w:p w:rsidR="00493DE7" w:rsidRDefault="005D6A21"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and</w:t>
      </w:r>
    </w:p>
    <w:p w:rsidR="00493DE7" w:rsidRDefault="00493DE7" w:rsidP="00493DE7">
      <w:pPr>
        <w:pStyle w:val="ListParagraph"/>
        <w:spacing w:line="360" w:lineRule="auto"/>
        <w:ind w:left="360"/>
      </w:pPr>
    </w:p>
    <w:p w:rsidR="00493DE7" w:rsidRDefault="005D6A21"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takes the form</w:t>
      </w:r>
    </w:p>
    <w:p w:rsidR="00493DE7" w:rsidRDefault="00493DE7" w:rsidP="00493DE7">
      <w:pPr>
        <w:pStyle w:val="ListParagraph"/>
        <w:spacing w:line="360" w:lineRule="auto"/>
        <w:ind w:left="360"/>
      </w:pPr>
    </w:p>
    <w:p w:rsidR="00493DE7" w:rsidRDefault="005D6A21"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493DE7" w:rsidRDefault="00493DE7" w:rsidP="00493DE7">
      <w:pPr>
        <w:pStyle w:val="ListParagraph"/>
        <w:spacing w:line="360" w:lineRule="auto"/>
        <w:ind w:left="360"/>
      </w:pPr>
    </w:p>
    <w:p w:rsidR="00795C38" w:rsidRPr="00493DE7" w:rsidRDefault="005D6A21"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B53ECF" w:rsidP="00D83552">
      <w:pPr>
        <w:pStyle w:val="ListParagraph"/>
        <w:numPr>
          <w:ilvl w:val="0"/>
          <w:numId w:val="113"/>
        </w:numPr>
        <w:spacing w:line="360" w:lineRule="auto"/>
      </w:pPr>
      <w:r>
        <w:rPr>
          <w:u w:val="single"/>
        </w:rPr>
        <w:t>Using the Adjustment Breakdown Ansatz</w:t>
      </w:r>
      <w:r>
        <w:t xml:space="preserve">: </w:t>
      </w:r>
      <w:r w:rsidR="00D41D6F">
        <w:t>On inserting the funding strategy</w:t>
      </w:r>
    </w:p>
    <w:p w:rsidR="00493DE7" w:rsidRDefault="00493DE7" w:rsidP="00493DE7">
      <w:pPr>
        <w:pStyle w:val="ListParagraph"/>
        <w:spacing w:line="360" w:lineRule="auto"/>
        <w:ind w:left="360"/>
        <w:rPr>
          <w:u w:val="single"/>
        </w:rPr>
      </w:pPr>
    </w:p>
    <w:p w:rsidR="00493DE7" w:rsidRDefault="005D6A21"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493DE7" w:rsidRDefault="00493DE7" w:rsidP="00493DE7">
      <w:pPr>
        <w:pStyle w:val="ListParagraph"/>
        <w:spacing w:line="360" w:lineRule="auto"/>
        <w:ind w:left="360"/>
      </w:pPr>
    </w:p>
    <w:p w:rsidR="00517652" w:rsidRDefault="005D6A21"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5D6A21"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517652" w:rsidRDefault="00517652" w:rsidP="00493DE7">
      <w:pPr>
        <w:pStyle w:val="ListParagraph"/>
        <w:spacing w:line="360" w:lineRule="auto"/>
        <w:ind w:left="360"/>
      </w:pPr>
    </w:p>
    <w:p w:rsidR="00517652" w:rsidRDefault="005D6A21"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517652" w:rsidRDefault="00517652" w:rsidP="00493DE7">
      <w:pPr>
        <w:pStyle w:val="ListParagraph"/>
        <w:spacing w:line="360" w:lineRule="auto"/>
        <w:ind w:left="360"/>
      </w:pPr>
    </w:p>
    <w:p w:rsidR="00517652" w:rsidRDefault="005D6A21"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5D6A21"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17652" w:rsidRDefault="00517652" w:rsidP="00493DE7">
      <w:pPr>
        <w:pStyle w:val="ListParagraph"/>
        <w:spacing w:line="360" w:lineRule="auto"/>
        <w:ind w:left="360"/>
      </w:pPr>
    </w:p>
    <w:p w:rsidR="00C165F7" w:rsidRDefault="00D41D6F" w:rsidP="00493DE7">
      <w:pPr>
        <w:pStyle w:val="ListParagraph"/>
        <w:spacing w:line="360" w:lineRule="auto"/>
        <w:ind w:left="360"/>
      </w:pPr>
      <w:r>
        <w:t>and the ansatz</w:t>
      </w:r>
    </w:p>
    <w:p w:rsidR="00C165F7" w:rsidRDefault="00C165F7" w:rsidP="00493DE7">
      <w:pPr>
        <w:pStyle w:val="ListParagraph"/>
        <w:spacing w:line="360" w:lineRule="auto"/>
        <w:ind w:left="360"/>
      </w:pPr>
    </w:p>
    <w:p w:rsidR="00C165F7" w:rsidRDefault="005D6A21"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into</w:t>
      </w:r>
    </w:p>
    <w:p w:rsidR="00C165F7" w:rsidRDefault="00C165F7" w:rsidP="00493DE7">
      <w:pPr>
        <w:pStyle w:val="ListParagraph"/>
        <w:spacing w:line="360" w:lineRule="auto"/>
        <w:ind w:left="360"/>
      </w:pPr>
    </w:p>
    <w:p w:rsidR="00C165F7" w:rsidRDefault="005D6A21"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C165F7" w:rsidRDefault="00C165F7" w:rsidP="00493DE7">
      <w:pPr>
        <w:pStyle w:val="ListParagraph"/>
        <w:spacing w:line="360" w:lineRule="auto"/>
        <w:ind w:left="360"/>
      </w:pPr>
    </w:p>
    <w:p w:rsidR="00C165F7" w:rsidRDefault="005D6A21"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one obtains</w:t>
      </w:r>
    </w:p>
    <w:p w:rsidR="00C165F7" w:rsidRDefault="00C165F7" w:rsidP="00493DE7">
      <w:pPr>
        <w:pStyle w:val="ListParagraph"/>
        <w:spacing w:line="360" w:lineRule="auto"/>
        <w:ind w:left="360"/>
      </w:pPr>
    </w:p>
    <w:p w:rsidR="00C165F7" w:rsidRDefault="005D6A21"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-r</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r>
                            <w:rPr>
                              <w:rFonts w:ascii="Cambria Math" w:hAnsi="Cambria Math"/>
                              <w:vanish/>
                            </w:rPr>
                            <m:t>jCVAting the funding strategy  and the ansatz  into  one obtains  with and  takes the form nts (denoted  and ) at the zero r</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with</w:t>
      </w:r>
    </w:p>
    <w:p w:rsidR="00D85F42" w:rsidRDefault="00D85F42" w:rsidP="00493DE7">
      <w:pPr>
        <w:pStyle w:val="ListParagraph"/>
        <w:spacing w:line="360" w:lineRule="auto"/>
        <w:ind w:left="360"/>
      </w:pPr>
    </w:p>
    <w:p w:rsidR="00B53ECF" w:rsidRPr="00C165F7" w:rsidRDefault="005D6A21" w:rsidP="00493DE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C165F7" w:rsidRDefault="00C165F7" w:rsidP="00493DE7">
      <w:pPr>
        <w:pStyle w:val="ListParagraph"/>
        <w:spacing w:line="360" w:lineRule="auto"/>
        <w:ind w:left="360"/>
      </w:pPr>
    </w:p>
    <w:p w:rsidR="001D6E76" w:rsidRDefault="00333B3E" w:rsidP="00D83552">
      <w:pPr>
        <w:pStyle w:val="ListParagraph"/>
        <w:numPr>
          <w:ilvl w:val="0"/>
          <w:numId w:val="113"/>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 xml:space="preserve">: Recognizing that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satisfy the Black-Scholes PDE and the PDE</w:t>
      </w:r>
    </w:p>
    <w:p w:rsidR="001D6E76" w:rsidRDefault="001D6E76" w:rsidP="001D6E76">
      <w:pPr>
        <w:pStyle w:val="ListParagraph"/>
        <w:spacing w:line="360" w:lineRule="auto"/>
        <w:ind w:left="360"/>
        <w:rPr>
          <w:u w:val="single"/>
        </w:rPr>
      </w:pPr>
    </w:p>
    <w:p w:rsidR="001D6E76" w:rsidRDefault="005D6A21"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5D6A21" w:rsidP="001D6E76">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r>
        <w:t>respectively, one obtains</w:t>
      </w:r>
    </w:p>
    <w:p w:rsidR="001D6E76" w:rsidRDefault="001D6E76" w:rsidP="001D6E76">
      <w:pPr>
        <w:pStyle w:val="ListParagraph"/>
        <w:spacing w:line="360" w:lineRule="auto"/>
        <w:ind w:left="360"/>
      </w:pPr>
    </w:p>
    <w:p w:rsidR="001D6E76" w:rsidRDefault="005D6A21"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5D6A21"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r>
        <w:t>so it follows that</w:t>
      </w:r>
    </w:p>
    <w:p w:rsidR="001D6E76" w:rsidRDefault="001D6E76" w:rsidP="001D6E76">
      <w:pPr>
        <w:pStyle w:val="ListParagraph"/>
        <w:spacing w:line="360" w:lineRule="auto"/>
        <w:ind w:left="360"/>
      </w:pPr>
    </w:p>
    <w:p w:rsidR="00333B3E" w:rsidRPr="001D6E76" w:rsidRDefault="005D6A21"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D6E76" w:rsidRDefault="001D6E76" w:rsidP="001D6E76">
      <w:pPr>
        <w:pStyle w:val="ListParagraph"/>
        <w:spacing w:line="360" w:lineRule="auto"/>
        <w:ind w:left="360"/>
      </w:pPr>
    </w:p>
    <w:p w:rsidR="007A7631" w:rsidRDefault="005D6A21" w:rsidP="00D83552">
      <w:pPr>
        <w:pStyle w:val="ListParagraph"/>
        <w:numPr>
          <w:ilvl w:val="0"/>
          <w:numId w:val="113"/>
        </w:numPr>
        <w:spacing w:line="360" w:lineRule="auto"/>
      </w:pP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rsidR="00333B3E" w:rsidRPr="00333B3E">
        <w:rPr>
          <w:u w:val="single"/>
        </w:rPr>
        <w:t xml:space="preserve"> Interpretation as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333B3E">
        <w:t>: If one writes</w:t>
      </w:r>
    </w:p>
    <w:p w:rsidR="007A7631" w:rsidRPr="007A7631" w:rsidRDefault="007A7631" w:rsidP="007A7631">
      <w:pPr>
        <w:pStyle w:val="ListParagraph"/>
        <w:spacing w:line="360" w:lineRule="auto"/>
        <w:ind w:left="360"/>
        <w:rPr>
          <w:u w:val="single"/>
        </w:rPr>
      </w:pPr>
    </w:p>
    <w:p w:rsidR="007A7631" w:rsidRDefault="005D6A21" w:rsidP="007A7631">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7A7631" w:rsidRDefault="007A7631" w:rsidP="007A7631">
      <w:pPr>
        <w:pStyle w:val="ListParagraph"/>
        <w:spacing w:line="360" w:lineRule="auto"/>
        <w:ind w:left="360"/>
      </w:pPr>
    </w:p>
    <w:p w:rsidR="007A7631" w:rsidRDefault="00333B3E" w:rsidP="007A7631">
      <w:pPr>
        <w:pStyle w:val="ListParagraph"/>
        <w:spacing w:line="360" w:lineRule="auto"/>
        <w:ind w:left="360"/>
      </w:pPr>
      <w:r>
        <w:t xml:space="preserve">then </w:t>
      </w:r>
      <w:r w:rsidR="003D71F9">
        <w:t>it was shown earlier t</w:t>
      </w:r>
      <w:r>
        <w:t>hat</w:t>
      </w:r>
    </w:p>
    <w:p w:rsidR="007A7631" w:rsidRDefault="007A7631" w:rsidP="007A7631">
      <w:pPr>
        <w:pStyle w:val="ListParagraph"/>
        <w:spacing w:line="360" w:lineRule="auto"/>
        <w:ind w:left="360"/>
      </w:pPr>
    </w:p>
    <w:p w:rsidR="007A7631" w:rsidRDefault="005D6A21"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7A7631" w:rsidRDefault="007A7631" w:rsidP="007A7631">
      <w:pPr>
        <w:pStyle w:val="ListParagraph"/>
        <w:spacing w:line="360" w:lineRule="auto"/>
        <w:ind w:left="360"/>
      </w:pPr>
    </w:p>
    <w:p w:rsidR="00333B3E" w:rsidRPr="007A7631" w:rsidRDefault="00333B3E" w:rsidP="007A7631">
      <w:pPr>
        <w:pStyle w:val="ListParagraph"/>
        <w:spacing w:line="360" w:lineRule="auto"/>
        <w:ind w:left="360"/>
      </w:pPr>
      <w:r>
        <w:t>for the case of a single counter party.</w:t>
      </w:r>
    </w:p>
    <w:p w:rsidR="007A7631" w:rsidRDefault="003E10CD" w:rsidP="00D83552">
      <w:pPr>
        <w:pStyle w:val="ListParagraph"/>
        <w:numPr>
          <w:ilvl w:val="0"/>
          <w:numId w:val="113"/>
        </w:numPr>
        <w:spacing w:line="360" w:lineRule="auto"/>
      </w:pPr>
      <w:r w:rsidRPr="003E10CD">
        <w:rPr>
          <w:u w:val="single"/>
        </w:rPr>
        <w:t>One Counter Party Formulation Recast</w:t>
      </w:r>
      <w:r>
        <w:t>: Before proceeding to the two counter party case</w:t>
      </w:r>
    </w:p>
    <w:p w:rsidR="007A7631" w:rsidRDefault="007A7631" w:rsidP="007A7631">
      <w:pPr>
        <w:pStyle w:val="ListParagraph"/>
        <w:spacing w:line="360" w:lineRule="auto"/>
        <w:ind w:left="360"/>
        <w:rPr>
          <w:u w:val="single"/>
        </w:rPr>
      </w:pPr>
    </w:p>
    <w:p w:rsidR="007A7631" w:rsidRDefault="005D6A21"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7A7631" w:rsidRDefault="007A7631" w:rsidP="007A7631">
      <w:pPr>
        <w:pStyle w:val="ListParagraph"/>
        <w:spacing w:line="360" w:lineRule="auto"/>
        <w:ind w:left="360"/>
      </w:pPr>
    </w:p>
    <w:p w:rsidR="007A7631" w:rsidRDefault="005D6A21"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7A7631" w:rsidRDefault="007A7631" w:rsidP="007A7631">
      <w:pPr>
        <w:pStyle w:val="ListParagraph"/>
        <w:spacing w:line="360" w:lineRule="auto"/>
        <w:ind w:left="360"/>
      </w:pPr>
    </w:p>
    <w:p w:rsidR="007A7631" w:rsidRDefault="003E10CD" w:rsidP="007A7631">
      <w:pPr>
        <w:pStyle w:val="ListParagraph"/>
        <w:spacing w:line="360" w:lineRule="auto"/>
        <w:ind w:left="360"/>
      </w:pPr>
      <w:r>
        <w:t>is rewritten as</w:t>
      </w:r>
    </w:p>
    <w:p w:rsidR="007A7631" w:rsidRDefault="007A7631" w:rsidP="007A7631">
      <w:pPr>
        <w:pStyle w:val="ListParagraph"/>
        <w:spacing w:line="360" w:lineRule="auto"/>
        <w:ind w:left="360"/>
      </w:pPr>
    </w:p>
    <w:p w:rsidR="007A7631" w:rsidRDefault="005D6A21"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7A7631" w:rsidRDefault="007A7631" w:rsidP="007A7631">
      <w:pPr>
        <w:pStyle w:val="ListParagraph"/>
        <w:spacing w:line="360" w:lineRule="auto"/>
        <w:ind w:left="360"/>
      </w:pPr>
    </w:p>
    <w:p w:rsidR="003E10CD" w:rsidRDefault="003E10CD" w:rsidP="007A7631">
      <w:pPr>
        <w:pStyle w:val="ListParagraph"/>
        <w:spacing w:line="360" w:lineRule="auto"/>
        <w:ind w:left="360"/>
      </w:pPr>
      <w:r>
        <w:t>which will be helpful for the two counter party case below.</w:t>
      </w:r>
    </w:p>
    <w:p w:rsidR="007A7631" w:rsidRDefault="003E10CD" w:rsidP="00D83552">
      <w:pPr>
        <w:pStyle w:val="ListParagraph"/>
        <w:numPr>
          <w:ilvl w:val="0"/>
          <w:numId w:val="113"/>
        </w:numPr>
        <w:spacing w:line="360" w:lineRule="auto"/>
      </w:pPr>
      <w:r>
        <w:rPr>
          <w:u w:val="single"/>
        </w:rPr>
        <w:t>The Two Counter Parties Case</w:t>
      </w:r>
      <w:r w:rsidRPr="003E10CD">
        <w:t>:</w:t>
      </w:r>
      <w:r>
        <w:t xml:space="preserve"> From</w:t>
      </w:r>
    </w:p>
    <w:p w:rsidR="007A7631" w:rsidRDefault="007A7631" w:rsidP="007A7631">
      <w:pPr>
        <w:pStyle w:val="ListParagraph"/>
        <w:spacing w:line="360" w:lineRule="auto"/>
        <w:ind w:left="360"/>
        <w:rPr>
          <w:u w:val="single"/>
        </w:rPr>
      </w:pPr>
    </w:p>
    <w:p w:rsidR="007A7631" w:rsidRDefault="003E10CD" w:rsidP="007A7631">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7A7631" w:rsidRDefault="007A7631" w:rsidP="007A7631">
      <w:pPr>
        <w:pStyle w:val="ListParagraph"/>
        <w:spacing w:line="360" w:lineRule="auto"/>
        <w:ind w:left="360"/>
      </w:pPr>
    </w:p>
    <w:p w:rsidR="0095261B" w:rsidRDefault="003E10CD" w:rsidP="007A7631">
      <w:pPr>
        <w:pStyle w:val="ListParagraph"/>
        <w:spacing w:line="360" w:lineRule="auto"/>
        <w:ind w:left="360"/>
      </w:pPr>
      <w:r>
        <w:t>it follows that the PDE</w:t>
      </w:r>
    </w:p>
    <w:p w:rsidR="0095261B" w:rsidRDefault="0095261B" w:rsidP="007A7631">
      <w:pPr>
        <w:pStyle w:val="ListParagraph"/>
        <w:spacing w:line="360" w:lineRule="auto"/>
        <w:ind w:left="360"/>
      </w:pPr>
    </w:p>
    <w:p w:rsidR="0095261B" w:rsidRDefault="005D6A21"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95261B" w:rsidRDefault="0095261B" w:rsidP="007A7631">
      <w:pPr>
        <w:pStyle w:val="ListParagraph"/>
        <w:spacing w:line="360" w:lineRule="auto"/>
        <w:ind w:left="360"/>
      </w:pPr>
    </w:p>
    <w:p w:rsidR="0095261B" w:rsidRDefault="005D6A21"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3E10CD" w:rsidP="007A7631">
      <w:pPr>
        <w:pStyle w:val="ListParagraph"/>
        <w:spacing w:line="360" w:lineRule="auto"/>
        <w:ind w:left="360"/>
      </w:pPr>
      <w:r>
        <w:t>before invoking the zero basis conditions takes the form</w:t>
      </w:r>
    </w:p>
    <w:p w:rsidR="0095261B" w:rsidRDefault="0095261B" w:rsidP="007A7631">
      <w:pPr>
        <w:pStyle w:val="ListParagraph"/>
        <w:spacing w:line="360" w:lineRule="auto"/>
        <w:ind w:left="360"/>
      </w:pPr>
    </w:p>
    <w:p w:rsidR="0095261B" w:rsidRDefault="005D6A21"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acc>
            <m:accPr>
              <m:ctrlPr>
                <w:rPr>
                  <w:rFonts w:ascii="Cambria Math" w:hAnsi="Cambria Math"/>
                  <w:i/>
                </w:rPr>
              </m:ctrlPr>
            </m:accPr>
            <m:e>
              <m:r>
                <w:rPr>
                  <w:rFonts w:ascii="Cambria Math" w:hAnsi="Cambria Math"/>
                </w:rPr>
                <m:t>V</m:t>
              </m:r>
            </m:e>
          </m:acc>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oMath>
      </m:oMathPara>
    </w:p>
    <w:p w:rsidR="0095261B" w:rsidRDefault="0095261B" w:rsidP="007A7631">
      <w:pPr>
        <w:pStyle w:val="ListParagraph"/>
        <w:spacing w:line="360" w:lineRule="auto"/>
        <w:ind w:left="360"/>
      </w:pPr>
    </w:p>
    <w:p w:rsidR="00250EDF" w:rsidRPr="0095261B" w:rsidRDefault="005D6A21"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250EDF" w:rsidP="00D83552">
      <w:pPr>
        <w:pStyle w:val="ListParagraph"/>
        <w:numPr>
          <w:ilvl w:val="0"/>
          <w:numId w:val="113"/>
        </w:numPr>
        <w:spacing w:line="360" w:lineRule="auto"/>
      </w:pPr>
      <w:r w:rsidRPr="00250EDF">
        <w:rPr>
          <w:u w:val="single"/>
        </w:rPr>
        <w:t>Applying the Adjustment Decomposition Ansatz</w:t>
      </w:r>
      <w:r>
        <w:t>: Analogous to the single counter party case, inserting the ansatz</w:t>
      </w:r>
    </w:p>
    <w:p w:rsidR="0095261B" w:rsidRDefault="0095261B" w:rsidP="0095261B">
      <w:pPr>
        <w:pStyle w:val="ListParagraph"/>
        <w:spacing w:line="360" w:lineRule="auto"/>
        <w:ind w:left="360"/>
      </w:pPr>
    </w:p>
    <w:p w:rsidR="0095261B" w:rsidRDefault="005D6A21" w:rsidP="0095261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m:t>
          </m:r>
        </m:oMath>
      </m:oMathPara>
    </w:p>
    <w:p w:rsidR="0095261B" w:rsidRDefault="0095261B" w:rsidP="0095261B">
      <w:pPr>
        <w:pStyle w:val="ListParagraph"/>
        <w:spacing w:line="360" w:lineRule="auto"/>
        <w:ind w:left="360"/>
      </w:pPr>
    </w:p>
    <w:p w:rsidR="009802FB" w:rsidRDefault="00250EDF" w:rsidP="0095261B">
      <w:pPr>
        <w:pStyle w:val="ListParagraph"/>
        <w:spacing w:line="360" w:lineRule="auto"/>
        <w:ind w:left="360"/>
      </w:pPr>
      <w:r>
        <w:t>and the funding strategy</w:t>
      </w:r>
    </w:p>
    <w:p w:rsidR="009802FB" w:rsidRDefault="009802FB" w:rsidP="0095261B">
      <w:pPr>
        <w:pStyle w:val="ListParagraph"/>
        <w:spacing w:line="360" w:lineRule="auto"/>
        <w:ind w:left="360"/>
      </w:pPr>
    </w:p>
    <w:p w:rsidR="009802FB" w:rsidRDefault="005D6A21"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9802FB" w:rsidRDefault="009802FB" w:rsidP="0095261B">
      <w:pPr>
        <w:pStyle w:val="ListParagraph"/>
        <w:spacing w:line="360" w:lineRule="auto"/>
        <w:ind w:left="360"/>
      </w:pPr>
    </w:p>
    <w:p w:rsidR="00CE2F8F" w:rsidRDefault="005D6A21"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5D6A21"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CE2F8F" w:rsidRDefault="00CE2F8F" w:rsidP="0095261B">
      <w:pPr>
        <w:pStyle w:val="ListParagraph"/>
        <w:spacing w:line="360" w:lineRule="auto"/>
        <w:ind w:left="360"/>
      </w:pPr>
    </w:p>
    <w:p w:rsidR="00CE2F8F" w:rsidRDefault="005D6A21"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CE2F8F" w:rsidRDefault="00CE2F8F" w:rsidP="0095261B">
      <w:pPr>
        <w:pStyle w:val="ListParagraph"/>
        <w:spacing w:line="360" w:lineRule="auto"/>
        <w:ind w:left="360"/>
      </w:pPr>
    </w:p>
    <w:p w:rsidR="00CE2F8F" w:rsidRDefault="005D6A21"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5D6A21"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E2F8F" w:rsidRDefault="00CE2F8F" w:rsidP="0095261B">
      <w:pPr>
        <w:pStyle w:val="ListParagraph"/>
        <w:spacing w:line="360" w:lineRule="auto"/>
        <w:ind w:left="360"/>
      </w:pPr>
    </w:p>
    <w:p w:rsidR="00EB6CFC" w:rsidRDefault="00250EDF" w:rsidP="0095261B">
      <w:pPr>
        <w:pStyle w:val="ListParagraph"/>
        <w:spacing w:line="360" w:lineRule="auto"/>
        <w:ind w:left="360"/>
      </w:pPr>
      <w:r>
        <w:t>one obtains</w:t>
      </w:r>
    </w:p>
    <w:p w:rsidR="00EB6CFC" w:rsidRDefault="00EB6CFC" w:rsidP="0095261B">
      <w:pPr>
        <w:pStyle w:val="ListParagraph"/>
        <w:spacing w:line="360" w:lineRule="auto"/>
        <w:ind w:left="360"/>
      </w:pPr>
    </w:p>
    <w:p w:rsidR="003E10CD" w:rsidRPr="00EB6CFC" w:rsidRDefault="005D6A21" w:rsidP="0095261B">
      <w:pPr>
        <w:pStyle w:val="ListParagraph"/>
        <w:spacing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EB6CFC" w:rsidRDefault="00EB6CFC" w:rsidP="0095261B">
      <w:pPr>
        <w:pStyle w:val="ListParagraph"/>
        <w:spacing w:line="360" w:lineRule="auto"/>
        <w:ind w:left="360"/>
      </w:pPr>
    </w:p>
    <w:p w:rsidR="00B7496E" w:rsidRDefault="00151220" w:rsidP="00D83552">
      <w:pPr>
        <w:pStyle w:val="ListParagraph"/>
        <w:numPr>
          <w:ilvl w:val="0"/>
          <w:numId w:val="113"/>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w:t>
      </w:r>
      <w:r w:rsidR="00D47AE2">
        <w:t xml:space="preserve"> By</w:t>
      </w:r>
    </w:p>
    <w:p w:rsidR="00B7496E" w:rsidRDefault="00B7496E" w:rsidP="00B7496E">
      <w:pPr>
        <w:pStyle w:val="ListParagraph"/>
        <w:spacing w:line="360" w:lineRule="auto"/>
        <w:ind w:left="360"/>
        <w:rPr>
          <w:u w:val="single"/>
        </w:rPr>
      </w:pPr>
    </w:p>
    <w:p w:rsidR="00B7496E" w:rsidRDefault="005D6A21" w:rsidP="00B7496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r>
        <w:t xml:space="preserve">the summation above is zero so </w:t>
      </w:r>
      <m:oMath>
        <m:r>
          <w:rPr>
            <w:rFonts w:ascii="Cambria Math" w:hAnsi="Cambria Math"/>
          </w:rPr>
          <m:t>U</m:t>
        </m:r>
      </m:oMath>
      <w:r>
        <w:t xml:space="preserve"> satisfies</w:t>
      </w:r>
    </w:p>
    <w:p w:rsidR="00B7496E" w:rsidRDefault="00B7496E" w:rsidP="00B7496E">
      <w:pPr>
        <w:pStyle w:val="ListParagraph"/>
        <w:spacing w:line="360" w:lineRule="auto"/>
        <w:ind w:left="360"/>
      </w:pPr>
    </w:p>
    <w:p w:rsidR="00B7496E" w:rsidRDefault="005D6A21" w:rsidP="00B7496E">
      <w:pPr>
        <w:pStyle w:val="ListParagraph"/>
        <w:spacing w:line="360" w:lineRule="auto"/>
        <w:ind w:left="360"/>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r>
        <w:t>and is thus given by</w:t>
      </w:r>
    </w:p>
    <w:p w:rsidR="00B7496E" w:rsidRDefault="00B7496E" w:rsidP="00B7496E">
      <w:pPr>
        <w:pStyle w:val="ListParagraph"/>
        <w:spacing w:line="360" w:lineRule="auto"/>
        <w:ind w:left="360"/>
      </w:pPr>
    </w:p>
    <w:p w:rsidR="00151220" w:rsidRPr="00B7496E" w:rsidRDefault="00D85F42" w:rsidP="00B7496E">
      <w:pPr>
        <w:pStyle w:val="ListParagraph"/>
        <w:spacing w:line="360" w:lineRule="auto"/>
        <w:ind w:left="360"/>
      </w:pPr>
      <m:oMathPara>
        <m:oMath>
          <m:r>
            <w:rPr>
              <w:rFonts w:ascii="Cambria Math" w:hAnsi="Cambria Math"/>
            </w:rPr>
            <w:lastRenderedPageBreak/>
            <m:t>U=-</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7496E" w:rsidRDefault="00B7496E" w:rsidP="00B7496E">
      <w:pPr>
        <w:pStyle w:val="ListParagraph"/>
        <w:spacing w:line="360" w:lineRule="auto"/>
        <w:ind w:left="360"/>
      </w:pPr>
    </w:p>
    <w:p w:rsidR="00B7496E" w:rsidRDefault="00D85F42" w:rsidP="00D83552">
      <w:pPr>
        <w:pStyle w:val="ListParagraph"/>
        <w:numPr>
          <w:ilvl w:val="0"/>
          <w:numId w:val="113"/>
        </w:numPr>
        <w:spacing w:line="360" w:lineRule="auto"/>
      </w:pPr>
      <w:r>
        <w:rPr>
          <w:u w:val="single"/>
        </w:rPr>
        <w:t xml:space="preserve">Recovering the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Pr>
          <w:u w:val="single"/>
        </w:rPr>
        <w:t xml:space="preserve"> Relation</w:t>
      </w:r>
      <w:r>
        <w:t xml:space="preserve">: </w:t>
      </w:r>
      <w:r w:rsidR="009D0A87">
        <w:t>Wrapping up, it has been shown that</w:t>
      </w:r>
    </w:p>
    <w:p w:rsidR="00B7496E" w:rsidRDefault="00B7496E" w:rsidP="00B7496E">
      <w:pPr>
        <w:pStyle w:val="ListParagraph"/>
        <w:spacing w:line="360" w:lineRule="auto"/>
        <w:ind w:left="360"/>
        <w:rPr>
          <w:u w:val="single"/>
        </w:rPr>
      </w:pPr>
    </w:p>
    <w:p w:rsidR="00B7496E" w:rsidRDefault="005D6A21"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oMath>
      </m:oMathPara>
    </w:p>
    <w:p w:rsidR="00B7496E" w:rsidRDefault="00B7496E" w:rsidP="00B7496E">
      <w:pPr>
        <w:pStyle w:val="ListParagraph"/>
        <w:spacing w:line="360" w:lineRule="auto"/>
        <w:ind w:left="360"/>
      </w:pPr>
    </w:p>
    <w:p w:rsidR="00B7496E" w:rsidRDefault="009D0A87" w:rsidP="00B7496E">
      <w:pPr>
        <w:pStyle w:val="ListParagraph"/>
        <w:spacing w:line="360" w:lineRule="auto"/>
        <w:ind w:left="360"/>
      </w:pPr>
      <w:r>
        <w:t xml:space="preserve">and as the arguments in the Albanese and Andersen strategy section (strategy III) </w:t>
      </w:r>
      <w:r w:rsidR="00385939">
        <w:t>yield</w:t>
      </w:r>
    </w:p>
    <w:p w:rsidR="00B7496E" w:rsidRDefault="00B7496E" w:rsidP="00B7496E">
      <w:pPr>
        <w:pStyle w:val="ListParagraph"/>
        <w:spacing w:line="360" w:lineRule="auto"/>
        <w:ind w:left="360"/>
      </w:pPr>
    </w:p>
    <w:p w:rsidR="00B7496E" w:rsidRDefault="005D6A21" w:rsidP="00B7496E">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B7496E" w:rsidRDefault="00B94B67" w:rsidP="00B7496E">
      <w:pPr>
        <w:pStyle w:val="ListParagraph"/>
        <w:spacing w:line="360" w:lineRule="auto"/>
        <w:ind w:left="360"/>
      </w:pPr>
      <w:r>
        <w:t>one in fact has the equality</w:t>
      </w:r>
    </w:p>
    <w:p w:rsidR="00B7496E" w:rsidRDefault="00B7496E" w:rsidP="00B7496E">
      <w:pPr>
        <w:pStyle w:val="ListParagraph"/>
        <w:spacing w:line="360" w:lineRule="auto"/>
        <w:ind w:left="360"/>
      </w:pPr>
    </w:p>
    <w:p w:rsidR="00B7496E" w:rsidRDefault="005D6A21"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D85F42" w:rsidRDefault="00B94B67" w:rsidP="00B7496E">
      <w:pPr>
        <w:pStyle w:val="ListParagraph"/>
        <w:spacing w:line="360" w:lineRule="auto"/>
        <w:ind w:left="360"/>
      </w:pPr>
      <w:r>
        <w:t>as claimed.</w:t>
      </w:r>
    </w:p>
    <w:p w:rsidR="00167872" w:rsidRDefault="00167872" w:rsidP="00167872">
      <w:pPr>
        <w:spacing w:line="360" w:lineRule="auto"/>
      </w:pPr>
    </w:p>
    <w:p w:rsidR="00167872" w:rsidRDefault="00167872" w:rsidP="00167872">
      <w:pPr>
        <w:spacing w:line="360" w:lineRule="auto"/>
      </w:pPr>
    </w:p>
    <w:p w:rsidR="00167872" w:rsidRPr="00167872" w:rsidRDefault="00167872" w:rsidP="00167872">
      <w:pPr>
        <w:spacing w:line="360" w:lineRule="auto"/>
        <w:rPr>
          <w:b/>
          <w:sz w:val="28"/>
          <w:szCs w:val="28"/>
        </w:rPr>
      </w:pPr>
      <w:r w:rsidRPr="00167872">
        <w:rPr>
          <w:b/>
          <w:sz w:val="28"/>
          <w:szCs w:val="28"/>
        </w:rPr>
        <w:t xml:space="preserve">Proof of the Statement </w:t>
      </w:r>
      <m:oMath>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IV</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III</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m:t>
            </m:r>
          </m:sub>
        </m:sSub>
      </m:oMath>
    </w:p>
    <w:p w:rsidR="00167872" w:rsidRDefault="00167872" w:rsidP="00167872">
      <w:pPr>
        <w:spacing w:line="360" w:lineRule="auto"/>
      </w:pPr>
    </w:p>
    <w:p w:rsidR="00167872" w:rsidRDefault="005D6A21" w:rsidP="00D83552">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00167872"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167872">
        <w:t xml:space="preserve">: In this section it is shown that the </w:t>
      </w:r>
      <m:oMath>
        <m:r>
          <w:rPr>
            <w:rFonts w:ascii="Cambria Math" w:hAnsi="Cambria Math"/>
          </w:rPr>
          <m:t>FCA</m:t>
        </m:r>
      </m:oMath>
      <w:r w:rsidR="00167872">
        <w:t xml:space="preserve"> from strategy </w:t>
      </w:r>
      <m:oMath>
        <m:r>
          <w:rPr>
            <w:rFonts w:ascii="Cambria Math" w:hAnsi="Cambria Math"/>
          </w:rPr>
          <m:t>IV</m:t>
        </m:r>
      </m:oMath>
      <w:r w:rsidR="00167872">
        <w:t xml:space="preserve"> is more conservative than the </w:t>
      </w:r>
      <m:oMath>
        <m:r>
          <w:rPr>
            <w:rFonts w:ascii="Cambria Math" w:hAnsi="Cambria Math"/>
          </w:rPr>
          <m:t>FCA</m:t>
        </m:r>
      </m:oMath>
      <w:r w:rsidR="00167872">
        <w:t xml:space="preserve"> from strategy I.</w:t>
      </w:r>
    </w:p>
    <w:p w:rsidR="005C206F" w:rsidRDefault="00167872" w:rsidP="00D83552">
      <w:pPr>
        <w:pStyle w:val="ListParagraph"/>
        <w:numPr>
          <w:ilvl w:val="0"/>
          <w:numId w:val="114"/>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w:t>
      </w:r>
      <w:r w:rsidR="002E6F56">
        <w:t xml:space="preserve"> From</w:t>
      </w:r>
    </w:p>
    <w:p w:rsidR="005C206F" w:rsidRDefault="005C206F" w:rsidP="005C206F">
      <w:pPr>
        <w:pStyle w:val="ListParagraph"/>
        <w:spacing w:line="360" w:lineRule="auto"/>
        <w:ind w:left="360"/>
        <w:rPr>
          <w:u w:val="single"/>
        </w:rPr>
      </w:pPr>
    </w:p>
    <w:p w:rsidR="005C206F" w:rsidRDefault="005D6A21"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r>
        <w:t>and</w:t>
      </w:r>
    </w:p>
    <w:p w:rsidR="005C206F" w:rsidRDefault="005C206F" w:rsidP="005C206F">
      <w:pPr>
        <w:pStyle w:val="ListParagraph"/>
        <w:spacing w:line="360" w:lineRule="auto"/>
        <w:ind w:left="360"/>
      </w:pPr>
    </w:p>
    <w:p w:rsidR="005C206F" w:rsidRDefault="005D6A21"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r>
        <w:t>it follows that</w:t>
      </w:r>
    </w:p>
    <w:p w:rsidR="005C206F" w:rsidRDefault="005C206F" w:rsidP="005C206F">
      <w:pPr>
        <w:pStyle w:val="ListParagraph"/>
        <w:spacing w:line="360" w:lineRule="auto"/>
        <w:ind w:left="360"/>
      </w:pPr>
    </w:p>
    <w:p w:rsidR="00167872" w:rsidRPr="005C206F" w:rsidRDefault="005D6A21" w:rsidP="005C206F">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+UCVA-FTDCVA≤</m:t>
          </m:r>
          <m:sSub>
            <m:sSubPr>
              <m:ctrlPr>
                <w:rPr>
                  <w:rFonts w:ascii="Cambria Math" w:hAnsi="Cambria Math"/>
                  <w:i/>
                </w:rPr>
              </m:ctrlPr>
            </m:sSubPr>
            <m:e>
              <m:r>
                <w:rPr>
                  <w:rFonts w:ascii="Cambria Math" w:hAnsi="Cambria Math"/>
                </w:rPr>
                <m:t>FCA</m:t>
              </m:r>
            </m:e>
            <m:sub>
              <m:r>
                <w:rPr>
                  <w:rFonts w:ascii="Cambria Math" w:hAnsi="Cambria Math"/>
                </w:rPr>
                <m:t>III</m:t>
              </m:r>
            </m:sub>
          </m:sSub>
        </m:oMath>
      </m:oMathPara>
    </w:p>
    <w:p w:rsidR="005C206F" w:rsidRDefault="005C206F" w:rsidP="005C206F">
      <w:pPr>
        <w:pStyle w:val="ListParagraph"/>
        <w:spacing w:line="360" w:lineRule="auto"/>
        <w:ind w:left="360"/>
      </w:pPr>
    </w:p>
    <w:p w:rsidR="005C206F" w:rsidRDefault="002E6F56" w:rsidP="00D83552">
      <w:pPr>
        <w:pStyle w:val="ListParagraph"/>
        <w:numPr>
          <w:ilvl w:val="0"/>
          <w:numId w:val="114"/>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 This is because</w:t>
      </w:r>
    </w:p>
    <w:p w:rsidR="005C206F" w:rsidRDefault="005C206F" w:rsidP="005C206F">
      <w:pPr>
        <w:pStyle w:val="ListParagraph"/>
        <w:spacing w:line="360" w:lineRule="auto"/>
        <w:ind w:left="360"/>
        <w:rPr>
          <w:u w:val="single"/>
        </w:rPr>
      </w:pPr>
    </w:p>
    <w:p w:rsidR="005C206F" w:rsidRDefault="002E6F56" w:rsidP="005C206F">
      <w:pPr>
        <w:pStyle w:val="ListParagraph"/>
        <w:spacing w:line="360" w:lineRule="auto"/>
        <w:ind w:left="360"/>
      </w:pPr>
      <m:oMathPara>
        <m:oMath>
          <m:r>
            <w:rPr>
              <w:rFonts w:ascii="Cambria Math" w:hAnsi="Cambria Math"/>
            </w:rPr>
            <m:t>UCVA≤FTDCVA</m:t>
          </m:r>
        </m:oMath>
      </m:oMathPara>
    </w:p>
    <w:p w:rsidR="005C206F" w:rsidRDefault="005C206F" w:rsidP="005C206F">
      <w:pPr>
        <w:pStyle w:val="ListParagraph"/>
        <w:spacing w:line="360" w:lineRule="auto"/>
        <w:ind w:left="360"/>
      </w:pPr>
    </w:p>
    <w:p w:rsidR="002E6F56" w:rsidRDefault="002E6F56" w:rsidP="005C206F">
      <w:pPr>
        <w:pStyle w:val="ListParagraph"/>
        <w:spacing w:line="360" w:lineRule="auto"/>
        <w:ind w:left="360"/>
      </w:pPr>
      <w:r>
        <w:t xml:space="preserve">due to the risk-free vs. risky discounting and the positiveness of the expected exposures. So it remains to prove that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is more conservative than </w:t>
      </w:r>
      <m:oMath>
        <m:sSub>
          <m:sSubPr>
            <m:ctrlPr>
              <w:rPr>
                <w:rFonts w:ascii="Cambria Math" w:hAnsi="Cambria Math"/>
                <w:i/>
              </w:rPr>
            </m:ctrlPr>
          </m:sSubPr>
          <m:e>
            <m:r>
              <w:rPr>
                <w:rFonts w:ascii="Cambria Math" w:hAnsi="Cambria Math"/>
              </w:rPr>
              <m:t>FCA</m:t>
            </m:r>
          </m:e>
          <m:sub>
            <m:r>
              <w:rPr>
                <w:rFonts w:ascii="Cambria Math" w:hAnsi="Cambria Math"/>
              </w:rPr>
              <m:t>I</m:t>
            </m:r>
          </m:sub>
        </m:sSub>
      </m:oMath>
      <w:r>
        <w:t>.</w:t>
      </w:r>
    </w:p>
    <w:p w:rsidR="005C206F" w:rsidRDefault="002E6F56" w:rsidP="00D83552">
      <w:pPr>
        <w:pStyle w:val="ListParagraph"/>
        <w:numPr>
          <w:ilvl w:val="0"/>
          <w:numId w:val="114"/>
        </w:numPr>
        <w:spacing w:line="360" w:lineRule="auto"/>
      </w:pPr>
      <w:r>
        <w:rPr>
          <w:u w:val="single"/>
        </w:rPr>
        <w:t>Hedge Errors I and III</w:t>
      </w:r>
      <w:r w:rsidRPr="002E6F56">
        <w:t>:</w:t>
      </w:r>
      <w:r>
        <w:t xml:space="preserve"> From Burgard/Kjaer’s strategy I and Albanese and Andersen (2014) strategy III,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hi, III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9002C2">
        <w:t xml:space="preserve">, and </w:t>
      </w:r>
      <m:oMath>
        <m:sSub>
          <m:sSubPr>
            <m:ctrlPr>
              <w:rPr>
                <w:rFonts w:ascii="Cambria Math" w:hAnsi="Cambria Math"/>
                <w:i/>
              </w:rPr>
            </m:ctrlPr>
          </m:sSubPr>
          <m:e>
            <m:r>
              <w:rPr>
                <w:rFonts w:ascii="Cambria Math" w:hAnsi="Cambria Math"/>
              </w:rPr>
              <m:t>ϵ</m:t>
            </m:r>
          </m:e>
          <m:sub>
            <m:r>
              <w:rPr>
                <w:rFonts w:ascii="Cambria Math" w:hAnsi="Cambria Math"/>
              </w:rPr>
              <m:t>h, III</m:t>
            </m:r>
          </m:sub>
        </m:sSub>
      </m:oMath>
      <w:r>
        <w:t xml:space="preserve"> for the two strategies are given by</w:t>
      </w:r>
    </w:p>
    <w:p w:rsidR="005C206F" w:rsidRDefault="005C206F" w:rsidP="005C206F">
      <w:pPr>
        <w:pStyle w:val="ListParagraph"/>
        <w:spacing w:line="360" w:lineRule="auto"/>
        <w:ind w:left="360"/>
        <w:rPr>
          <w:u w:val="single"/>
        </w:rPr>
      </w:pPr>
    </w:p>
    <w:p w:rsidR="005C206F" w:rsidRDefault="005D6A21"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5C206F" w:rsidRDefault="005D6A21"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C206F" w:rsidRDefault="005C206F" w:rsidP="005C206F">
      <w:pPr>
        <w:pStyle w:val="ListParagraph"/>
        <w:spacing w:line="360" w:lineRule="auto"/>
        <w:ind w:left="360"/>
      </w:pPr>
    </w:p>
    <w:p w:rsidR="005C206F" w:rsidRDefault="005D6A21"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2E6F56" w:rsidRPr="005C206F" w:rsidRDefault="005D6A21"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r>
                <w:rPr>
                  <w:rFonts w:ascii="Cambria Math" w:hAnsi="Cambria Math"/>
                </w:rPr>
                <m:t>V</m:t>
              </m:r>
            </m:e>
            <m:sup>
              <m:r>
                <w:rPr>
                  <w:rFonts w:ascii="Cambria Math" w:hAnsi="Cambria Math"/>
                </w:rPr>
                <m:t>+</m:t>
              </m:r>
            </m:sup>
          </m:sSup>
        </m:oMath>
      </m:oMathPara>
    </w:p>
    <w:p w:rsidR="005C206F" w:rsidRDefault="005C206F" w:rsidP="005C206F">
      <w:pPr>
        <w:pStyle w:val="ListParagraph"/>
        <w:spacing w:line="360" w:lineRule="auto"/>
        <w:ind w:left="360"/>
      </w:pPr>
    </w:p>
    <w:p w:rsidR="00D40F8B" w:rsidRDefault="003B6BD7" w:rsidP="00D83552">
      <w:pPr>
        <w:pStyle w:val="ListParagraph"/>
        <w:numPr>
          <w:ilvl w:val="0"/>
          <w:numId w:val="114"/>
        </w:numPr>
        <w:spacing w:line="360" w:lineRule="auto"/>
      </w:pPr>
      <w:r>
        <w:rPr>
          <w:u w:val="single"/>
        </w:rPr>
        <w:t>Comparison across the Hedge Errors</w:t>
      </w:r>
      <w:r w:rsidRPr="002E6F56">
        <w:t>:</w:t>
      </w:r>
      <w:r>
        <w:t xml:space="preserve"> On dropping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w:r>
        <w:t xml:space="preserve"> term for clarity</w:t>
      </w:r>
    </w:p>
    <w:p w:rsidR="00D40F8B" w:rsidRDefault="00D40F8B" w:rsidP="00D40F8B">
      <w:pPr>
        <w:pStyle w:val="ListParagraph"/>
        <w:spacing w:line="360" w:lineRule="auto"/>
        <w:ind w:left="360"/>
        <w:rPr>
          <w:u w:val="single"/>
        </w:rPr>
      </w:pPr>
    </w:p>
    <w:p w:rsidR="003B6BD7" w:rsidRPr="00D40F8B" w:rsidRDefault="005D6A21"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 0</m:t>
                  </m:r>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D40F8B" w:rsidRDefault="00020B11" w:rsidP="00D83552">
      <w:pPr>
        <w:pStyle w:val="ListParagraph"/>
        <w:numPr>
          <w:ilvl w:val="0"/>
          <w:numId w:val="114"/>
        </w:numPr>
        <w:spacing w:line="360" w:lineRule="auto"/>
      </w:pPr>
      <w:r>
        <w:rPr>
          <w:u w:val="single"/>
        </w:rPr>
        <w:t xml:space="preserve">Hedge Error </w:t>
      </w:r>
      <m:oMath>
        <m:r>
          <w:rPr>
            <w:rFonts w:ascii="Cambria Math" w:hAnsi="Cambria Math"/>
            <w:u w:val="single"/>
          </w:rPr>
          <m:t>III&gt;I</m:t>
        </m:r>
      </m:oMath>
      <w:r>
        <w:t>: From this proof it follows that</w:t>
      </w:r>
    </w:p>
    <w:p w:rsidR="00D40F8B" w:rsidRDefault="00D40F8B" w:rsidP="00D40F8B">
      <w:pPr>
        <w:pStyle w:val="ListParagraph"/>
        <w:spacing w:line="360" w:lineRule="auto"/>
        <w:ind w:left="360"/>
        <w:rPr>
          <w:u w:val="single"/>
        </w:rPr>
      </w:pPr>
    </w:p>
    <w:p w:rsidR="00D40F8B" w:rsidRDefault="005D6A21"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020B11" w:rsidRDefault="00020B11" w:rsidP="00D40F8B">
      <w:pPr>
        <w:pStyle w:val="ListParagraph"/>
        <w:spacing w:line="360" w:lineRule="auto"/>
        <w:ind w:left="360"/>
      </w:pPr>
      <w:r>
        <w:t>so the bondholder windfalls under strategy III are always greater than or equal to that of strategy I.</w:t>
      </w:r>
    </w:p>
    <w:p w:rsidR="00D40F8B" w:rsidRDefault="005D6A21" w:rsidP="00D83552">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00020B11"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020B11">
        <w:t>: By</w:t>
      </w:r>
    </w:p>
    <w:p w:rsidR="00D40F8B" w:rsidRPr="00D40F8B" w:rsidRDefault="00D40F8B" w:rsidP="00D40F8B">
      <w:pPr>
        <w:pStyle w:val="ListParagraph"/>
        <w:spacing w:line="360" w:lineRule="auto"/>
        <w:ind w:left="360"/>
        <w:rPr>
          <w:u w:val="single"/>
        </w:rPr>
      </w:pPr>
    </w:p>
    <w:p w:rsidR="00D40F8B" w:rsidRDefault="005D6A21"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D40F8B" w:rsidRDefault="00D40F8B" w:rsidP="00D40F8B">
      <w:pPr>
        <w:pStyle w:val="ListParagraph"/>
        <w:spacing w:line="360" w:lineRule="auto"/>
        <w:ind w:left="360"/>
      </w:pPr>
    </w:p>
    <w:p w:rsidR="00375834" w:rsidRDefault="00020B11" w:rsidP="00D40F8B">
      <w:pPr>
        <w:pStyle w:val="ListParagraph"/>
        <w:spacing w:line="360" w:lineRule="auto"/>
        <w:ind w:left="360"/>
      </w:pPr>
      <w:r>
        <w:t>this translates into</w:t>
      </w:r>
    </w:p>
    <w:p w:rsidR="00375834" w:rsidRDefault="00375834" w:rsidP="00D40F8B">
      <w:pPr>
        <w:pStyle w:val="ListParagraph"/>
        <w:spacing w:line="360" w:lineRule="auto"/>
        <w:ind w:left="360"/>
      </w:pPr>
    </w:p>
    <w:p w:rsidR="00375834" w:rsidRDefault="005D6A21"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375834" w:rsidRDefault="00375834" w:rsidP="00D40F8B">
      <w:pPr>
        <w:pStyle w:val="ListParagraph"/>
        <w:spacing w:line="360" w:lineRule="auto"/>
        <w:ind w:left="360"/>
      </w:pPr>
    </w:p>
    <w:p w:rsidR="00020B11" w:rsidRDefault="00020B11" w:rsidP="00D40F8B">
      <w:pPr>
        <w:pStyle w:val="ListParagraph"/>
        <w:spacing w:line="360" w:lineRule="auto"/>
        <w:ind w:left="360"/>
      </w:pPr>
      <w:r>
        <w:t>so strategy III has the highest funding costs as expected.</w:t>
      </w:r>
    </w:p>
    <w:p w:rsidR="0063410C" w:rsidRDefault="0063410C" w:rsidP="00BC2EF5">
      <w:pPr>
        <w:spacing w:line="360" w:lineRule="auto"/>
      </w:pPr>
    </w:p>
    <w:p w:rsidR="00020B11" w:rsidRDefault="00020B11" w:rsidP="00BC2EF5">
      <w:pPr>
        <w:spacing w:line="360" w:lineRule="auto"/>
      </w:pPr>
    </w:p>
    <w:p w:rsidR="00020B11" w:rsidRPr="005C206F" w:rsidRDefault="00020B11" w:rsidP="00BC2EF5">
      <w:pPr>
        <w:spacing w:line="360" w:lineRule="auto"/>
        <w:rPr>
          <w:b/>
          <w:sz w:val="28"/>
          <w:szCs w:val="28"/>
        </w:rPr>
      </w:pPr>
      <w:r w:rsidRPr="005C206F">
        <w:rPr>
          <w:b/>
          <w:sz w:val="28"/>
          <w:szCs w:val="28"/>
        </w:rPr>
        <w:t>Discussion</w:t>
      </w:r>
    </w:p>
    <w:p w:rsidR="00020B11" w:rsidRDefault="00020B11" w:rsidP="00BC2EF5">
      <w:pPr>
        <w:spacing w:line="360" w:lineRule="auto"/>
      </w:pPr>
    </w:p>
    <w:p w:rsidR="00020B11" w:rsidRDefault="00020B11" w:rsidP="00D83552">
      <w:pPr>
        <w:pStyle w:val="ListParagraph"/>
        <w:numPr>
          <w:ilvl w:val="0"/>
          <w:numId w:val="115"/>
        </w:numPr>
        <w:spacing w:line="360" w:lineRule="auto"/>
      </w:pPr>
      <w:r w:rsidRPr="005C206F">
        <w:rPr>
          <w:u w:val="single"/>
        </w:rPr>
        <w:t>Albanese/Andersen Consistent Funding Strategy</w:t>
      </w:r>
      <w:r>
        <w:t xml:space="preserve">: The aim of this chapter was to find a funding strategy that generates an economic value </w:t>
      </w:r>
      <w:r w:rsidR="005C206F">
        <w:t>to the shareholders that corresponds to the FTP price that keeps CET1 constant in the accounting methodology of Albanese and Andersen (2014).</w:t>
      </w:r>
    </w:p>
    <w:p w:rsidR="00375834" w:rsidRDefault="00E43176" w:rsidP="00D83552">
      <w:pPr>
        <w:pStyle w:val="ListParagraph"/>
        <w:numPr>
          <w:ilvl w:val="0"/>
          <w:numId w:val="115"/>
        </w:numPr>
        <w:spacing w:line="360" w:lineRule="auto"/>
      </w:pPr>
      <w:r>
        <w:rPr>
          <w:u w:val="single"/>
        </w:rPr>
        <w:t>Specification of the Funding Strategy</w:t>
      </w:r>
      <w:r w:rsidRPr="00E43176">
        <w:t>:</w:t>
      </w:r>
      <w:r>
        <w:t xml:space="preserve"> This strategy is to be found in the strategy III described by</w:t>
      </w:r>
    </w:p>
    <w:p w:rsidR="00375834" w:rsidRDefault="00375834" w:rsidP="00375834">
      <w:pPr>
        <w:pStyle w:val="ListParagraph"/>
        <w:spacing w:line="360" w:lineRule="auto"/>
        <w:ind w:left="360"/>
        <w:rPr>
          <w:u w:val="single"/>
        </w:rPr>
      </w:pPr>
    </w:p>
    <w:p w:rsidR="00375834" w:rsidRDefault="005D6A21"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5D6A21"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5D6A21"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375834" w:rsidRDefault="00375834" w:rsidP="00375834">
      <w:pPr>
        <w:pStyle w:val="ListParagraph"/>
        <w:spacing w:line="360" w:lineRule="auto"/>
        <w:ind w:left="360"/>
      </w:pPr>
    </w:p>
    <w:p w:rsidR="00375834" w:rsidRDefault="005D6A21"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5D6A21"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5D6A21"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375834" w:rsidRDefault="00375834" w:rsidP="00375834">
      <w:pPr>
        <w:pStyle w:val="ListParagraph"/>
        <w:spacing w:line="360" w:lineRule="auto"/>
        <w:ind w:left="360"/>
      </w:pPr>
    </w:p>
    <w:p w:rsidR="001A00F4" w:rsidRDefault="00E43176" w:rsidP="00375834">
      <w:pPr>
        <w:pStyle w:val="ListParagraph"/>
        <w:spacing w:line="360" w:lineRule="auto"/>
        <w:ind w:left="360"/>
      </w:pPr>
      <w:r>
        <w:t>or more precisely its refinement in</w:t>
      </w:r>
    </w:p>
    <w:p w:rsidR="001A00F4" w:rsidRDefault="001A00F4" w:rsidP="00375834">
      <w:pPr>
        <w:pStyle w:val="ListParagraph"/>
        <w:spacing w:line="360" w:lineRule="auto"/>
        <w:ind w:left="360"/>
      </w:pPr>
    </w:p>
    <w:p w:rsidR="001A00F4" w:rsidRDefault="005D6A21"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1A00F4" w:rsidRDefault="001A00F4" w:rsidP="00375834">
      <w:pPr>
        <w:pStyle w:val="ListParagraph"/>
        <w:spacing w:line="360" w:lineRule="auto"/>
        <w:ind w:left="360"/>
      </w:pPr>
    </w:p>
    <w:p w:rsidR="001A00F4" w:rsidRDefault="005D6A21"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1A00F4" w:rsidRDefault="001A00F4" w:rsidP="00375834">
      <w:pPr>
        <w:pStyle w:val="ListParagraph"/>
        <w:spacing w:line="360" w:lineRule="auto"/>
        <w:ind w:left="360"/>
      </w:pPr>
    </w:p>
    <w:p w:rsidR="001A00F4" w:rsidRDefault="005D6A21"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1A00F4" w:rsidRDefault="001A00F4" w:rsidP="00375834">
      <w:pPr>
        <w:pStyle w:val="ListParagraph"/>
        <w:spacing w:line="360" w:lineRule="auto"/>
        <w:ind w:left="360"/>
      </w:pPr>
    </w:p>
    <w:p w:rsidR="001A00F4" w:rsidRDefault="005D6A21"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1A00F4" w:rsidRDefault="001A00F4" w:rsidP="00375834">
      <w:pPr>
        <w:pStyle w:val="ListParagraph"/>
        <w:spacing w:line="360" w:lineRule="auto"/>
        <w:ind w:left="360"/>
      </w:pPr>
    </w:p>
    <w:p w:rsidR="001A00F4" w:rsidRDefault="005D6A21"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A00F4" w:rsidRDefault="001A00F4" w:rsidP="00375834">
      <w:pPr>
        <w:pStyle w:val="ListParagraph"/>
        <w:spacing w:line="360" w:lineRule="auto"/>
        <w:ind w:left="360"/>
      </w:pPr>
    </w:p>
    <w:p w:rsidR="00E43176" w:rsidRPr="001A00F4" w:rsidRDefault="005D6A21"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1A00F4" w:rsidRDefault="001A00F4" w:rsidP="00375834">
      <w:pPr>
        <w:pStyle w:val="ListParagraph"/>
        <w:spacing w:line="360" w:lineRule="auto"/>
        <w:ind w:left="360"/>
      </w:pPr>
    </w:p>
    <w:p w:rsidR="00700516" w:rsidRDefault="00700516" w:rsidP="00D83552">
      <w:pPr>
        <w:pStyle w:val="ListParagraph"/>
        <w:numPr>
          <w:ilvl w:val="0"/>
          <w:numId w:val="115"/>
        </w:numPr>
        <w:spacing w:line="360" w:lineRule="auto"/>
      </w:pPr>
      <w:r>
        <w:rPr>
          <w:u w:val="single"/>
        </w:rPr>
        <w:t>Characteristics of the Third Strategy</w:t>
      </w:r>
      <w:r>
        <w:t>: Being able to specify such a funding strategy means that the proposed accounting methodology is consistent with no double counting or missing terms. The main qualitative difference between this strategy and the others discussed in the section on funding strategies is that in this strategy the positive and the negative cash positions of the funding set are not treated symmetrically.</w:t>
      </w:r>
    </w:p>
    <w:p w:rsidR="00700516" w:rsidRDefault="00700516" w:rsidP="00D83552">
      <w:pPr>
        <w:pStyle w:val="ListParagraph"/>
        <w:numPr>
          <w:ilvl w:val="0"/>
          <w:numId w:val="115"/>
        </w:numPr>
        <w:spacing w:line="360" w:lineRule="auto"/>
      </w:pPr>
      <w:r>
        <w:rPr>
          <w:u w:val="single"/>
        </w:rPr>
        <w:t>No Rehypothecation of Funding Flows</w:t>
      </w:r>
      <w:r w:rsidRPr="00700516">
        <w:t>:</w:t>
      </w:r>
      <w:r>
        <w:t xml:space="preserve"> IN particular, apart from the adjustments themselves, a positive cash position (i.e., when </w:t>
      </w:r>
      <m:oMath>
        <m:r>
          <w:rPr>
            <w:rFonts w:ascii="Cambria Math" w:hAnsi="Cambria Math"/>
          </w:rPr>
          <m:t>V</m:t>
        </m:r>
      </m:oMath>
      <w:r>
        <w:t xml:space="preserve"> is negative) is not re-hypothecated across the funding sets, but re-invested at the risk free rate even if the issuer as a whole is funding negative.</w:t>
      </w:r>
    </w:p>
    <w:p w:rsidR="00700516" w:rsidRDefault="00700516" w:rsidP="00D83552">
      <w:pPr>
        <w:pStyle w:val="ListParagraph"/>
        <w:numPr>
          <w:ilvl w:val="0"/>
          <w:numId w:val="115"/>
        </w:numPr>
        <w:spacing w:line="360" w:lineRule="auto"/>
      </w:pPr>
      <w:r>
        <w:rPr>
          <w:u w:val="single"/>
        </w:rPr>
        <w:t>Rehypothecation across Multiple Funding Sets</w:t>
      </w:r>
      <w:r w:rsidRPr="00700516">
        <w:t>:</w:t>
      </w:r>
      <w:r>
        <w:t xml:space="preserve"> By contrast, in strategies I and II net positive cash in a funding set still earns funding rates and this is achieved by re-purchasing the issuer’s own bonds, or equivalently, by recycling it for the issuer’s other funding needs through an FTP or an economic funding process, typically involving a central treasury department.</w:t>
      </w:r>
    </w:p>
    <w:p w:rsidR="00700516" w:rsidRDefault="00700516" w:rsidP="00D83552">
      <w:pPr>
        <w:pStyle w:val="ListParagraph"/>
        <w:numPr>
          <w:ilvl w:val="0"/>
          <w:numId w:val="115"/>
        </w:numPr>
        <w:spacing w:line="360" w:lineRule="auto"/>
      </w:pPr>
      <w:r>
        <w:rPr>
          <w:u w:val="single"/>
        </w:rPr>
        <w:t>Operational Challenges with Strategy III</w:t>
      </w:r>
      <w:r w:rsidRPr="00700516">
        <w:t>:</w:t>
      </w:r>
      <w:r>
        <w:t xml:space="preserve"> Under strategy III the issuer becomes uncompetitive in selling derivatives that are asset like to the counter party out of a cash rich funding set as it cannot compensate the counter party for the credit risk exposure that it takes with respect to the issuer – this is because with strategy III the issuer cannot monetize DVA as a funding benefit in this funding set.</w:t>
      </w:r>
    </w:p>
    <w:p w:rsidR="00EC7CE4" w:rsidRDefault="00EC7CE4" w:rsidP="00D83552">
      <w:pPr>
        <w:pStyle w:val="ListParagraph"/>
        <w:numPr>
          <w:ilvl w:val="0"/>
          <w:numId w:val="115"/>
        </w:numPr>
        <w:spacing w:line="360" w:lineRule="auto"/>
      </w:pPr>
      <w:r>
        <w:rPr>
          <w:u w:val="single"/>
        </w:rPr>
        <w:t>Potential Arbitrage with III/IV</w:t>
      </w:r>
      <w:r w:rsidRPr="00EC7CE4">
        <w:t>:</w:t>
      </w:r>
      <w:r>
        <w:t xml:space="preserve"> It should also be noted that with the CET1 neutral pricing policy proposed by Albanese and Andersen (2014) an issuer with separate funding sets within the same netting set becomes arbitrageable, i.e., when one funding set is significantly </w:t>
      </w:r>
      <w:r>
        <w:lastRenderedPageBreak/>
        <w:t>cash positive and the other is significantly cash negative, then a default-free counter party buying a derivative asset from a cash negative funding set gets a price that is lowered by the funding benefit and then could sell it back to the cash positive funding set where it is not charged the corresponding funding cost.</w:t>
      </w:r>
    </w:p>
    <w:p w:rsidR="00EC7CE4" w:rsidRDefault="00EC7CE4" w:rsidP="00D83552">
      <w:pPr>
        <w:pStyle w:val="ListParagraph"/>
        <w:numPr>
          <w:ilvl w:val="0"/>
          <w:numId w:val="115"/>
        </w:numPr>
        <w:spacing w:line="360" w:lineRule="auto"/>
      </w:pPr>
      <w:r>
        <w:rPr>
          <w:u w:val="single"/>
        </w:rPr>
        <w:t>Elimination of the Bank Credit Risk</w:t>
      </w:r>
      <w:r w:rsidRPr="00EC7CE4">
        <w:t>:</w:t>
      </w:r>
      <w:r>
        <w:t xml:space="preserve"> The counter party does not pick up the credit risk to the issuer in this case since the two derivatives are back-to-back and close-outs net in the same netting set.</w:t>
      </w:r>
    </w:p>
    <w:p w:rsidR="00EC7CE4" w:rsidRDefault="00EC7CE4" w:rsidP="00D83552">
      <w:pPr>
        <w:pStyle w:val="ListParagraph"/>
        <w:numPr>
          <w:ilvl w:val="0"/>
          <w:numId w:val="115"/>
        </w:numPr>
        <w:spacing w:line="360" w:lineRule="auto"/>
      </w:pPr>
      <w:r>
        <w:rPr>
          <w:u w:val="single"/>
        </w:rPr>
        <w:t>Funding Sets Spanning across Netting Sets</w:t>
      </w:r>
      <w:r w:rsidRPr="00EC7CE4">
        <w:t>:</w:t>
      </w:r>
      <w:r>
        <w:t xml:space="preserve"> Thus, the funding sets must span at least the netting nets, and, with internal transfer processes in place, could span the whole of the issuer business. In this case strategy III converges to strategy I as long as the issuer as a whole is funding negative, i.e., which is typically the case for a bank.</w:t>
      </w:r>
    </w:p>
    <w:p w:rsidR="00EC7CE4" w:rsidRDefault="00EC7CE4" w:rsidP="00D83552">
      <w:pPr>
        <w:pStyle w:val="ListParagraph"/>
        <w:numPr>
          <w:ilvl w:val="0"/>
          <w:numId w:val="115"/>
        </w:numPr>
        <w:spacing w:line="360" w:lineRule="auto"/>
      </w:pPr>
      <w:r>
        <w:rPr>
          <w:u w:val="single"/>
        </w:rPr>
        <w:t>Albanese/Andersen Methodology on I</w:t>
      </w:r>
      <w:r w:rsidRPr="00EC7CE4">
        <w:t>:</w:t>
      </w:r>
      <w:r>
        <w:t xml:space="preserve"> What happens if the accounting is based on smaller funding units, and the accounting methodology of Albanese and Andersen (2014) is applied but one of the funding strategies I or II is followed? In this case, if the issuer is able to achieve the CET1 neutral price, and then follows the funding strategy I (as an example), then the issuer achieves an economic value to the shareholders that is </w:t>
      </w:r>
      <w:r w:rsidR="005107B5">
        <w:t>higher than what was originally accounted for.</w:t>
      </w:r>
    </w:p>
    <w:p w:rsidR="003705EC" w:rsidRDefault="003705EC" w:rsidP="00D83552">
      <w:pPr>
        <w:pStyle w:val="ListParagraph"/>
        <w:numPr>
          <w:ilvl w:val="0"/>
          <w:numId w:val="115"/>
        </w:numPr>
        <w:spacing w:line="360" w:lineRule="auto"/>
      </w:pPr>
      <w:r>
        <w:rPr>
          <w:u w:val="single"/>
        </w:rPr>
        <w:t>The Three Different Economic Values</w:t>
      </w:r>
      <w:r w:rsidRPr="003705EC">
        <w:t>:</w:t>
      </w:r>
      <w:r>
        <w:t xml:space="preserve"> In this case, three different economic values can be found – the accounting fair value </w:t>
      </w:r>
      <m:oMath>
        <m:sSub>
          <m:sSubPr>
            <m:ctrlPr>
              <w:rPr>
                <w:rFonts w:ascii="Cambria Math" w:hAnsi="Cambria Math"/>
                <w:i/>
              </w:rPr>
            </m:ctrlPr>
          </m:sSubPr>
          <m:e>
            <m:r>
              <w:rPr>
                <w:rFonts w:ascii="Cambria Math" w:hAnsi="Cambria Math"/>
              </w:rPr>
              <m:t>V</m:t>
            </m:r>
          </m:e>
          <m:sub>
            <m:r>
              <w:rPr>
                <w:rFonts w:ascii="Cambria Math" w:hAnsi="Cambria Math"/>
              </w:rPr>
              <m:t>FV</m:t>
            </m:r>
          </m:sub>
        </m:sSub>
      </m:oMath>
      <w:r>
        <w:t xml:space="preserve"> which is the value to the shareholder and the bond holder combined, the accounting value that makes the derivative CET1 neutral in the accounting methodology of Albanese and Andersen (2014), and the economic value </w:t>
      </w:r>
      <m:oMath>
        <m:acc>
          <m:accPr>
            <m:ctrlPr>
              <w:rPr>
                <w:rFonts w:ascii="Cambria Math" w:hAnsi="Cambria Math"/>
                <w:i/>
              </w:rPr>
            </m:ctrlPr>
          </m:accPr>
          <m:e>
            <m:r>
              <w:rPr>
                <w:rFonts w:ascii="Cambria Math" w:hAnsi="Cambria Math"/>
              </w:rPr>
              <m:t>V</m:t>
            </m:r>
          </m:e>
        </m:acc>
      </m:oMath>
      <w:r>
        <w:t xml:space="preserve"> that corresponds to the funding strategy employed.</w:t>
      </w:r>
    </w:p>
    <w:p w:rsidR="003705EC" w:rsidRDefault="003705EC" w:rsidP="00D83552">
      <w:pPr>
        <w:pStyle w:val="ListParagraph"/>
        <w:numPr>
          <w:ilvl w:val="0"/>
          <w:numId w:val="115"/>
        </w:numPr>
        <w:spacing w:line="360" w:lineRule="auto"/>
      </w:pPr>
      <w:r>
        <w:rPr>
          <w:u w:val="single"/>
        </w:rPr>
        <w:t>The Negative CET1 Impact Scenario</w:t>
      </w:r>
      <w:r w:rsidRPr="003705EC">
        <w:t>:</w:t>
      </w:r>
      <w:r>
        <w:t xml:space="preserve"> Note that if the issuer charges the economic value </w:t>
      </w:r>
      <m:oMath>
        <m:acc>
          <m:accPr>
            <m:ctrlPr>
              <w:rPr>
                <w:rFonts w:ascii="Cambria Math" w:hAnsi="Cambria Math"/>
                <w:i/>
              </w:rPr>
            </m:ctrlPr>
          </m:accPr>
          <m:e>
            <m:r>
              <w:rPr>
                <w:rFonts w:ascii="Cambria Math" w:hAnsi="Cambria Math"/>
              </w:rPr>
              <m:t>V</m:t>
            </m:r>
          </m:e>
        </m:acc>
      </m:oMath>
      <w:r>
        <w:t xml:space="preserve"> then it will see a negative CET1 impact under this accounting methodology, but recover it over the life of the trade.</w:t>
      </w:r>
    </w:p>
    <w:p w:rsidR="003705EC" w:rsidRDefault="003705EC" w:rsidP="00D83552">
      <w:pPr>
        <w:pStyle w:val="ListParagraph"/>
        <w:numPr>
          <w:ilvl w:val="0"/>
          <w:numId w:val="115"/>
        </w:numPr>
        <w:spacing w:line="360" w:lineRule="auto"/>
      </w:pPr>
      <w:r>
        <w:rPr>
          <w:u w:val="single"/>
        </w:rPr>
        <w:t>Funding Set Positive Cash Recycling</w:t>
      </w:r>
      <w:r w:rsidRPr="003705EC">
        <w:t>:</w:t>
      </w:r>
      <w:r>
        <w:t xml:space="preserve"> Ideally the accounting methodology could be modified such that the benefit of recycling positive cash balances of a given funding set to other businesses is accounted for so that the CET1 risk-neutral price is aligned with the economic value that can be achieved by recycling the funding through internal FTP processes.</w:t>
      </w:r>
    </w:p>
    <w:p w:rsidR="00020B11" w:rsidRDefault="00020B11" w:rsidP="00BC2EF5">
      <w:pPr>
        <w:spacing w:line="360" w:lineRule="auto"/>
      </w:pPr>
    </w:p>
    <w:p w:rsidR="004F1450" w:rsidRDefault="004F1450" w:rsidP="00BC2EF5">
      <w:pPr>
        <w:spacing w:line="360" w:lineRule="auto"/>
      </w:pPr>
    </w:p>
    <w:p w:rsidR="007C472E" w:rsidRPr="007C472E" w:rsidRDefault="007C472E" w:rsidP="00BC2EF5">
      <w:pPr>
        <w:spacing w:line="360" w:lineRule="auto"/>
        <w:rPr>
          <w:b/>
          <w:sz w:val="28"/>
          <w:szCs w:val="28"/>
        </w:rPr>
      </w:pPr>
      <w:r w:rsidRPr="007C472E">
        <w:rPr>
          <w:b/>
          <w:sz w:val="28"/>
          <w:szCs w:val="28"/>
        </w:rPr>
        <w:t>References</w:t>
      </w:r>
    </w:p>
    <w:p w:rsidR="007C472E" w:rsidRPr="00283121" w:rsidRDefault="007C472E" w:rsidP="00BC2EF5">
      <w:pPr>
        <w:spacing w:line="360" w:lineRule="auto"/>
      </w:pPr>
    </w:p>
    <w:p w:rsidR="007C472E" w:rsidRDefault="007C472E" w:rsidP="007C472E">
      <w:pPr>
        <w:pStyle w:val="Footer"/>
        <w:numPr>
          <w:ilvl w:val="0"/>
          <w:numId w:val="1"/>
        </w:numPr>
        <w:tabs>
          <w:tab w:val="clear" w:pos="4320"/>
          <w:tab w:val="clear" w:pos="8640"/>
        </w:tabs>
        <w:spacing w:line="360" w:lineRule="auto"/>
      </w:pPr>
      <w:r>
        <w:t xml:space="preserve">Albanese, C., and L. Andersen (2014): </w:t>
      </w:r>
      <w:hyperlink r:id="rId71" w:history="1">
        <w:r>
          <w:rPr>
            <w:rStyle w:val="Hyperlink"/>
          </w:rPr>
          <w:t>Accounting for OTC Derivatives: Funding Adjustments and the Re-Hypothecation Option</w:t>
        </w:r>
      </w:hyperlink>
      <w:r>
        <w:t xml:space="preserve"> </w:t>
      </w:r>
      <w:r>
        <w:rPr>
          <w:b/>
          <w:bCs/>
        </w:rPr>
        <w:t>eSSRN</w:t>
      </w:r>
      <w:r>
        <w:t>.</w:t>
      </w:r>
    </w:p>
    <w:p w:rsidR="00BC2EF5" w:rsidRDefault="00BC2EF5" w:rsidP="00BC2EF5">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(3)</w:t>
      </w:r>
      <w:r>
        <w:t xml:space="preserve"> 1-19.</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(2011b): In the Balance </w:t>
      </w:r>
      <w:r w:rsidRPr="004F0A0D">
        <w:rPr>
          <w:i/>
        </w:rPr>
        <w:t>Risk</w:t>
      </w:r>
      <w:r w:rsidRPr="004D1639">
        <w:t xml:space="preserve"> </w:t>
      </w:r>
      <w:r w:rsidR="004D1639" w:rsidRPr="004D1639">
        <w:rPr>
          <w:b/>
        </w:rPr>
        <w:t>24 (11</w:t>
      </w:r>
      <w:r w:rsidRPr="004D1639">
        <w:rPr>
          <w:b/>
        </w:rPr>
        <w:t>)</w:t>
      </w:r>
      <w:r w:rsidRPr="004D1639">
        <w:t xml:space="preserve"> 72-75.</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(2011c): </w:t>
      </w:r>
      <w:hyperlink r:id="rId72" w:history="1">
        <w:r w:rsidRPr="004D1639">
          <w:rPr>
            <w:rStyle w:val="Hyperlink"/>
          </w:rPr>
          <w:t>In the Balance</w:t>
        </w:r>
      </w:hyperlink>
      <w:r w:rsidRPr="004D1639">
        <w:t xml:space="preserve"> </w:t>
      </w:r>
      <w:r w:rsidRPr="004D1639">
        <w:rPr>
          <w:b/>
          <w:bCs/>
        </w:rPr>
        <w:t>eSSRN</w:t>
      </w:r>
      <w:r w:rsidRPr="004D1639">
        <w:t>.</w:t>
      </w:r>
    </w:p>
    <w:p w:rsidR="00BC2EF5" w:rsidRPr="004F0A0D" w:rsidRDefault="00BC2EF5" w:rsidP="00BC2EF5">
      <w:pPr>
        <w:pStyle w:val="Footer"/>
        <w:numPr>
          <w:ilvl w:val="0"/>
          <w:numId w:val="1"/>
        </w:numPr>
        <w:tabs>
          <w:tab w:val="clear" w:pos="4320"/>
          <w:tab w:val="clear" w:pos="8640"/>
        </w:tabs>
        <w:spacing w:line="360" w:lineRule="auto"/>
      </w:pPr>
      <w:r w:rsidRPr="004F0A0D">
        <w:t>Burgard, C., and M. Kjaer (2013): Funding Costs, Funding Strategies</w:t>
      </w:r>
      <w:r w:rsidR="004F0A0D" w:rsidRPr="004F0A0D">
        <w:rPr>
          <w:i/>
        </w:rPr>
        <w:t xml:space="preserve"> Risk</w:t>
      </w:r>
      <w:r w:rsidRPr="004F0A0D">
        <w:t xml:space="preserve"> </w:t>
      </w:r>
      <w:r w:rsidR="004F0A0D" w:rsidRPr="004D1639">
        <w:rPr>
          <w:b/>
        </w:rPr>
        <w:t>2</w:t>
      </w:r>
      <w:r w:rsidR="004F0A0D">
        <w:rPr>
          <w:b/>
        </w:rPr>
        <w:t>6</w:t>
      </w:r>
      <w:r w:rsidR="004F0A0D" w:rsidRPr="004D1639">
        <w:rPr>
          <w:b/>
        </w:rPr>
        <w:t xml:space="preserve"> (1</w:t>
      </w:r>
      <w:r w:rsidR="004F0A0D">
        <w:rPr>
          <w:b/>
        </w:rPr>
        <w:t>2</w:t>
      </w:r>
      <w:r w:rsidR="004F0A0D" w:rsidRPr="004D1639">
        <w:rPr>
          <w:b/>
        </w:rPr>
        <w:t>)</w:t>
      </w:r>
      <w:r w:rsidR="004F0A0D" w:rsidRPr="004D1639">
        <w:t xml:space="preserve"> </w:t>
      </w:r>
      <w:r w:rsidRPr="004F0A0D">
        <w:t>82-87.</w:t>
      </w:r>
    </w:p>
    <w:p w:rsidR="004F0A0D" w:rsidRDefault="004F0A0D" w:rsidP="004F0A0D">
      <w:pPr>
        <w:pStyle w:val="Footer"/>
        <w:numPr>
          <w:ilvl w:val="0"/>
          <w:numId w:val="1"/>
        </w:numPr>
        <w:tabs>
          <w:tab w:val="clear" w:pos="4320"/>
          <w:tab w:val="clear" w:pos="8640"/>
        </w:tabs>
        <w:spacing w:line="360" w:lineRule="auto"/>
      </w:pPr>
      <w:r>
        <w:t xml:space="preserve">Burgard, C., and M. Kjaer (2015): </w:t>
      </w:r>
      <w:hyperlink r:id="rId73" w:history="1">
        <w:r>
          <w:rPr>
            <w:rStyle w:val="Hyperlink"/>
          </w:rPr>
          <w:t>Derivatives Funding, Netting and Accounting</w:t>
        </w:r>
      </w:hyperlink>
      <w:r>
        <w:t xml:space="preserve"> </w:t>
      </w:r>
      <w:r>
        <w:rPr>
          <w:b/>
          <w:bCs/>
        </w:rPr>
        <w:t>eSSRN</w:t>
      </w:r>
      <w:r>
        <w:t>.</w:t>
      </w:r>
    </w:p>
    <w:p w:rsidR="00541000" w:rsidRDefault="00541000" w:rsidP="00541000">
      <w:pPr>
        <w:pStyle w:val="Footer"/>
        <w:numPr>
          <w:ilvl w:val="0"/>
          <w:numId w:val="1"/>
        </w:numPr>
        <w:tabs>
          <w:tab w:val="clear" w:pos="4320"/>
          <w:tab w:val="clear" w:pos="8640"/>
        </w:tabs>
        <w:spacing w:line="360" w:lineRule="auto"/>
      </w:pPr>
      <w:r>
        <w:t>Hull</w:t>
      </w:r>
      <w:r w:rsidRPr="004F0A0D">
        <w:t xml:space="preserve">, </w:t>
      </w:r>
      <w:r>
        <w:t>J</w:t>
      </w:r>
      <w:r w:rsidRPr="004F0A0D">
        <w:t xml:space="preserve">., and </w:t>
      </w:r>
      <w:r>
        <w:t>A</w:t>
      </w:r>
      <w:r w:rsidRPr="004F0A0D">
        <w:t xml:space="preserve">. </w:t>
      </w:r>
      <w:r>
        <w:t>White</w:t>
      </w:r>
      <w:r w:rsidRPr="004F0A0D">
        <w:t xml:space="preserve"> (201</w:t>
      </w:r>
      <w:r>
        <w:t>2</w:t>
      </w:r>
      <w:r w:rsidRPr="004F0A0D">
        <w:t xml:space="preserve">): </w:t>
      </w:r>
      <w:r>
        <w:t>The FVA Debate</w:t>
      </w:r>
      <w:r w:rsidRPr="004F0A0D">
        <w:rPr>
          <w:i/>
        </w:rPr>
        <w:t xml:space="preserve"> Risk</w:t>
      </w:r>
      <w:r w:rsidRPr="004F0A0D">
        <w:t xml:space="preserve"> </w:t>
      </w:r>
      <w:r w:rsidRPr="004D1639">
        <w:rPr>
          <w:b/>
        </w:rPr>
        <w:t>2</w:t>
      </w:r>
      <w:r>
        <w:rPr>
          <w:b/>
        </w:rPr>
        <w:t>5</w:t>
      </w:r>
      <w:r w:rsidRPr="004D1639">
        <w:rPr>
          <w:b/>
        </w:rPr>
        <w:t xml:space="preserve"> (</w:t>
      </w:r>
      <w:r>
        <w:rPr>
          <w:b/>
        </w:rPr>
        <w:t>8</w:t>
      </w:r>
      <w:r w:rsidRPr="004D1639">
        <w:rPr>
          <w:b/>
        </w:rPr>
        <w:t>)</w:t>
      </w:r>
      <w:r w:rsidRPr="004D1639">
        <w:t xml:space="preserve"> </w:t>
      </w:r>
      <w:r w:rsidRPr="004F0A0D">
        <w:t>8</w:t>
      </w:r>
      <w:r>
        <w:t>3</w:t>
      </w:r>
      <w:r w:rsidRPr="004F0A0D">
        <w:t>-8</w:t>
      </w:r>
      <w:r>
        <w:t>5</w:t>
      </w:r>
      <w:r w:rsidRPr="004F0A0D">
        <w:t>.</w:t>
      </w:r>
    </w:p>
    <w:p w:rsidR="00BB28E3" w:rsidRPr="004F0A0D" w:rsidRDefault="00BB28E3" w:rsidP="00541000">
      <w:pPr>
        <w:pStyle w:val="Footer"/>
        <w:numPr>
          <w:ilvl w:val="0"/>
          <w:numId w:val="1"/>
        </w:numPr>
        <w:tabs>
          <w:tab w:val="clear" w:pos="4320"/>
          <w:tab w:val="clear" w:pos="8640"/>
        </w:tabs>
        <w:spacing w:line="360" w:lineRule="auto"/>
      </w:pPr>
      <w:r>
        <w:t xml:space="preserve">Labordere, P. H. (2012): Cutting CVA’s Complexity </w:t>
      </w:r>
      <w:r>
        <w:rPr>
          <w:i/>
        </w:rPr>
        <w:t>Risk</w:t>
      </w:r>
      <w:r>
        <w:t xml:space="preserve"> </w:t>
      </w:r>
      <w:r>
        <w:rPr>
          <w:b/>
        </w:rPr>
        <w:t>25 (7)</w:t>
      </w:r>
      <w:r>
        <w:t xml:space="preserve"> 67-74.</w:t>
      </w:r>
    </w:p>
    <w:p w:rsidR="00541000" w:rsidRDefault="00541000" w:rsidP="00541000">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w:t>
      </w:r>
      <w:r w:rsidR="00BB28E3">
        <w:rPr>
          <w:b/>
          <w:bCs/>
        </w:rPr>
        <w:t>22 (2)</w:t>
      </w:r>
      <w:r w:rsidR="00BB28E3">
        <w:rPr>
          <w:bCs/>
        </w:rPr>
        <w:t xml:space="preserve"> </w:t>
      </w:r>
      <w:r>
        <w:rPr>
          <w:bCs/>
        </w:rPr>
        <w:t>97-102.</w:t>
      </w:r>
    </w:p>
    <w:p w:rsidR="00CB178E" w:rsidRDefault="00CB178E" w:rsidP="00CB178E">
      <w:pPr>
        <w:spacing w:line="360" w:lineRule="auto"/>
      </w:pPr>
    </w:p>
    <w:sectPr w:rsidR="00CB178E">
      <w:headerReference w:type="default" r:id="rId74"/>
      <w:footerReference w:type="default" r:id="rId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6A21" w:rsidRDefault="005D6A21" w:rsidP="008F462D">
      <w:r>
        <w:separator/>
      </w:r>
    </w:p>
  </w:endnote>
  <w:endnote w:type="continuationSeparator" w:id="0">
    <w:p w:rsidR="005D6A21" w:rsidRDefault="005D6A21"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6088755"/>
      <w:docPartObj>
        <w:docPartGallery w:val="Page Numbers (Bottom of Page)"/>
        <w:docPartUnique/>
      </w:docPartObj>
    </w:sdtPr>
    <w:sdtEndPr>
      <w:rPr>
        <w:noProof/>
      </w:rPr>
    </w:sdtEndPr>
    <w:sdtContent>
      <w:p w:rsidR="00F55C37" w:rsidRDefault="00F55C37">
        <w:pPr>
          <w:pStyle w:val="Footer"/>
          <w:jc w:val="center"/>
        </w:pPr>
        <w:r>
          <w:fldChar w:fldCharType="begin"/>
        </w:r>
        <w:r>
          <w:instrText xml:space="preserve"> PAGE   \* MERGEFORMAT </w:instrText>
        </w:r>
        <w:r>
          <w:fldChar w:fldCharType="separate"/>
        </w:r>
        <w:r w:rsidR="00B909FF">
          <w:rPr>
            <w:noProof/>
          </w:rPr>
          <w:t>1</w:t>
        </w:r>
        <w:r>
          <w:rPr>
            <w:noProof/>
          </w:rPr>
          <w:fldChar w:fldCharType="end"/>
        </w:r>
      </w:p>
    </w:sdtContent>
  </w:sdt>
  <w:p w:rsidR="00F55C37" w:rsidRDefault="00F55C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6A21" w:rsidRDefault="005D6A21" w:rsidP="008F462D">
      <w:r>
        <w:separator/>
      </w:r>
    </w:p>
  </w:footnote>
  <w:footnote w:type="continuationSeparator" w:id="0">
    <w:p w:rsidR="005D6A21" w:rsidRDefault="005D6A21" w:rsidP="008F46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C37" w:rsidRDefault="00F55C37">
    <w:pPr>
      <w:pStyle w:val="Header"/>
    </w:pPr>
    <w:r>
      <w:rPr>
        <w:noProof/>
      </w:rPr>
      <w:drawing>
        <wp:inline distT="0" distB="0" distL="0" distR="0" wp14:anchorId="5BA30223" wp14:editId="1795CFA2">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rsidR="00F55C37" w:rsidRDefault="00F55C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5538"/>
    <w:multiLevelType w:val="hybridMultilevel"/>
    <w:tmpl w:val="F9CEE9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345808"/>
    <w:multiLevelType w:val="hybridMultilevel"/>
    <w:tmpl w:val="DD58FC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3285332"/>
    <w:multiLevelType w:val="hybridMultilevel"/>
    <w:tmpl w:val="F0A813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4AA2219"/>
    <w:multiLevelType w:val="hybridMultilevel"/>
    <w:tmpl w:val="AA76F5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50D6FEA"/>
    <w:multiLevelType w:val="hybridMultilevel"/>
    <w:tmpl w:val="1DDE27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5635C49"/>
    <w:multiLevelType w:val="hybridMultilevel"/>
    <w:tmpl w:val="43A69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5E67DC4"/>
    <w:multiLevelType w:val="hybridMultilevel"/>
    <w:tmpl w:val="470C18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6A227BB"/>
    <w:multiLevelType w:val="hybridMultilevel"/>
    <w:tmpl w:val="CD9EDF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72672AF"/>
    <w:multiLevelType w:val="hybridMultilevel"/>
    <w:tmpl w:val="C4C69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7712323"/>
    <w:multiLevelType w:val="hybridMultilevel"/>
    <w:tmpl w:val="37D69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8252DE4"/>
    <w:multiLevelType w:val="hybridMultilevel"/>
    <w:tmpl w:val="617076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8CF2D65"/>
    <w:multiLevelType w:val="hybridMultilevel"/>
    <w:tmpl w:val="53402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94C68BE"/>
    <w:multiLevelType w:val="hybridMultilevel"/>
    <w:tmpl w:val="0256D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9535CD0"/>
    <w:multiLevelType w:val="hybridMultilevel"/>
    <w:tmpl w:val="BF4ECB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099013F6"/>
    <w:multiLevelType w:val="hybridMultilevel"/>
    <w:tmpl w:val="D9FC45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9EE3015"/>
    <w:multiLevelType w:val="hybridMultilevel"/>
    <w:tmpl w:val="CA48B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09FC2961"/>
    <w:multiLevelType w:val="hybridMultilevel"/>
    <w:tmpl w:val="4A5C12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0A341591"/>
    <w:multiLevelType w:val="hybridMultilevel"/>
    <w:tmpl w:val="3DF2F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0A4F28B9"/>
    <w:multiLevelType w:val="hybridMultilevel"/>
    <w:tmpl w:val="1BA6F0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0ABD2B92"/>
    <w:multiLevelType w:val="hybridMultilevel"/>
    <w:tmpl w:val="6FB4ED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0B43354C"/>
    <w:multiLevelType w:val="hybridMultilevel"/>
    <w:tmpl w:val="D8A614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0B590B60"/>
    <w:multiLevelType w:val="hybridMultilevel"/>
    <w:tmpl w:val="28743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0B6675E0"/>
    <w:multiLevelType w:val="hybridMultilevel"/>
    <w:tmpl w:val="ACACF4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0DBB7750"/>
    <w:multiLevelType w:val="hybridMultilevel"/>
    <w:tmpl w:val="F7DA0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0E0B61AE"/>
    <w:multiLevelType w:val="hybridMultilevel"/>
    <w:tmpl w:val="440842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0EEA56C2"/>
    <w:multiLevelType w:val="hybridMultilevel"/>
    <w:tmpl w:val="241CA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0F961C4D"/>
    <w:multiLevelType w:val="hybridMultilevel"/>
    <w:tmpl w:val="C2B299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10123D20"/>
    <w:multiLevelType w:val="hybridMultilevel"/>
    <w:tmpl w:val="5E123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111E5AA4"/>
    <w:multiLevelType w:val="hybridMultilevel"/>
    <w:tmpl w:val="25C6A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113962DB"/>
    <w:multiLevelType w:val="hybridMultilevel"/>
    <w:tmpl w:val="78CC8F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11977362"/>
    <w:multiLevelType w:val="hybridMultilevel"/>
    <w:tmpl w:val="95426F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1292213C"/>
    <w:multiLevelType w:val="hybridMultilevel"/>
    <w:tmpl w:val="521C7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130F573B"/>
    <w:multiLevelType w:val="hybridMultilevel"/>
    <w:tmpl w:val="691022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14D140F7"/>
    <w:multiLevelType w:val="hybridMultilevel"/>
    <w:tmpl w:val="28F0C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15713CE1"/>
    <w:multiLevelType w:val="hybridMultilevel"/>
    <w:tmpl w:val="954C11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16056053"/>
    <w:multiLevelType w:val="hybridMultilevel"/>
    <w:tmpl w:val="13B80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16641D37"/>
    <w:multiLevelType w:val="hybridMultilevel"/>
    <w:tmpl w:val="EE0271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16670FA1"/>
    <w:multiLevelType w:val="hybridMultilevel"/>
    <w:tmpl w:val="96002A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18774777"/>
    <w:multiLevelType w:val="hybridMultilevel"/>
    <w:tmpl w:val="B336B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19C42F0F"/>
    <w:multiLevelType w:val="hybridMultilevel"/>
    <w:tmpl w:val="396A28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1A0B5041"/>
    <w:multiLevelType w:val="hybridMultilevel"/>
    <w:tmpl w:val="02FA6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1A74189C"/>
    <w:multiLevelType w:val="hybridMultilevel"/>
    <w:tmpl w:val="7C3CA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1A9E4A76"/>
    <w:multiLevelType w:val="hybridMultilevel"/>
    <w:tmpl w:val="B6985E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1AE910C0"/>
    <w:multiLevelType w:val="hybridMultilevel"/>
    <w:tmpl w:val="A96AB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nsid w:val="1B50738C"/>
    <w:multiLevelType w:val="hybridMultilevel"/>
    <w:tmpl w:val="2766E7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1BDC7927"/>
    <w:multiLevelType w:val="hybridMultilevel"/>
    <w:tmpl w:val="458C92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1BFE2913"/>
    <w:multiLevelType w:val="hybridMultilevel"/>
    <w:tmpl w:val="CFF0BE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1C397442"/>
    <w:multiLevelType w:val="hybridMultilevel"/>
    <w:tmpl w:val="A7B8D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1C575E6E"/>
    <w:multiLevelType w:val="hybridMultilevel"/>
    <w:tmpl w:val="CD586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7">
    <w:nsid w:val="1D03447D"/>
    <w:multiLevelType w:val="hybridMultilevel"/>
    <w:tmpl w:val="47A05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1D876CE4"/>
    <w:multiLevelType w:val="hybridMultilevel"/>
    <w:tmpl w:val="59464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nsid w:val="1E8214CE"/>
    <w:multiLevelType w:val="hybridMultilevel"/>
    <w:tmpl w:val="91F4D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1EFE37DA"/>
    <w:multiLevelType w:val="hybridMultilevel"/>
    <w:tmpl w:val="AF0618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1F1B048F"/>
    <w:multiLevelType w:val="hybridMultilevel"/>
    <w:tmpl w:val="11BEE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1FDD28F5"/>
    <w:multiLevelType w:val="hybridMultilevel"/>
    <w:tmpl w:val="14823A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20AB08D9"/>
    <w:multiLevelType w:val="hybridMultilevel"/>
    <w:tmpl w:val="5394A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20B97F3F"/>
    <w:multiLevelType w:val="hybridMultilevel"/>
    <w:tmpl w:val="B81EE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21630DC8"/>
    <w:multiLevelType w:val="hybridMultilevel"/>
    <w:tmpl w:val="D5DA95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21C52B00"/>
    <w:multiLevelType w:val="hybridMultilevel"/>
    <w:tmpl w:val="D98C7E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21CA0A08"/>
    <w:multiLevelType w:val="hybridMultilevel"/>
    <w:tmpl w:val="2E90C5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21E92F02"/>
    <w:multiLevelType w:val="hybridMultilevel"/>
    <w:tmpl w:val="16F4DB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22344D07"/>
    <w:multiLevelType w:val="hybridMultilevel"/>
    <w:tmpl w:val="7C403E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226B2D1C"/>
    <w:multiLevelType w:val="hybridMultilevel"/>
    <w:tmpl w:val="934C6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226F2D6B"/>
    <w:multiLevelType w:val="hybridMultilevel"/>
    <w:tmpl w:val="2D882C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22CC1A93"/>
    <w:multiLevelType w:val="hybridMultilevel"/>
    <w:tmpl w:val="69AA14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23C16007"/>
    <w:multiLevelType w:val="hybridMultilevel"/>
    <w:tmpl w:val="70EC6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23EA7CFD"/>
    <w:multiLevelType w:val="hybridMultilevel"/>
    <w:tmpl w:val="842C3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24742698"/>
    <w:multiLevelType w:val="hybridMultilevel"/>
    <w:tmpl w:val="903615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25695BBD"/>
    <w:multiLevelType w:val="hybridMultilevel"/>
    <w:tmpl w:val="56427E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25C40627"/>
    <w:multiLevelType w:val="hybridMultilevel"/>
    <w:tmpl w:val="4ECC61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25EC7BBA"/>
    <w:multiLevelType w:val="hybridMultilevel"/>
    <w:tmpl w:val="C3EE00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27871359"/>
    <w:multiLevelType w:val="hybridMultilevel"/>
    <w:tmpl w:val="CB7612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3">
    <w:nsid w:val="28DF25AD"/>
    <w:multiLevelType w:val="hybridMultilevel"/>
    <w:tmpl w:val="27CAEA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2AC45DD3"/>
    <w:multiLevelType w:val="hybridMultilevel"/>
    <w:tmpl w:val="689E0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2B883434"/>
    <w:multiLevelType w:val="hybridMultilevel"/>
    <w:tmpl w:val="D6B2E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2E401AC1"/>
    <w:multiLevelType w:val="hybridMultilevel"/>
    <w:tmpl w:val="483C89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2F231A0B"/>
    <w:multiLevelType w:val="hybridMultilevel"/>
    <w:tmpl w:val="7864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2FC30C9A"/>
    <w:multiLevelType w:val="hybridMultilevel"/>
    <w:tmpl w:val="5630EB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32A36193"/>
    <w:multiLevelType w:val="hybridMultilevel"/>
    <w:tmpl w:val="FD7415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32CD21DF"/>
    <w:multiLevelType w:val="hybridMultilevel"/>
    <w:tmpl w:val="4C049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33FE4F11"/>
    <w:multiLevelType w:val="hybridMultilevel"/>
    <w:tmpl w:val="0B1ED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35E672C2"/>
    <w:multiLevelType w:val="hybridMultilevel"/>
    <w:tmpl w:val="B8981E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35F3645D"/>
    <w:multiLevelType w:val="hybridMultilevel"/>
    <w:tmpl w:val="43CA2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36A34A60"/>
    <w:multiLevelType w:val="hybridMultilevel"/>
    <w:tmpl w:val="1C30E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36BB73FF"/>
    <w:multiLevelType w:val="hybridMultilevel"/>
    <w:tmpl w:val="94AE5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36F80A29"/>
    <w:multiLevelType w:val="hybridMultilevel"/>
    <w:tmpl w:val="0722F4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370C7AE6"/>
    <w:multiLevelType w:val="hybridMultilevel"/>
    <w:tmpl w:val="22EC2D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37F160C0"/>
    <w:multiLevelType w:val="hybridMultilevel"/>
    <w:tmpl w:val="0428E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399F57DB"/>
    <w:multiLevelType w:val="hybridMultilevel"/>
    <w:tmpl w:val="52ECBF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3B306120"/>
    <w:multiLevelType w:val="hybridMultilevel"/>
    <w:tmpl w:val="92E6ED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3B3B0EA3"/>
    <w:multiLevelType w:val="hybridMultilevel"/>
    <w:tmpl w:val="59BA9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3C374F16"/>
    <w:multiLevelType w:val="hybridMultilevel"/>
    <w:tmpl w:val="6A7A49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3DD3133E"/>
    <w:multiLevelType w:val="hybridMultilevel"/>
    <w:tmpl w:val="A7B6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nsid w:val="3E9D3DB5"/>
    <w:multiLevelType w:val="hybridMultilevel"/>
    <w:tmpl w:val="29A61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3F722D82"/>
    <w:multiLevelType w:val="hybridMultilevel"/>
    <w:tmpl w:val="22BCD8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3FBC6377"/>
    <w:multiLevelType w:val="hybridMultilevel"/>
    <w:tmpl w:val="FD44B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3FC64E3D"/>
    <w:multiLevelType w:val="hybridMultilevel"/>
    <w:tmpl w:val="70BC49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3FFE38FE"/>
    <w:multiLevelType w:val="hybridMultilevel"/>
    <w:tmpl w:val="28E42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401766B4"/>
    <w:multiLevelType w:val="hybridMultilevel"/>
    <w:tmpl w:val="9F3C63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40AA7B9A"/>
    <w:multiLevelType w:val="hybridMultilevel"/>
    <w:tmpl w:val="2610B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4166318A"/>
    <w:multiLevelType w:val="hybridMultilevel"/>
    <w:tmpl w:val="6D8E3F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423A607A"/>
    <w:multiLevelType w:val="hybridMultilevel"/>
    <w:tmpl w:val="FB6CF0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42AE52F9"/>
    <w:multiLevelType w:val="hybridMultilevel"/>
    <w:tmpl w:val="D428B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7">
    <w:nsid w:val="42E52032"/>
    <w:multiLevelType w:val="hybridMultilevel"/>
    <w:tmpl w:val="BAAA8E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42E765F3"/>
    <w:multiLevelType w:val="hybridMultilevel"/>
    <w:tmpl w:val="D80606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44105021"/>
    <w:multiLevelType w:val="hybridMultilevel"/>
    <w:tmpl w:val="8F3C6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444D74DB"/>
    <w:multiLevelType w:val="hybridMultilevel"/>
    <w:tmpl w:val="9E8CE9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4485617D"/>
    <w:multiLevelType w:val="hybridMultilevel"/>
    <w:tmpl w:val="7ACC62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nsid w:val="4531199D"/>
    <w:multiLevelType w:val="hybridMultilevel"/>
    <w:tmpl w:val="8BEC63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454F3006"/>
    <w:multiLevelType w:val="hybridMultilevel"/>
    <w:tmpl w:val="457C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457016DD"/>
    <w:multiLevelType w:val="hybridMultilevel"/>
    <w:tmpl w:val="9AAE8D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nsid w:val="459660DF"/>
    <w:multiLevelType w:val="hybridMultilevel"/>
    <w:tmpl w:val="10B67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nsid w:val="45E23E30"/>
    <w:multiLevelType w:val="hybridMultilevel"/>
    <w:tmpl w:val="FB42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nsid w:val="469633BB"/>
    <w:multiLevelType w:val="hybridMultilevel"/>
    <w:tmpl w:val="9154C7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nsid w:val="470B29E9"/>
    <w:multiLevelType w:val="hybridMultilevel"/>
    <w:tmpl w:val="0122D3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nsid w:val="471652A2"/>
    <w:multiLevelType w:val="hybridMultilevel"/>
    <w:tmpl w:val="9258A5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nsid w:val="482E638B"/>
    <w:multiLevelType w:val="hybridMultilevel"/>
    <w:tmpl w:val="4BE64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nsid w:val="48E36809"/>
    <w:multiLevelType w:val="hybridMultilevel"/>
    <w:tmpl w:val="E0C210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nsid w:val="4AF862A8"/>
    <w:multiLevelType w:val="hybridMultilevel"/>
    <w:tmpl w:val="3E327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nsid w:val="4C2151A4"/>
    <w:multiLevelType w:val="hybridMultilevel"/>
    <w:tmpl w:val="86CE2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nsid w:val="4C872476"/>
    <w:multiLevelType w:val="hybridMultilevel"/>
    <w:tmpl w:val="D960C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7">
    <w:nsid w:val="4CF64C32"/>
    <w:multiLevelType w:val="hybridMultilevel"/>
    <w:tmpl w:val="A3C2E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nsid w:val="4E665C0A"/>
    <w:multiLevelType w:val="hybridMultilevel"/>
    <w:tmpl w:val="72165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nsid w:val="4EC2279E"/>
    <w:multiLevelType w:val="hybridMultilevel"/>
    <w:tmpl w:val="FCA853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0">
    <w:nsid w:val="4EE91525"/>
    <w:multiLevelType w:val="hybridMultilevel"/>
    <w:tmpl w:val="BD503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nsid w:val="4FC8625C"/>
    <w:multiLevelType w:val="hybridMultilevel"/>
    <w:tmpl w:val="64EE90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nsid w:val="512536FB"/>
    <w:multiLevelType w:val="hybridMultilevel"/>
    <w:tmpl w:val="078A9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nsid w:val="52344CF9"/>
    <w:multiLevelType w:val="hybridMultilevel"/>
    <w:tmpl w:val="6B925A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nsid w:val="524031A1"/>
    <w:multiLevelType w:val="hybridMultilevel"/>
    <w:tmpl w:val="588C5F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nsid w:val="537D31EE"/>
    <w:multiLevelType w:val="hybridMultilevel"/>
    <w:tmpl w:val="5AEEE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nsid w:val="53B91668"/>
    <w:multiLevelType w:val="hybridMultilevel"/>
    <w:tmpl w:val="9EF8F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nsid w:val="53F234F1"/>
    <w:multiLevelType w:val="hybridMultilevel"/>
    <w:tmpl w:val="7F36D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nsid w:val="5448181F"/>
    <w:multiLevelType w:val="hybridMultilevel"/>
    <w:tmpl w:val="3EA6BB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nsid w:val="54D10C0E"/>
    <w:multiLevelType w:val="hybridMultilevel"/>
    <w:tmpl w:val="3CD05D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nsid w:val="54F62E9E"/>
    <w:multiLevelType w:val="hybridMultilevel"/>
    <w:tmpl w:val="4588E8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nsid w:val="55D05C6D"/>
    <w:multiLevelType w:val="hybridMultilevel"/>
    <w:tmpl w:val="33DCF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nsid w:val="574C34F4"/>
    <w:multiLevelType w:val="hybridMultilevel"/>
    <w:tmpl w:val="83722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nsid w:val="58224E39"/>
    <w:multiLevelType w:val="hybridMultilevel"/>
    <w:tmpl w:val="48CE94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nsid w:val="591F41EE"/>
    <w:multiLevelType w:val="hybridMultilevel"/>
    <w:tmpl w:val="0CE4FA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nsid w:val="59F850DD"/>
    <w:multiLevelType w:val="hybridMultilevel"/>
    <w:tmpl w:val="DDD48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nsid w:val="5A3F5B92"/>
    <w:multiLevelType w:val="hybridMultilevel"/>
    <w:tmpl w:val="7C180E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nsid w:val="5A8B616D"/>
    <w:multiLevelType w:val="hybridMultilevel"/>
    <w:tmpl w:val="B3649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nsid w:val="5C5E45EB"/>
    <w:multiLevelType w:val="hybridMultilevel"/>
    <w:tmpl w:val="FB94E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3">
    <w:nsid w:val="5D8C03A2"/>
    <w:multiLevelType w:val="hybridMultilevel"/>
    <w:tmpl w:val="21ECB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nsid w:val="5DAA0A46"/>
    <w:multiLevelType w:val="hybridMultilevel"/>
    <w:tmpl w:val="B66A7A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nsid w:val="5F0A425A"/>
    <w:multiLevelType w:val="hybridMultilevel"/>
    <w:tmpl w:val="4D261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nsid w:val="5F6D3621"/>
    <w:multiLevelType w:val="hybridMultilevel"/>
    <w:tmpl w:val="BE30C8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nsid w:val="5FF62FE0"/>
    <w:multiLevelType w:val="hybridMultilevel"/>
    <w:tmpl w:val="D23C0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nsid w:val="60D04EA1"/>
    <w:multiLevelType w:val="hybridMultilevel"/>
    <w:tmpl w:val="80F0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nsid w:val="621760FC"/>
    <w:multiLevelType w:val="hybridMultilevel"/>
    <w:tmpl w:val="D324A2B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nsid w:val="63895D8F"/>
    <w:multiLevelType w:val="hybridMultilevel"/>
    <w:tmpl w:val="E00A8A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nsid w:val="63A73D43"/>
    <w:multiLevelType w:val="hybridMultilevel"/>
    <w:tmpl w:val="C756CB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nsid w:val="63E760DF"/>
    <w:multiLevelType w:val="hybridMultilevel"/>
    <w:tmpl w:val="2A86E3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nsid w:val="67476023"/>
    <w:multiLevelType w:val="hybridMultilevel"/>
    <w:tmpl w:val="C7AED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7">
    <w:nsid w:val="682B0533"/>
    <w:multiLevelType w:val="hybridMultilevel"/>
    <w:tmpl w:val="4232F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nsid w:val="684B528D"/>
    <w:multiLevelType w:val="hybridMultilevel"/>
    <w:tmpl w:val="77544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nsid w:val="6ABC6BC5"/>
    <w:multiLevelType w:val="hybridMultilevel"/>
    <w:tmpl w:val="8154F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nsid w:val="6ADD6C41"/>
    <w:multiLevelType w:val="hybridMultilevel"/>
    <w:tmpl w:val="A118A4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nsid w:val="6C0D7E47"/>
    <w:multiLevelType w:val="hybridMultilevel"/>
    <w:tmpl w:val="6DEA2D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nsid w:val="6C9F6415"/>
    <w:multiLevelType w:val="hybridMultilevel"/>
    <w:tmpl w:val="A92CAD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nsid w:val="6D651900"/>
    <w:multiLevelType w:val="hybridMultilevel"/>
    <w:tmpl w:val="72745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nsid w:val="6E4A5CB7"/>
    <w:multiLevelType w:val="hybridMultilevel"/>
    <w:tmpl w:val="5D782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nsid w:val="6E7E1CB6"/>
    <w:multiLevelType w:val="hybridMultilevel"/>
    <w:tmpl w:val="462C5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nsid w:val="6E8B0FBA"/>
    <w:multiLevelType w:val="hybridMultilevel"/>
    <w:tmpl w:val="059220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nsid w:val="700B13BE"/>
    <w:multiLevelType w:val="hybridMultilevel"/>
    <w:tmpl w:val="0EE6FE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nsid w:val="71982710"/>
    <w:multiLevelType w:val="hybridMultilevel"/>
    <w:tmpl w:val="87C6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nsid w:val="71A81195"/>
    <w:multiLevelType w:val="hybridMultilevel"/>
    <w:tmpl w:val="4B2ADB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nsid w:val="71EE145F"/>
    <w:multiLevelType w:val="hybridMultilevel"/>
    <w:tmpl w:val="72DA7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nsid w:val="72F91711"/>
    <w:multiLevelType w:val="hybridMultilevel"/>
    <w:tmpl w:val="49C69A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nsid w:val="73013A5C"/>
    <w:multiLevelType w:val="hybridMultilevel"/>
    <w:tmpl w:val="3EEC4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nsid w:val="73C06D53"/>
    <w:multiLevelType w:val="hybridMultilevel"/>
    <w:tmpl w:val="8D2E8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nsid w:val="75371EAF"/>
    <w:multiLevelType w:val="hybridMultilevel"/>
    <w:tmpl w:val="A76C6F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nsid w:val="77857348"/>
    <w:multiLevelType w:val="hybridMultilevel"/>
    <w:tmpl w:val="BEAA01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nsid w:val="77AD04E3"/>
    <w:multiLevelType w:val="hybridMultilevel"/>
    <w:tmpl w:val="3D82F6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nsid w:val="78FE783B"/>
    <w:multiLevelType w:val="hybridMultilevel"/>
    <w:tmpl w:val="6F80EC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nsid w:val="7A3E6150"/>
    <w:multiLevelType w:val="hybridMultilevel"/>
    <w:tmpl w:val="1F9ACD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nsid w:val="7A8F1052"/>
    <w:multiLevelType w:val="hybridMultilevel"/>
    <w:tmpl w:val="9E6C15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nsid w:val="7ADD4EFB"/>
    <w:multiLevelType w:val="hybridMultilevel"/>
    <w:tmpl w:val="5F1409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5">
    <w:nsid w:val="7BEF5701"/>
    <w:multiLevelType w:val="hybridMultilevel"/>
    <w:tmpl w:val="1270C3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nsid w:val="7C911BBC"/>
    <w:multiLevelType w:val="hybridMultilevel"/>
    <w:tmpl w:val="7332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nsid w:val="7C966AFD"/>
    <w:multiLevelType w:val="hybridMultilevel"/>
    <w:tmpl w:val="7EF628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nsid w:val="7CBA3A0E"/>
    <w:multiLevelType w:val="hybridMultilevel"/>
    <w:tmpl w:val="E20C7C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nsid w:val="7D6E4518"/>
    <w:multiLevelType w:val="hybridMultilevel"/>
    <w:tmpl w:val="E23A4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nsid w:val="7E10099D"/>
    <w:multiLevelType w:val="hybridMultilevel"/>
    <w:tmpl w:val="103076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nsid w:val="7FB75361"/>
    <w:multiLevelType w:val="hybridMultilevel"/>
    <w:tmpl w:val="E758A2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nsid w:val="7FDE4F2C"/>
    <w:multiLevelType w:val="hybridMultilevel"/>
    <w:tmpl w:val="2684F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9"/>
  </w:num>
  <w:num w:numId="2">
    <w:abstractNumId w:val="82"/>
  </w:num>
  <w:num w:numId="3">
    <w:abstractNumId w:val="176"/>
  </w:num>
  <w:num w:numId="4">
    <w:abstractNumId w:val="59"/>
  </w:num>
  <w:num w:numId="5">
    <w:abstractNumId w:val="56"/>
  </w:num>
  <w:num w:numId="6">
    <w:abstractNumId w:val="136"/>
  </w:num>
  <w:num w:numId="7">
    <w:abstractNumId w:val="204"/>
  </w:num>
  <w:num w:numId="8">
    <w:abstractNumId w:val="162"/>
  </w:num>
  <w:num w:numId="9">
    <w:abstractNumId w:val="160"/>
  </w:num>
  <w:num w:numId="10">
    <w:abstractNumId w:val="65"/>
  </w:num>
  <w:num w:numId="11">
    <w:abstractNumId w:val="87"/>
  </w:num>
  <w:num w:numId="12">
    <w:abstractNumId w:val="3"/>
  </w:num>
  <w:num w:numId="13">
    <w:abstractNumId w:val="9"/>
  </w:num>
  <w:num w:numId="14">
    <w:abstractNumId w:val="169"/>
  </w:num>
  <w:num w:numId="15">
    <w:abstractNumId w:val="93"/>
  </w:num>
  <w:num w:numId="16">
    <w:abstractNumId w:val="174"/>
  </w:num>
  <w:num w:numId="17">
    <w:abstractNumId w:val="27"/>
  </w:num>
  <w:num w:numId="18">
    <w:abstractNumId w:val="194"/>
  </w:num>
  <w:num w:numId="19">
    <w:abstractNumId w:val="181"/>
  </w:num>
  <w:num w:numId="20">
    <w:abstractNumId w:val="55"/>
  </w:num>
  <w:num w:numId="21">
    <w:abstractNumId w:val="13"/>
  </w:num>
  <w:num w:numId="22">
    <w:abstractNumId w:val="133"/>
  </w:num>
  <w:num w:numId="23">
    <w:abstractNumId w:val="196"/>
  </w:num>
  <w:num w:numId="24">
    <w:abstractNumId w:val="26"/>
  </w:num>
  <w:num w:numId="25">
    <w:abstractNumId w:val="159"/>
  </w:num>
  <w:num w:numId="26">
    <w:abstractNumId w:val="148"/>
  </w:num>
  <w:num w:numId="27">
    <w:abstractNumId w:val="130"/>
  </w:num>
  <w:num w:numId="28">
    <w:abstractNumId w:val="40"/>
  </w:num>
  <w:num w:numId="29">
    <w:abstractNumId w:val="129"/>
  </w:num>
  <w:num w:numId="30">
    <w:abstractNumId w:val="20"/>
  </w:num>
  <w:num w:numId="31">
    <w:abstractNumId w:val="189"/>
  </w:num>
  <w:num w:numId="32">
    <w:abstractNumId w:val="53"/>
  </w:num>
  <w:num w:numId="33">
    <w:abstractNumId w:val="195"/>
  </w:num>
  <w:num w:numId="34">
    <w:abstractNumId w:val="14"/>
  </w:num>
  <w:num w:numId="35">
    <w:abstractNumId w:val="6"/>
  </w:num>
  <w:num w:numId="36">
    <w:abstractNumId w:val="123"/>
  </w:num>
  <w:num w:numId="37">
    <w:abstractNumId w:val="145"/>
  </w:num>
  <w:num w:numId="38">
    <w:abstractNumId w:val="57"/>
  </w:num>
  <w:num w:numId="39">
    <w:abstractNumId w:val="193"/>
  </w:num>
  <w:num w:numId="40">
    <w:abstractNumId w:val="30"/>
  </w:num>
  <w:num w:numId="41">
    <w:abstractNumId w:val="28"/>
  </w:num>
  <w:num w:numId="42">
    <w:abstractNumId w:val="33"/>
  </w:num>
  <w:num w:numId="43">
    <w:abstractNumId w:val="132"/>
  </w:num>
  <w:num w:numId="44">
    <w:abstractNumId w:val="141"/>
  </w:num>
  <w:num w:numId="45">
    <w:abstractNumId w:val="62"/>
  </w:num>
  <w:num w:numId="46">
    <w:abstractNumId w:val="66"/>
  </w:num>
  <w:num w:numId="47">
    <w:abstractNumId w:val="142"/>
  </w:num>
  <w:num w:numId="48">
    <w:abstractNumId w:val="175"/>
  </w:num>
  <w:num w:numId="49">
    <w:abstractNumId w:val="64"/>
  </w:num>
  <w:num w:numId="50">
    <w:abstractNumId w:val="167"/>
  </w:num>
  <w:num w:numId="51">
    <w:abstractNumId w:val="109"/>
  </w:num>
  <w:num w:numId="52">
    <w:abstractNumId w:val="209"/>
  </w:num>
  <w:num w:numId="53">
    <w:abstractNumId w:val="168"/>
  </w:num>
  <w:num w:numId="54">
    <w:abstractNumId w:val="107"/>
  </w:num>
  <w:num w:numId="55">
    <w:abstractNumId w:val="102"/>
  </w:num>
  <w:num w:numId="56">
    <w:abstractNumId w:val="178"/>
  </w:num>
  <w:num w:numId="57">
    <w:abstractNumId w:val="36"/>
  </w:num>
  <w:num w:numId="58">
    <w:abstractNumId w:val="137"/>
  </w:num>
  <w:num w:numId="59">
    <w:abstractNumId w:val="96"/>
  </w:num>
  <w:num w:numId="60">
    <w:abstractNumId w:val="92"/>
  </w:num>
  <w:num w:numId="61">
    <w:abstractNumId w:val="98"/>
  </w:num>
  <w:num w:numId="62">
    <w:abstractNumId w:val="126"/>
  </w:num>
  <w:num w:numId="63">
    <w:abstractNumId w:val="24"/>
  </w:num>
  <w:num w:numId="64">
    <w:abstractNumId w:val="146"/>
  </w:num>
  <w:num w:numId="65">
    <w:abstractNumId w:val="119"/>
  </w:num>
  <w:num w:numId="66">
    <w:abstractNumId w:val="190"/>
  </w:num>
  <w:num w:numId="67">
    <w:abstractNumId w:val="15"/>
  </w:num>
  <w:num w:numId="68">
    <w:abstractNumId w:val="78"/>
  </w:num>
  <w:num w:numId="69">
    <w:abstractNumId w:val="5"/>
  </w:num>
  <w:num w:numId="70">
    <w:abstractNumId w:val="85"/>
  </w:num>
  <w:num w:numId="71">
    <w:abstractNumId w:val="44"/>
  </w:num>
  <w:num w:numId="72">
    <w:abstractNumId w:val="32"/>
  </w:num>
  <w:num w:numId="73">
    <w:abstractNumId w:val="67"/>
  </w:num>
  <w:num w:numId="74">
    <w:abstractNumId w:val="114"/>
  </w:num>
  <w:num w:numId="75">
    <w:abstractNumId w:val="192"/>
  </w:num>
  <w:num w:numId="76">
    <w:abstractNumId w:val="61"/>
  </w:num>
  <w:num w:numId="77">
    <w:abstractNumId w:val="17"/>
  </w:num>
  <w:num w:numId="78">
    <w:abstractNumId w:val="104"/>
  </w:num>
  <w:num w:numId="79">
    <w:abstractNumId w:val="54"/>
  </w:num>
  <w:num w:numId="80">
    <w:abstractNumId w:val="134"/>
  </w:num>
  <w:num w:numId="81">
    <w:abstractNumId w:val="84"/>
  </w:num>
  <w:num w:numId="82">
    <w:abstractNumId w:val="86"/>
  </w:num>
  <w:num w:numId="83">
    <w:abstractNumId w:val="58"/>
  </w:num>
  <w:num w:numId="84">
    <w:abstractNumId w:val="45"/>
  </w:num>
  <w:num w:numId="85">
    <w:abstractNumId w:val="97"/>
  </w:num>
  <w:num w:numId="86">
    <w:abstractNumId w:val="29"/>
  </w:num>
  <w:num w:numId="87">
    <w:abstractNumId w:val="151"/>
  </w:num>
  <w:num w:numId="88">
    <w:abstractNumId w:val="106"/>
  </w:num>
  <w:num w:numId="89">
    <w:abstractNumId w:val="191"/>
  </w:num>
  <w:num w:numId="90">
    <w:abstractNumId w:val="161"/>
  </w:num>
  <w:num w:numId="91">
    <w:abstractNumId w:val="35"/>
  </w:num>
  <w:num w:numId="92">
    <w:abstractNumId w:val="19"/>
  </w:num>
  <w:num w:numId="93">
    <w:abstractNumId w:val="60"/>
  </w:num>
  <w:num w:numId="94">
    <w:abstractNumId w:val="140"/>
  </w:num>
  <w:num w:numId="95">
    <w:abstractNumId w:val="187"/>
  </w:num>
  <w:num w:numId="96">
    <w:abstractNumId w:val="23"/>
  </w:num>
  <w:num w:numId="97">
    <w:abstractNumId w:val="147"/>
  </w:num>
  <w:num w:numId="98">
    <w:abstractNumId w:val="18"/>
  </w:num>
  <w:num w:numId="99">
    <w:abstractNumId w:val="152"/>
  </w:num>
  <w:num w:numId="100">
    <w:abstractNumId w:val="138"/>
  </w:num>
  <w:num w:numId="101">
    <w:abstractNumId w:val="155"/>
  </w:num>
  <w:num w:numId="102">
    <w:abstractNumId w:val="198"/>
  </w:num>
  <w:num w:numId="103">
    <w:abstractNumId w:val="38"/>
  </w:num>
  <w:num w:numId="104">
    <w:abstractNumId w:val="172"/>
  </w:num>
  <w:num w:numId="105">
    <w:abstractNumId w:val="76"/>
  </w:num>
  <w:num w:numId="106">
    <w:abstractNumId w:val="0"/>
  </w:num>
  <w:num w:numId="107">
    <w:abstractNumId w:val="12"/>
  </w:num>
  <w:num w:numId="108">
    <w:abstractNumId w:val="150"/>
  </w:num>
  <w:num w:numId="109">
    <w:abstractNumId w:val="83"/>
  </w:num>
  <w:num w:numId="110">
    <w:abstractNumId w:val="90"/>
  </w:num>
  <w:num w:numId="111">
    <w:abstractNumId w:val="77"/>
  </w:num>
  <w:num w:numId="112">
    <w:abstractNumId w:val="149"/>
  </w:num>
  <w:num w:numId="113">
    <w:abstractNumId w:val="21"/>
  </w:num>
  <w:num w:numId="114">
    <w:abstractNumId w:val="185"/>
  </w:num>
  <w:num w:numId="115">
    <w:abstractNumId w:val="94"/>
  </w:num>
  <w:num w:numId="116">
    <w:abstractNumId w:val="153"/>
  </w:num>
  <w:num w:numId="117">
    <w:abstractNumId w:val="203"/>
  </w:num>
  <w:num w:numId="118">
    <w:abstractNumId w:val="120"/>
  </w:num>
  <w:num w:numId="119">
    <w:abstractNumId w:val="49"/>
  </w:num>
  <w:num w:numId="120">
    <w:abstractNumId w:val="89"/>
  </w:num>
  <w:num w:numId="121">
    <w:abstractNumId w:val="135"/>
  </w:num>
  <w:num w:numId="122">
    <w:abstractNumId w:val="105"/>
  </w:num>
  <w:num w:numId="123">
    <w:abstractNumId w:val="206"/>
  </w:num>
  <w:num w:numId="124">
    <w:abstractNumId w:val="95"/>
  </w:num>
  <w:num w:numId="125">
    <w:abstractNumId w:val="101"/>
  </w:num>
  <w:num w:numId="126">
    <w:abstractNumId w:val="1"/>
  </w:num>
  <w:num w:numId="127">
    <w:abstractNumId w:val="99"/>
  </w:num>
  <w:num w:numId="128">
    <w:abstractNumId w:val="71"/>
  </w:num>
  <w:num w:numId="129">
    <w:abstractNumId w:val="131"/>
  </w:num>
  <w:num w:numId="130">
    <w:abstractNumId w:val="127"/>
  </w:num>
  <w:num w:numId="131">
    <w:abstractNumId w:val="34"/>
  </w:num>
  <w:num w:numId="132">
    <w:abstractNumId w:val="79"/>
  </w:num>
  <w:num w:numId="133">
    <w:abstractNumId w:val="188"/>
  </w:num>
  <w:num w:numId="134">
    <w:abstractNumId w:val="207"/>
  </w:num>
  <w:num w:numId="135">
    <w:abstractNumId w:val="112"/>
  </w:num>
  <w:num w:numId="136">
    <w:abstractNumId w:val="113"/>
  </w:num>
  <w:num w:numId="137">
    <w:abstractNumId w:val="16"/>
  </w:num>
  <w:num w:numId="138">
    <w:abstractNumId w:val="50"/>
  </w:num>
  <w:num w:numId="139">
    <w:abstractNumId w:val="156"/>
  </w:num>
  <w:num w:numId="140">
    <w:abstractNumId w:val="208"/>
  </w:num>
  <w:num w:numId="141">
    <w:abstractNumId w:val="124"/>
  </w:num>
  <w:num w:numId="142">
    <w:abstractNumId w:val="164"/>
  </w:num>
  <w:num w:numId="143">
    <w:abstractNumId w:val="211"/>
  </w:num>
  <w:num w:numId="144">
    <w:abstractNumId w:val="88"/>
  </w:num>
  <w:num w:numId="145">
    <w:abstractNumId w:val="157"/>
  </w:num>
  <w:num w:numId="146">
    <w:abstractNumId w:val="25"/>
  </w:num>
  <w:num w:numId="147">
    <w:abstractNumId w:val="10"/>
  </w:num>
  <w:num w:numId="148">
    <w:abstractNumId w:val="165"/>
  </w:num>
  <w:num w:numId="149">
    <w:abstractNumId w:val="200"/>
  </w:num>
  <w:num w:numId="150">
    <w:abstractNumId w:val="183"/>
  </w:num>
  <w:num w:numId="151">
    <w:abstractNumId w:val="51"/>
  </w:num>
  <w:num w:numId="152">
    <w:abstractNumId w:val="73"/>
  </w:num>
  <w:num w:numId="153">
    <w:abstractNumId w:val="182"/>
  </w:num>
  <w:num w:numId="154">
    <w:abstractNumId w:val="8"/>
  </w:num>
  <w:num w:numId="155">
    <w:abstractNumId w:val="2"/>
  </w:num>
  <w:num w:numId="156">
    <w:abstractNumId w:val="91"/>
  </w:num>
  <w:num w:numId="157">
    <w:abstractNumId w:val="144"/>
  </w:num>
  <w:num w:numId="158">
    <w:abstractNumId w:val="143"/>
  </w:num>
  <w:num w:numId="159">
    <w:abstractNumId w:val="43"/>
  </w:num>
  <w:num w:numId="160">
    <w:abstractNumId w:val="72"/>
  </w:num>
  <w:num w:numId="161">
    <w:abstractNumId w:val="177"/>
  </w:num>
  <w:num w:numId="162">
    <w:abstractNumId w:val="69"/>
  </w:num>
  <w:num w:numId="163">
    <w:abstractNumId w:val="100"/>
  </w:num>
  <w:num w:numId="164">
    <w:abstractNumId w:val="154"/>
  </w:num>
  <w:num w:numId="165">
    <w:abstractNumId w:val="4"/>
  </w:num>
  <w:num w:numId="166">
    <w:abstractNumId w:val="7"/>
  </w:num>
  <w:num w:numId="167">
    <w:abstractNumId w:val="116"/>
  </w:num>
  <w:num w:numId="168">
    <w:abstractNumId w:val="179"/>
  </w:num>
  <w:num w:numId="169">
    <w:abstractNumId w:val="166"/>
  </w:num>
  <w:num w:numId="170">
    <w:abstractNumId w:val="205"/>
  </w:num>
  <w:num w:numId="171">
    <w:abstractNumId w:val="108"/>
  </w:num>
  <w:num w:numId="172">
    <w:abstractNumId w:val="46"/>
  </w:num>
  <w:num w:numId="173">
    <w:abstractNumId w:val="22"/>
  </w:num>
  <w:num w:numId="174">
    <w:abstractNumId w:val="128"/>
  </w:num>
  <w:num w:numId="175">
    <w:abstractNumId w:val="212"/>
  </w:num>
  <w:num w:numId="176">
    <w:abstractNumId w:val="103"/>
  </w:num>
  <w:num w:numId="177">
    <w:abstractNumId w:val="184"/>
  </w:num>
  <w:num w:numId="178">
    <w:abstractNumId w:val="117"/>
  </w:num>
  <w:num w:numId="179">
    <w:abstractNumId w:val="186"/>
  </w:num>
  <w:num w:numId="180">
    <w:abstractNumId w:val="63"/>
  </w:num>
  <w:num w:numId="181">
    <w:abstractNumId w:val="173"/>
  </w:num>
  <w:num w:numId="182">
    <w:abstractNumId w:val="52"/>
  </w:num>
  <w:num w:numId="183">
    <w:abstractNumId w:val="80"/>
  </w:num>
  <w:num w:numId="184">
    <w:abstractNumId w:val="121"/>
  </w:num>
  <w:num w:numId="185">
    <w:abstractNumId w:val="170"/>
  </w:num>
  <w:num w:numId="186">
    <w:abstractNumId w:val="37"/>
  </w:num>
  <w:num w:numId="187">
    <w:abstractNumId w:val="70"/>
  </w:num>
  <w:num w:numId="188">
    <w:abstractNumId w:val="180"/>
  </w:num>
  <w:num w:numId="189">
    <w:abstractNumId w:val="122"/>
  </w:num>
  <w:num w:numId="190">
    <w:abstractNumId w:val="39"/>
  </w:num>
  <w:num w:numId="191">
    <w:abstractNumId w:val="11"/>
  </w:num>
  <w:num w:numId="192">
    <w:abstractNumId w:val="68"/>
  </w:num>
  <w:num w:numId="193">
    <w:abstractNumId w:val="81"/>
  </w:num>
  <w:num w:numId="194">
    <w:abstractNumId w:val="201"/>
  </w:num>
  <w:num w:numId="195">
    <w:abstractNumId w:val="42"/>
  </w:num>
  <w:num w:numId="196">
    <w:abstractNumId w:val="197"/>
  </w:num>
  <w:num w:numId="197">
    <w:abstractNumId w:val="74"/>
  </w:num>
  <w:num w:numId="198">
    <w:abstractNumId w:val="48"/>
  </w:num>
  <w:num w:numId="199">
    <w:abstractNumId w:val="202"/>
  </w:num>
  <w:num w:numId="200">
    <w:abstractNumId w:val="41"/>
  </w:num>
  <w:num w:numId="201">
    <w:abstractNumId w:val="47"/>
  </w:num>
  <w:num w:numId="202">
    <w:abstractNumId w:val="118"/>
  </w:num>
  <w:num w:numId="203">
    <w:abstractNumId w:val="111"/>
  </w:num>
  <w:num w:numId="204">
    <w:abstractNumId w:val="75"/>
  </w:num>
  <w:num w:numId="205">
    <w:abstractNumId w:val="199"/>
  </w:num>
  <w:num w:numId="206">
    <w:abstractNumId w:val="31"/>
  </w:num>
  <w:num w:numId="207">
    <w:abstractNumId w:val="110"/>
  </w:num>
  <w:num w:numId="208">
    <w:abstractNumId w:val="115"/>
  </w:num>
  <w:num w:numId="209">
    <w:abstractNumId w:val="125"/>
  </w:num>
  <w:num w:numId="210">
    <w:abstractNumId w:val="163"/>
  </w:num>
  <w:num w:numId="211">
    <w:abstractNumId w:val="171"/>
  </w:num>
  <w:num w:numId="212">
    <w:abstractNumId w:val="210"/>
  </w:num>
  <w:num w:numId="213">
    <w:abstractNumId w:val="158"/>
  </w:num>
  <w:numIdMacAtCleanup w:val="2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E59"/>
    <w:rsid w:val="000007A6"/>
    <w:rsid w:val="000058DF"/>
    <w:rsid w:val="00006FEA"/>
    <w:rsid w:val="0001446A"/>
    <w:rsid w:val="00016001"/>
    <w:rsid w:val="00020B11"/>
    <w:rsid w:val="000248F3"/>
    <w:rsid w:val="000321F9"/>
    <w:rsid w:val="00035C7B"/>
    <w:rsid w:val="00040E92"/>
    <w:rsid w:val="00042400"/>
    <w:rsid w:val="00042BF8"/>
    <w:rsid w:val="00045182"/>
    <w:rsid w:val="000524F8"/>
    <w:rsid w:val="00067878"/>
    <w:rsid w:val="00067F3A"/>
    <w:rsid w:val="000711A3"/>
    <w:rsid w:val="00075039"/>
    <w:rsid w:val="00075A23"/>
    <w:rsid w:val="00076DD3"/>
    <w:rsid w:val="00077E59"/>
    <w:rsid w:val="00080265"/>
    <w:rsid w:val="00080A69"/>
    <w:rsid w:val="000839A0"/>
    <w:rsid w:val="000848DA"/>
    <w:rsid w:val="00085DAD"/>
    <w:rsid w:val="000865AD"/>
    <w:rsid w:val="00087983"/>
    <w:rsid w:val="00091F8B"/>
    <w:rsid w:val="00092C97"/>
    <w:rsid w:val="00095C5F"/>
    <w:rsid w:val="000A4432"/>
    <w:rsid w:val="000A4FAE"/>
    <w:rsid w:val="000A6E38"/>
    <w:rsid w:val="000B0074"/>
    <w:rsid w:val="000B1BA5"/>
    <w:rsid w:val="000B6828"/>
    <w:rsid w:val="000C1B8F"/>
    <w:rsid w:val="000C371B"/>
    <w:rsid w:val="000C49C5"/>
    <w:rsid w:val="000D5C53"/>
    <w:rsid w:val="000D70CB"/>
    <w:rsid w:val="000F3195"/>
    <w:rsid w:val="000F6C8E"/>
    <w:rsid w:val="00100D36"/>
    <w:rsid w:val="00103E3C"/>
    <w:rsid w:val="0010438C"/>
    <w:rsid w:val="00105A96"/>
    <w:rsid w:val="00105B19"/>
    <w:rsid w:val="00106F7D"/>
    <w:rsid w:val="0010713C"/>
    <w:rsid w:val="001101CE"/>
    <w:rsid w:val="00113BC5"/>
    <w:rsid w:val="00116CA9"/>
    <w:rsid w:val="001369F0"/>
    <w:rsid w:val="00137AC6"/>
    <w:rsid w:val="00140884"/>
    <w:rsid w:val="00142744"/>
    <w:rsid w:val="00151220"/>
    <w:rsid w:val="00153307"/>
    <w:rsid w:val="0015515C"/>
    <w:rsid w:val="001613BA"/>
    <w:rsid w:val="00163625"/>
    <w:rsid w:val="00165270"/>
    <w:rsid w:val="00166D89"/>
    <w:rsid w:val="00167872"/>
    <w:rsid w:val="00167B52"/>
    <w:rsid w:val="001722D7"/>
    <w:rsid w:val="00176A5A"/>
    <w:rsid w:val="001941C8"/>
    <w:rsid w:val="00194686"/>
    <w:rsid w:val="001976FD"/>
    <w:rsid w:val="001A0093"/>
    <w:rsid w:val="001A00F4"/>
    <w:rsid w:val="001A134A"/>
    <w:rsid w:val="001A1390"/>
    <w:rsid w:val="001A293F"/>
    <w:rsid w:val="001A421A"/>
    <w:rsid w:val="001A67C5"/>
    <w:rsid w:val="001B0293"/>
    <w:rsid w:val="001B1B3D"/>
    <w:rsid w:val="001C1517"/>
    <w:rsid w:val="001C207A"/>
    <w:rsid w:val="001C581C"/>
    <w:rsid w:val="001D53F0"/>
    <w:rsid w:val="001D6E76"/>
    <w:rsid w:val="001D7576"/>
    <w:rsid w:val="001E3150"/>
    <w:rsid w:val="001E562F"/>
    <w:rsid w:val="001F03C3"/>
    <w:rsid w:val="001F1086"/>
    <w:rsid w:val="001F2F4D"/>
    <w:rsid w:val="001F3658"/>
    <w:rsid w:val="00202BF1"/>
    <w:rsid w:val="00206443"/>
    <w:rsid w:val="00215B22"/>
    <w:rsid w:val="002207E3"/>
    <w:rsid w:val="00224CFB"/>
    <w:rsid w:val="00232FC5"/>
    <w:rsid w:val="00233604"/>
    <w:rsid w:val="00236EBD"/>
    <w:rsid w:val="00241F2B"/>
    <w:rsid w:val="00241F92"/>
    <w:rsid w:val="002426A3"/>
    <w:rsid w:val="00242EA4"/>
    <w:rsid w:val="00244832"/>
    <w:rsid w:val="00245BBE"/>
    <w:rsid w:val="00250EDF"/>
    <w:rsid w:val="00252E6B"/>
    <w:rsid w:val="00253C48"/>
    <w:rsid w:val="00254082"/>
    <w:rsid w:val="00254EE5"/>
    <w:rsid w:val="002567C9"/>
    <w:rsid w:val="002571C1"/>
    <w:rsid w:val="002670A7"/>
    <w:rsid w:val="002728BD"/>
    <w:rsid w:val="00274D37"/>
    <w:rsid w:val="002775D7"/>
    <w:rsid w:val="0028009E"/>
    <w:rsid w:val="0028210D"/>
    <w:rsid w:val="002835A7"/>
    <w:rsid w:val="0029169A"/>
    <w:rsid w:val="00296C4B"/>
    <w:rsid w:val="0029706F"/>
    <w:rsid w:val="00297902"/>
    <w:rsid w:val="002A2A9B"/>
    <w:rsid w:val="002A73AD"/>
    <w:rsid w:val="002B2074"/>
    <w:rsid w:val="002B48A0"/>
    <w:rsid w:val="002B7FDF"/>
    <w:rsid w:val="002C08AB"/>
    <w:rsid w:val="002C0A59"/>
    <w:rsid w:val="002C0F71"/>
    <w:rsid w:val="002C178E"/>
    <w:rsid w:val="002C7FA2"/>
    <w:rsid w:val="002D4DD0"/>
    <w:rsid w:val="002E43DD"/>
    <w:rsid w:val="002E5B03"/>
    <w:rsid w:val="002E6E28"/>
    <w:rsid w:val="002E6F56"/>
    <w:rsid w:val="002E7F8B"/>
    <w:rsid w:val="003064FF"/>
    <w:rsid w:val="00311FD6"/>
    <w:rsid w:val="00313DDE"/>
    <w:rsid w:val="00317AE9"/>
    <w:rsid w:val="00317EF3"/>
    <w:rsid w:val="00320925"/>
    <w:rsid w:val="00321B81"/>
    <w:rsid w:val="00322068"/>
    <w:rsid w:val="00322BBB"/>
    <w:rsid w:val="00324EB1"/>
    <w:rsid w:val="00325AC6"/>
    <w:rsid w:val="00325D43"/>
    <w:rsid w:val="00327161"/>
    <w:rsid w:val="003279B0"/>
    <w:rsid w:val="00331358"/>
    <w:rsid w:val="003314C8"/>
    <w:rsid w:val="003319AF"/>
    <w:rsid w:val="00331F68"/>
    <w:rsid w:val="00332335"/>
    <w:rsid w:val="00333B3E"/>
    <w:rsid w:val="00337B9B"/>
    <w:rsid w:val="00337FA0"/>
    <w:rsid w:val="0034393C"/>
    <w:rsid w:val="00350497"/>
    <w:rsid w:val="00350904"/>
    <w:rsid w:val="00351301"/>
    <w:rsid w:val="00354F45"/>
    <w:rsid w:val="003568B0"/>
    <w:rsid w:val="00356FDD"/>
    <w:rsid w:val="003579EF"/>
    <w:rsid w:val="00365C6C"/>
    <w:rsid w:val="003705EC"/>
    <w:rsid w:val="00373D86"/>
    <w:rsid w:val="00375834"/>
    <w:rsid w:val="003779D2"/>
    <w:rsid w:val="003843EC"/>
    <w:rsid w:val="00385075"/>
    <w:rsid w:val="003855A2"/>
    <w:rsid w:val="00385939"/>
    <w:rsid w:val="003906AB"/>
    <w:rsid w:val="00392585"/>
    <w:rsid w:val="00397E59"/>
    <w:rsid w:val="003A66D4"/>
    <w:rsid w:val="003B0272"/>
    <w:rsid w:val="003B0659"/>
    <w:rsid w:val="003B230D"/>
    <w:rsid w:val="003B237B"/>
    <w:rsid w:val="003B61EB"/>
    <w:rsid w:val="003B6BD7"/>
    <w:rsid w:val="003B7B18"/>
    <w:rsid w:val="003C05A1"/>
    <w:rsid w:val="003C17FC"/>
    <w:rsid w:val="003C58E5"/>
    <w:rsid w:val="003D5E99"/>
    <w:rsid w:val="003D71F9"/>
    <w:rsid w:val="003E08B2"/>
    <w:rsid w:val="003E10CD"/>
    <w:rsid w:val="003E19B4"/>
    <w:rsid w:val="003E76DE"/>
    <w:rsid w:val="003F3244"/>
    <w:rsid w:val="003F5847"/>
    <w:rsid w:val="003F78EE"/>
    <w:rsid w:val="003F7E82"/>
    <w:rsid w:val="00400003"/>
    <w:rsid w:val="00401D30"/>
    <w:rsid w:val="0040341A"/>
    <w:rsid w:val="00404AB0"/>
    <w:rsid w:val="0041061E"/>
    <w:rsid w:val="00416B6C"/>
    <w:rsid w:val="00416ECC"/>
    <w:rsid w:val="00417086"/>
    <w:rsid w:val="004258F9"/>
    <w:rsid w:val="00431BF8"/>
    <w:rsid w:val="00432C49"/>
    <w:rsid w:val="00432DF7"/>
    <w:rsid w:val="004353C8"/>
    <w:rsid w:val="00440108"/>
    <w:rsid w:val="004421AF"/>
    <w:rsid w:val="00451A26"/>
    <w:rsid w:val="0045697E"/>
    <w:rsid w:val="00457510"/>
    <w:rsid w:val="00463F15"/>
    <w:rsid w:val="0046445A"/>
    <w:rsid w:val="00467673"/>
    <w:rsid w:val="004719DA"/>
    <w:rsid w:val="004738E4"/>
    <w:rsid w:val="00473CA5"/>
    <w:rsid w:val="0047659F"/>
    <w:rsid w:val="004778D0"/>
    <w:rsid w:val="00486537"/>
    <w:rsid w:val="00486D0C"/>
    <w:rsid w:val="004877DB"/>
    <w:rsid w:val="00487F66"/>
    <w:rsid w:val="0049062C"/>
    <w:rsid w:val="00492276"/>
    <w:rsid w:val="00493DE7"/>
    <w:rsid w:val="004A0CD4"/>
    <w:rsid w:val="004A61A2"/>
    <w:rsid w:val="004A7582"/>
    <w:rsid w:val="004B1053"/>
    <w:rsid w:val="004B2FFB"/>
    <w:rsid w:val="004B4C61"/>
    <w:rsid w:val="004C57FC"/>
    <w:rsid w:val="004C6F87"/>
    <w:rsid w:val="004C777F"/>
    <w:rsid w:val="004D1639"/>
    <w:rsid w:val="004D1D90"/>
    <w:rsid w:val="004D3A9C"/>
    <w:rsid w:val="004D767E"/>
    <w:rsid w:val="004D7CF0"/>
    <w:rsid w:val="004E14C0"/>
    <w:rsid w:val="004E1678"/>
    <w:rsid w:val="004E1BB2"/>
    <w:rsid w:val="004E2EB8"/>
    <w:rsid w:val="004E32B6"/>
    <w:rsid w:val="004E3431"/>
    <w:rsid w:val="004E352F"/>
    <w:rsid w:val="004E466C"/>
    <w:rsid w:val="004E4965"/>
    <w:rsid w:val="004E7E92"/>
    <w:rsid w:val="004F0A0D"/>
    <w:rsid w:val="004F1450"/>
    <w:rsid w:val="004F1F56"/>
    <w:rsid w:val="004F5384"/>
    <w:rsid w:val="004F543B"/>
    <w:rsid w:val="005059CE"/>
    <w:rsid w:val="00507F3D"/>
    <w:rsid w:val="0051040D"/>
    <w:rsid w:val="005107B5"/>
    <w:rsid w:val="00511FD3"/>
    <w:rsid w:val="0051272B"/>
    <w:rsid w:val="0051475F"/>
    <w:rsid w:val="00514A9C"/>
    <w:rsid w:val="00514DF5"/>
    <w:rsid w:val="00516F4F"/>
    <w:rsid w:val="00517652"/>
    <w:rsid w:val="0053128D"/>
    <w:rsid w:val="0053411B"/>
    <w:rsid w:val="005341DB"/>
    <w:rsid w:val="005344A9"/>
    <w:rsid w:val="00535A63"/>
    <w:rsid w:val="00541000"/>
    <w:rsid w:val="00542859"/>
    <w:rsid w:val="0054384C"/>
    <w:rsid w:val="00544737"/>
    <w:rsid w:val="00545594"/>
    <w:rsid w:val="00545B8A"/>
    <w:rsid w:val="0054675B"/>
    <w:rsid w:val="00547A7B"/>
    <w:rsid w:val="00547C78"/>
    <w:rsid w:val="005504BB"/>
    <w:rsid w:val="00555B59"/>
    <w:rsid w:val="00563B24"/>
    <w:rsid w:val="00564D99"/>
    <w:rsid w:val="00566250"/>
    <w:rsid w:val="00566A00"/>
    <w:rsid w:val="0057464A"/>
    <w:rsid w:val="00575305"/>
    <w:rsid w:val="00575B62"/>
    <w:rsid w:val="00576DB5"/>
    <w:rsid w:val="005772F3"/>
    <w:rsid w:val="005802A3"/>
    <w:rsid w:val="00580D81"/>
    <w:rsid w:val="00583D55"/>
    <w:rsid w:val="00593760"/>
    <w:rsid w:val="005A1843"/>
    <w:rsid w:val="005A324B"/>
    <w:rsid w:val="005A4A34"/>
    <w:rsid w:val="005B04E7"/>
    <w:rsid w:val="005B0F28"/>
    <w:rsid w:val="005B379F"/>
    <w:rsid w:val="005B4534"/>
    <w:rsid w:val="005C206F"/>
    <w:rsid w:val="005C53A9"/>
    <w:rsid w:val="005C661E"/>
    <w:rsid w:val="005C78A5"/>
    <w:rsid w:val="005C7A52"/>
    <w:rsid w:val="005D0F14"/>
    <w:rsid w:val="005D3AF6"/>
    <w:rsid w:val="005D6A21"/>
    <w:rsid w:val="005E273D"/>
    <w:rsid w:val="005E3F9A"/>
    <w:rsid w:val="005E559A"/>
    <w:rsid w:val="005F1E57"/>
    <w:rsid w:val="005F5287"/>
    <w:rsid w:val="005F565E"/>
    <w:rsid w:val="005F5DD8"/>
    <w:rsid w:val="00601ADA"/>
    <w:rsid w:val="0060273C"/>
    <w:rsid w:val="006030A1"/>
    <w:rsid w:val="006043D1"/>
    <w:rsid w:val="00606173"/>
    <w:rsid w:val="00606910"/>
    <w:rsid w:val="00614312"/>
    <w:rsid w:val="00616E48"/>
    <w:rsid w:val="00620960"/>
    <w:rsid w:val="00622F18"/>
    <w:rsid w:val="00623380"/>
    <w:rsid w:val="00623730"/>
    <w:rsid w:val="006250C5"/>
    <w:rsid w:val="00625B3B"/>
    <w:rsid w:val="00631F56"/>
    <w:rsid w:val="0063410C"/>
    <w:rsid w:val="0063634F"/>
    <w:rsid w:val="006414B8"/>
    <w:rsid w:val="006435BE"/>
    <w:rsid w:val="00651276"/>
    <w:rsid w:val="00654F9D"/>
    <w:rsid w:val="0066414A"/>
    <w:rsid w:val="006703B2"/>
    <w:rsid w:val="00673D82"/>
    <w:rsid w:val="00676437"/>
    <w:rsid w:val="006842C6"/>
    <w:rsid w:val="0068502A"/>
    <w:rsid w:val="00685B0C"/>
    <w:rsid w:val="00686D79"/>
    <w:rsid w:val="006931FB"/>
    <w:rsid w:val="00694662"/>
    <w:rsid w:val="00695BC9"/>
    <w:rsid w:val="006A37DC"/>
    <w:rsid w:val="006A4FE6"/>
    <w:rsid w:val="006B0528"/>
    <w:rsid w:val="006B3E9E"/>
    <w:rsid w:val="006B44A4"/>
    <w:rsid w:val="006C391C"/>
    <w:rsid w:val="006D305B"/>
    <w:rsid w:val="006D6285"/>
    <w:rsid w:val="006E14D0"/>
    <w:rsid w:val="006E25B3"/>
    <w:rsid w:val="006F1D53"/>
    <w:rsid w:val="006F27C3"/>
    <w:rsid w:val="006F5742"/>
    <w:rsid w:val="006F64BE"/>
    <w:rsid w:val="006F6E8B"/>
    <w:rsid w:val="006F7043"/>
    <w:rsid w:val="0070033E"/>
    <w:rsid w:val="00700516"/>
    <w:rsid w:val="0070072D"/>
    <w:rsid w:val="0070274C"/>
    <w:rsid w:val="00703E6F"/>
    <w:rsid w:val="007041E7"/>
    <w:rsid w:val="00707B1C"/>
    <w:rsid w:val="00710E9A"/>
    <w:rsid w:val="00715EE1"/>
    <w:rsid w:val="00720ADD"/>
    <w:rsid w:val="00721408"/>
    <w:rsid w:val="00722DFA"/>
    <w:rsid w:val="0073023B"/>
    <w:rsid w:val="00736B33"/>
    <w:rsid w:val="0074006C"/>
    <w:rsid w:val="00740C10"/>
    <w:rsid w:val="007415B2"/>
    <w:rsid w:val="00741F1A"/>
    <w:rsid w:val="00744041"/>
    <w:rsid w:val="007551C1"/>
    <w:rsid w:val="00756E1B"/>
    <w:rsid w:val="007573D0"/>
    <w:rsid w:val="007640E7"/>
    <w:rsid w:val="00766F2E"/>
    <w:rsid w:val="007725CB"/>
    <w:rsid w:val="007741E8"/>
    <w:rsid w:val="007910A3"/>
    <w:rsid w:val="0079129B"/>
    <w:rsid w:val="00792306"/>
    <w:rsid w:val="00793420"/>
    <w:rsid w:val="00794BAA"/>
    <w:rsid w:val="00795C38"/>
    <w:rsid w:val="007A0843"/>
    <w:rsid w:val="007A09A2"/>
    <w:rsid w:val="007A1F3D"/>
    <w:rsid w:val="007A2302"/>
    <w:rsid w:val="007A354A"/>
    <w:rsid w:val="007A746D"/>
    <w:rsid w:val="007A7631"/>
    <w:rsid w:val="007B124D"/>
    <w:rsid w:val="007B4B06"/>
    <w:rsid w:val="007B4E1A"/>
    <w:rsid w:val="007C472E"/>
    <w:rsid w:val="007C4ECC"/>
    <w:rsid w:val="007C63E0"/>
    <w:rsid w:val="007C640D"/>
    <w:rsid w:val="007C7370"/>
    <w:rsid w:val="007D0349"/>
    <w:rsid w:val="007D0B5A"/>
    <w:rsid w:val="007D6420"/>
    <w:rsid w:val="007D6C8F"/>
    <w:rsid w:val="007E15A6"/>
    <w:rsid w:val="007E1F82"/>
    <w:rsid w:val="008070FF"/>
    <w:rsid w:val="008111AA"/>
    <w:rsid w:val="00812160"/>
    <w:rsid w:val="00812F6B"/>
    <w:rsid w:val="0081480E"/>
    <w:rsid w:val="00816933"/>
    <w:rsid w:val="0082029E"/>
    <w:rsid w:val="00821B54"/>
    <w:rsid w:val="00822CC8"/>
    <w:rsid w:val="008237E2"/>
    <w:rsid w:val="008253F3"/>
    <w:rsid w:val="00826ED9"/>
    <w:rsid w:val="00831295"/>
    <w:rsid w:val="00831741"/>
    <w:rsid w:val="00835955"/>
    <w:rsid w:val="0085172B"/>
    <w:rsid w:val="008525AE"/>
    <w:rsid w:val="00854440"/>
    <w:rsid w:val="00855955"/>
    <w:rsid w:val="008618EB"/>
    <w:rsid w:val="00866F93"/>
    <w:rsid w:val="008671B2"/>
    <w:rsid w:val="00870B3A"/>
    <w:rsid w:val="00871D26"/>
    <w:rsid w:val="0087372B"/>
    <w:rsid w:val="0087633B"/>
    <w:rsid w:val="008800F8"/>
    <w:rsid w:val="008801C1"/>
    <w:rsid w:val="00880485"/>
    <w:rsid w:val="00882411"/>
    <w:rsid w:val="008835EB"/>
    <w:rsid w:val="008838A2"/>
    <w:rsid w:val="0089211E"/>
    <w:rsid w:val="008938F6"/>
    <w:rsid w:val="00893AB0"/>
    <w:rsid w:val="00895C6E"/>
    <w:rsid w:val="00896876"/>
    <w:rsid w:val="008A0E18"/>
    <w:rsid w:val="008A18B1"/>
    <w:rsid w:val="008A4130"/>
    <w:rsid w:val="008A5505"/>
    <w:rsid w:val="008A7C9B"/>
    <w:rsid w:val="008B04F1"/>
    <w:rsid w:val="008B0823"/>
    <w:rsid w:val="008B580C"/>
    <w:rsid w:val="008B67A1"/>
    <w:rsid w:val="008B6C74"/>
    <w:rsid w:val="008B78F8"/>
    <w:rsid w:val="008C24C5"/>
    <w:rsid w:val="008C2847"/>
    <w:rsid w:val="008C37CB"/>
    <w:rsid w:val="008C6064"/>
    <w:rsid w:val="008C63C0"/>
    <w:rsid w:val="008D56A2"/>
    <w:rsid w:val="008D5CAB"/>
    <w:rsid w:val="008E5A6F"/>
    <w:rsid w:val="008F175A"/>
    <w:rsid w:val="008F3ADE"/>
    <w:rsid w:val="008F462D"/>
    <w:rsid w:val="008F492E"/>
    <w:rsid w:val="008F74B9"/>
    <w:rsid w:val="008F7840"/>
    <w:rsid w:val="009002C2"/>
    <w:rsid w:val="00900B59"/>
    <w:rsid w:val="009014E8"/>
    <w:rsid w:val="00901578"/>
    <w:rsid w:val="00911A07"/>
    <w:rsid w:val="00915D94"/>
    <w:rsid w:val="00916CC6"/>
    <w:rsid w:val="00920613"/>
    <w:rsid w:val="009243DE"/>
    <w:rsid w:val="00931364"/>
    <w:rsid w:val="00937162"/>
    <w:rsid w:val="00951331"/>
    <w:rsid w:val="0095261B"/>
    <w:rsid w:val="00961523"/>
    <w:rsid w:val="0096452D"/>
    <w:rsid w:val="009662D7"/>
    <w:rsid w:val="009718D4"/>
    <w:rsid w:val="00973F94"/>
    <w:rsid w:val="009757C1"/>
    <w:rsid w:val="00975F05"/>
    <w:rsid w:val="00976605"/>
    <w:rsid w:val="00977118"/>
    <w:rsid w:val="009802FB"/>
    <w:rsid w:val="00980BB2"/>
    <w:rsid w:val="00987ADC"/>
    <w:rsid w:val="00987B89"/>
    <w:rsid w:val="00987D62"/>
    <w:rsid w:val="00992C9C"/>
    <w:rsid w:val="00995BA8"/>
    <w:rsid w:val="009961CB"/>
    <w:rsid w:val="009A0282"/>
    <w:rsid w:val="009A4019"/>
    <w:rsid w:val="009A4F80"/>
    <w:rsid w:val="009A755B"/>
    <w:rsid w:val="009B1191"/>
    <w:rsid w:val="009B350D"/>
    <w:rsid w:val="009B40E8"/>
    <w:rsid w:val="009B4E7B"/>
    <w:rsid w:val="009C274C"/>
    <w:rsid w:val="009C31EA"/>
    <w:rsid w:val="009D0A87"/>
    <w:rsid w:val="009D3E2B"/>
    <w:rsid w:val="009D49F0"/>
    <w:rsid w:val="009D7797"/>
    <w:rsid w:val="009D7D09"/>
    <w:rsid w:val="009E0EB0"/>
    <w:rsid w:val="009E5F68"/>
    <w:rsid w:val="009F11EF"/>
    <w:rsid w:val="00A02A9E"/>
    <w:rsid w:val="00A0478C"/>
    <w:rsid w:val="00A15876"/>
    <w:rsid w:val="00A21CE0"/>
    <w:rsid w:val="00A243B5"/>
    <w:rsid w:val="00A25D37"/>
    <w:rsid w:val="00A26F19"/>
    <w:rsid w:val="00A30628"/>
    <w:rsid w:val="00A320F3"/>
    <w:rsid w:val="00A37BDE"/>
    <w:rsid w:val="00A51480"/>
    <w:rsid w:val="00A57A13"/>
    <w:rsid w:val="00A611B3"/>
    <w:rsid w:val="00A6563B"/>
    <w:rsid w:val="00A6688C"/>
    <w:rsid w:val="00A76589"/>
    <w:rsid w:val="00A8354E"/>
    <w:rsid w:val="00A867A3"/>
    <w:rsid w:val="00A90A15"/>
    <w:rsid w:val="00A93A83"/>
    <w:rsid w:val="00AA126B"/>
    <w:rsid w:val="00AA23CC"/>
    <w:rsid w:val="00AA4046"/>
    <w:rsid w:val="00AA7A7B"/>
    <w:rsid w:val="00AB4193"/>
    <w:rsid w:val="00AB4F31"/>
    <w:rsid w:val="00AB6C95"/>
    <w:rsid w:val="00AB775A"/>
    <w:rsid w:val="00AC5375"/>
    <w:rsid w:val="00AC71BE"/>
    <w:rsid w:val="00AD1D9E"/>
    <w:rsid w:val="00AD2F05"/>
    <w:rsid w:val="00AD45BB"/>
    <w:rsid w:val="00AD5BC5"/>
    <w:rsid w:val="00AE334C"/>
    <w:rsid w:val="00AE5FB9"/>
    <w:rsid w:val="00AE6741"/>
    <w:rsid w:val="00AF1CE6"/>
    <w:rsid w:val="00AF3CA4"/>
    <w:rsid w:val="00AF3D3D"/>
    <w:rsid w:val="00AF4C25"/>
    <w:rsid w:val="00AF621C"/>
    <w:rsid w:val="00B02005"/>
    <w:rsid w:val="00B0240D"/>
    <w:rsid w:val="00B025B0"/>
    <w:rsid w:val="00B06AA0"/>
    <w:rsid w:val="00B139FC"/>
    <w:rsid w:val="00B20294"/>
    <w:rsid w:val="00B22458"/>
    <w:rsid w:val="00B23FB5"/>
    <w:rsid w:val="00B243A0"/>
    <w:rsid w:val="00B24EE6"/>
    <w:rsid w:val="00B270D6"/>
    <w:rsid w:val="00B334F7"/>
    <w:rsid w:val="00B3417C"/>
    <w:rsid w:val="00B4593F"/>
    <w:rsid w:val="00B4720B"/>
    <w:rsid w:val="00B47E3E"/>
    <w:rsid w:val="00B5212D"/>
    <w:rsid w:val="00B53ECF"/>
    <w:rsid w:val="00B57288"/>
    <w:rsid w:val="00B57F4A"/>
    <w:rsid w:val="00B65779"/>
    <w:rsid w:val="00B73030"/>
    <w:rsid w:val="00B7496E"/>
    <w:rsid w:val="00B7598E"/>
    <w:rsid w:val="00B82F71"/>
    <w:rsid w:val="00B83D9A"/>
    <w:rsid w:val="00B85A8C"/>
    <w:rsid w:val="00B8619A"/>
    <w:rsid w:val="00B86917"/>
    <w:rsid w:val="00B909FF"/>
    <w:rsid w:val="00B94B67"/>
    <w:rsid w:val="00B975E6"/>
    <w:rsid w:val="00BA04DE"/>
    <w:rsid w:val="00BA6CE1"/>
    <w:rsid w:val="00BB19AC"/>
    <w:rsid w:val="00BB226A"/>
    <w:rsid w:val="00BB28E3"/>
    <w:rsid w:val="00BB4566"/>
    <w:rsid w:val="00BB6FB4"/>
    <w:rsid w:val="00BC2EF5"/>
    <w:rsid w:val="00BC350B"/>
    <w:rsid w:val="00BC5970"/>
    <w:rsid w:val="00BC675F"/>
    <w:rsid w:val="00BD2955"/>
    <w:rsid w:val="00BD2F0C"/>
    <w:rsid w:val="00BD458D"/>
    <w:rsid w:val="00BD5BC9"/>
    <w:rsid w:val="00BE1026"/>
    <w:rsid w:val="00BE36F7"/>
    <w:rsid w:val="00BE44F4"/>
    <w:rsid w:val="00BE63F3"/>
    <w:rsid w:val="00BE6C02"/>
    <w:rsid w:val="00BE722B"/>
    <w:rsid w:val="00BE7C40"/>
    <w:rsid w:val="00BF12C9"/>
    <w:rsid w:val="00BF35C8"/>
    <w:rsid w:val="00BF58E5"/>
    <w:rsid w:val="00BF6D65"/>
    <w:rsid w:val="00C0077D"/>
    <w:rsid w:val="00C0325C"/>
    <w:rsid w:val="00C0345F"/>
    <w:rsid w:val="00C06963"/>
    <w:rsid w:val="00C15CDA"/>
    <w:rsid w:val="00C165F7"/>
    <w:rsid w:val="00C214DA"/>
    <w:rsid w:val="00C24948"/>
    <w:rsid w:val="00C2577C"/>
    <w:rsid w:val="00C270B3"/>
    <w:rsid w:val="00C27AE4"/>
    <w:rsid w:val="00C32F38"/>
    <w:rsid w:val="00C359B4"/>
    <w:rsid w:val="00C4315C"/>
    <w:rsid w:val="00C513C4"/>
    <w:rsid w:val="00C534D1"/>
    <w:rsid w:val="00C56535"/>
    <w:rsid w:val="00C60973"/>
    <w:rsid w:val="00C6242C"/>
    <w:rsid w:val="00C62CF2"/>
    <w:rsid w:val="00C70159"/>
    <w:rsid w:val="00C74348"/>
    <w:rsid w:val="00C81FF6"/>
    <w:rsid w:val="00C83F45"/>
    <w:rsid w:val="00C846D0"/>
    <w:rsid w:val="00C84E86"/>
    <w:rsid w:val="00C84EEF"/>
    <w:rsid w:val="00C91088"/>
    <w:rsid w:val="00C947AF"/>
    <w:rsid w:val="00CA12B3"/>
    <w:rsid w:val="00CA5F70"/>
    <w:rsid w:val="00CA6A95"/>
    <w:rsid w:val="00CA761C"/>
    <w:rsid w:val="00CB102F"/>
    <w:rsid w:val="00CB178E"/>
    <w:rsid w:val="00CB2EC4"/>
    <w:rsid w:val="00CB6000"/>
    <w:rsid w:val="00CC2A5B"/>
    <w:rsid w:val="00CC314B"/>
    <w:rsid w:val="00CC454E"/>
    <w:rsid w:val="00CC5138"/>
    <w:rsid w:val="00CC765E"/>
    <w:rsid w:val="00CD728E"/>
    <w:rsid w:val="00CE2F0F"/>
    <w:rsid w:val="00CE2F8F"/>
    <w:rsid w:val="00CE38D4"/>
    <w:rsid w:val="00CE4683"/>
    <w:rsid w:val="00CF2849"/>
    <w:rsid w:val="00CF2957"/>
    <w:rsid w:val="00CF32F1"/>
    <w:rsid w:val="00CF35B3"/>
    <w:rsid w:val="00D00E05"/>
    <w:rsid w:val="00D058A3"/>
    <w:rsid w:val="00D10F47"/>
    <w:rsid w:val="00D1527A"/>
    <w:rsid w:val="00D15822"/>
    <w:rsid w:val="00D16802"/>
    <w:rsid w:val="00D2195D"/>
    <w:rsid w:val="00D21E5C"/>
    <w:rsid w:val="00D302FA"/>
    <w:rsid w:val="00D32DE2"/>
    <w:rsid w:val="00D40F8B"/>
    <w:rsid w:val="00D41D6F"/>
    <w:rsid w:val="00D47AE2"/>
    <w:rsid w:val="00D52B86"/>
    <w:rsid w:val="00D5355E"/>
    <w:rsid w:val="00D53C2D"/>
    <w:rsid w:val="00D53C9E"/>
    <w:rsid w:val="00D55F13"/>
    <w:rsid w:val="00D57545"/>
    <w:rsid w:val="00D633E0"/>
    <w:rsid w:val="00D651CA"/>
    <w:rsid w:val="00D749EA"/>
    <w:rsid w:val="00D76BE1"/>
    <w:rsid w:val="00D81561"/>
    <w:rsid w:val="00D82334"/>
    <w:rsid w:val="00D83552"/>
    <w:rsid w:val="00D83A71"/>
    <w:rsid w:val="00D83A7E"/>
    <w:rsid w:val="00D85F42"/>
    <w:rsid w:val="00D862E5"/>
    <w:rsid w:val="00D905E7"/>
    <w:rsid w:val="00D94404"/>
    <w:rsid w:val="00D9531A"/>
    <w:rsid w:val="00D977BF"/>
    <w:rsid w:val="00DA35A3"/>
    <w:rsid w:val="00DA48B2"/>
    <w:rsid w:val="00DA5175"/>
    <w:rsid w:val="00DB17BF"/>
    <w:rsid w:val="00DB3082"/>
    <w:rsid w:val="00DB37ED"/>
    <w:rsid w:val="00DB54D3"/>
    <w:rsid w:val="00DC349E"/>
    <w:rsid w:val="00DC3B71"/>
    <w:rsid w:val="00DD3D2C"/>
    <w:rsid w:val="00DD7351"/>
    <w:rsid w:val="00DE10B2"/>
    <w:rsid w:val="00DE33A3"/>
    <w:rsid w:val="00DE35A5"/>
    <w:rsid w:val="00DE3602"/>
    <w:rsid w:val="00DE55EB"/>
    <w:rsid w:val="00DF66FB"/>
    <w:rsid w:val="00E0176D"/>
    <w:rsid w:val="00E1147C"/>
    <w:rsid w:val="00E11BC1"/>
    <w:rsid w:val="00E144EB"/>
    <w:rsid w:val="00E156A4"/>
    <w:rsid w:val="00E176E4"/>
    <w:rsid w:val="00E225D7"/>
    <w:rsid w:val="00E30E62"/>
    <w:rsid w:val="00E32219"/>
    <w:rsid w:val="00E32CFE"/>
    <w:rsid w:val="00E36319"/>
    <w:rsid w:val="00E37E86"/>
    <w:rsid w:val="00E43176"/>
    <w:rsid w:val="00E43204"/>
    <w:rsid w:val="00E4376D"/>
    <w:rsid w:val="00E437F3"/>
    <w:rsid w:val="00E438B0"/>
    <w:rsid w:val="00E44946"/>
    <w:rsid w:val="00E45005"/>
    <w:rsid w:val="00E466C4"/>
    <w:rsid w:val="00E505CE"/>
    <w:rsid w:val="00E51BB6"/>
    <w:rsid w:val="00E544C6"/>
    <w:rsid w:val="00E571B9"/>
    <w:rsid w:val="00E574F2"/>
    <w:rsid w:val="00E57BC0"/>
    <w:rsid w:val="00E604F1"/>
    <w:rsid w:val="00E72945"/>
    <w:rsid w:val="00E72F24"/>
    <w:rsid w:val="00E7469E"/>
    <w:rsid w:val="00E75DDE"/>
    <w:rsid w:val="00E77C1B"/>
    <w:rsid w:val="00E80E6A"/>
    <w:rsid w:val="00E81F7E"/>
    <w:rsid w:val="00E92592"/>
    <w:rsid w:val="00E9418F"/>
    <w:rsid w:val="00E94950"/>
    <w:rsid w:val="00EA1F75"/>
    <w:rsid w:val="00EA5C8F"/>
    <w:rsid w:val="00EA73C3"/>
    <w:rsid w:val="00EB23AC"/>
    <w:rsid w:val="00EB36AD"/>
    <w:rsid w:val="00EB6CFC"/>
    <w:rsid w:val="00EB7352"/>
    <w:rsid w:val="00EC0D9D"/>
    <w:rsid w:val="00EC169D"/>
    <w:rsid w:val="00EC3D8C"/>
    <w:rsid w:val="00EC7CE4"/>
    <w:rsid w:val="00ED114F"/>
    <w:rsid w:val="00ED2FBA"/>
    <w:rsid w:val="00ED3B27"/>
    <w:rsid w:val="00ED51E8"/>
    <w:rsid w:val="00EE1AF1"/>
    <w:rsid w:val="00EE3A11"/>
    <w:rsid w:val="00EE5890"/>
    <w:rsid w:val="00EF1586"/>
    <w:rsid w:val="00F0580F"/>
    <w:rsid w:val="00F05E0D"/>
    <w:rsid w:val="00F07B95"/>
    <w:rsid w:val="00F11809"/>
    <w:rsid w:val="00F15E81"/>
    <w:rsid w:val="00F1608D"/>
    <w:rsid w:val="00F16ECC"/>
    <w:rsid w:val="00F21CDE"/>
    <w:rsid w:val="00F21D87"/>
    <w:rsid w:val="00F35FE4"/>
    <w:rsid w:val="00F45145"/>
    <w:rsid w:val="00F465F9"/>
    <w:rsid w:val="00F51434"/>
    <w:rsid w:val="00F522DA"/>
    <w:rsid w:val="00F55C37"/>
    <w:rsid w:val="00F57C91"/>
    <w:rsid w:val="00F57FF4"/>
    <w:rsid w:val="00F616E3"/>
    <w:rsid w:val="00F62A09"/>
    <w:rsid w:val="00F63024"/>
    <w:rsid w:val="00F65500"/>
    <w:rsid w:val="00F6761B"/>
    <w:rsid w:val="00F73DE0"/>
    <w:rsid w:val="00F81EB1"/>
    <w:rsid w:val="00F83992"/>
    <w:rsid w:val="00F84771"/>
    <w:rsid w:val="00F93A6F"/>
    <w:rsid w:val="00FA089C"/>
    <w:rsid w:val="00FB5734"/>
    <w:rsid w:val="00FC2653"/>
    <w:rsid w:val="00FC4728"/>
    <w:rsid w:val="00FC77BE"/>
    <w:rsid w:val="00FD1694"/>
    <w:rsid w:val="00FD466B"/>
    <w:rsid w:val="00FE3242"/>
    <w:rsid w:val="00FE40DC"/>
    <w:rsid w:val="00FE4197"/>
    <w:rsid w:val="00FF0D1E"/>
    <w:rsid w:val="00FF3873"/>
    <w:rsid w:val="00FF589C"/>
    <w:rsid w:val="00FF7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sda.org/c_and_a/pdf/ISDA-Margin-Survey-2009.pdf" TargetMode="External"/><Relationship Id="rId21" Type="http://schemas.openxmlformats.org/officeDocument/2006/relationships/hyperlink" Target="http://papers.ssrn.com/sol3/papers.cfm?abstract_id=1556487" TargetMode="External"/><Relationship Id="rId42" Type="http://schemas.openxmlformats.org/officeDocument/2006/relationships/hyperlink" Target="http://www.maths.univ-evry.fr/prepubli/366.pdf" TargetMode="External"/><Relationship Id="rId47" Type="http://schemas.openxmlformats.org/officeDocument/2006/relationships/hyperlink" Target="http://papers.ssrn.com/sol3/papers.cfm?abstract_id=2482955" TargetMode="External"/><Relationship Id="rId63" Type="http://schemas.openxmlformats.org/officeDocument/2006/relationships/hyperlink" Target="http://papers.ssrn.com/sol3/papers.cfm?abstract_id=2482955" TargetMode="External"/><Relationship Id="rId68" Type="http://schemas.openxmlformats.org/officeDocument/2006/relationships/hyperlink" Target="http://papers.ssrn.com/sol3/papers.cfm?abstract_id=2400324" TargetMode="External"/><Relationship Id="rId16" Type="http://schemas.openxmlformats.org/officeDocument/2006/relationships/hyperlink" Target="http://papers.ssrn.com/sol3/papers.cfm?abstract_id=1974479" TargetMode="External"/><Relationship Id="rId11" Type="http://schemas.openxmlformats.org/officeDocument/2006/relationships/oleObject" Target="embeddings/oleObject2.bin"/><Relationship Id="rId24" Type="http://schemas.openxmlformats.org/officeDocument/2006/relationships/hyperlink" Target="http://papers.ssrn.com/sol3/papers.cfm?abstract_id=2220371" TargetMode="External"/><Relationship Id="rId32" Type="http://schemas.openxmlformats.org/officeDocument/2006/relationships/hyperlink" Target="http://www.bis.org/publ/bcbs279.htm" TargetMode="External"/><Relationship Id="rId37" Type="http://schemas.openxmlformats.org/officeDocument/2006/relationships/hyperlink" Target="http://arxiv.org/pdf/1210.3811.pdf" TargetMode="External"/><Relationship Id="rId40" Type="http://schemas.openxmlformats.org/officeDocument/2006/relationships/hyperlink" Target="http://papers.ssrn.com/sol3/papers.cfm?abstract_id=2157631" TargetMode="External"/><Relationship Id="rId45" Type="http://schemas.openxmlformats.org/officeDocument/2006/relationships/hyperlink" Target="http://papers.ssrn.com/sol3/papers.cfm?abstract_id=2482955" TargetMode="External"/><Relationship Id="rId53" Type="http://schemas.openxmlformats.org/officeDocument/2006/relationships/hyperlink" Target="http://papers.ssrn.com/sol3/papers.cfm?abstract_id=2482955" TargetMode="External"/><Relationship Id="rId58" Type="http://schemas.openxmlformats.org/officeDocument/2006/relationships/hyperlink" Target="http://papers.ssrn.com/sol3/papers.cfm?abstract_id=2482955" TargetMode="External"/><Relationship Id="rId66" Type="http://schemas.openxmlformats.org/officeDocument/2006/relationships/hyperlink" Target="http://papers.ssrn.com/sol3/papers.cfm?abstract_id=2482955" TargetMode="External"/><Relationship Id="rId74"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papers.ssrn.com/sol3/papers.cfm?abstract_id=1785262" TargetMode="External"/><Relationship Id="rId19" Type="http://schemas.openxmlformats.org/officeDocument/2006/relationships/hyperlink" Target="http://grozny.maths.univ-evry.fr/pages_perso/crepey/papers/Reduced-Part%202.pdf" TargetMode="External"/><Relationship Id="rId14" Type="http://schemas.openxmlformats.org/officeDocument/2006/relationships/hyperlink" Target="http://arxiv.org/abs/1207.2316" TargetMode="External"/><Relationship Id="rId22" Type="http://schemas.openxmlformats.org/officeDocument/2006/relationships/hyperlink" Target="http://papers.ssrn.com/sol3/papers.cfm?abstract_id=1601866" TargetMode="External"/><Relationship Id="rId27" Type="http://schemas.openxmlformats.org/officeDocument/2006/relationships/hyperlink" Target="http://www.isda.org/c_and_a/pdf/Collateral-Market-Review.pdf" TargetMode="External"/><Relationship Id="rId30" Type="http://schemas.openxmlformats.org/officeDocument/2006/relationships/hyperlink" Target="http://arxiv.org/abs/1006.4767" TargetMode="External"/><Relationship Id="rId35" Type="http://schemas.openxmlformats.org/officeDocument/2006/relationships/hyperlink" Target="http://papers.ssrn.com/sol3/papers.cfm?abstract_id=1310226" TargetMode="External"/><Relationship Id="rId43" Type="http://schemas.openxmlformats.org/officeDocument/2006/relationships/hyperlink" Target="http://www.maths.univ-evry.fr/prepubli/367.pdf" TargetMode="External"/><Relationship Id="rId48" Type="http://schemas.openxmlformats.org/officeDocument/2006/relationships/hyperlink" Target="http://www.leeds-faculty.colorado.edu" TargetMode="External"/><Relationship Id="rId56" Type="http://schemas.openxmlformats.org/officeDocument/2006/relationships/hyperlink" Target="http://www.kpmg.com" TargetMode="External"/><Relationship Id="rId64" Type="http://schemas.openxmlformats.org/officeDocument/2006/relationships/hyperlink" Target="http://papers.ssrn.com/sol3/papers.cfm?abstract_id=2482955" TargetMode="External"/><Relationship Id="rId69" Type="http://schemas.openxmlformats.org/officeDocument/2006/relationships/hyperlink" Target="http://papers.ssrn.com/sol3/papers.cfm?abstract_id=2482955" TargetMode="External"/><Relationship Id="rId7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papers.ssrn.com/sol3/papers.cfm?abstract_id=2482955" TargetMode="External"/><Relationship Id="rId72" Type="http://schemas.openxmlformats.org/officeDocument/2006/relationships/hyperlink" Target="http://papers.ssrn.com/sol3/papers.cfm?abstract_id=1785262" TargetMode="External"/><Relationship Id="rId3" Type="http://schemas.microsoft.com/office/2007/relationships/stylesWithEffects" Target="stylesWithEffects.xml"/><Relationship Id="rId12" Type="http://schemas.openxmlformats.org/officeDocument/2006/relationships/hyperlink" Target="http://papers.ssrn.com/sol3/papers.cfm?abstract_id=2219548" TargetMode="External"/><Relationship Id="rId17" Type="http://schemas.openxmlformats.org/officeDocument/2006/relationships/hyperlink" Target="http://papers.ssrn.com/sol3/papers.cfm?abstract_id=2073300" TargetMode="External"/><Relationship Id="rId25" Type="http://schemas.openxmlformats.org/officeDocument/2006/relationships/hyperlink" Target="http://papers.ssrn.com/sol3/papers.cfm?abstract_id=2164331" TargetMode="External"/><Relationship Id="rId33" Type="http://schemas.openxmlformats.org/officeDocument/2006/relationships/hyperlink" Target="http://www2.isda.org/search?headerSearch=1&amp;keyword=simm" TargetMode="External"/><Relationship Id="rId38" Type="http://schemas.openxmlformats.org/officeDocument/2006/relationships/hyperlink" Target="http://papers.ssrn.com/sol3/papers.cfm?abstract_id=1605307" TargetMode="External"/><Relationship Id="rId46" Type="http://schemas.openxmlformats.org/officeDocument/2006/relationships/hyperlink" Target="http://www.albanese.co.uk" TargetMode="External"/><Relationship Id="rId59" Type="http://schemas.openxmlformats.org/officeDocument/2006/relationships/hyperlink" Target="http://papers.ssrn.com/sol3/papers.cfm?abstract_id=6143" TargetMode="External"/><Relationship Id="rId67" Type="http://schemas.openxmlformats.org/officeDocument/2006/relationships/hyperlink" Target="http://papers.ssrn.com/sol3/papers.cfm?abstract_id=2482955" TargetMode="External"/><Relationship Id="rId20" Type="http://schemas.openxmlformats.org/officeDocument/2006/relationships/hyperlink" Target="http://papers.ssrn.com/sol3/papers.cfm?abstract_id=1440633" TargetMode="External"/><Relationship Id="rId41" Type="http://schemas.openxmlformats.org/officeDocument/2006/relationships/hyperlink" Target="http://papers.ssrn.com/sol3/papers.cfm?abstract_id=2027195" TargetMode="External"/><Relationship Id="rId54" Type="http://schemas.openxmlformats.org/officeDocument/2006/relationships/hyperlink" Target="http://papers.ssrn.com/sol3/papers.cfm?abstract_id=2482955" TargetMode="External"/><Relationship Id="rId62" Type="http://schemas.openxmlformats.org/officeDocument/2006/relationships/hyperlink" Target="http://papers.ssrn.com/sol3/papers.cfm?abstract_id=6143" TargetMode="External"/><Relationship Id="rId70" Type="http://schemas.openxmlformats.org/officeDocument/2006/relationships/hyperlink" Target="https://papers.ssrn.com/sol3/papers.cfm?abstract_id=2517301" TargetMode="External"/><Relationship Id="rId75"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papers.ssrn.com/sol3/papers.cfm?abstract_id=2027195" TargetMode="External"/><Relationship Id="rId23" Type="http://schemas.openxmlformats.org/officeDocument/2006/relationships/hyperlink" Target="http://arxiv.org/abs/1112.1763" TargetMode="External"/><Relationship Id="rId28" Type="http://schemas.openxmlformats.org/officeDocument/2006/relationships/hyperlink" Target="http://papers.ssrn.com/sol3/papers.cfm?abstract_id=1945769" TargetMode="External"/><Relationship Id="rId36" Type="http://schemas.openxmlformats.org/officeDocument/2006/relationships/hyperlink" Target="http://papers.ssrn.com/sol3/papers.cfm?abstract_id=2103121" TargetMode="External"/><Relationship Id="rId49" Type="http://schemas.openxmlformats.org/officeDocument/2006/relationships/hyperlink" Target="http://papers.ssrn.com/sol3/papers.cfm?abstract_id=1855028" TargetMode="External"/><Relationship Id="rId57" Type="http://schemas.openxmlformats.org/officeDocument/2006/relationships/hyperlink" Target="http://inform.pwc.com/" TargetMode="External"/><Relationship Id="rId10" Type="http://schemas.openxmlformats.org/officeDocument/2006/relationships/oleObject" Target="embeddings/oleObject1.bin"/><Relationship Id="rId31" Type="http://schemas.openxmlformats.org/officeDocument/2006/relationships/hyperlink" Target="http://www.bis.org/publ/bcbs116.pdf" TargetMode="External"/><Relationship Id="rId44" Type="http://schemas.openxmlformats.org/officeDocument/2006/relationships/hyperlink" Target="http://papers.ssrn.com/sol3/papers.cfm?abstract_id=2157631" TargetMode="External"/><Relationship Id="rId52" Type="http://schemas.openxmlformats.org/officeDocument/2006/relationships/hyperlink" Target="http://papers.ssrn.com/sol3/papers.cfm?abstract_id=2245821" TargetMode="External"/><Relationship Id="rId60" Type="http://schemas.openxmlformats.org/officeDocument/2006/relationships/hyperlink" Target="http://papers.ssrn.com/sol3/papers.cfm?abstract_id=2482955" TargetMode="External"/><Relationship Id="rId65" Type="http://schemas.openxmlformats.org/officeDocument/2006/relationships/hyperlink" Target="http://papers.ssrn.com/sol3/papers.cfm?abstract_id=2482955" TargetMode="External"/><Relationship Id="rId73" Type="http://schemas.openxmlformats.org/officeDocument/2006/relationships/hyperlink" Target="https://papers.ssrn.com/sol3/papers.cfm?abstract_id=2534011" TargetMode="Externa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hyperlink" Target="http://papers.ssrn.com/sol3/papers.cfm?abstract_id=1352606" TargetMode="External"/><Relationship Id="rId18" Type="http://schemas.openxmlformats.org/officeDocument/2006/relationships/hyperlink" Target="http://www.maths.univ-evry.fr/prepubli/366.pdf" TargetMode="External"/><Relationship Id="rId39" Type="http://schemas.openxmlformats.org/officeDocument/2006/relationships/hyperlink" Target="http://papers.ssrn.com/sol3/papers.cfm?abstract_id=1785262" TargetMode="External"/><Relationship Id="rId34" Type="http://schemas.openxmlformats.org/officeDocument/2006/relationships/hyperlink" Target="https://papers.ssrn.com/sol3/papers.cfm?abstract_id=2605648" TargetMode="External"/><Relationship Id="rId50" Type="http://schemas.openxmlformats.org/officeDocument/2006/relationships/hyperlink" Target="http://investor.shareholder.com" TargetMode="External"/><Relationship Id="rId55" Type="http://schemas.openxmlformats.org/officeDocument/2006/relationships/hyperlink" Target="http://papers.ssrn.com/sol3/papers.cfm?abstract_id=1785262"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papers.ssrn.com/sol3/papers.cfm?abstract_id=2482955" TargetMode="External"/><Relationship Id="rId2" Type="http://schemas.openxmlformats.org/officeDocument/2006/relationships/styles" Target="styles.xml"/><Relationship Id="rId29" Type="http://schemas.openxmlformats.org/officeDocument/2006/relationships/hyperlink" Target="http://papers.ssrn.com/sol3/papers.cfm?abstract_id=150604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415</TotalTime>
  <Pages>1</Pages>
  <Words>94716</Words>
  <Characters>539883</Characters>
  <Application>Microsoft Office Word</Application>
  <DocSecurity>0</DocSecurity>
  <Lines>4499</Lines>
  <Paragraphs>1266</Paragraphs>
  <ScaleCrop>false</ScaleCrop>
  <HeadingPairs>
    <vt:vector size="2" baseType="variant">
      <vt:variant>
        <vt:lpstr>Title</vt:lpstr>
      </vt:variant>
      <vt:variant>
        <vt:i4>1</vt:i4>
      </vt:variant>
    </vt:vector>
  </HeadingPairs>
  <TitlesOfParts>
    <vt:vector size="1" baseType="lpstr">
      <vt:lpstr>XVA</vt:lpstr>
    </vt:vector>
  </TitlesOfParts>
  <Company>HP</Company>
  <LinksUpToDate>false</LinksUpToDate>
  <CharactersWithSpaces>633333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XVA</dc:title>
  <dc:creator>Yapptop</dc:creator>
  <cp:keywords>XVA</cp:keywords>
  <cp:lastModifiedBy>Yapptop</cp:lastModifiedBy>
  <cp:revision>32</cp:revision>
  <cp:lastPrinted>2018-02-21T01:46:00Z</cp:lastPrinted>
  <dcterms:created xsi:type="dcterms:W3CDTF">2018-02-17T18:49:00Z</dcterms:created>
  <dcterms:modified xsi:type="dcterms:W3CDTF">2018-02-21T01:47:00Z</dcterms:modified>
</cp:coreProperties>
</file>