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AF621C">
        <w:rPr>
          <w:b/>
          <w:bCs/>
        </w:rPr>
        <w:t>3</w:t>
      </w:r>
      <w:r w:rsidR="00170607">
        <w:rPr>
          <w:b/>
          <w:bCs/>
        </w:rPr>
        <w:t>8</w:t>
      </w:r>
      <w:r w:rsidR="00451A26">
        <w:rPr>
          <w:b/>
          <w:bCs/>
        </w:rPr>
        <w:t xml:space="preserve"> </w:t>
      </w:r>
      <w:r w:rsidR="00170607">
        <w:t>28</w:t>
      </w:r>
      <w:r>
        <w:t xml:space="preserve"> </w:t>
      </w:r>
      <w:r w:rsidR="002A6CDC">
        <w:t>March</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BE254F"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BE254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BE254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BE254F"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BE254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BE254F"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BE254F"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BE254F"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BE254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BE254F"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BE254F"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BE254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BE254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w:t>
      </w:r>
      <w:proofErr w:type="spellStart"/>
      <w:r>
        <w:t>ollateral</w:t>
      </w:r>
      <w:proofErr w:type="spellEnd"/>
      <w:r>
        <w:t xml:space="preserve">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BE254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BE254F"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BE254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BE254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BE254F"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BE254F"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BE254F"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BE254F"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m:t>
                      </m:r>
                      <m:r>
                        <w:rPr>
                          <w:rFonts w:ascii="Cambria Math" w:hAnsi="Cambria Math"/>
                        </w:rPr>
                        <m:t>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w:t>
      </w:r>
      <w:proofErr w:type="spellStart"/>
      <w:r>
        <w:t>o</w:t>
      </w:r>
      <w:proofErr w:type="spellEnd"/>
      <w:r>
        <w:t xml:space="preserve">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w:t>
      </w:r>
      <w:proofErr w:type="spellStart"/>
      <w:r>
        <w:t>sity</w:t>
      </w:r>
      <w:proofErr w:type="spellEnd"/>
      <w:r>
        <w:t xml:space="preserve">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BE254F"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BE254F"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BE254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BE254F"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BE254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BE254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BE254F"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BE254F"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BE254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BE254F"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BE254F"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BE254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9" o:title=""/>
          </v:shape>
          <o:OLEObject Type="Embed" ProgID="Equation.3" ShapeID="_x0000_i1025" DrawAspect="Content" ObjectID="_1584561541"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BE254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05pt;height:14.05pt" o:ole="">
            <v:imagedata r:id="rId9" o:title=""/>
          </v:shape>
          <o:OLEObject Type="Embed" ProgID="Equation.3" ShapeID="_x0000_i1026" DrawAspect="Content" ObjectID="_1584561542"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BE254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BE254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BE254F"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BE254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BE254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BE254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BE254F"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BE254F"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BE254F"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BE254F"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BE254F"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BE254F"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BE254F"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BE254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BE254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BE254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BE254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BE254F"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w:t>
      </w:r>
      <w:proofErr w:type="spellStart"/>
      <w:r>
        <w:t>nteger</w:t>
      </w:r>
      <w:proofErr w:type="spellEnd"/>
      <w:r>
        <w:t>.</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BE254F"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BE254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BE254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BE254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BE254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BE254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BE254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BE254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BE254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BE254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BE254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BE254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BE254F"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BE254F"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BE254F"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m:t>
                  </m:r>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BE254F"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proofErr w:type="spellStart"/>
      <w:r w:rsidR="00CE38D4">
        <w:t>a</w:t>
      </w:r>
      <w:r>
        <w:t>yer</w:t>
      </w:r>
      <w:proofErr w:type="spellEnd"/>
      <w:r>
        <w:t xml:space="preserve">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w:t>
      </w:r>
      <w:proofErr w:type="spellStart"/>
      <w:r>
        <w:t>alues</w:t>
      </w:r>
      <w:proofErr w:type="spellEnd"/>
      <w:r>
        <w:t xml:space="preserve">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BE254F"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m:t>
        </m:r>
        <m:r>
          <w:rPr>
            <w:rFonts w:ascii="Cambria Math" w:hAnsi="Cambria Math"/>
          </w:rPr>
          <m:t>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w:t>
      </w:r>
      <w:proofErr w:type="spellStart"/>
      <w:r w:rsidR="00893AB0">
        <w:t>en</w:t>
      </w:r>
      <w:proofErr w:type="spellEnd"/>
      <w:r w:rsidR="00893AB0">
        <w:t xml:space="preserve">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w:t>
      </w:r>
      <w:proofErr w:type="spellStart"/>
      <w:r>
        <w:t>ed</w:t>
      </w:r>
      <w:proofErr w:type="spellEnd"/>
      <w:r>
        <w:t xml:space="preserve"> as</w:t>
      </w:r>
    </w:p>
    <w:p w:rsidR="002207E3" w:rsidRDefault="002207E3" w:rsidP="002207E3">
      <w:pPr>
        <w:pStyle w:val="ListParagraph"/>
        <w:spacing w:after="200" w:line="360" w:lineRule="auto"/>
        <w:ind w:left="360"/>
        <w:rPr>
          <w:u w:val="single"/>
        </w:rPr>
      </w:pPr>
    </w:p>
    <w:p w:rsidR="00F16ECC" w:rsidRP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BE254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BE254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BE254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BE254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w:t>
      </w:r>
      <w:proofErr w:type="spellStart"/>
      <w:r>
        <w:t>ed</w:t>
      </w:r>
      <w:proofErr w:type="spellEnd"/>
      <w:r>
        <w:t xml:space="preserve">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the portfolio value of the c</w:t>
      </w:r>
      <w:proofErr w:type="spellStart"/>
      <w:r>
        <w:t>ollateral</w:t>
      </w:r>
      <w:proofErr w:type="spellEnd"/>
      <w:r>
        <w:t xml:space="preserve">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w:t>
      </w:r>
      <w:proofErr w:type="spellStart"/>
      <w:r w:rsidR="00951331">
        <w:t>terpolated</w:t>
      </w:r>
      <w:proofErr w:type="spellEnd"/>
      <w:r w:rsidR="00951331">
        <w:t xml:space="preserve">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BE254F"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in terms of the day count conventions of the st</w:t>
      </w:r>
      <w:proofErr w:type="spellStart"/>
      <w:r>
        <w:t>andard</w:t>
      </w:r>
      <w:proofErr w:type="spellEnd"/>
      <w:r>
        <w:t xml:space="preserve">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w:t>
      </w:r>
      <w:proofErr w:type="spellStart"/>
      <w:r>
        <w:t>ramework</w:t>
      </w:r>
      <w:proofErr w:type="spellEnd"/>
      <w:r>
        <w:t>.</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BE254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BE254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BE254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BE254F"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w:t>
      </w:r>
      <w:proofErr w:type="spellStart"/>
      <w:r>
        <w:t>alculate</w:t>
      </w:r>
      <w:proofErr w:type="spellEnd"/>
      <w:r>
        <w:t xml:space="preserv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m:t>
                  </m:r>
                  <m:r>
                    <w:rPr>
                      <w:rFonts w:ascii="Cambria Math" w:hAnsi="Cambria Math"/>
                    </w:rPr>
                    <m:t>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m:t>
              </m:r>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BE254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m:t>
          </m:r>
          <m:r>
            <w:rPr>
              <w:rFonts w:ascii="Cambria Math" w:hAnsi="Cambria Math"/>
            </w:rPr>
            <m:t>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BE254F"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BE254F"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BE254F"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BE254F"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BE254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BE254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BE254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BE254F"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BE254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BE254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BE254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BE254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BE254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BE254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m:t>
              </m:r>
              <m:r>
                <w:rPr>
                  <w:rFonts w:ascii="Cambria Math" w:hAnsi="Cambria Math"/>
                </w:rPr>
                <m:t>PE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BE254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BE254F"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BE254F"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BE254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BE254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BE254F"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BE254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BE254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BE254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BE254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BE254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BE254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BE254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BE254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BE254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BE254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BE254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w:t>
      </w:r>
      <w:proofErr w:type="spellStart"/>
      <w:r>
        <w:t>llateral</w:t>
      </w:r>
      <w:proofErr w:type="spellEnd"/>
      <w:r>
        <w:t xml:space="preserve">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BE254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BE254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BE254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BE254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BE254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BE254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BE254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BE254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BE254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BE254F"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w:t>
      </w:r>
      <w:proofErr w:type="spellStart"/>
      <w:r>
        <w:t>ncratic</w:t>
      </w:r>
      <w:proofErr w:type="spellEnd"/>
      <w:r>
        <w:t xml:space="preserve">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BE254F"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BE254F"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BE254F"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BE254F"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BE254F"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BE254F"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BE254F"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BE254F"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BE254F"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BE254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BE254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BE254F"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BE254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BE254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BE254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BE254F"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w:t>
      </w:r>
      <w:proofErr w:type="spellStart"/>
      <w:r>
        <w:t>ing</w:t>
      </w:r>
      <w:proofErr w:type="spellEnd"/>
      <w:r>
        <w:t xml:space="preserve">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BE254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BE254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BE254F"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BE254F"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BE254F"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BE254F"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the portfolio value of the co</w:t>
      </w:r>
      <w:proofErr w:type="spellStart"/>
      <w:r>
        <w:t>llateral</w:t>
      </w:r>
      <w:proofErr w:type="spellEnd"/>
      <w:r>
        <w:t xml:space="preserve">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BE254F"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BE254F"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BE254F"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m:t>
                      </m:r>
                      <m:r>
                        <w:rPr>
                          <w:rFonts w:ascii="Cambria Math" w:hAnsi="Cambria Math"/>
                        </w:rPr>
                        <m:t>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BE254F"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BE254F"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BE254F"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BE254F"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BE254F"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BE254F"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BE254F"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BE254F"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BE254F"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BE254F"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BE254F"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BE254F"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BE254F"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BE254F"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BE254F"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BE254F"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BE254F"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w:t>
      </w:r>
      <w:proofErr w:type="spellStart"/>
      <w:r>
        <w:t>bility</w:t>
      </w:r>
      <w:proofErr w:type="spellEnd"/>
      <w:r>
        <w:t xml:space="preserve">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BE254F"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BE254F"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BE254F"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BE254F"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BE254F"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BE254F"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BE254F"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BE254F"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BE254F"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BE254F"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BE254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w:t>
      </w:r>
      <w:proofErr w:type="spellStart"/>
      <w:r w:rsidR="00B02005">
        <w:t>ss</w:t>
      </w:r>
      <w:proofErr w:type="spellEnd"/>
      <w:r w:rsidR="00B02005">
        <w:t xml:space="preserve">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BE254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m:t>
        </m:r>
        <m:r>
          <w:rPr>
            <w:rFonts w:ascii="Cambria Math" w:hAnsi="Cambria Math"/>
          </w:rPr>
          <m:t>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BE254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BE254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BE254F"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BE254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BE254F"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BE254F"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BE254F"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BE254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BE254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BE254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BE254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BE254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BE254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BE254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BE254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BE254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BE254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BE254F"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BE254F"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BE254F"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BE254F"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BE254F"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BE254F"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BE254F"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BE254F"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w:t>
      </w:r>
      <w:proofErr w:type="spellStart"/>
      <w:r>
        <w:t>ollateralized</w:t>
      </w:r>
      <w:proofErr w:type="spellEnd"/>
      <w:r>
        <w:t xml:space="preserve">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BE254F"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BE254F"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BE254F"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m:t>
                      </m:r>
                      <m:r>
                        <w:rPr>
                          <w:rFonts w:ascii="Cambria Math" w:hAnsi="Cambria Math"/>
                        </w:rPr>
                        <m:t>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BE254F"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BE254F"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BE254F"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w:t>
      </w:r>
      <w:proofErr w:type="spellStart"/>
      <w:r>
        <w:t>ely</w:t>
      </w:r>
      <w:proofErr w:type="spellEnd"/>
      <w:r>
        <w:t xml:space="preserve">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BE254F"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BE254F"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BE254F"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BE254F"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6931FB" w:rsidRPr="002B2074" w:rsidRDefault="00BE254F"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BE254F"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BE254F"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w:t>
      </w:r>
      <w:proofErr w:type="spellStart"/>
      <w:r>
        <w:t>ero</w:t>
      </w:r>
      <w:proofErr w:type="spellEnd"/>
      <w:r>
        <w:t>).</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BE254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BE254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E254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BE254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r>
                            <w:rPr>
                              <w:rFonts w:ascii="Cambria Math" w:hAnsi="Cambria Math"/>
                            </w:rPr>
                            <m:t>EPE, -AENE</m:t>
                          </m:r>
                        </m:e>
                      </m:d>
                    </m:e>
                  </m:func>
                </m:den>
              </m:f>
            </m:e>
          </m:d>
        </m:oMath>
      </m:oMathPara>
    </w:p>
    <w:p w:rsidR="00F1608D" w:rsidRDefault="00F1608D" w:rsidP="00F1608D">
      <w:pPr>
        <w:pStyle w:val="ListParagraph"/>
        <w:spacing w:after="200" w:line="360" w:lineRule="auto"/>
        <w:ind w:left="360"/>
      </w:pPr>
    </w:p>
    <w:p w:rsidR="004C57FC" w:rsidRPr="00F1608D" w:rsidRDefault="00BE254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BE254F"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BE254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BE254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BE254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BE254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BE254F"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BE254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BE254F"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BE254F"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BE254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BE254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BE254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BE254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BE254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BE254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BE254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BE254F"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BE254F"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BE254F"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BE254F"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BE254F"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m:t>
        </m:r>
        <m:r>
          <w:rPr>
            <w:rFonts w:ascii="Cambria Math" w:hAnsi="Cambria Math"/>
          </w:rPr>
          <m:t>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BE254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BE254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BE254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BE254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BE254F"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BE254F"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BE254F"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BE254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BE254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BE254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BE254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BE254F"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BE254F"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BE254F"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BE254F"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BE254F"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BE254F"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BE254F"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BE254F"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BE254F"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t xml:space="preserve"> is configured to include the cash flow. Ot</w:t>
      </w:r>
      <w:proofErr w:type="spellStart"/>
      <w:r>
        <w:t>herwise</w:t>
      </w:r>
      <w:proofErr w:type="spellEnd"/>
      <w:r>
        <w:t xml:space="preserv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BE254F"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BE254F"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BE254F"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BE254F"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BE254F"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BE254F"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BE254F"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BE254F"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D83552">
      <w:pPr>
        <w:pStyle w:val="ListParagraph"/>
        <w:numPr>
          <w:ilvl w:val="0"/>
          <w:numId w:val="91"/>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D83552">
      <w:pPr>
        <w:pStyle w:val="ListParagraph"/>
        <w:numPr>
          <w:ilvl w:val="0"/>
          <w:numId w:val="91"/>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D83552">
      <w:pPr>
        <w:pStyle w:val="ListParagraph"/>
        <w:numPr>
          <w:ilvl w:val="0"/>
          <w:numId w:val="91"/>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D83552">
      <w:pPr>
        <w:pStyle w:val="ListParagraph"/>
        <w:numPr>
          <w:ilvl w:val="1"/>
          <w:numId w:val="91"/>
        </w:numPr>
        <w:spacing w:after="160" w:line="360" w:lineRule="auto"/>
      </w:pPr>
      <w:r>
        <w:t>Centralized Random Number Generation</w:t>
      </w:r>
    </w:p>
    <w:p w:rsidR="00CA12B3" w:rsidRDefault="00CA12B3" w:rsidP="00D83552">
      <w:pPr>
        <w:pStyle w:val="ListParagraph"/>
        <w:numPr>
          <w:ilvl w:val="1"/>
          <w:numId w:val="91"/>
        </w:numPr>
        <w:spacing w:after="160" w:line="360" w:lineRule="auto"/>
      </w:pPr>
      <w:r>
        <w:t>Market Data Simulation</w:t>
      </w:r>
    </w:p>
    <w:p w:rsidR="00CA12B3" w:rsidRDefault="00CA12B3" w:rsidP="00D83552">
      <w:pPr>
        <w:pStyle w:val="ListParagraph"/>
        <w:numPr>
          <w:ilvl w:val="1"/>
          <w:numId w:val="91"/>
        </w:numPr>
        <w:spacing w:after="160" w:line="360" w:lineRule="auto"/>
      </w:pPr>
      <w:r>
        <w:t>Trade Valuation</w:t>
      </w:r>
    </w:p>
    <w:p w:rsidR="00CA12B3" w:rsidRDefault="00CA12B3" w:rsidP="00D83552">
      <w:pPr>
        <w:pStyle w:val="ListParagraph"/>
        <w:numPr>
          <w:ilvl w:val="1"/>
          <w:numId w:val="91"/>
        </w:numPr>
        <w:spacing w:after="160" w:line="360" w:lineRule="auto"/>
      </w:pPr>
      <w:r>
        <w:t>Counter Party Level Aggregation</w:t>
      </w:r>
    </w:p>
    <w:p w:rsidR="00CA12B3" w:rsidRDefault="00CA12B3" w:rsidP="00D83552">
      <w:pPr>
        <w:pStyle w:val="ListParagraph"/>
        <w:numPr>
          <w:ilvl w:val="1"/>
          <w:numId w:val="91"/>
        </w:numPr>
        <w:spacing w:after="160" w:line="360" w:lineRule="auto"/>
      </w:pPr>
      <w:r>
        <w:t>XVA Calculation</w:t>
      </w:r>
    </w:p>
    <w:p w:rsidR="00CA12B3" w:rsidRDefault="00CA12B3" w:rsidP="00D83552">
      <w:pPr>
        <w:pStyle w:val="ListParagraph"/>
        <w:numPr>
          <w:ilvl w:val="0"/>
          <w:numId w:val="91"/>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D83552">
      <w:pPr>
        <w:pStyle w:val="ListParagraph"/>
        <w:numPr>
          <w:ilvl w:val="0"/>
          <w:numId w:val="91"/>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BE254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BE254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BE254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m:t>
                          </m:r>
                          <m:r>
                            <w:rPr>
                              <w:rFonts w:ascii="Cambria Math" w:hAnsi="Cambria Math"/>
                            </w:rPr>
                            <m:t>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BE254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m:t>
                                          </m:r>
                                          <m:r>
                                            <w:rPr>
                                              <w:rFonts w:ascii="Cambria Math" w:hAnsi="Cambria Math"/>
                                            </w:rPr>
                                            <m:t>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BE254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BE254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BE254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BE254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BE254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BE254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m:t>
                      </m:r>
                      <m:r>
                        <w:rPr>
                          <w:rFonts w:ascii="Cambria Math" w:hAnsi="Cambria Math"/>
                        </w:rPr>
                        <m:t>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m:t>
                      </m:r>
                      <m:r>
                        <w:rPr>
                          <w:rFonts w:ascii="Cambria Math" w:hAnsi="Cambria Math"/>
                        </w:rPr>
                        <m:t>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B26D7A" w:rsidRDefault="00B26D7A">
      <w:pPr>
        <w:spacing w:after="200" w:line="276" w:lineRule="auto"/>
      </w:pPr>
      <w:r>
        <w:br w:type="page"/>
      </w:r>
    </w:p>
    <w:p w:rsidR="00B26D7A" w:rsidRDefault="00B26D7A" w:rsidP="00F83992">
      <w:pPr>
        <w:spacing w:after="160" w:line="360" w:lineRule="auto"/>
      </w:pPr>
    </w:p>
    <w:p w:rsidR="00B26D7A" w:rsidRPr="00B26D7A" w:rsidRDefault="00B26D7A" w:rsidP="00B26D7A">
      <w:pPr>
        <w:spacing w:after="160" w:line="360" w:lineRule="auto"/>
        <w:jc w:val="center"/>
        <w:rPr>
          <w:b/>
          <w:sz w:val="32"/>
          <w:szCs w:val="32"/>
        </w:rPr>
      </w:pPr>
      <w:r w:rsidRPr="00B26D7A">
        <w:rPr>
          <w:b/>
          <w:sz w:val="32"/>
          <w:szCs w:val="32"/>
        </w:rPr>
        <w:t>Prudent Adjustments</w:t>
      </w:r>
    </w:p>
    <w:p w:rsidR="00B26D7A" w:rsidRDefault="00B26D7A" w:rsidP="00F83992">
      <w:pPr>
        <w:spacing w:after="160" w:line="360" w:lineRule="auto"/>
      </w:pPr>
    </w:p>
    <w:p w:rsidR="00B26D7A" w:rsidRDefault="00B26D7A" w:rsidP="00F83992">
      <w:pPr>
        <w:spacing w:after="160" w:line="360" w:lineRule="auto"/>
      </w:pPr>
    </w:p>
    <w:p w:rsidR="00B26D7A" w:rsidRPr="00B26D7A" w:rsidRDefault="00B26D7A" w:rsidP="00F83992">
      <w:pPr>
        <w:spacing w:after="160" w:line="360" w:lineRule="auto"/>
        <w:rPr>
          <w:b/>
          <w:sz w:val="28"/>
          <w:szCs w:val="28"/>
        </w:rPr>
      </w:pPr>
      <w:r w:rsidRPr="00B26D7A">
        <w:rPr>
          <w:b/>
          <w:sz w:val="28"/>
          <w:szCs w:val="28"/>
        </w:rPr>
        <w:t>Abstract</w:t>
      </w:r>
    </w:p>
    <w:p w:rsidR="00B26D7A" w:rsidRDefault="00B26D7A" w:rsidP="00F83992">
      <w:pPr>
        <w:spacing w:after="160" w:line="360" w:lineRule="auto"/>
      </w:pPr>
    </w:p>
    <w:p w:rsidR="00B26D7A" w:rsidRDefault="00B26D7A" w:rsidP="00B26D7A">
      <w:pPr>
        <w:pStyle w:val="ListParagraph"/>
        <w:numPr>
          <w:ilvl w:val="0"/>
          <w:numId w:val="221"/>
        </w:numPr>
        <w:spacing w:after="160" w:line="360" w:lineRule="auto"/>
      </w:pPr>
      <w:r w:rsidRPr="00B26D7A">
        <w:rPr>
          <w:u w:val="single"/>
        </w:rPr>
        <w:t>Inadequacy of Complete Markets Approach</w:t>
      </w:r>
      <w:r>
        <w:t>: The ongoing controversy about whether or not FVA and KVA should be an adjustment to fair valuation originates from the attempts to shoehorn the metrics quantifying market incompleteness into the traditional valuation paradigm based on complete markets.</w:t>
      </w:r>
    </w:p>
    <w:p w:rsidR="00B26D7A" w:rsidRDefault="00B26D7A" w:rsidP="00B26D7A">
      <w:pPr>
        <w:pStyle w:val="ListParagraph"/>
        <w:numPr>
          <w:ilvl w:val="0"/>
          <w:numId w:val="221"/>
        </w:numPr>
        <w:spacing w:after="160" w:line="360" w:lineRule="auto"/>
      </w:pPr>
      <w:r>
        <w:rPr>
          <w:u w:val="single"/>
        </w:rPr>
        <w:t>Prudent Valuation in Incomplete Markets</w:t>
      </w:r>
      <w:r w:rsidRPr="00B26D7A">
        <w:t>:</w:t>
      </w:r>
      <w:r>
        <w:t xml:space="preserve"> </w:t>
      </w:r>
      <w:r w:rsidR="00E96182">
        <w:t>After reviewing the concept of fair valuation, Albanese and Syrkin (2016) introduce the concept of prudent valuation in incomplete markets and discuss what went lost in translation in the FVA/KVA debate.</w:t>
      </w:r>
    </w:p>
    <w:p w:rsidR="00E96182" w:rsidRDefault="00E96182" w:rsidP="00F83992">
      <w:pPr>
        <w:spacing w:after="160" w:line="360" w:lineRule="auto"/>
      </w:pPr>
    </w:p>
    <w:p w:rsidR="003F31A8" w:rsidRDefault="003F31A8" w:rsidP="003F31A8">
      <w:pPr>
        <w:spacing w:after="160" w:line="360" w:lineRule="auto"/>
      </w:pPr>
    </w:p>
    <w:p w:rsidR="003F31A8" w:rsidRPr="00B26D7A" w:rsidRDefault="003F31A8" w:rsidP="003F31A8">
      <w:pPr>
        <w:spacing w:after="160" w:line="360" w:lineRule="auto"/>
        <w:rPr>
          <w:b/>
          <w:sz w:val="28"/>
          <w:szCs w:val="28"/>
        </w:rPr>
      </w:pPr>
      <w:r>
        <w:rPr>
          <w:b/>
          <w:sz w:val="28"/>
          <w:szCs w:val="28"/>
        </w:rPr>
        <w:t>Fair Valuations</w:t>
      </w:r>
    </w:p>
    <w:p w:rsidR="003F31A8" w:rsidRDefault="003F31A8" w:rsidP="003F31A8">
      <w:pPr>
        <w:spacing w:after="160" w:line="360" w:lineRule="auto"/>
      </w:pPr>
    </w:p>
    <w:p w:rsidR="003F31A8" w:rsidRDefault="003F31A8" w:rsidP="00501ADD">
      <w:pPr>
        <w:pStyle w:val="ListParagraph"/>
        <w:numPr>
          <w:ilvl w:val="0"/>
          <w:numId w:val="223"/>
        </w:numPr>
        <w:spacing w:after="160" w:line="360" w:lineRule="auto"/>
      </w:pPr>
      <w:r w:rsidRPr="00501ADD">
        <w:rPr>
          <w:u w:val="single"/>
        </w:rPr>
        <w:t>Traits of Complete Markets</w:t>
      </w:r>
      <w:r>
        <w:t xml:space="preserve">: In complete markets all conceivable trades can be executed; all payoffs can be perfectly replicated and there is no need for risk capital; </w:t>
      </w:r>
      <w:r w:rsidR="00501ADD">
        <w:t>REPO markets exist for all contingent claims and there are no funding costs for carrying derivatives.</w:t>
      </w:r>
    </w:p>
    <w:p w:rsidR="00501ADD" w:rsidRDefault="00501ADD" w:rsidP="00501ADD">
      <w:pPr>
        <w:pStyle w:val="ListParagraph"/>
        <w:numPr>
          <w:ilvl w:val="0"/>
          <w:numId w:val="223"/>
        </w:numPr>
        <w:spacing w:after="160" w:line="360" w:lineRule="auto"/>
      </w:pPr>
      <w:r>
        <w:rPr>
          <w:u w:val="single"/>
        </w:rPr>
        <w:t>Complete Markets - Trades/Participants/Mechanisms</w:t>
      </w:r>
      <w:r w:rsidRPr="00501ADD">
        <w:t>:</w:t>
      </w:r>
      <w:r>
        <w:t xml:space="preserve"> In complete markets, fair value of trades equals its cost of replication. Trades can be priced in isolation at levels that do not depend on the portfolio holdings. All economic agents are equivalent; there is no difference between a broker-dealer, a corporate client, a lender, or a dealer share-holder. </w:t>
      </w:r>
      <w:r w:rsidR="00FB53F5">
        <w:t xml:space="preserve">All market participants value assets identically. The value of a trade can be readily assessed as its exit </w:t>
      </w:r>
      <w:r w:rsidR="00FB53F5">
        <w:lastRenderedPageBreak/>
        <w:t>price, i.e., the amount that one can sell it for to any other market participant. Prices are also entirely insensitive to regulatory requirements regarding capital and collateralization.</w:t>
      </w:r>
    </w:p>
    <w:p w:rsidR="00FB1549" w:rsidRDefault="00FB1549" w:rsidP="00501ADD">
      <w:pPr>
        <w:pStyle w:val="ListParagraph"/>
        <w:numPr>
          <w:ilvl w:val="0"/>
          <w:numId w:val="223"/>
        </w:numPr>
        <w:spacing w:after="160" w:line="360" w:lineRule="auto"/>
      </w:pPr>
      <w:r>
        <w:rPr>
          <w:u w:val="single"/>
        </w:rPr>
        <w:t>Rationale behind the Use of MMT</w:t>
      </w:r>
      <w:r w:rsidRPr="00FB1549">
        <w:t>:</w:t>
      </w:r>
      <w:r>
        <w:t xml:space="preserve"> When markets are complete, Modigliani and Miller (1958) argue that all trades clear at levels both parties consider as fair, i.e., without wealth transfers (day-one gains). According to this argument, if an investment decision were to increase the wealth of a dealer as a whole but reduce the wealth of the share-holders, manage should still opt to take it, as share-holders in this case can retire the entire debt of the firm to compensate for the wealth transfer. According to this reasoning, dealers should optimally have no leverage at all.</w:t>
      </w:r>
    </w:p>
    <w:p w:rsidR="00FB1549" w:rsidRDefault="00FB1549" w:rsidP="00501ADD">
      <w:pPr>
        <w:pStyle w:val="ListParagraph"/>
        <w:numPr>
          <w:ilvl w:val="0"/>
          <w:numId w:val="223"/>
        </w:numPr>
        <w:spacing w:after="160" w:line="360" w:lineRule="auto"/>
      </w:pPr>
      <w:r>
        <w:rPr>
          <w:u w:val="single"/>
        </w:rPr>
        <w:t>Computation of the Fair Value</w:t>
      </w:r>
      <w:r w:rsidRPr="00FB1549">
        <w:t>:</w:t>
      </w:r>
      <w:r>
        <w:t xml:space="preserve"> Mathematically, fair valuations are uniquely computed as discounted expectations of future cash flows, simulated consistently with all market information.</w:t>
      </w:r>
    </w:p>
    <w:p w:rsidR="003B03E7" w:rsidRDefault="003B03E7" w:rsidP="003B03E7">
      <w:pPr>
        <w:spacing w:after="160" w:line="360" w:lineRule="auto"/>
      </w:pPr>
    </w:p>
    <w:p w:rsidR="003B03E7" w:rsidRDefault="003B03E7" w:rsidP="003B03E7">
      <w:pPr>
        <w:spacing w:after="160" w:line="360" w:lineRule="auto"/>
      </w:pPr>
    </w:p>
    <w:p w:rsidR="003B03E7" w:rsidRPr="003B03E7" w:rsidRDefault="003B03E7" w:rsidP="003B03E7">
      <w:pPr>
        <w:spacing w:after="160" w:line="360" w:lineRule="auto"/>
        <w:rPr>
          <w:b/>
          <w:sz w:val="28"/>
          <w:szCs w:val="28"/>
        </w:rPr>
      </w:pPr>
      <w:r w:rsidRPr="003B03E7">
        <w:rPr>
          <w:b/>
          <w:sz w:val="28"/>
          <w:szCs w:val="28"/>
        </w:rPr>
        <w:t>Wealth Transfers and Prudent Valuation</w:t>
      </w:r>
    </w:p>
    <w:p w:rsidR="003B03E7" w:rsidRDefault="003B03E7" w:rsidP="003B03E7">
      <w:pPr>
        <w:spacing w:after="160" w:line="360" w:lineRule="auto"/>
      </w:pPr>
    </w:p>
    <w:p w:rsidR="003B03E7" w:rsidRDefault="003B03E7" w:rsidP="003B03E7">
      <w:pPr>
        <w:pStyle w:val="ListParagraph"/>
        <w:numPr>
          <w:ilvl w:val="0"/>
          <w:numId w:val="224"/>
        </w:numPr>
        <w:spacing w:after="160" w:line="360" w:lineRule="auto"/>
      </w:pPr>
      <w:r w:rsidRPr="003B03E7">
        <w:rPr>
          <w:u w:val="single"/>
        </w:rPr>
        <w:t>Wealth Transfer in Incomplete Markets</w:t>
      </w:r>
      <w:r>
        <w:t>: Although real markets are very different from complete markets, the mathematical formulation of fair value as a discounted expectation is still useful as a global-anchor, market-wide measure of value which could not possibly give rise to any arbitrage opportunity, even if a market-competing infrastructure came into existence. However, there is no real reason to expect that, in general, trades actually clear at fair value levels, i.e., without a wealth transfer between the parties.</w:t>
      </w:r>
    </w:p>
    <w:p w:rsidR="003B03E7" w:rsidRDefault="003B03E7" w:rsidP="003B03E7">
      <w:pPr>
        <w:pStyle w:val="ListParagraph"/>
        <w:numPr>
          <w:ilvl w:val="0"/>
          <w:numId w:val="224"/>
        </w:numPr>
        <w:spacing w:after="160" w:line="360" w:lineRule="auto"/>
      </w:pPr>
      <w:r>
        <w:rPr>
          <w:u w:val="single"/>
        </w:rPr>
        <w:t>Quantifying the Wealth Transfer Components</w:t>
      </w:r>
      <w:r w:rsidRPr="003B03E7">
        <w:t>:</w:t>
      </w:r>
      <w:r>
        <w:t xml:space="preserve"> XVA metrics (e.g., FVA, KVA etc.) quantify such wealth transfers, i.e., they measure the degree by which the fair value requires modification. Trades by broker-dealers typically transfer wealth between creditors, counter-parties, and share-holders. Managers reflect wealth transfers in prudent valuations as it is their mandate to preserve the risk capital that funding costs could deplete. Prudent calculations also need to enable a sustainable dividend distribution policy. </w:t>
      </w:r>
      <w:r w:rsidR="006E178D">
        <w:t>The difference</w:t>
      </w:r>
      <w:r>
        <w:t xml:space="preserve"> </w:t>
      </w:r>
      <w:r>
        <w:lastRenderedPageBreak/>
        <w:t xml:space="preserve">between prudent and fair valuations is given by the XVA metrics. A concrete implementation of the XVAs </w:t>
      </w:r>
      <w:r w:rsidR="006E178D">
        <w:t>–</w:t>
      </w:r>
      <w:r>
        <w:t xml:space="preserve"> </w:t>
      </w:r>
      <w:r w:rsidR="006E178D">
        <w:t>out of the potential candidates – reflects the specific choice for completing the incomplete markets.</w:t>
      </w:r>
    </w:p>
    <w:p w:rsidR="00FE74B0" w:rsidRDefault="00FE74B0" w:rsidP="003B03E7">
      <w:pPr>
        <w:pStyle w:val="ListParagraph"/>
        <w:numPr>
          <w:ilvl w:val="0"/>
          <w:numId w:val="224"/>
        </w:numPr>
        <w:spacing w:after="160" w:line="360" w:lineRule="auto"/>
      </w:pPr>
      <w:r>
        <w:rPr>
          <w:u w:val="single"/>
        </w:rPr>
        <w:t>XVA Metrics Guiding the Operating Decisions</w:t>
      </w:r>
      <w:r>
        <w:t>: Hull and White (2016) agree that FVA is a wealth transfer from the share-holders to creditors, as proposed in Albanese, Andersen , and Iabichino (2015) Albanese, Caenazzo, and Crepey (2016), and Andersen, Duffie, and Song (2017). However, they argue that the wealth transfer should at least in principle be captured in the fair valuation of the dealer debt, and trades should clear at the fair valuation levels. In Albanese, Andersen , and Iabichino (2015) Albanese, Caenazzo, and Crepey (2016), and Andersen, Duffie, and Song (2017), it is stressed instead that virtually all decisions taken by dealer managers are predicated on prudent valuations and are sensitive to XVA metrics.</w:t>
      </w:r>
    </w:p>
    <w:p w:rsidR="00FE74B0" w:rsidRDefault="00FE74B0" w:rsidP="003B03E7">
      <w:pPr>
        <w:pStyle w:val="ListParagraph"/>
        <w:numPr>
          <w:ilvl w:val="0"/>
          <w:numId w:val="224"/>
        </w:numPr>
        <w:spacing w:after="160" w:line="360" w:lineRule="auto"/>
      </w:pPr>
      <w:r>
        <w:rPr>
          <w:u w:val="single"/>
        </w:rPr>
        <w:t>Rationale behind the Hull and White (2016) Hypothesis</w:t>
      </w:r>
      <w:r w:rsidRPr="00FE74B0">
        <w:t>:</w:t>
      </w:r>
      <w:r>
        <w:t xml:space="preserve"> The argument revolves around the expectation that there is a constant and statistically predictable deal flow. Under this assumption, wealth transfers from the bond-holders to share-holders would optimally occur at the point of the debt issuance. Creditors would grant a discount equivalent to all future incremental FVA due to future trades. </w:t>
      </w:r>
      <w:r w:rsidR="008D0F1B">
        <w:t>Banks would then recognize this discount as a gain and provision it as FVA reserve capital at the time of debt issuance.</w:t>
      </w:r>
    </w:p>
    <w:p w:rsidR="009C5DDF" w:rsidRDefault="009C5DDF" w:rsidP="003B03E7">
      <w:pPr>
        <w:pStyle w:val="ListParagraph"/>
        <w:numPr>
          <w:ilvl w:val="0"/>
          <w:numId w:val="224"/>
        </w:numPr>
        <w:spacing w:after="160" w:line="360" w:lineRule="auto"/>
      </w:pPr>
      <w:r>
        <w:rPr>
          <w:u w:val="single"/>
        </w:rPr>
        <w:t>Trade Flow and Capital Depletion</w:t>
      </w:r>
      <w:r w:rsidRPr="009C5DDF">
        <w:t>:</w:t>
      </w:r>
      <w:r>
        <w:t xml:space="preserve"> Since trade flow uncertainty in itself is a risk factor with potentially adverse effect on capital, Albanese and Syrkin (2016) believe that it is prudent to model portfolios on a run-off basis, i.e., treat each new trade as if it were the last one ever to be made. If a new trade triggers wealth transfers from share-holders to creditors, then the dealer must pass on to the end client the wealth transfer amount, which is the incremental FVA, in order to not deplete the capital.</w:t>
      </w:r>
    </w:p>
    <w:p w:rsidR="009C5DDF" w:rsidRDefault="00366C39" w:rsidP="003B03E7">
      <w:pPr>
        <w:pStyle w:val="ListParagraph"/>
        <w:numPr>
          <w:ilvl w:val="0"/>
          <w:numId w:val="224"/>
        </w:numPr>
        <w:spacing w:after="160" w:line="360" w:lineRule="auto"/>
      </w:pPr>
      <w:r>
        <w:rPr>
          <w:u w:val="single"/>
        </w:rPr>
        <w:t>Usage of the KVA Metric</w:t>
      </w:r>
      <w:r>
        <w:t>: The run-off assumption is also relevant in case of the KVA metric. Under Solvency II, KVA is called the risk-margin, and is a form of the loss-absorbing capital that is sourced from clients, retained at the inception and distributed gradually with time. Dividends are modeled as being proportional to the Economic Capital requirements by a proportionality</w:t>
      </w:r>
      <w:r w:rsidR="00732B8B">
        <w:t xml:space="preserve"> factor</w:t>
      </w:r>
      <w:r>
        <w:t xml:space="preserve"> called the hurdle rate. The KVA is then computed on a run-off basis conti</w:t>
      </w:r>
      <w:r w:rsidR="00732B8B">
        <w:t>n</w:t>
      </w:r>
      <w:r>
        <w:t>gent on the dealer never defaulting.</w:t>
      </w:r>
    </w:p>
    <w:p w:rsidR="007D47F9" w:rsidRDefault="007D47F9" w:rsidP="003B03E7">
      <w:pPr>
        <w:pStyle w:val="ListParagraph"/>
        <w:numPr>
          <w:ilvl w:val="0"/>
          <w:numId w:val="224"/>
        </w:numPr>
        <w:spacing w:after="160" w:line="360" w:lineRule="auto"/>
      </w:pPr>
      <w:r>
        <w:rPr>
          <w:u w:val="single"/>
        </w:rPr>
        <w:t>Principles behind Prudent Trade Valuation</w:t>
      </w:r>
      <w:r>
        <w:t>: In summary, the prudent valuation of a trade:</w:t>
      </w:r>
    </w:p>
    <w:p w:rsidR="007D47F9" w:rsidRDefault="007D47F9" w:rsidP="007D47F9">
      <w:pPr>
        <w:pStyle w:val="ListParagraph"/>
        <w:numPr>
          <w:ilvl w:val="1"/>
          <w:numId w:val="224"/>
        </w:numPr>
        <w:spacing w:after="160" w:line="360" w:lineRule="auto"/>
      </w:pPr>
      <w:r>
        <w:lastRenderedPageBreak/>
        <w:t>Does not entail a DVA benefit</w:t>
      </w:r>
    </w:p>
    <w:p w:rsidR="007D47F9" w:rsidRDefault="007D47F9" w:rsidP="007D47F9">
      <w:pPr>
        <w:pStyle w:val="ListParagraph"/>
        <w:numPr>
          <w:ilvl w:val="1"/>
          <w:numId w:val="224"/>
        </w:numPr>
        <w:spacing w:after="160" w:line="360" w:lineRule="auto"/>
      </w:pPr>
      <w:r>
        <w:t>Contains FVA adjustments to offset funding costs</w:t>
      </w:r>
    </w:p>
    <w:p w:rsidR="007D47F9" w:rsidRDefault="007D47F9" w:rsidP="007D47F9">
      <w:pPr>
        <w:pStyle w:val="ListParagraph"/>
        <w:numPr>
          <w:ilvl w:val="1"/>
          <w:numId w:val="224"/>
        </w:numPr>
        <w:spacing w:after="160" w:line="360" w:lineRule="auto"/>
      </w:pPr>
      <w:r>
        <w:t>Contains a KVA adjustment that eventually flows into the dividend stream</w:t>
      </w:r>
    </w:p>
    <w:p w:rsidR="007D47F9" w:rsidRDefault="007D47F9" w:rsidP="007D47F9">
      <w:pPr>
        <w:pStyle w:val="ListParagraph"/>
        <w:numPr>
          <w:ilvl w:val="0"/>
          <w:numId w:val="224"/>
        </w:numPr>
        <w:spacing w:after="160" w:line="360" w:lineRule="auto"/>
      </w:pPr>
      <w:r w:rsidRPr="007D47F9">
        <w:rPr>
          <w:u w:val="single"/>
        </w:rPr>
        <w:t>Bilateral Nature of Prudent Valuation</w:t>
      </w:r>
      <w:r>
        <w:t>: Since funding strategies involve portfolio-wide re-hypothecation and risk capita is calculated for the entire book, the FVA and the KVA are meaningful only if calculated for the entire portfolio, not individual trades. Strictly speaking, one can only talk about incremental prudent valuation of a trade when it is added to a portfolio. In particular, while fair-valuations are marker wide numbers, prudent valuations are bilateral and entity-specific. Polling for transaction prices yields the average for prudent valuations, but has no bearing on fair valuations.</w:t>
      </w:r>
    </w:p>
    <w:p w:rsidR="007D47F9" w:rsidRDefault="007D47F9" w:rsidP="007D47F9">
      <w:pPr>
        <w:spacing w:after="160" w:line="360" w:lineRule="auto"/>
      </w:pPr>
    </w:p>
    <w:p w:rsidR="007D47F9" w:rsidRDefault="007D47F9" w:rsidP="007D47F9">
      <w:pPr>
        <w:spacing w:after="160" w:line="360" w:lineRule="auto"/>
      </w:pPr>
    </w:p>
    <w:p w:rsidR="007D47F9" w:rsidRPr="00FD3BDB" w:rsidRDefault="007D47F9" w:rsidP="007D47F9">
      <w:pPr>
        <w:spacing w:after="160" w:line="360" w:lineRule="auto"/>
        <w:rPr>
          <w:b/>
          <w:sz w:val="28"/>
          <w:szCs w:val="28"/>
        </w:rPr>
      </w:pPr>
      <w:r w:rsidRPr="00FD3BDB">
        <w:rPr>
          <w:b/>
          <w:sz w:val="28"/>
          <w:szCs w:val="28"/>
        </w:rPr>
        <w:t>Los</w:t>
      </w:r>
      <w:r w:rsidR="00FD3BDB">
        <w:rPr>
          <w:b/>
          <w:sz w:val="28"/>
          <w:szCs w:val="28"/>
        </w:rPr>
        <w:t>s</w:t>
      </w:r>
      <w:r w:rsidRPr="00FD3BDB">
        <w:rPr>
          <w:b/>
          <w:sz w:val="28"/>
          <w:szCs w:val="28"/>
        </w:rPr>
        <w:t xml:space="preserve"> in Translation</w:t>
      </w:r>
    </w:p>
    <w:p w:rsidR="007D47F9" w:rsidRDefault="007D47F9" w:rsidP="007D47F9">
      <w:pPr>
        <w:spacing w:after="160" w:line="360" w:lineRule="auto"/>
      </w:pPr>
    </w:p>
    <w:p w:rsidR="007D47F9" w:rsidRDefault="007D47F9" w:rsidP="00FD3BDB">
      <w:pPr>
        <w:pStyle w:val="ListParagraph"/>
        <w:numPr>
          <w:ilvl w:val="0"/>
          <w:numId w:val="225"/>
        </w:numPr>
        <w:spacing w:after="160" w:line="360" w:lineRule="auto"/>
      </w:pPr>
      <w:r w:rsidRPr="00FD3BDB">
        <w:rPr>
          <w:u w:val="single"/>
        </w:rPr>
        <w:t>Share-holders Interests vs. Manager’s Incentives</w:t>
      </w:r>
      <w:r>
        <w:t xml:space="preserve">: </w:t>
      </w:r>
      <w:r w:rsidR="00FD3BDB">
        <w:t>Each and every decision that a broker-dealer takes uses the prudent valuation metrics – fair valuations are insufficient. By introducing FVA and KVA the industry seeks to embed the cost of funding and the cost of capital into the valuation process in order to align the interests of the share-holders with the incentives of the managers.</w:t>
      </w:r>
    </w:p>
    <w:p w:rsidR="00FD3BDB" w:rsidRDefault="00FD3BDB" w:rsidP="00FD3BDB">
      <w:pPr>
        <w:pStyle w:val="ListParagraph"/>
        <w:numPr>
          <w:ilvl w:val="0"/>
          <w:numId w:val="225"/>
        </w:numPr>
        <w:spacing w:after="160" w:line="360" w:lineRule="auto"/>
      </w:pPr>
      <w:r>
        <w:rPr>
          <w:u w:val="single"/>
        </w:rPr>
        <w:t>Treating the Funding/Capital Charges as Adjustments</w:t>
      </w:r>
      <w:r w:rsidRPr="00FD3BDB">
        <w:t>:</w:t>
      </w:r>
      <w:r>
        <w:t xml:space="preserve"> The banking industry struggles to achieve this objective with the traditional accounting framework, which is designed around capital markets. Since the only lever available to dealers is fair valuation, the FVA and the KVA are interpreted as adjustments, which flies in the face of finance theory.</w:t>
      </w:r>
    </w:p>
    <w:p w:rsidR="00FD3BDB" w:rsidRDefault="00FD3BDB" w:rsidP="00FD3BDB">
      <w:pPr>
        <w:pStyle w:val="ListParagraph"/>
        <w:numPr>
          <w:ilvl w:val="0"/>
          <w:numId w:val="225"/>
        </w:numPr>
        <w:spacing w:after="160" w:line="360" w:lineRule="auto"/>
      </w:pPr>
      <w:r>
        <w:rPr>
          <w:u w:val="single"/>
        </w:rPr>
        <w:t>Inadequacy of the Fair Value Metric</w:t>
      </w:r>
      <w:r w:rsidRPr="00FD3BDB">
        <w:t>:</w:t>
      </w:r>
      <w:r>
        <w:t xml:space="preserve"> Albanese and Syrkin (2016) concur with Hull and White (2016) in that what the market academics refer to as fair value for the derivative portfolios should not entail FVA and KVA adjustments. </w:t>
      </w:r>
      <w:r w:rsidR="00615266">
        <w:t>However, they also believe that fair valuations (in the academic sense of the word) are too aggressive for reporting purposes, and prudent valuations should be used.</w:t>
      </w:r>
    </w:p>
    <w:p w:rsidR="00615266" w:rsidRDefault="00615266" w:rsidP="00FD3BDB">
      <w:pPr>
        <w:pStyle w:val="ListParagraph"/>
        <w:numPr>
          <w:ilvl w:val="0"/>
          <w:numId w:val="225"/>
        </w:numPr>
        <w:spacing w:after="160" w:line="360" w:lineRule="auto"/>
      </w:pPr>
      <w:r>
        <w:rPr>
          <w:u w:val="single"/>
        </w:rPr>
        <w:lastRenderedPageBreak/>
        <w:t xml:space="preserve">Redefining a </w:t>
      </w:r>
      <w:r>
        <w:rPr>
          <w:i/>
          <w:u w:val="single"/>
        </w:rPr>
        <w:t>Prudential</w:t>
      </w:r>
      <w:r>
        <w:rPr>
          <w:u w:val="single"/>
        </w:rPr>
        <w:t xml:space="preserve"> Fair Value</w:t>
      </w:r>
      <w:r>
        <w:t xml:space="preserve">: </w:t>
      </w:r>
      <w:r w:rsidR="006A2924">
        <w:t>Albanese and Syrkin (2016) see no particular contradic</w:t>
      </w:r>
      <w:r w:rsidR="00971E8E">
        <w:t>tion in embedding the FVA in a redefinition of the fair value. Pathological situations occur only when the FVA is computed by symmetrically discounting a spread over OIS, since portfolios dominated by liabilities give rise to fictitious gains as portfolio FVA is negative. But if the FVA is valued asymmetrically as in Albanese, Andersen, and Iabichino (2015), there is no contradiction in embedding the FVA value into a redefinition of the fair valuation.</w:t>
      </w:r>
    </w:p>
    <w:p w:rsidR="001B00F1" w:rsidRDefault="001B00F1" w:rsidP="00FD3BDB">
      <w:pPr>
        <w:pStyle w:val="ListParagraph"/>
        <w:numPr>
          <w:ilvl w:val="0"/>
          <w:numId w:val="225"/>
        </w:numPr>
        <w:spacing w:after="160" w:line="360" w:lineRule="auto"/>
      </w:pPr>
      <w:r>
        <w:rPr>
          <w:u w:val="single"/>
        </w:rPr>
        <w:t>Intricacies Embedded in the KVA Hurdle Rate</w:t>
      </w:r>
      <w:r w:rsidRPr="001B00F1">
        <w:t>:</w:t>
      </w:r>
      <w:r>
        <w:t xml:space="preserve"> However, if the same procedure above is followed for the FVAs, one would arrive at undesirable consequences. For instance a change of target hurdle rate by managers would automatically trigger a write-off. It would be more appropriate if the dealers monitored the level of retained earnings on a mark-to-market basis, to determine an </w:t>
      </w:r>
      <w:r>
        <w:rPr>
          <w:i/>
        </w:rPr>
        <w:t>implied</w:t>
      </w:r>
      <w:r>
        <w:t xml:space="preserve"> hurdle rate for which the KVA would equal the retained earnings. </w:t>
      </w:r>
      <w:r w:rsidR="003509F2">
        <w:t xml:space="preserve">On this basis, dealers may report to investors both the </w:t>
      </w:r>
      <w:r w:rsidR="003509F2">
        <w:rPr>
          <w:i/>
        </w:rPr>
        <w:t>implied</w:t>
      </w:r>
      <w:r w:rsidR="003509F2">
        <w:t xml:space="preserve"> and the target hurdle rates, immunizing the earnings and the capital ratios from having any dependency in the hurdle rate.</w:t>
      </w:r>
    </w:p>
    <w:p w:rsidR="0097265C" w:rsidRDefault="0097265C" w:rsidP="00FD3BDB">
      <w:pPr>
        <w:pStyle w:val="ListParagraph"/>
        <w:numPr>
          <w:ilvl w:val="0"/>
          <w:numId w:val="225"/>
        </w:numPr>
        <w:spacing w:after="160" w:line="360" w:lineRule="auto"/>
      </w:pPr>
      <w:r>
        <w:rPr>
          <w:u w:val="single"/>
        </w:rPr>
        <w:t xml:space="preserve">The KVA </w:t>
      </w:r>
      <w:r>
        <w:rPr>
          <w:i/>
          <w:u w:val="single"/>
        </w:rPr>
        <w:t>Local Equilibrium</w:t>
      </w:r>
      <w:r>
        <w:rPr>
          <w:u w:val="single"/>
        </w:rPr>
        <w:t xml:space="preserve"> Adiabat</w:t>
      </w:r>
      <w:r>
        <w:t xml:space="preserve">: The introduction of the KVA has a cascading effect on the market dynamics. Two price metrics co-exist: market-wide fair valuations and local bilateral prudential valuations. The latter embed XVA adjustments and aim at preserving the capital while seeking to generate a sustainable ROE. As trades are executed, the economy only achieves a local optimum restricted to the dealer and the clients involved in the trade. Achieving a market-wide optimum requires a cascade of optimizing whereby further gains are achieved by re-allocating risk across all other financial institutions. A sequence of </w:t>
      </w:r>
      <w:r>
        <w:rPr>
          <w:i/>
        </w:rPr>
        <w:t>XVA Compression</w:t>
      </w:r>
      <w:r>
        <w:t xml:space="preserve"> steps is then required to achieve a global optimum.</w:t>
      </w:r>
    </w:p>
    <w:p w:rsidR="004B1046" w:rsidRDefault="004B1046" w:rsidP="00FD3BDB">
      <w:pPr>
        <w:pStyle w:val="ListParagraph"/>
        <w:numPr>
          <w:ilvl w:val="0"/>
          <w:numId w:val="225"/>
        </w:numPr>
        <w:spacing w:after="160" w:line="360" w:lineRule="auto"/>
      </w:pPr>
      <w:r>
        <w:rPr>
          <w:u w:val="single"/>
        </w:rPr>
        <w:t>Relaxation onto the Global Adiabat</w:t>
      </w:r>
      <w:r w:rsidRPr="004B1046">
        <w:t>:</w:t>
      </w:r>
      <w:r>
        <w:t xml:space="preserve"> Given the interconnectedness of the financial system, the occurrence of each trade creates, generally speaking, </w:t>
      </w:r>
      <w:r w:rsidR="00DE4C29">
        <w:t>a perturbation with market-wide impact triggering a cascade of bilateral and multi-lateral optimization steps for credit and collateral strategies. All complex systems showcase similar features whereby local optima are achieved rather quickly, while global relaxation to the equilibrium is a gradual and more slower process.</w:t>
      </w:r>
    </w:p>
    <w:p w:rsidR="00DE4C29" w:rsidRDefault="00DE4C29" w:rsidP="00FD3BDB">
      <w:pPr>
        <w:pStyle w:val="ListParagraph"/>
        <w:numPr>
          <w:ilvl w:val="0"/>
          <w:numId w:val="225"/>
        </w:numPr>
        <w:spacing w:after="160" w:line="360" w:lineRule="auto"/>
      </w:pPr>
      <w:r>
        <w:rPr>
          <w:u w:val="single"/>
        </w:rPr>
        <w:lastRenderedPageBreak/>
        <w:t>XVA Metrics ad Local Decision Drivers</w:t>
      </w:r>
      <w:r w:rsidRPr="00DE4C29">
        <w:t>:</w:t>
      </w:r>
      <w:r>
        <w:t xml:space="preserve"> In conclusion, prudent valuations and their embedded metrics are the local drivers that drive the decision making process of economic agents as they constantly strive to achieve optimality in a local, bilateral/entity-specific sense. As markets evolve towards a global optimum and market-competing infrastructure evolves too, in the limiting case of vanishing market efficiencies, valuations will converge to their theoretical market-wide fair values. Ho</w:t>
      </w:r>
      <w:r w:rsidR="00B427EB">
        <w:t>wever, current markets are a long way away from the theoretical market efficiency.</w:t>
      </w:r>
    </w:p>
    <w:p w:rsidR="003F31A8" w:rsidRDefault="003F31A8" w:rsidP="00F83992">
      <w:pPr>
        <w:spacing w:after="160" w:line="360" w:lineRule="auto"/>
      </w:pPr>
    </w:p>
    <w:p w:rsidR="00E96182" w:rsidRDefault="00E96182" w:rsidP="00E96182">
      <w:pPr>
        <w:spacing w:after="160" w:line="360" w:lineRule="auto"/>
      </w:pPr>
    </w:p>
    <w:p w:rsidR="00E96182" w:rsidRPr="00B26D7A" w:rsidRDefault="00E96182" w:rsidP="00E96182">
      <w:pPr>
        <w:spacing w:after="160" w:line="360" w:lineRule="auto"/>
        <w:rPr>
          <w:b/>
          <w:sz w:val="28"/>
          <w:szCs w:val="28"/>
        </w:rPr>
      </w:pPr>
      <w:r>
        <w:rPr>
          <w:b/>
          <w:sz w:val="28"/>
          <w:szCs w:val="28"/>
        </w:rPr>
        <w:t>References</w:t>
      </w:r>
    </w:p>
    <w:p w:rsidR="00E96182" w:rsidRDefault="00E96182" w:rsidP="00E96182">
      <w:pPr>
        <w:spacing w:after="160" w:line="360" w:lineRule="auto"/>
      </w:pPr>
    </w:p>
    <w:p w:rsidR="002020E8" w:rsidRDefault="002020E8" w:rsidP="002020E8">
      <w:pPr>
        <w:pStyle w:val="ListParagraph"/>
        <w:numPr>
          <w:ilvl w:val="0"/>
          <w:numId w:val="222"/>
        </w:numPr>
        <w:spacing w:after="160" w:line="360" w:lineRule="auto"/>
      </w:pPr>
      <w:r>
        <w:t>Albanese</w:t>
      </w:r>
      <w:r w:rsidRPr="0084037E">
        <w:t>, C.,</w:t>
      </w:r>
      <w:r>
        <w:t xml:space="preserve"> L. Andersen,</w:t>
      </w:r>
      <w:r w:rsidRPr="0084037E">
        <w:t xml:space="preserve"> and </w:t>
      </w:r>
      <w:r>
        <w:t>S</w:t>
      </w:r>
      <w:r w:rsidRPr="0084037E">
        <w:t xml:space="preserve">. </w:t>
      </w:r>
      <w:r>
        <w:t>Iabichino</w:t>
      </w:r>
      <w:r w:rsidRPr="0084037E">
        <w:t xml:space="preserve"> (201</w:t>
      </w:r>
      <w:r>
        <w:t>5</w:t>
      </w:r>
      <w:r w:rsidRPr="0084037E">
        <w:t xml:space="preserve">): </w:t>
      </w:r>
      <w:hyperlink r:id="rId35" w:history="1">
        <w:r>
          <w:rPr>
            <w:rStyle w:val="Hyperlink"/>
          </w:rPr>
          <w:t>The FVA Puzzle: Accounting, Risk Management, and Collateral Trading</w:t>
        </w:r>
      </w:hyperlink>
      <w:r w:rsidRPr="0084037E">
        <w:t xml:space="preserve"> </w:t>
      </w:r>
      <w:r w:rsidRPr="0084037E">
        <w:rPr>
          <w:b/>
        </w:rPr>
        <w:t>eSSRN</w:t>
      </w:r>
      <w:r w:rsidRPr="0084037E">
        <w:t>.</w:t>
      </w:r>
    </w:p>
    <w:p w:rsidR="00BF7408" w:rsidRDefault="00BF7408" w:rsidP="00BF7408">
      <w:pPr>
        <w:pStyle w:val="ListParagraph"/>
        <w:numPr>
          <w:ilvl w:val="0"/>
          <w:numId w:val="222"/>
        </w:numPr>
        <w:spacing w:after="160" w:line="360" w:lineRule="auto"/>
      </w:pPr>
      <w:r>
        <w:t>Albanese</w:t>
      </w:r>
      <w:r w:rsidRPr="0084037E">
        <w:t>, C.,</w:t>
      </w:r>
      <w:r>
        <w:t xml:space="preserve"> S. Caenazzo,</w:t>
      </w:r>
      <w:r w:rsidRPr="0084037E">
        <w:t xml:space="preserve"> and </w:t>
      </w:r>
      <w:r>
        <w:t>S</w:t>
      </w:r>
      <w:r w:rsidRPr="0084037E">
        <w:t xml:space="preserve">. </w:t>
      </w:r>
      <w:r>
        <w:t xml:space="preserve">Crepey </w:t>
      </w:r>
      <w:r w:rsidRPr="0084037E">
        <w:t>(201</w:t>
      </w:r>
      <w:r>
        <w:t>6</w:t>
      </w:r>
      <w:r w:rsidRPr="0084037E">
        <w:t xml:space="preserve">): </w:t>
      </w:r>
      <w:hyperlink r:id="rId36" w:history="1">
        <w:r>
          <w:rPr>
            <w:rStyle w:val="Hyperlink"/>
          </w:rPr>
          <w:t>Capital Valuation Adjustment and Funding Valuation Adjustment</w:t>
        </w:r>
      </w:hyperlink>
      <w:r w:rsidRPr="0084037E">
        <w:t xml:space="preserve"> </w:t>
      </w:r>
      <w:r w:rsidRPr="0084037E">
        <w:rPr>
          <w:b/>
        </w:rPr>
        <w:t>eSSRN</w:t>
      </w:r>
      <w:r w:rsidRPr="0084037E">
        <w:t>.</w:t>
      </w:r>
    </w:p>
    <w:p w:rsidR="00E96182" w:rsidRDefault="002020E8" w:rsidP="00E96182">
      <w:pPr>
        <w:pStyle w:val="ListParagraph"/>
        <w:numPr>
          <w:ilvl w:val="0"/>
          <w:numId w:val="222"/>
        </w:numPr>
        <w:spacing w:after="160" w:line="360" w:lineRule="auto"/>
      </w:pPr>
      <w:r>
        <w:t>Albanese</w:t>
      </w:r>
      <w:r w:rsidRPr="0084037E">
        <w:t xml:space="preserve">, C., and M. </w:t>
      </w:r>
      <w:r>
        <w:t>Syrkin</w:t>
      </w:r>
      <w:r w:rsidRPr="0084037E">
        <w:t xml:space="preserve"> (201</w:t>
      </w:r>
      <w:r>
        <w:t>6</w:t>
      </w:r>
      <w:r w:rsidRPr="0084037E">
        <w:t xml:space="preserve">): </w:t>
      </w:r>
      <w:hyperlink r:id="rId37" w:history="1">
        <w:r>
          <w:rPr>
            <w:rStyle w:val="Hyperlink"/>
          </w:rPr>
          <w:t>Prudent Adjustments</w:t>
        </w:r>
      </w:hyperlink>
      <w:r w:rsidRPr="0084037E">
        <w:t xml:space="preserve"> </w:t>
      </w:r>
      <w:r w:rsidRPr="0084037E">
        <w:rPr>
          <w:b/>
        </w:rPr>
        <w:t>eSSRN</w:t>
      </w:r>
      <w:r w:rsidRPr="0084037E">
        <w:t>.</w:t>
      </w:r>
    </w:p>
    <w:p w:rsidR="004B46C1" w:rsidRDefault="00607753" w:rsidP="00190ABD">
      <w:pPr>
        <w:pStyle w:val="ListParagraph"/>
        <w:numPr>
          <w:ilvl w:val="0"/>
          <w:numId w:val="222"/>
        </w:numPr>
        <w:spacing w:after="160" w:line="360" w:lineRule="auto"/>
      </w:pPr>
      <w:r>
        <w:t>Andersen</w:t>
      </w:r>
      <w:r w:rsidRPr="0084037E">
        <w:t xml:space="preserve">, </w:t>
      </w:r>
      <w:r>
        <w:t>L</w:t>
      </w:r>
      <w:r w:rsidRPr="0084037E">
        <w:t>.,</w:t>
      </w:r>
      <w:r>
        <w:t xml:space="preserve"> D. Duffie,</w:t>
      </w:r>
      <w:r w:rsidRPr="0084037E">
        <w:t xml:space="preserve"> and </w:t>
      </w:r>
      <w:r>
        <w:t>Y</w:t>
      </w:r>
      <w:r w:rsidRPr="0084037E">
        <w:t xml:space="preserve">. </w:t>
      </w:r>
      <w:r>
        <w:t>Song</w:t>
      </w:r>
      <w:r w:rsidRPr="0084037E">
        <w:t xml:space="preserve"> (201</w:t>
      </w:r>
      <w:r>
        <w:t>7</w:t>
      </w:r>
      <w:r w:rsidRPr="0084037E">
        <w:t xml:space="preserve">): </w:t>
      </w:r>
      <w:hyperlink r:id="rId38" w:history="1">
        <w:r>
          <w:rPr>
            <w:rStyle w:val="Hyperlink"/>
          </w:rPr>
          <w:t>Funding Value Adjustments</w:t>
        </w:r>
      </w:hyperlink>
      <w:r w:rsidRPr="0084037E">
        <w:t xml:space="preserve"> </w:t>
      </w:r>
      <w:r w:rsidRPr="004B46C1">
        <w:rPr>
          <w:b/>
        </w:rPr>
        <w:t>eSSRN</w:t>
      </w:r>
      <w:r w:rsidRPr="0084037E">
        <w:t>.</w:t>
      </w:r>
    </w:p>
    <w:p w:rsidR="004B46C1" w:rsidRDefault="004B46C1" w:rsidP="004B46C1">
      <w:pPr>
        <w:pStyle w:val="ListParagraph"/>
        <w:numPr>
          <w:ilvl w:val="0"/>
          <w:numId w:val="222"/>
        </w:numPr>
        <w:spacing w:after="200" w:line="360" w:lineRule="auto"/>
      </w:pPr>
      <w:r>
        <w:t xml:space="preserve">Hull, J., and A. White (2016): XVAs: Gap between Theory and Practice </w:t>
      </w:r>
      <w:r>
        <w:rPr>
          <w:i/>
        </w:rPr>
        <w:t>Risk</w:t>
      </w:r>
      <w:r>
        <w:t xml:space="preserve"> </w:t>
      </w:r>
      <w:r>
        <w:rPr>
          <w:b/>
        </w:rPr>
        <w:t>27 (4)</w:t>
      </w:r>
      <w:r>
        <w:t xml:space="preserve"> 50-52.</w:t>
      </w:r>
    </w:p>
    <w:p w:rsidR="00190ABD" w:rsidRPr="002D19A5" w:rsidRDefault="00190ABD" w:rsidP="00190ABD">
      <w:pPr>
        <w:pStyle w:val="ListParagraph"/>
        <w:numPr>
          <w:ilvl w:val="0"/>
          <w:numId w:val="222"/>
        </w:numPr>
        <w:spacing w:after="160" w:line="360" w:lineRule="auto"/>
      </w:pPr>
      <w:r>
        <w:t xml:space="preserve">Modigliani, F., and M. Miller (1958): The Cost of Capital, Corporation Finance, and the Theory of Investment </w:t>
      </w:r>
      <w:r w:rsidRPr="004B46C1">
        <w:rPr>
          <w:i/>
        </w:rPr>
        <w:t>Economic Review</w:t>
      </w:r>
      <w:r>
        <w:t xml:space="preserve"> </w:t>
      </w:r>
      <w:r w:rsidRPr="004B46C1">
        <w:rPr>
          <w:b/>
        </w:rPr>
        <w:t>48</w:t>
      </w:r>
      <w:r>
        <w:t xml:space="preserve"> 261-297.</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w:t>
      </w:r>
      <w:proofErr w:type="spellStart"/>
      <w:r>
        <w:rPr>
          <w:rFonts w:eastAsiaTheme="minorEastAsia"/>
        </w:rPr>
        <w:t>qual</w:t>
      </w:r>
      <w:proofErr w:type="spell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BE254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w:t>
      </w:r>
      <w:proofErr w:type="spellStart"/>
      <w:r w:rsidR="00397E59" w:rsidRPr="00F7337F">
        <w:rPr>
          <w:rFonts w:eastAsiaTheme="minorEastAsia"/>
        </w:rPr>
        <w:t>er</w:t>
      </w:r>
      <w:proofErr w:type="spellEnd"/>
      <w:r w:rsidR="00397E59" w:rsidRPr="00F7337F">
        <w:rPr>
          <w:rFonts w:eastAsiaTheme="minorEastAsia"/>
        </w:rPr>
        <w:t xml:space="preserve"> </w:t>
      </w:r>
      <m:oMath>
        <m:r>
          <w:rPr>
            <w:rFonts w:ascii="Cambria Math" w:hAnsi="Cambria Math"/>
          </w:rPr>
          <m:t>B</m:t>
        </m:r>
      </m:oMath>
    </w:p>
    <w:p w:rsidR="00397E59" w:rsidRPr="00F7337F" w:rsidRDefault="00BE254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BE254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BE254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BE254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BE254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BE254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BE254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BE254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BE254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BE254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BE254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BE254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w:t>
      </w:r>
      <w:proofErr w:type="spellStart"/>
      <w:r w:rsidR="00397E59">
        <w:rPr>
          <w:rFonts w:eastAsiaTheme="minorEastAsia"/>
        </w:rPr>
        <w:t>ond</w:t>
      </w:r>
      <w:proofErr w:type="spellEnd"/>
      <w:r w:rsidR="00397E59">
        <w:rPr>
          <w:rFonts w:eastAsiaTheme="minorEastAsia"/>
        </w:rPr>
        <w:t xml:space="preserve">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w:t>
      </w:r>
      <w:proofErr w:type="spellStart"/>
      <w:r>
        <w:rPr>
          <w:rFonts w:eastAsiaTheme="minorEastAsia"/>
        </w:rPr>
        <w:t>ses</w:t>
      </w:r>
      <w:proofErr w:type="spellEnd"/>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BE254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w:t>
      </w:r>
      <w:proofErr w:type="spellStart"/>
      <w:r>
        <w:rPr>
          <w:rFonts w:eastAsiaTheme="minorEastAsia"/>
        </w:rPr>
        <w:t>rall</w:t>
      </w:r>
      <w:proofErr w:type="spellEnd"/>
      <w:r>
        <w:rPr>
          <w:rFonts w:eastAsiaTheme="minorEastAsia"/>
        </w:rPr>
        <w:t xml:space="preserve">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BE254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BE254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BE254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BE254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E254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E254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E254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E254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BE254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BE254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w:t>
      </w:r>
      <w:proofErr w:type="spellStart"/>
      <w:r>
        <w:rPr>
          <w:rFonts w:eastAsiaTheme="minorEastAsia"/>
        </w:rPr>
        <w:t>eplication</w:t>
      </w:r>
      <w:proofErr w:type="spellEnd"/>
      <w:r>
        <w:rPr>
          <w:rFonts w:eastAsiaTheme="minorEastAsia"/>
        </w:rPr>
        <w:t xml:space="preserve">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E254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E254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E254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BE254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BE254F"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BE254F"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BE254F"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BE254F"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w:t>
      </w:r>
      <w:proofErr w:type="spellStart"/>
      <w:r w:rsidRPr="00B8739F">
        <w:rPr>
          <w:rFonts w:eastAsiaTheme="minorEastAsia"/>
        </w:rPr>
        <w:t>eplication</w:t>
      </w:r>
      <w:proofErr w:type="spellEnd"/>
      <w:r w:rsidRPr="00B8739F">
        <w:rPr>
          <w:rFonts w:eastAsiaTheme="minorEastAsia"/>
        </w:rPr>
        <w:t xml:space="preserve">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w:t>
      </w:r>
      <w:proofErr w:type="spellStart"/>
      <w:r>
        <w:rPr>
          <w:rFonts w:eastAsiaTheme="minorEastAsia"/>
        </w:rPr>
        <w:t>hypothecable</w:t>
      </w:r>
      <w:proofErr w:type="spellEnd"/>
      <w:r>
        <w:rPr>
          <w:rFonts w:eastAsiaTheme="minorEastAsia"/>
        </w:rPr>
        <w:t xml:space="preserv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BE254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w:t>
      </w:r>
      <w:proofErr w:type="spellStart"/>
      <w:r>
        <w:rPr>
          <w:rFonts w:eastAsiaTheme="minorEastAsia"/>
        </w:rPr>
        <w:t>ements</w:t>
      </w:r>
      <w:proofErr w:type="spellEnd"/>
      <w:r>
        <w:rPr>
          <w:rFonts w:eastAsiaTheme="minorEastAsia"/>
        </w:rPr>
        <w:t xml:space="preserve">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E254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E254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E254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w:t>
      </w:r>
      <w:proofErr w:type="spellStart"/>
      <w:r>
        <w:rPr>
          <w:rFonts w:eastAsiaTheme="minorEastAsia"/>
        </w:rPr>
        <w:t>ll</w:t>
      </w:r>
      <w:proofErr w:type="spellEnd"/>
      <w:r>
        <w:rPr>
          <w:rFonts w:eastAsiaTheme="minorEastAsia"/>
        </w:rPr>
        <w:t xml:space="preserve">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BE254F"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BE254F"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BE254F"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BE254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BE254F"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BE254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w:t>
      </w:r>
      <w:proofErr w:type="spellStart"/>
      <w:r>
        <w:rPr>
          <w:rFonts w:eastAsiaTheme="minorEastAsia"/>
        </w:rPr>
        <w:t>ed</w:t>
      </w:r>
      <w:proofErr w:type="spellEnd"/>
      <w:r>
        <w:rPr>
          <w:rFonts w:eastAsiaTheme="minorEastAsia"/>
        </w:rPr>
        <w:t xml:space="preserve">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w:t>
      </w:r>
      <w:proofErr w:type="spellStart"/>
      <w:r>
        <w:rPr>
          <w:rFonts w:eastAsiaTheme="minorEastAsia"/>
        </w:rPr>
        <w:t>ecovery</w:t>
      </w:r>
      <w:proofErr w:type="spellEnd"/>
      <w:r>
        <w:rPr>
          <w:rFonts w:eastAsiaTheme="minorEastAsia"/>
        </w:rPr>
        <w:t>.</w:t>
      </w:r>
    </w:p>
    <w:p w:rsidR="00397E59" w:rsidRPr="00D84B0E" w:rsidRDefault="00BE254F"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w:t>
      </w:r>
      <w:proofErr w:type="spellStart"/>
      <w:r>
        <w:rPr>
          <w:rFonts w:eastAsiaTheme="minorEastAsia"/>
        </w:rPr>
        <w:t>nd</w:t>
      </w:r>
      <w:proofErr w:type="spellEnd"/>
      <w:r>
        <w:rPr>
          <w:rFonts w:eastAsiaTheme="minorEastAsia"/>
        </w:rPr>
        <w:t xml:space="preserve">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BE254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BE254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BE254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E254F"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BE254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9"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40"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41"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42"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43"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4"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5"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6"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7"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8"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BE254F"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50"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52"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53"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4"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5"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6"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w:t>
      </w:r>
      <w:proofErr w:type="spellStart"/>
      <w:r>
        <w:t>osses</w:t>
      </w:r>
      <w:proofErr w:type="spellEnd"/>
      <w:r>
        <w:t xml:space="preserve">.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w:t>
      </w:r>
      <w:proofErr w:type="spellStart"/>
      <w:r>
        <w:t>rfectly</w:t>
      </w:r>
      <w:proofErr w:type="spellEnd"/>
      <w:r>
        <w:t xml:space="preserve"> functioning REPO market for derivatives would have</w:t>
      </w:r>
    </w:p>
    <w:p w:rsidR="00397E59" w:rsidRDefault="00397E59" w:rsidP="00397E59">
      <w:pPr>
        <w:pStyle w:val="ListParagraph"/>
        <w:spacing w:line="360" w:lineRule="auto"/>
        <w:ind w:left="360"/>
        <w:rPr>
          <w:u w:val="single"/>
        </w:rPr>
      </w:pPr>
    </w:p>
    <w:p w:rsidR="00397E59" w:rsidRPr="00746E27" w:rsidRDefault="00BE254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w:t>
      </w:r>
      <w:proofErr w:type="spellStart"/>
      <w:r>
        <w:t>nsfer</w:t>
      </w:r>
      <w:proofErr w:type="spellEnd"/>
      <w:r>
        <w:t xml:space="preserve">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w:t>
      </w:r>
      <w:proofErr w:type="spellStart"/>
      <w:r>
        <w:t>ransfer</w:t>
      </w:r>
      <w:proofErr w:type="spellEnd"/>
      <w:r>
        <w:t xml:space="preserve">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9"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60"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61"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BE254F"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w:t>
      </w:r>
      <w:proofErr w:type="spellStart"/>
      <w:r>
        <w:t>itions</w:t>
      </w:r>
      <w:proofErr w:type="spellEnd"/>
      <w:r>
        <w:t xml:space="preserve">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w:t>
      </w:r>
      <w:proofErr w:type="spellStart"/>
      <w:r>
        <w:t>terparties</w:t>
      </w:r>
      <w:proofErr w:type="spellEnd"/>
      <w:r>
        <w:t xml:space="preserve">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Senior bank cre</w:t>
      </w:r>
      <w:proofErr w:type="spellStart"/>
      <w:r>
        <w:t>ditors</w:t>
      </w:r>
      <w:proofErr w:type="spellEnd"/>
      <w:r>
        <w:t xml:space="preserve">,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3"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BE254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w:t>
      </w:r>
      <w:proofErr w:type="spellStart"/>
      <w:r>
        <w:t>duced</w:t>
      </w:r>
      <w:proofErr w:type="spellEnd"/>
      <w:r>
        <w:t xml:space="preserve">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w:t>
      </w:r>
      <w:proofErr w:type="spellStart"/>
      <w:r>
        <w:t>ing</w:t>
      </w:r>
      <w:proofErr w:type="spellEnd"/>
      <w:r>
        <w:t xml:space="preserve">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m:t>
              </m:r>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w:t>
      </w:r>
      <w:r w:rsidR="009F7F99">
        <w:t>is</w:t>
      </w:r>
      <w:r>
        <w:t xml:space="preserv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BE254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w:t>
      </w:r>
      <w:bookmarkStart w:id="0" w:name="_GoBack"/>
      <w:bookmarkEnd w:id="0"/>
      <w:r>
        <w:t>into cost and benefit components as follows.</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m:t>
                                  </m:r>
                                  <m:r>
                                    <w:rPr>
                                      <w:rFonts w:ascii="Cambria Math" w:hAnsi="Cambria Math"/>
                                      <w:u w:val="single"/>
                                    </w:rPr>
                                    <m:t>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BE254F"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BE254F"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BE254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BE254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BE254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BE254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BE254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BE254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BE254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6"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BE254F"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BE254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w:t>
      </w:r>
      <w:proofErr w:type="spellStart"/>
      <w:r>
        <w:t>ateral</w:t>
      </w:r>
      <w:proofErr w:type="spellEnd"/>
      <w:r>
        <w:t xml:space="preserve">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w:t>
      </w:r>
      <w:proofErr w:type="spellStart"/>
      <w:r>
        <w:t>argin</w:t>
      </w:r>
      <w:proofErr w:type="spellEnd"/>
      <w:r>
        <w:t xml:space="preserve">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BE254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BE254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m:t>
          </m:r>
          <m:r>
            <w:rPr>
              <w:rFonts w:ascii="Cambria Math" w:hAnsi="Cambria Math"/>
            </w:rPr>
            <m:t>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w:t>
      </w:r>
      <w:proofErr w:type="spellStart"/>
      <w:r>
        <w:t>essions</w:t>
      </w:r>
      <w:proofErr w:type="spellEnd"/>
      <w:r>
        <w:t xml:space="preserve">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8"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m:t>
          </m:r>
          <m:r>
            <w:rPr>
              <w:rFonts w:ascii="Cambria Math" w:hAnsi="Cambria Math"/>
            </w:rPr>
            <m:t>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w:t>
      </w:r>
      <w:proofErr w:type="spellStart"/>
      <w:r>
        <w:t>tentially</w:t>
      </w:r>
      <w:proofErr w:type="spellEnd"/>
      <w:r>
        <w:t xml:space="preserve">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BE254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w:t>
      </w:r>
      <w:proofErr w:type="spellStart"/>
      <w:r>
        <w:t>gned</w:t>
      </w:r>
      <w:proofErr w:type="spellEnd"/>
      <w:r>
        <w:t xml:space="preserve">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7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71"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72"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BE254F"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BE254F"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w:t>
      </w:r>
      <w:proofErr w:type="spellStart"/>
      <w:r>
        <w:t>onsiderations</w:t>
      </w:r>
      <w:proofErr w:type="spellEnd"/>
      <w:r>
        <w:t xml:space="preserve">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w:t>
      </w:r>
      <w:proofErr w:type="spellStart"/>
      <w:r w:rsidR="00F55C37">
        <w:t>llows</w:t>
      </w:r>
      <w:proofErr w:type="spellEnd"/>
      <w:r w:rsidR="00F55C37">
        <w:t xml:space="preserve">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w:t>
      </w:r>
      <w:proofErr w:type="spellStart"/>
      <w:r w:rsidR="00BE722B">
        <w:t>er</w:t>
      </w:r>
      <w:proofErr w:type="spellEnd"/>
      <w:r w:rsidR="00BE722B">
        <w:t xml:space="preserve">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BE254F"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 xml:space="preserve">does not fully align executive incentives with </w:t>
      </w:r>
      <w:proofErr w:type="spellStart"/>
      <w:r>
        <w:t>shareholders</w:t>
      </w:r>
      <w:proofErr w:type="spell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w:t>
      </w:r>
      <w:proofErr w:type="spellStart"/>
      <w:r w:rsidRPr="00826E40">
        <w:rPr>
          <w:u w:val="single"/>
        </w:rPr>
        <w:t>eholders</w:t>
      </w:r>
      <w:proofErr w:type="spellEnd"/>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proofErr w:type="spellStart"/>
      <w:r w:rsidR="00E61D9E">
        <w:t>n</w:t>
      </w:r>
      <w:r>
        <w:t>ged</w:t>
      </w:r>
      <w:proofErr w:type="spellEnd"/>
      <w:r>
        <w:t>.</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r>
              <w:rPr>
                <w:rFonts w:ascii="Cambria Math" w:hAnsi="Cambria Math"/>
              </w:rPr>
              <m:t>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w:t>
      </w:r>
      <w:proofErr w:type="spellStart"/>
      <w:r>
        <w:t>uffer</w:t>
      </w:r>
      <w:proofErr w:type="spellEnd"/>
      <w:r>
        <w:t xml:space="preserve">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w:t>
      </w:r>
      <w:proofErr w:type="spellStart"/>
      <w:r w:rsidR="00594EFA">
        <w:t>eant</w:t>
      </w:r>
      <w:proofErr w:type="spellEnd"/>
      <w:r w:rsidR="00594EFA">
        <w:t xml:space="preserve">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73"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74"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D. Brigo, and F. Oertel (2013): </w:t>
      </w:r>
      <w:hyperlink r:id="rId75" w:history="1">
        <w:r>
          <w:rPr>
            <w:rStyle w:val="Hyperlink"/>
          </w:rPr>
          <w:t>Restructuring Counterparty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BE254F"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BE254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BE254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BE254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BE254F"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BE254F"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BE254F"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BE254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BE254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BE254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whereas if the issuer defau</w:t>
      </w:r>
      <w:proofErr w:type="spellStart"/>
      <w:r w:rsidR="00AA126B">
        <w:t>lts</w:t>
      </w:r>
      <w:proofErr w:type="spellEnd"/>
      <w:r w:rsidR="00AA126B">
        <w:t xml:space="preserve">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BE254F"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BE254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BE254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BE254F"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BE254F"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BE254F"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BE254F"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BE254F"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BE254F"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BE254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BE254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BE254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BE254F"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BE254F"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BE254F"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BE254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BE254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BE254F"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BE254F"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BE254F"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BE254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BE254F"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BE254F"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BE254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BE254F"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BE254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BE254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BE254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BE254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BE254F"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BE254F"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BE254F"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BE254F"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BE254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BE254F"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BE254F"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BE254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BE254F"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BE254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BE254F"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BE254F"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BE254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m:t>
                  </m:r>
                </m:sub>
              </m:sSub>
            </m:e>
          </m:d>
        </m:oMath>
      </m:oMathPara>
    </w:p>
    <w:p w:rsidR="004D767E" w:rsidRDefault="004D767E" w:rsidP="004D767E">
      <w:pPr>
        <w:pStyle w:val="ListParagraph"/>
        <w:spacing w:line="360" w:lineRule="auto"/>
        <w:ind w:left="360"/>
      </w:pPr>
    </w:p>
    <w:p w:rsidR="001A0093" w:rsidRDefault="00BE254F"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BE254F"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r>
                        <w:rPr>
                          <w:rFonts w:ascii="Cambria Math" w:hAnsi="Cambria Math"/>
                        </w:rPr>
                        <m:t>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BE254F"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BE254F"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BE254F"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BE254F"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BE254F"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BE254F"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BE254F"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E254F"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BE254F"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BE254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BE254F"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BE254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Thus these terms would not be the ones to be used in contra-asset and the contra-liability account</w:t>
      </w:r>
      <w:proofErr w:type="spellStart"/>
      <w:r>
        <w:t>ing</w:t>
      </w:r>
      <w:proofErr w:type="spellEnd"/>
      <w:r>
        <w:t xml:space="preserve">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BE254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BE254F"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BE254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BE254F"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w:t>
      </w:r>
      <w:proofErr w:type="spellStart"/>
      <w:r>
        <w:t>nceforth</w:t>
      </w:r>
      <w:proofErr w:type="spellEnd"/>
      <w:r>
        <w:t xml:space="preserve"> – yields a system of linear PDE’s:</w:t>
      </w:r>
    </w:p>
    <w:p w:rsidR="005F1E57" w:rsidRDefault="005F1E57" w:rsidP="005F1E57">
      <w:pPr>
        <w:pStyle w:val="ListParagraph"/>
        <w:spacing w:line="360" w:lineRule="auto"/>
        <w:ind w:left="360"/>
        <w:rPr>
          <w:u w:val="single"/>
        </w:rPr>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w:t>
      </w:r>
      <w:proofErr w:type="spellStart"/>
      <w:r>
        <w:t>ults</w:t>
      </w:r>
      <w:proofErr w:type="spellEnd"/>
      <w:r>
        <w:t>. The hedge errors in this case are given by</w:t>
      </w:r>
    </w:p>
    <w:p w:rsidR="005F1E57" w:rsidRDefault="005F1E57" w:rsidP="005F1E57">
      <w:pPr>
        <w:pStyle w:val="ListParagraph"/>
        <w:spacing w:line="360" w:lineRule="auto"/>
        <w:ind w:left="360"/>
        <w:rPr>
          <w:u w:val="single"/>
        </w:rPr>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BE254F"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BE254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w:t>
      </w:r>
      <w:proofErr w:type="spellStart"/>
      <w:r>
        <w:t>itive</w:t>
      </w:r>
      <w:proofErr w:type="spellEnd"/>
      <w:r>
        <w:t xml:space="preser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BE254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BE254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BE254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BE254F"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BE254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BE254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E254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E254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BE254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E254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E254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BE254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BE254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BE254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BE254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BE254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BE254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BE254F"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BE254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BE254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BE254F"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BE254F"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BE254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BE254F"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BE254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BE254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BE254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BE254F"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BE254F"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BE254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BE254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BE254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BE254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BE254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BE254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BE254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E254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E254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BE254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E254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E254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BE254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BE254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BE254F"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BE254F"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BE254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BE254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BE254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BE254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BE254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BE254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BE254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BE254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BE254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BE254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BE254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BE254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BE254F"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BE254F"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BE254F"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BE254F"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BE254F"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BE254F"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BE254F"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BE254F"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BE254F"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BE254F"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BE254F"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BE254F"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BE254F"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BE254F"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BE254F"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BE254F"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BE254F"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BE254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BE254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BE254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BE254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BE254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BE254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BE254F"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BE254F"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BE254F"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BE254F"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BE254F"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BE254F"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BE254F"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BE254F"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BE254F"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BE254F"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BE254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BE254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BE254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BE254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BE254F"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BE254F"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BE254F"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w:t>
      </w:r>
      <w:proofErr w:type="spellStart"/>
      <w:r w:rsidR="00020B11" w:rsidRPr="00167872">
        <w:rPr>
          <w:u w:val="single"/>
        </w:rPr>
        <w:t>onservative</w:t>
      </w:r>
      <w:proofErr w:type="spellEnd"/>
      <w:r w:rsidR="00020B11" w:rsidRPr="00167872">
        <w:rPr>
          <w:u w:val="single"/>
        </w:rPr>
        <w:t xml:space="preser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BE254F"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BE254F"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BE254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BE254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BE254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BE254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BE254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BE254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BE254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BE254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BE254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BE254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BE254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BE254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w:t>
      </w:r>
      <w:proofErr w:type="spellStart"/>
      <w:r>
        <w:t>gy</w:t>
      </w:r>
      <w:proofErr w:type="spellEnd"/>
      <w:r>
        <w:t xml:space="preserve">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76"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7"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8"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79"/>
      <w:foot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54F" w:rsidRDefault="00BE254F" w:rsidP="008F462D">
      <w:r>
        <w:separator/>
      </w:r>
    </w:p>
  </w:endnote>
  <w:endnote w:type="continuationSeparator" w:id="0">
    <w:p w:rsidR="00BE254F" w:rsidRDefault="00BE254F"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DE4C29" w:rsidRDefault="00DE4C29">
        <w:pPr>
          <w:pStyle w:val="Footer"/>
          <w:jc w:val="center"/>
        </w:pPr>
        <w:r>
          <w:fldChar w:fldCharType="begin"/>
        </w:r>
        <w:r>
          <w:instrText xml:space="preserve"> PAGE   \* MERGEFORMAT </w:instrText>
        </w:r>
        <w:r>
          <w:fldChar w:fldCharType="separate"/>
        </w:r>
        <w:r w:rsidR="009F7F99">
          <w:rPr>
            <w:noProof/>
          </w:rPr>
          <w:t>378</w:t>
        </w:r>
        <w:r>
          <w:rPr>
            <w:noProof/>
          </w:rPr>
          <w:fldChar w:fldCharType="end"/>
        </w:r>
      </w:p>
    </w:sdtContent>
  </w:sdt>
  <w:p w:rsidR="00DE4C29" w:rsidRDefault="00DE4C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54F" w:rsidRDefault="00BE254F" w:rsidP="008F462D">
      <w:r>
        <w:separator/>
      </w:r>
    </w:p>
  </w:footnote>
  <w:footnote w:type="continuationSeparator" w:id="0">
    <w:p w:rsidR="00BE254F" w:rsidRDefault="00BE254F"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4C29" w:rsidRDefault="00DE4C29">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DE4C29" w:rsidRDefault="00DE4C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2D1EA5"/>
    <w:multiLevelType w:val="hybridMultilevel"/>
    <w:tmpl w:val="C9622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36C7AC0"/>
    <w:multiLevelType w:val="hybridMultilevel"/>
    <w:tmpl w:val="E91A0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1230F51"/>
    <w:multiLevelType w:val="hybridMultilevel"/>
    <w:tmpl w:val="94FE4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46F14FAB"/>
    <w:multiLevelType w:val="hybridMultilevel"/>
    <w:tmpl w:val="10668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8">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2">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755209E5"/>
    <w:multiLevelType w:val="hybridMultilevel"/>
    <w:tmpl w:val="AFFC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6">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7"/>
  </w:num>
  <w:num w:numId="2">
    <w:abstractNumId w:val="87"/>
  </w:num>
  <w:num w:numId="3">
    <w:abstractNumId w:val="185"/>
  </w:num>
  <w:num w:numId="4">
    <w:abstractNumId w:val="64"/>
  </w:num>
  <w:num w:numId="5">
    <w:abstractNumId w:val="61"/>
  </w:num>
  <w:num w:numId="6">
    <w:abstractNumId w:val="144"/>
  </w:num>
  <w:num w:numId="7">
    <w:abstractNumId w:val="215"/>
  </w:num>
  <w:num w:numId="8">
    <w:abstractNumId w:val="171"/>
  </w:num>
  <w:num w:numId="9">
    <w:abstractNumId w:val="169"/>
  </w:num>
  <w:num w:numId="10">
    <w:abstractNumId w:val="70"/>
  </w:num>
  <w:num w:numId="11">
    <w:abstractNumId w:val="92"/>
  </w:num>
  <w:num w:numId="12">
    <w:abstractNumId w:val="3"/>
  </w:num>
  <w:num w:numId="13">
    <w:abstractNumId w:val="10"/>
  </w:num>
  <w:num w:numId="14">
    <w:abstractNumId w:val="178"/>
  </w:num>
  <w:num w:numId="15">
    <w:abstractNumId w:val="98"/>
  </w:num>
  <w:num w:numId="16">
    <w:abstractNumId w:val="183"/>
  </w:num>
  <w:num w:numId="17">
    <w:abstractNumId w:val="29"/>
  </w:num>
  <w:num w:numId="18">
    <w:abstractNumId w:val="204"/>
  </w:num>
  <w:num w:numId="19">
    <w:abstractNumId w:val="191"/>
  </w:num>
  <w:num w:numId="20">
    <w:abstractNumId w:val="60"/>
  </w:num>
  <w:num w:numId="21">
    <w:abstractNumId w:val="14"/>
  </w:num>
  <w:num w:numId="22">
    <w:abstractNumId w:val="141"/>
  </w:num>
  <w:num w:numId="23">
    <w:abstractNumId w:val="206"/>
  </w:num>
  <w:num w:numId="24">
    <w:abstractNumId w:val="28"/>
  </w:num>
  <w:num w:numId="25">
    <w:abstractNumId w:val="168"/>
  </w:num>
  <w:num w:numId="26">
    <w:abstractNumId w:val="156"/>
  </w:num>
  <w:num w:numId="27">
    <w:abstractNumId w:val="138"/>
  </w:num>
  <w:num w:numId="28">
    <w:abstractNumId w:val="44"/>
  </w:num>
  <w:num w:numId="29">
    <w:abstractNumId w:val="137"/>
  </w:num>
  <w:num w:numId="30">
    <w:abstractNumId w:val="22"/>
  </w:num>
  <w:num w:numId="31">
    <w:abstractNumId w:val="199"/>
  </w:num>
  <w:num w:numId="32">
    <w:abstractNumId w:val="57"/>
  </w:num>
  <w:num w:numId="33">
    <w:abstractNumId w:val="205"/>
  </w:num>
  <w:num w:numId="34">
    <w:abstractNumId w:val="15"/>
  </w:num>
  <w:num w:numId="35">
    <w:abstractNumId w:val="6"/>
  </w:num>
  <w:num w:numId="36">
    <w:abstractNumId w:val="130"/>
  </w:num>
  <w:num w:numId="37">
    <w:abstractNumId w:val="153"/>
  </w:num>
  <w:num w:numId="38">
    <w:abstractNumId w:val="62"/>
  </w:num>
  <w:num w:numId="39">
    <w:abstractNumId w:val="203"/>
  </w:num>
  <w:num w:numId="40">
    <w:abstractNumId w:val="32"/>
  </w:num>
  <w:num w:numId="41">
    <w:abstractNumId w:val="30"/>
  </w:num>
  <w:num w:numId="42">
    <w:abstractNumId w:val="35"/>
  </w:num>
  <w:num w:numId="43">
    <w:abstractNumId w:val="140"/>
  </w:num>
  <w:num w:numId="44">
    <w:abstractNumId w:val="149"/>
  </w:num>
  <w:num w:numId="45">
    <w:abstractNumId w:val="67"/>
  </w:num>
  <w:num w:numId="46">
    <w:abstractNumId w:val="71"/>
  </w:num>
  <w:num w:numId="47">
    <w:abstractNumId w:val="150"/>
  </w:num>
  <w:num w:numId="48">
    <w:abstractNumId w:val="184"/>
  </w:num>
  <w:num w:numId="49">
    <w:abstractNumId w:val="69"/>
  </w:num>
  <w:num w:numId="50">
    <w:abstractNumId w:val="176"/>
  </w:num>
  <w:num w:numId="51">
    <w:abstractNumId w:val="115"/>
  </w:num>
  <w:num w:numId="52">
    <w:abstractNumId w:val="220"/>
  </w:num>
  <w:num w:numId="53">
    <w:abstractNumId w:val="177"/>
  </w:num>
  <w:num w:numId="54">
    <w:abstractNumId w:val="113"/>
  </w:num>
  <w:num w:numId="55">
    <w:abstractNumId w:val="108"/>
  </w:num>
  <w:num w:numId="56">
    <w:abstractNumId w:val="187"/>
  </w:num>
  <w:num w:numId="57">
    <w:abstractNumId w:val="39"/>
  </w:num>
  <w:num w:numId="58">
    <w:abstractNumId w:val="145"/>
  </w:num>
  <w:num w:numId="59">
    <w:abstractNumId w:val="102"/>
  </w:num>
  <w:num w:numId="60">
    <w:abstractNumId w:val="97"/>
  </w:num>
  <w:num w:numId="61">
    <w:abstractNumId w:val="104"/>
  </w:num>
  <w:num w:numId="62">
    <w:abstractNumId w:val="133"/>
  </w:num>
  <w:num w:numId="63">
    <w:abstractNumId w:val="26"/>
  </w:num>
  <w:num w:numId="64">
    <w:abstractNumId w:val="154"/>
  </w:num>
  <w:num w:numId="65">
    <w:abstractNumId w:val="126"/>
  </w:num>
  <w:num w:numId="66">
    <w:abstractNumId w:val="200"/>
  </w:num>
  <w:num w:numId="67">
    <w:abstractNumId w:val="16"/>
  </w:num>
  <w:num w:numId="68">
    <w:abstractNumId w:val="83"/>
  </w:num>
  <w:num w:numId="69">
    <w:abstractNumId w:val="5"/>
  </w:num>
  <w:num w:numId="70">
    <w:abstractNumId w:val="90"/>
  </w:num>
  <w:num w:numId="71">
    <w:abstractNumId w:val="48"/>
  </w:num>
  <w:num w:numId="72">
    <w:abstractNumId w:val="34"/>
  </w:num>
  <w:num w:numId="73">
    <w:abstractNumId w:val="72"/>
  </w:num>
  <w:num w:numId="74">
    <w:abstractNumId w:val="121"/>
  </w:num>
  <w:num w:numId="75">
    <w:abstractNumId w:val="202"/>
  </w:num>
  <w:num w:numId="76">
    <w:abstractNumId w:val="66"/>
  </w:num>
  <w:num w:numId="77">
    <w:abstractNumId w:val="18"/>
  </w:num>
  <w:num w:numId="78">
    <w:abstractNumId w:val="110"/>
  </w:num>
  <w:num w:numId="79">
    <w:abstractNumId w:val="58"/>
  </w:num>
  <w:num w:numId="80">
    <w:abstractNumId w:val="142"/>
  </w:num>
  <w:num w:numId="81">
    <w:abstractNumId w:val="89"/>
  </w:num>
  <w:num w:numId="82">
    <w:abstractNumId w:val="91"/>
  </w:num>
  <w:num w:numId="83">
    <w:abstractNumId w:val="63"/>
  </w:num>
  <w:num w:numId="84">
    <w:abstractNumId w:val="49"/>
  </w:num>
  <w:num w:numId="85">
    <w:abstractNumId w:val="103"/>
  </w:num>
  <w:num w:numId="86">
    <w:abstractNumId w:val="31"/>
  </w:num>
  <w:num w:numId="87">
    <w:abstractNumId w:val="159"/>
  </w:num>
  <w:num w:numId="88">
    <w:abstractNumId w:val="112"/>
  </w:num>
  <w:num w:numId="89">
    <w:abstractNumId w:val="201"/>
  </w:num>
  <w:num w:numId="90">
    <w:abstractNumId w:val="170"/>
  </w:num>
  <w:num w:numId="91">
    <w:abstractNumId w:val="37"/>
  </w:num>
  <w:num w:numId="92">
    <w:abstractNumId w:val="20"/>
  </w:num>
  <w:num w:numId="93">
    <w:abstractNumId w:val="65"/>
  </w:num>
  <w:num w:numId="94">
    <w:abstractNumId w:val="148"/>
  </w:num>
  <w:num w:numId="95">
    <w:abstractNumId w:val="197"/>
  </w:num>
  <w:num w:numId="96">
    <w:abstractNumId w:val="25"/>
  </w:num>
  <w:num w:numId="97">
    <w:abstractNumId w:val="155"/>
  </w:num>
  <w:num w:numId="98">
    <w:abstractNumId w:val="19"/>
  </w:num>
  <w:num w:numId="99">
    <w:abstractNumId w:val="160"/>
  </w:num>
  <w:num w:numId="100">
    <w:abstractNumId w:val="146"/>
  </w:num>
  <w:num w:numId="101">
    <w:abstractNumId w:val="164"/>
  </w:num>
  <w:num w:numId="102">
    <w:abstractNumId w:val="209"/>
  </w:num>
  <w:num w:numId="103">
    <w:abstractNumId w:val="42"/>
  </w:num>
  <w:num w:numId="104">
    <w:abstractNumId w:val="181"/>
  </w:num>
  <w:num w:numId="105">
    <w:abstractNumId w:val="81"/>
  </w:num>
  <w:num w:numId="106">
    <w:abstractNumId w:val="0"/>
  </w:num>
  <w:num w:numId="107">
    <w:abstractNumId w:val="13"/>
  </w:num>
  <w:num w:numId="108">
    <w:abstractNumId w:val="158"/>
  </w:num>
  <w:num w:numId="109">
    <w:abstractNumId w:val="88"/>
  </w:num>
  <w:num w:numId="110">
    <w:abstractNumId w:val="95"/>
  </w:num>
  <w:num w:numId="111">
    <w:abstractNumId w:val="82"/>
  </w:num>
  <w:num w:numId="112">
    <w:abstractNumId w:val="157"/>
  </w:num>
  <w:num w:numId="113">
    <w:abstractNumId w:val="23"/>
  </w:num>
  <w:num w:numId="114">
    <w:abstractNumId w:val="195"/>
  </w:num>
  <w:num w:numId="115">
    <w:abstractNumId w:val="100"/>
  </w:num>
  <w:num w:numId="116">
    <w:abstractNumId w:val="162"/>
  </w:num>
  <w:num w:numId="117">
    <w:abstractNumId w:val="214"/>
  </w:num>
  <w:num w:numId="118">
    <w:abstractNumId w:val="127"/>
  </w:num>
  <w:num w:numId="119">
    <w:abstractNumId w:val="53"/>
  </w:num>
  <w:num w:numId="120">
    <w:abstractNumId w:val="94"/>
  </w:num>
  <w:num w:numId="121">
    <w:abstractNumId w:val="143"/>
  </w:num>
  <w:num w:numId="122">
    <w:abstractNumId w:val="111"/>
  </w:num>
  <w:num w:numId="123">
    <w:abstractNumId w:val="217"/>
  </w:num>
  <w:num w:numId="124">
    <w:abstractNumId w:val="101"/>
  </w:num>
  <w:num w:numId="125">
    <w:abstractNumId w:val="107"/>
  </w:num>
  <w:num w:numId="126">
    <w:abstractNumId w:val="1"/>
  </w:num>
  <w:num w:numId="127">
    <w:abstractNumId w:val="105"/>
  </w:num>
  <w:num w:numId="128">
    <w:abstractNumId w:val="76"/>
  </w:num>
  <w:num w:numId="129">
    <w:abstractNumId w:val="139"/>
  </w:num>
  <w:num w:numId="130">
    <w:abstractNumId w:val="134"/>
  </w:num>
  <w:num w:numId="131">
    <w:abstractNumId w:val="36"/>
  </w:num>
  <w:num w:numId="132">
    <w:abstractNumId w:val="84"/>
  </w:num>
  <w:num w:numId="133">
    <w:abstractNumId w:val="198"/>
  </w:num>
  <w:num w:numId="134">
    <w:abstractNumId w:val="218"/>
  </w:num>
  <w:num w:numId="135">
    <w:abstractNumId w:val="118"/>
  </w:num>
  <w:num w:numId="136">
    <w:abstractNumId w:val="119"/>
  </w:num>
  <w:num w:numId="137">
    <w:abstractNumId w:val="17"/>
  </w:num>
  <w:num w:numId="138">
    <w:abstractNumId w:val="54"/>
  </w:num>
  <w:num w:numId="139">
    <w:abstractNumId w:val="165"/>
  </w:num>
  <w:num w:numId="140">
    <w:abstractNumId w:val="219"/>
  </w:num>
  <w:num w:numId="141">
    <w:abstractNumId w:val="131"/>
  </w:num>
  <w:num w:numId="142">
    <w:abstractNumId w:val="173"/>
  </w:num>
  <w:num w:numId="143">
    <w:abstractNumId w:val="223"/>
  </w:num>
  <w:num w:numId="144">
    <w:abstractNumId w:val="93"/>
  </w:num>
  <w:num w:numId="145">
    <w:abstractNumId w:val="166"/>
  </w:num>
  <w:num w:numId="146">
    <w:abstractNumId w:val="27"/>
  </w:num>
  <w:num w:numId="147">
    <w:abstractNumId w:val="11"/>
  </w:num>
  <w:num w:numId="148">
    <w:abstractNumId w:val="174"/>
  </w:num>
  <w:num w:numId="149">
    <w:abstractNumId w:val="211"/>
  </w:num>
  <w:num w:numId="150">
    <w:abstractNumId w:val="193"/>
  </w:num>
  <w:num w:numId="151">
    <w:abstractNumId w:val="55"/>
  </w:num>
  <w:num w:numId="152">
    <w:abstractNumId w:val="78"/>
  </w:num>
  <w:num w:numId="153">
    <w:abstractNumId w:val="192"/>
  </w:num>
  <w:num w:numId="154">
    <w:abstractNumId w:val="9"/>
  </w:num>
  <w:num w:numId="155">
    <w:abstractNumId w:val="2"/>
  </w:num>
  <w:num w:numId="156">
    <w:abstractNumId w:val="96"/>
  </w:num>
  <w:num w:numId="157">
    <w:abstractNumId w:val="152"/>
  </w:num>
  <w:num w:numId="158">
    <w:abstractNumId w:val="151"/>
  </w:num>
  <w:num w:numId="159">
    <w:abstractNumId w:val="47"/>
  </w:num>
  <w:num w:numId="160">
    <w:abstractNumId w:val="77"/>
  </w:num>
  <w:num w:numId="161">
    <w:abstractNumId w:val="186"/>
  </w:num>
  <w:num w:numId="162">
    <w:abstractNumId w:val="74"/>
  </w:num>
  <w:num w:numId="163">
    <w:abstractNumId w:val="106"/>
  </w:num>
  <w:num w:numId="164">
    <w:abstractNumId w:val="163"/>
  </w:num>
  <w:num w:numId="165">
    <w:abstractNumId w:val="4"/>
  </w:num>
  <w:num w:numId="166">
    <w:abstractNumId w:val="7"/>
  </w:num>
  <w:num w:numId="167">
    <w:abstractNumId w:val="123"/>
  </w:num>
  <w:num w:numId="168">
    <w:abstractNumId w:val="189"/>
  </w:num>
  <w:num w:numId="169">
    <w:abstractNumId w:val="175"/>
  </w:num>
  <w:num w:numId="170">
    <w:abstractNumId w:val="216"/>
  </w:num>
  <w:num w:numId="171">
    <w:abstractNumId w:val="114"/>
  </w:num>
  <w:num w:numId="172">
    <w:abstractNumId w:val="50"/>
  </w:num>
  <w:num w:numId="173">
    <w:abstractNumId w:val="24"/>
  </w:num>
  <w:num w:numId="174">
    <w:abstractNumId w:val="136"/>
  </w:num>
  <w:num w:numId="175">
    <w:abstractNumId w:val="224"/>
  </w:num>
  <w:num w:numId="176">
    <w:abstractNumId w:val="109"/>
  </w:num>
  <w:num w:numId="177">
    <w:abstractNumId w:val="194"/>
  </w:num>
  <w:num w:numId="178">
    <w:abstractNumId w:val="124"/>
  </w:num>
  <w:num w:numId="179">
    <w:abstractNumId w:val="196"/>
  </w:num>
  <w:num w:numId="180">
    <w:abstractNumId w:val="68"/>
  </w:num>
  <w:num w:numId="181">
    <w:abstractNumId w:val="182"/>
  </w:num>
  <w:num w:numId="182">
    <w:abstractNumId w:val="56"/>
  </w:num>
  <w:num w:numId="183">
    <w:abstractNumId w:val="85"/>
  </w:num>
  <w:num w:numId="184">
    <w:abstractNumId w:val="128"/>
  </w:num>
  <w:num w:numId="185">
    <w:abstractNumId w:val="179"/>
  </w:num>
  <w:num w:numId="186">
    <w:abstractNumId w:val="41"/>
  </w:num>
  <w:num w:numId="187">
    <w:abstractNumId w:val="75"/>
  </w:num>
  <w:num w:numId="188">
    <w:abstractNumId w:val="190"/>
  </w:num>
  <w:num w:numId="189">
    <w:abstractNumId w:val="129"/>
  </w:num>
  <w:num w:numId="190">
    <w:abstractNumId w:val="43"/>
  </w:num>
  <w:num w:numId="191">
    <w:abstractNumId w:val="12"/>
  </w:num>
  <w:num w:numId="192">
    <w:abstractNumId w:val="73"/>
  </w:num>
  <w:num w:numId="193">
    <w:abstractNumId w:val="86"/>
  </w:num>
  <w:num w:numId="194">
    <w:abstractNumId w:val="212"/>
  </w:num>
  <w:num w:numId="195">
    <w:abstractNumId w:val="46"/>
  </w:num>
  <w:num w:numId="196">
    <w:abstractNumId w:val="207"/>
  </w:num>
  <w:num w:numId="197">
    <w:abstractNumId w:val="79"/>
  </w:num>
  <w:num w:numId="198">
    <w:abstractNumId w:val="52"/>
  </w:num>
  <w:num w:numId="199">
    <w:abstractNumId w:val="213"/>
  </w:num>
  <w:num w:numId="200">
    <w:abstractNumId w:val="45"/>
  </w:num>
  <w:num w:numId="201">
    <w:abstractNumId w:val="51"/>
  </w:num>
  <w:num w:numId="202">
    <w:abstractNumId w:val="125"/>
  </w:num>
  <w:num w:numId="203">
    <w:abstractNumId w:val="117"/>
  </w:num>
  <w:num w:numId="204">
    <w:abstractNumId w:val="80"/>
  </w:num>
  <w:num w:numId="205">
    <w:abstractNumId w:val="210"/>
  </w:num>
  <w:num w:numId="206">
    <w:abstractNumId w:val="33"/>
  </w:num>
  <w:num w:numId="207">
    <w:abstractNumId w:val="116"/>
  </w:num>
  <w:num w:numId="208">
    <w:abstractNumId w:val="122"/>
  </w:num>
  <w:num w:numId="209">
    <w:abstractNumId w:val="132"/>
  </w:num>
  <w:num w:numId="210">
    <w:abstractNumId w:val="172"/>
  </w:num>
  <w:num w:numId="211">
    <w:abstractNumId w:val="180"/>
  </w:num>
  <w:num w:numId="212">
    <w:abstractNumId w:val="222"/>
  </w:num>
  <w:num w:numId="213">
    <w:abstractNumId w:val="167"/>
  </w:num>
  <w:num w:numId="214">
    <w:abstractNumId w:val="8"/>
  </w:num>
  <w:num w:numId="215">
    <w:abstractNumId w:val="40"/>
  </w:num>
  <w:num w:numId="216">
    <w:abstractNumId w:val="59"/>
  </w:num>
  <w:num w:numId="217">
    <w:abstractNumId w:val="221"/>
  </w:num>
  <w:num w:numId="218">
    <w:abstractNumId w:val="38"/>
  </w:num>
  <w:num w:numId="219">
    <w:abstractNumId w:val="188"/>
  </w:num>
  <w:num w:numId="220">
    <w:abstractNumId w:val="161"/>
  </w:num>
  <w:num w:numId="221">
    <w:abstractNumId w:val="21"/>
  </w:num>
  <w:num w:numId="222">
    <w:abstractNumId w:val="99"/>
  </w:num>
  <w:num w:numId="223">
    <w:abstractNumId w:val="120"/>
  </w:num>
  <w:num w:numId="224">
    <w:abstractNumId w:val="208"/>
  </w:num>
  <w:num w:numId="225">
    <w:abstractNumId w:val="135"/>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4F1D"/>
    <w:rsid w:val="00016001"/>
    <w:rsid w:val="00020B11"/>
    <w:rsid w:val="000248F3"/>
    <w:rsid w:val="000321F9"/>
    <w:rsid w:val="0003412A"/>
    <w:rsid w:val="00035C7B"/>
    <w:rsid w:val="00040E92"/>
    <w:rsid w:val="00042400"/>
    <w:rsid w:val="00042BF8"/>
    <w:rsid w:val="00045182"/>
    <w:rsid w:val="000524F8"/>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4432"/>
    <w:rsid w:val="000A4FAE"/>
    <w:rsid w:val="000A6E38"/>
    <w:rsid w:val="000B0074"/>
    <w:rsid w:val="000B1BA5"/>
    <w:rsid w:val="000B6828"/>
    <w:rsid w:val="000C1B8F"/>
    <w:rsid w:val="000C371B"/>
    <w:rsid w:val="000C49C5"/>
    <w:rsid w:val="000D5C53"/>
    <w:rsid w:val="000D70CB"/>
    <w:rsid w:val="000E717D"/>
    <w:rsid w:val="000F3195"/>
    <w:rsid w:val="000F6C8E"/>
    <w:rsid w:val="00100D36"/>
    <w:rsid w:val="00103E3C"/>
    <w:rsid w:val="0010438C"/>
    <w:rsid w:val="00105A96"/>
    <w:rsid w:val="00105B19"/>
    <w:rsid w:val="00106F7D"/>
    <w:rsid w:val="0010713C"/>
    <w:rsid w:val="001101CE"/>
    <w:rsid w:val="00113BC5"/>
    <w:rsid w:val="00116CA9"/>
    <w:rsid w:val="001369F0"/>
    <w:rsid w:val="00137AC6"/>
    <w:rsid w:val="00140884"/>
    <w:rsid w:val="00142744"/>
    <w:rsid w:val="00151220"/>
    <w:rsid w:val="00153307"/>
    <w:rsid w:val="0015515C"/>
    <w:rsid w:val="001613BA"/>
    <w:rsid w:val="00163625"/>
    <w:rsid w:val="00165270"/>
    <w:rsid w:val="00166D89"/>
    <w:rsid w:val="00167872"/>
    <w:rsid w:val="00167B52"/>
    <w:rsid w:val="00170607"/>
    <w:rsid w:val="001722D7"/>
    <w:rsid w:val="00176A5A"/>
    <w:rsid w:val="001862BC"/>
    <w:rsid w:val="00190ABD"/>
    <w:rsid w:val="001941C8"/>
    <w:rsid w:val="00194686"/>
    <w:rsid w:val="001976FD"/>
    <w:rsid w:val="001A0093"/>
    <w:rsid w:val="001A00F4"/>
    <w:rsid w:val="001A134A"/>
    <w:rsid w:val="001A1390"/>
    <w:rsid w:val="001A293F"/>
    <w:rsid w:val="001A421A"/>
    <w:rsid w:val="001A67C5"/>
    <w:rsid w:val="001B00F1"/>
    <w:rsid w:val="001B0293"/>
    <w:rsid w:val="001B1B3D"/>
    <w:rsid w:val="001C1517"/>
    <w:rsid w:val="001C207A"/>
    <w:rsid w:val="001C581C"/>
    <w:rsid w:val="001D0C27"/>
    <w:rsid w:val="001D53F0"/>
    <w:rsid w:val="001D6E76"/>
    <w:rsid w:val="001D7576"/>
    <w:rsid w:val="001E3150"/>
    <w:rsid w:val="001E562F"/>
    <w:rsid w:val="001F03C3"/>
    <w:rsid w:val="001F1086"/>
    <w:rsid w:val="001F2F4D"/>
    <w:rsid w:val="001F3658"/>
    <w:rsid w:val="002020E8"/>
    <w:rsid w:val="00202BF1"/>
    <w:rsid w:val="00206443"/>
    <w:rsid w:val="00215B22"/>
    <w:rsid w:val="002207E3"/>
    <w:rsid w:val="00224CFB"/>
    <w:rsid w:val="00232FC5"/>
    <w:rsid w:val="00233604"/>
    <w:rsid w:val="00236EBD"/>
    <w:rsid w:val="00241F2B"/>
    <w:rsid w:val="00241F92"/>
    <w:rsid w:val="002426A3"/>
    <w:rsid w:val="00242EA4"/>
    <w:rsid w:val="00244832"/>
    <w:rsid w:val="00245BBE"/>
    <w:rsid w:val="00250EDF"/>
    <w:rsid w:val="00252E6B"/>
    <w:rsid w:val="00253C48"/>
    <w:rsid w:val="00254082"/>
    <w:rsid w:val="00254EE5"/>
    <w:rsid w:val="002567C9"/>
    <w:rsid w:val="002571C1"/>
    <w:rsid w:val="002670A7"/>
    <w:rsid w:val="002728BD"/>
    <w:rsid w:val="00274D37"/>
    <w:rsid w:val="002775D7"/>
    <w:rsid w:val="0028009E"/>
    <w:rsid w:val="0028210D"/>
    <w:rsid w:val="002835A7"/>
    <w:rsid w:val="0029169A"/>
    <w:rsid w:val="00296C4B"/>
    <w:rsid w:val="0029706F"/>
    <w:rsid w:val="00297902"/>
    <w:rsid w:val="002A2A9B"/>
    <w:rsid w:val="002A6CDC"/>
    <w:rsid w:val="002A73AD"/>
    <w:rsid w:val="002B2074"/>
    <w:rsid w:val="002B48A0"/>
    <w:rsid w:val="002B7998"/>
    <w:rsid w:val="002B7FDF"/>
    <w:rsid w:val="002C08AB"/>
    <w:rsid w:val="002C0A59"/>
    <w:rsid w:val="002C0F71"/>
    <w:rsid w:val="002C178E"/>
    <w:rsid w:val="002C64E8"/>
    <w:rsid w:val="002C7FA2"/>
    <w:rsid w:val="002D4DD0"/>
    <w:rsid w:val="002E43DD"/>
    <w:rsid w:val="002E5B03"/>
    <w:rsid w:val="002E6E28"/>
    <w:rsid w:val="002E6F56"/>
    <w:rsid w:val="002E7F8B"/>
    <w:rsid w:val="003064FF"/>
    <w:rsid w:val="00311FD6"/>
    <w:rsid w:val="00313DDE"/>
    <w:rsid w:val="00317AE9"/>
    <w:rsid w:val="00317EF3"/>
    <w:rsid w:val="00320925"/>
    <w:rsid w:val="00321B81"/>
    <w:rsid w:val="00322068"/>
    <w:rsid w:val="00322BBB"/>
    <w:rsid w:val="0032432B"/>
    <w:rsid w:val="00324EB1"/>
    <w:rsid w:val="00325AC6"/>
    <w:rsid w:val="00325D43"/>
    <w:rsid w:val="00327161"/>
    <w:rsid w:val="003279B0"/>
    <w:rsid w:val="00331358"/>
    <w:rsid w:val="003314C8"/>
    <w:rsid w:val="003319AF"/>
    <w:rsid w:val="00331F68"/>
    <w:rsid w:val="00332335"/>
    <w:rsid w:val="00333B3E"/>
    <w:rsid w:val="00337B9B"/>
    <w:rsid w:val="00337FA0"/>
    <w:rsid w:val="0034393C"/>
    <w:rsid w:val="00350497"/>
    <w:rsid w:val="00350904"/>
    <w:rsid w:val="003509F2"/>
    <w:rsid w:val="00351301"/>
    <w:rsid w:val="00354F45"/>
    <w:rsid w:val="003568B0"/>
    <w:rsid w:val="00356FDD"/>
    <w:rsid w:val="003579EF"/>
    <w:rsid w:val="00357AE4"/>
    <w:rsid w:val="00364216"/>
    <w:rsid w:val="00365C6C"/>
    <w:rsid w:val="00366C39"/>
    <w:rsid w:val="003705EC"/>
    <w:rsid w:val="00373D86"/>
    <w:rsid w:val="00375834"/>
    <w:rsid w:val="003779D2"/>
    <w:rsid w:val="003843EC"/>
    <w:rsid w:val="00385075"/>
    <w:rsid w:val="003855A2"/>
    <w:rsid w:val="00385939"/>
    <w:rsid w:val="003906AB"/>
    <w:rsid w:val="00392585"/>
    <w:rsid w:val="00397E59"/>
    <w:rsid w:val="003A66D4"/>
    <w:rsid w:val="003B0272"/>
    <w:rsid w:val="003B03E7"/>
    <w:rsid w:val="003B0659"/>
    <w:rsid w:val="003B230D"/>
    <w:rsid w:val="003B237B"/>
    <w:rsid w:val="003B61EB"/>
    <w:rsid w:val="003B6BD7"/>
    <w:rsid w:val="003B7B18"/>
    <w:rsid w:val="003C05A1"/>
    <w:rsid w:val="003C17FC"/>
    <w:rsid w:val="003C58E5"/>
    <w:rsid w:val="003D4A6F"/>
    <w:rsid w:val="003D5E99"/>
    <w:rsid w:val="003D71F9"/>
    <w:rsid w:val="003E08B2"/>
    <w:rsid w:val="003E10CD"/>
    <w:rsid w:val="003E19B4"/>
    <w:rsid w:val="003E76DE"/>
    <w:rsid w:val="003F31A8"/>
    <w:rsid w:val="003F3244"/>
    <w:rsid w:val="003F5847"/>
    <w:rsid w:val="003F78EE"/>
    <w:rsid w:val="003F7E82"/>
    <w:rsid w:val="00400003"/>
    <w:rsid w:val="00401D30"/>
    <w:rsid w:val="0040341A"/>
    <w:rsid w:val="00404AB0"/>
    <w:rsid w:val="0041061E"/>
    <w:rsid w:val="00416B6C"/>
    <w:rsid w:val="00416ECC"/>
    <w:rsid w:val="00417086"/>
    <w:rsid w:val="004258F9"/>
    <w:rsid w:val="00431BF8"/>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6D0C"/>
    <w:rsid w:val="004877DB"/>
    <w:rsid w:val="00487F66"/>
    <w:rsid w:val="0049062C"/>
    <w:rsid w:val="00492276"/>
    <w:rsid w:val="00493DE7"/>
    <w:rsid w:val="004A0CD4"/>
    <w:rsid w:val="004A61A2"/>
    <w:rsid w:val="004A7582"/>
    <w:rsid w:val="004B1046"/>
    <w:rsid w:val="004B1053"/>
    <w:rsid w:val="004B2FFB"/>
    <w:rsid w:val="004B46C1"/>
    <w:rsid w:val="004B4C61"/>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F56"/>
    <w:rsid w:val="004F5384"/>
    <w:rsid w:val="004F543B"/>
    <w:rsid w:val="00501ADD"/>
    <w:rsid w:val="005059CE"/>
    <w:rsid w:val="00507F3D"/>
    <w:rsid w:val="0051040D"/>
    <w:rsid w:val="005107B5"/>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93760"/>
    <w:rsid w:val="00594EFA"/>
    <w:rsid w:val="005A1843"/>
    <w:rsid w:val="005A324B"/>
    <w:rsid w:val="005A4A34"/>
    <w:rsid w:val="005B04E7"/>
    <w:rsid w:val="005B0F28"/>
    <w:rsid w:val="005B379F"/>
    <w:rsid w:val="005B4534"/>
    <w:rsid w:val="005C206F"/>
    <w:rsid w:val="005C53A9"/>
    <w:rsid w:val="005C661E"/>
    <w:rsid w:val="005C78A5"/>
    <w:rsid w:val="005C7A52"/>
    <w:rsid w:val="005D0F14"/>
    <w:rsid w:val="005D3AF6"/>
    <w:rsid w:val="005D6A21"/>
    <w:rsid w:val="005E273D"/>
    <w:rsid w:val="005E3F9A"/>
    <w:rsid w:val="005E559A"/>
    <w:rsid w:val="005F1E57"/>
    <w:rsid w:val="005F5287"/>
    <w:rsid w:val="005F565E"/>
    <w:rsid w:val="005F5DD8"/>
    <w:rsid w:val="00601ADA"/>
    <w:rsid w:val="0060273C"/>
    <w:rsid w:val="006030A1"/>
    <w:rsid w:val="006043D1"/>
    <w:rsid w:val="00606173"/>
    <w:rsid w:val="00606910"/>
    <w:rsid w:val="00607753"/>
    <w:rsid w:val="00614312"/>
    <w:rsid w:val="00615266"/>
    <w:rsid w:val="00616E48"/>
    <w:rsid w:val="00620960"/>
    <w:rsid w:val="00622F18"/>
    <w:rsid w:val="00623380"/>
    <w:rsid w:val="00623730"/>
    <w:rsid w:val="006250C5"/>
    <w:rsid w:val="00625B3B"/>
    <w:rsid w:val="00631F56"/>
    <w:rsid w:val="0063410C"/>
    <w:rsid w:val="0063634F"/>
    <w:rsid w:val="006414B8"/>
    <w:rsid w:val="006435BE"/>
    <w:rsid w:val="00651276"/>
    <w:rsid w:val="00654F9D"/>
    <w:rsid w:val="0066414A"/>
    <w:rsid w:val="006703B2"/>
    <w:rsid w:val="00673D82"/>
    <w:rsid w:val="00676437"/>
    <w:rsid w:val="006842C6"/>
    <w:rsid w:val="0068502A"/>
    <w:rsid w:val="00685B0C"/>
    <w:rsid w:val="00686D79"/>
    <w:rsid w:val="006931FB"/>
    <w:rsid w:val="00694662"/>
    <w:rsid w:val="00695BC9"/>
    <w:rsid w:val="006A2924"/>
    <w:rsid w:val="006A37DC"/>
    <w:rsid w:val="006A4FE6"/>
    <w:rsid w:val="006B0528"/>
    <w:rsid w:val="006B3E9E"/>
    <w:rsid w:val="006B44A4"/>
    <w:rsid w:val="006C391C"/>
    <w:rsid w:val="006D305B"/>
    <w:rsid w:val="006D6285"/>
    <w:rsid w:val="006E14D0"/>
    <w:rsid w:val="006E178D"/>
    <w:rsid w:val="006E25B3"/>
    <w:rsid w:val="006F1D53"/>
    <w:rsid w:val="006F27C3"/>
    <w:rsid w:val="006F5742"/>
    <w:rsid w:val="006F64BE"/>
    <w:rsid w:val="006F6E8B"/>
    <w:rsid w:val="006F7043"/>
    <w:rsid w:val="006F7FF6"/>
    <w:rsid w:val="0070033E"/>
    <w:rsid w:val="00700516"/>
    <w:rsid w:val="0070072D"/>
    <w:rsid w:val="0070274C"/>
    <w:rsid w:val="00703E6F"/>
    <w:rsid w:val="007041E7"/>
    <w:rsid w:val="00707B1C"/>
    <w:rsid w:val="00710E9A"/>
    <w:rsid w:val="00715EE1"/>
    <w:rsid w:val="00720ADD"/>
    <w:rsid w:val="00721408"/>
    <w:rsid w:val="00722DFA"/>
    <w:rsid w:val="0073023B"/>
    <w:rsid w:val="00732B8B"/>
    <w:rsid w:val="00736B33"/>
    <w:rsid w:val="0074006C"/>
    <w:rsid w:val="00740C10"/>
    <w:rsid w:val="007415B2"/>
    <w:rsid w:val="00741F1A"/>
    <w:rsid w:val="00744041"/>
    <w:rsid w:val="007551C1"/>
    <w:rsid w:val="00756E1B"/>
    <w:rsid w:val="007573D0"/>
    <w:rsid w:val="007640E7"/>
    <w:rsid w:val="00766F2E"/>
    <w:rsid w:val="007725CB"/>
    <w:rsid w:val="007741E8"/>
    <w:rsid w:val="00786407"/>
    <w:rsid w:val="007910A3"/>
    <w:rsid w:val="0079129B"/>
    <w:rsid w:val="00792306"/>
    <w:rsid w:val="00793420"/>
    <w:rsid w:val="00794BAA"/>
    <w:rsid w:val="00795C38"/>
    <w:rsid w:val="007A0843"/>
    <w:rsid w:val="007A09A2"/>
    <w:rsid w:val="007A1F3D"/>
    <w:rsid w:val="007A2302"/>
    <w:rsid w:val="007A354A"/>
    <w:rsid w:val="007A746D"/>
    <w:rsid w:val="007A7631"/>
    <w:rsid w:val="007B124D"/>
    <w:rsid w:val="007B4B06"/>
    <w:rsid w:val="007B4E1A"/>
    <w:rsid w:val="007C472E"/>
    <w:rsid w:val="007C4ECC"/>
    <w:rsid w:val="007C63E0"/>
    <w:rsid w:val="007C640D"/>
    <w:rsid w:val="007C7370"/>
    <w:rsid w:val="007D0349"/>
    <w:rsid w:val="007D0B5A"/>
    <w:rsid w:val="007D47F9"/>
    <w:rsid w:val="007D6420"/>
    <w:rsid w:val="007D6C8F"/>
    <w:rsid w:val="007E15A6"/>
    <w:rsid w:val="007E1F82"/>
    <w:rsid w:val="007F0F75"/>
    <w:rsid w:val="008070FF"/>
    <w:rsid w:val="008111AA"/>
    <w:rsid w:val="00812160"/>
    <w:rsid w:val="00812F6B"/>
    <w:rsid w:val="0081480E"/>
    <w:rsid w:val="00816933"/>
    <w:rsid w:val="0082029E"/>
    <w:rsid w:val="00821B54"/>
    <w:rsid w:val="00822CC8"/>
    <w:rsid w:val="008237E2"/>
    <w:rsid w:val="008253F3"/>
    <w:rsid w:val="00826E40"/>
    <w:rsid w:val="00826ED9"/>
    <w:rsid w:val="00831295"/>
    <w:rsid w:val="00831741"/>
    <w:rsid w:val="00835955"/>
    <w:rsid w:val="00845343"/>
    <w:rsid w:val="0085172B"/>
    <w:rsid w:val="008525AE"/>
    <w:rsid w:val="00854440"/>
    <w:rsid w:val="00855955"/>
    <w:rsid w:val="008618EB"/>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9211E"/>
    <w:rsid w:val="008938F6"/>
    <w:rsid w:val="00893AB0"/>
    <w:rsid w:val="00895C6E"/>
    <w:rsid w:val="00896876"/>
    <w:rsid w:val="008A0E18"/>
    <w:rsid w:val="008A18B1"/>
    <w:rsid w:val="008A4130"/>
    <w:rsid w:val="008A5505"/>
    <w:rsid w:val="008A7C9B"/>
    <w:rsid w:val="008B04F1"/>
    <w:rsid w:val="008B0823"/>
    <w:rsid w:val="008B580C"/>
    <w:rsid w:val="008B67A1"/>
    <w:rsid w:val="008B6C74"/>
    <w:rsid w:val="008B78F8"/>
    <w:rsid w:val="008C24C5"/>
    <w:rsid w:val="008C2847"/>
    <w:rsid w:val="008C37CB"/>
    <w:rsid w:val="008C6064"/>
    <w:rsid w:val="008C63C0"/>
    <w:rsid w:val="008D0F1B"/>
    <w:rsid w:val="008D56A2"/>
    <w:rsid w:val="008D5CAB"/>
    <w:rsid w:val="008E5A6F"/>
    <w:rsid w:val="008F175A"/>
    <w:rsid w:val="008F3ADE"/>
    <w:rsid w:val="008F462D"/>
    <w:rsid w:val="008F492E"/>
    <w:rsid w:val="008F74B9"/>
    <w:rsid w:val="008F7840"/>
    <w:rsid w:val="009002C2"/>
    <w:rsid w:val="00900B59"/>
    <w:rsid w:val="009014E8"/>
    <w:rsid w:val="00901578"/>
    <w:rsid w:val="00911A07"/>
    <w:rsid w:val="00915D94"/>
    <w:rsid w:val="00916250"/>
    <w:rsid w:val="00916CC6"/>
    <w:rsid w:val="00920613"/>
    <w:rsid w:val="009243DE"/>
    <w:rsid w:val="00931364"/>
    <w:rsid w:val="00937162"/>
    <w:rsid w:val="00951331"/>
    <w:rsid w:val="0095261B"/>
    <w:rsid w:val="00961523"/>
    <w:rsid w:val="00962BD0"/>
    <w:rsid w:val="0096452D"/>
    <w:rsid w:val="009662D7"/>
    <w:rsid w:val="009718D4"/>
    <w:rsid w:val="00971E8E"/>
    <w:rsid w:val="0097265C"/>
    <w:rsid w:val="00973F94"/>
    <w:rsid w:val="009757C1"/>
    <w:rsid w:val="00975F05"/>
    <w:rsid w:val="00976605"/>
    <w:rsid w:val="00977118"/>
    <w:rsid w:val="009802FB"/>
    <w:rsid w:val="00980BB2"/>
    <w:rsid w:val="00987ADC"/>
    <w:rsid w:val="00987B89"/>
    <w:rsid w:val="00987D62"/>
    <w:rsid w:val="00992C9C"/>
    <w:rsid w:val="00995BA8"/>
    <w:rsid w:val="009961CB"/>
    <w:rsid w:val="009A0282"/>
    <w:rsid w:val="009A4019"/>
    <w:rsid w:val="009A4F80"/>
    <w:rsid w:val="009A755B"/>
    <w:rsid w:val="009B1191"/>
    <w:rsid w:val="009B350D"/>
    <w:rsid w:val="009B40E8"/>
    <w:rsid w:val="009B4E7B"/>
    <w:rsid w:val="009C274C"/>
    <w:rsid w:val="009C31EA"/>
    <w:rsid w:val="009C5DDF"/>
    <w:rsid w:val="009D0A87"/>
    <w:rsid w:val="009D3E2B"/>
    <w:rsid w:val="009D49F0"/>
    <w:rsid w:val="009D7797"/>
    <w:rsid w:val="009D7D09"/>
    <w:rsid w:val="009E0EB0"/>
    <w:rsid w:val="009E5F68"/>
    <w:rsid w:val="009F11EF"/>
    <w:rsid w:val="009F7F99"/>
    <w:rsid w:val="00A02A9E"/>
    <w:rsid w:val="00A0478C"/>
    <w:rsid w:val="00A15876"/>
    <w:rsid w:val="00A21CE0"/>
    <w:rsid w:val="00A243B5"/>
    <w:rsid w:val="00A25D37"/>
    <w:rsid w:val="00A26F19"/>
    <w:rsid w:val="00A30628"/>
    <w:rsid w:val="00A320F3"/>
    <w:rsid w:val="00A37BDE"/>
    <w:rsid w:val="00A406B0"/>
    <w:rsid w:val="00A51480"/>
    <w:rsid w:val="00A57A13"/>
    <w:rsid w:val="00A611B3"/>
    <w:rsid w:val="00A6563B"/>
    <w:rsid w:val="00A6688C"/>
    <w:rsid w:val="00A76589"/>
    <w:rsid w:val="00A8044A"/>
    <w:rsid w:val="00A8354E"/>
    <w:rsid w:val="00A867A3"/>
    <w:rsid w:val="00A90A15"/>
    <w:rsid w:val="00A93A83"/>
    <w:rsid w:val="00AA126B"/>
    <w:rsid w:val="00AA23CC"/>
    <w:rsid w:val="00AA4046"/>
    <w:rsid w:val="00AA7A7B"/>
    <w:rsid w:val="00AB4193"/>
    <w:rsid w:val="00AB4F31"/>
    <w:rsid w:val="00AB6C95"/>
    <w:rsid w:val="00AB775A"/>
    <w:rsid w:val="00AC5375"/>
    <w:rsid w:val="00AC71BE"/>
    <w:rsid w:val="00AD1D9E"/>
    <w:rsid w:val="00AD2F05"/>
    <w:rsid w:val="00AD45BB"/>
    <w:rsid w:val="00AD5BC5"/>
    <w:rsid w:val="00AE334C"/>
    <w:rsid w:val="00AE5FB9"/>
    <w:rsid w:val="00AE6741"/>
    <w:rsid w:val="00AF1CE6"/>
    <w:rsid w:val="00AF3CA4"/>
    <w:rsid w:val="00AF3D3D"/>
    <w:rsid w:val="00AF4C25"/>
    <w:rsid w:val="00AF621C"/>
    <w:rsid w:val="00B02005"/>
    <w:rsid w:val="00B0240D"/>
    <w:rsid w:val="00B025B0"/>
    <w:rsid w:val="00B06AA0"/>
    <w:rsid w:val="00B139FC"/>
    <w:rsid w:val="00B20294"/>
    <w:rsid w:val="00B22458"/>
    <w:rsid w:val="00B23FB5"/>
    <w:rsid w:val="00B243A0"/>
    <w:rsid w:val="00B24EE6"/>
    <w:rsid w:val="00B26D7A"/>
    <w:rsid w:val="00B270D6"/>
    <w:rsid w:val="00B334F7"/>
    <w:rsid w:val="00B3417C"/>
    <w:rsid w:val="00B427EB"/>
    <w:rsid w:val="00B4593F"/>
    <w:rsid w:val="00B4720B"/>
    <w:rsid w:val="00B47E3E"/>
    <w:rsid w:val="00B5212D"/>
    <w:rsid w:val="00B53ECF"/>
    <w:rsid w:val="00B57288"/>
    <w:rsid w:val="00B57F4A"/>
    <w:rsid w:val="00B61C4B"/>
    <w:rsid w:val="00B65779"/>
    <w:rsid w:val="00B73030"/>
    <w:rsid w:val="00B7496E"/>
    <w:rsid w:val="00B7598E"/>
    <w:rsid w:val="00B77BC3"/>
    <w:rsid w:val="00B82F71"/>
    <w:rsid w:val="00B83D9A"/>
    <w:rsid w:val="00B85A8C"/>
    <w:rsid w:val="00B8619A"/>
    <w:rsid w:val="00B86917"/>
    <w:rsid w:val="00B909FF"/>
    <w:rsid w:val="00B94B67"/>
    <w:rsid w:val="00B975E6"/>
    <w:rsid w:val="00BA04DE"/>
    <w:rsid w:val="00BA6CE1"/>
    <w:rsid w:val="00BB19AC"/>
    <w:rsid w:val="00BB226A"/>
    <w:rsid w:val="00BB28E3"/>
    <w:rsid w:val="00BB4566"/>
    <w:rsid w:val="00BB6FB4"/>
    <w:rsid w:val="00BC2EF5"/>
    <w:rsid w:val="00BC350B"/>
    <w:rsid w:val="00BC5970"/>
    <w:rsid w:val="00BC675F"/>
    <w:rsid w:val="00BD2955"/>
    <w:rsid w:val="00BD2F0C"/>
    <w:rsid w:val="00BD458D"/>
    <w:rsid w:val="00BD5BC9"/>
    <w:rsid w:val="00BE1026"/>
    <w:rsid w:val="00BE254F"/>
    <w:rsid w:val="00BE36F7"/>
    <w:rsid w:val="00BE44F4"/>
    <w:rsid w:val="00BE63F3"/>
    <w:rsid w:val="00BE6C02"/>
    <w:rsid w:val="00BE722B"/>
    <w:rsid w:val="00BE7C40"/>
    <w:rsid w:val="00BF12C9"/>
    <w:rsid w:val="00BF35C8"/>
    <w:rsid w:val="00BF58E5"/>
    <w:rsid w:val="00BF6D65"/>
    <w:rsid w:val="00BF7408"/>
    <w:rsid w:val="00C0077D"/>
    <w:rsid w:val="00C0325C"/>
    <w:rsid w:val="00C0345F"/>
    <w:rsid w:val="00C06963"/>
    <w:rsid w:val="00C15CDA"/>
    <w:rsid w:val="00C165F7"/>
    <w:rsid w:val="00C214DA"/>
    <w:rsid w:val="00C24948"/>
    <w:rsid w:val="00C2577C"/>
    <w:rsid w:val="00C270B3"/>
    <w:rsid w:val="00C27AE4"/>
    <w:rsid w:val="00C32F38"/>
    <w:rsid w:val="00C359B4"/>
    <w:rsid w:val="00C4315C"/>
    <w:rsid w:val="00C513C4"/>
    <w:rsid w:val="00C534D1"/>
    <w:rsid w:val="00C56535"/>
    <w:rsid w:val="00C60973"/>
    <w:rsid w:val="00C6242C"/>
    <w:rsid w:val="00C62CF2"/>
    <w:rsid w:val="00C70159"/>
    <w:rsid w:val="00C74348"/>
    <w:rsid w:val="00C81FF6"/>
    <w:rsid w:val="00C83F45"/>
    <w:rsid w:val="00C846D0"/>
    <w:rsid w:val="00C84E86"/>
    <w:rsid w:val="00C84EEF"/>
    <w:rsid w:val="00C91088"/>
    <w:rsid w:val="00C947AF"/>
    <w:rsid w:val="00C96934"/>
    <w:rsid w:val="00CA12B3"/>
    <w:rsid w:val="00CA5F70"/>
    <w:rsid w:val="00CA6A95"/>
    <w:rsid w:val="00CA761C"/>
    <w:rsid w:val="00CB102F"/>
    <w:rsid w:val="00CB178E"/>
    <w:rsid w:val="00CB2EC4"/>
    <w:rsid w:val="00CB6000"/>
    <w:rsid w:val="00CC2A5B"/>
    <w:rsid w:val="00CC314B"/>
    <w:rsid w:val="00CC454E"/>
    <w:rsid w:val="00CC5138"/>
    <w:rsid w:val="00CC765E"/>
    <w:rsid w:val="00CD34EB"/>
    <w:rsid w:val="00CD728E"/>
    <w:rsid w:val="00CE2F0F"/>
    <w:rsid w:val="00CE2F8F"/>
    <w:rsid w:val="00CE38D4"/>
    <w:rsid w:val="00CE4683"/>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40F8B"/>
    <w:rsid w:val="00D41D6F"/>
    <w:rsid w:val="00D47AE2"/>
    <w:rsid w:val="00D52B86"/>
    <w:rsid w:val="00D5355E"/>
    <w:rsid w:val="00D53C2D"/>
    <w:rsid w:val="00D53C9E"/>
    <w:rsid w:val="00D55F13"/>
    <w:rsid w:val="00D57545"/>
    <w:rsid w:val="00D633E0"/>
    <w:rsid w:val="00D651CA"/>
    <w:rsid w:val="00D749EA"/>
    <w:rsid w:val="00D76BE1"/>
    <w:rsid w:val="00D81561"/>
    <w:rsid w:val="00D82334"/>
    <w:rsid w:val="00D83552"/>
    <w:rsid w:val="00D83A71"/>
    <w:rsid w:val="00D83A7E"/>
    <w:rsid w:val="00D85F42"/>
    <w:rsid w:val="00D862E5"/>
    <w:rsid w:val="00D905E7"/>
    <w:rsid w:val="00D94404"/>
    <w:rsid w:val="00D9531A"/>
    <w:rsid w:val="00D977BF"/>
    <w:rsid w:val="00DA35A3"/>
    <w:rsid w:val="00DA48B2"/>
    <w:rsid w:val="00DA5175"/>
    <w:rsid w:val="00DB17BF"/>
    <w:rsid w:val="00DB3082"/>
    <w:rsid w:val="00DB37ED"/>
    <w:rsid w:val="00DB54D3"/>
    <w:rsid w:val="00DC349E"/>
    <w:rsid w:val="00DC3B71"/>
    <w:rsid w:val="00DD3D2C"/>
    <w:rsid w:val="00DD7351"/>
    <w:rsid w:val="00DE10B2"/>
    <w:rsid w:val="00DE33A3"/>
    <w:rsid w:val="00DE35A5"/>
    <w:rsid w:val="00DE3602"/>
    <w:rsid w:val="00DE4C29"/>
    <w:rsid w:val="00DE55EB"/>
    <w:rsid w:val="00DF66FB"/>
    <w:rsid w:val="00E0176D"/>
    <w:rsid w:val="00E03781"/>
    <w:rsid w:val="00E1147C"/>
    <w:rsid w:val="00E11BC1"/>
    <w:rsid w:val="00E144EB"/>
    <w:rsid w:val="00E156A4"/>
    <w:rsid w:val="00E176E4"/>
    <w:rsid w:val="00E225D7"/>
    <w:rsid w:val="00E30E62"/>
    <w:rsid w:val="00E32219"/>
    <w:rsid w:val="00E32CFE"/>
    <w:rsid w:val="00E36319"/>
    <w:rsid w:val="00E37E86"/>
    <w:rsid w:val="00E41E8E"/>
    <w:rsid w:val="00E43176"/>
    <w:rsid w:val="00E43204"/>
    <w:rsid w:val="00E4376D"/>
    <w:rsid w:val="00E437F3"/>
    <w:rsid w:val="00E438B0"/>
    <w:rsid w:val="00E44946"/>
    <w:rsid w:val="00E45005"/>
    <w:rsid w:val="00E466C4"/>
    <w:rsid w:val="00E505CE"/>
    <w:rsid w:val="00E51BB6"/>
    <w:rsid w:val="00E544C6"/>
    <w:rsid w:val="00E571B9"/>
    <w:rsid w:val="00E574F2"/>
    <w:rsid w:val="00E57BC0"/>
    <w:rsid w:val="00E604F1"/>
    <w:rsid w:val="00E61D9E"/>
    <w:rsid w:val="00E72945"/>
    <w:rsid w:val="00E72F24"/>
    <w:rsid w:val="00E7469E"/>
    <w:rsid w:val="00E75DDE"/>
    <w:rsid w:val="00E77C1B"/>
    <w:rsid w:val="00E80E6A"/>
    <w:rsid w:val="00E81F7E"/>
    <w:rsid w:val="00E92592"/>
    <w:rsid w:val="00E9418F"/>
    <w:rsid w:val="00E94950"/>
    <w:rsid w:val="00E96182"/>
    <w:rsid w:val="00EA1F75"/>
    <w:rsid w:val="00EA5C8F"/>
    <w:rsid w:val="00EA73C3"/>
    <w:rsid w:val="00EB23AC"/>
    <w:rsid w:val="00EB36AD"/>
    <w:rsid w:val="00EB6CFC"/>
    <w:rsid w:val="00EB7352"/>
    <w:rsid w:val="00EC0D9D"/>
    <w:rsid w:val="00EC169D"/>
    <w:rsid w:val="00EC3D8C"/>
    <w:rsid w:val="00EC7CE4"/>
    <w:rsid w:val="00ED114F"/>
    <w:rsid w:val="00ED2FBA"/>
    <w:rsid w:val="00ED3B27"/>
    <w:rsid w:val="00ED51E8"/>
    <w:rsid w:val="00EE1AF1"/>
    <w:rsid w:val="00EE3A11"/>
    <w:rsid w:val="00EE5890"/>
    <w:rsid w:val="00EF1586"/>
    <w:rsid w:val="00F0580F"/>
    <w:rsid w:val="00F05E0D"/>
    <w:rsid w:val="00F07B95"/>
    <w:rsid w:val="00F11809"/>
    <w:rsid w:val="00F15E81"/>
    <w:rsid w:val="00F1608D"/>
    <w:rsid w:val="00F16ECC"/>
    <w:rsid w:val="00F21CDE"/>
    <w:rsid w:val="00F21D87"/>
    <w:rsid w:val="00F24DCF"/>
    <w:rsid w:val="00F35FE4"/>
    <w:rsid w:val="00F45145"/>
    <w:rsid w:val="00F465F9"/>
    <w:rsid w:val="00F51434"/>
    <w:rsid w:val="00F522DA"/>
    <w:rsid w:val="00F55C37"/>
    <w:rsid w:val="00F57C91"/>
    <w:rsid w:val="00F57FF4"/>
    <w:rsid w:val="00F616E3"/>
    <w:rsid w:val="00F62A09"/>
    <w:rsid w:val="00F63024"/>
    <w:rsid w:val="00F65500"/>
    <w:rsid w:val="00F6761B"/>
    <w:rsid w:val="00F73DE0"/>
    <w:rsid w:val="00F81EB1"/>
    <w:rsid w:val="00F83992"/>
    <w:rsid w:val="00F84771"/>
    <w:rsid w:val="00F917A6"/>
    <w:rsid w:val="00F93A6F"/>
    <w:rsid w:val="00FA089C"/>
    <w:rsid w:val="00FB1549"/>
    <w:rsid w:val="00FB53F5"/>
    <w:rsid w:val="00FB5734"/>
    <w:rsid w:val="00FC2653"/>
    <w:rsid w:val="00FC4728"/>
    <w:rsid w:val="00FC77BE"/>
    <w:rsid w:val="00FD1694"/>
    <w:rsid w:val="00FD3BDB"/>
    <w:rsid w:val="00FD466B"/>
    <w:rsid w:val="00FE3242"/>
    <w:rsid w:val="00FE40DC"/>
    <w:rsid w:val="00FE4197"/>
    <w:rsid w:val="00FE74B0"/>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papers.ssrn.com/sol3/papers.cfm?abstract_id=1605307" TargetMode="External"/><Relationship Id="rId47" Type="http://schemas.openxmlformats.org/officeDocument/2006/relationships/hyperlink" Target="http://www.maths.univ-evry.fr/prepubli/367.pdf" TargetMode="External"/><Relationship Id="rId63" Type="http://schemas.openxmlformats.org/officeDocument/2006/relationships/hyperlink" Target="http://papers.ssrn.com/sol3/papers.cfm?abstract_id=6143" TargetMode="External"/><Relationship Id="rId68" Type="http://schemas.openxmlformats.org/officeDocument/2006/relationships/hyperlink" Target="http://papers.ssrn.com/sol3/papers.cfm?abstract_id=2482955" TargetMode="Externa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32" Type="http://schemas.openxmlformats.org/officeDocument/2006/relationships/hyperlink" Target="http://www.bis.org/publ/bcbs279.htm" TargetMode="External"/><Relationship Id="rId37" Type="http://schemas.openxmlformats.org/officeDocument/2006/relationships/hyperlink" Target="http://papers.ssrn.com/sol3/papers.cfm?abstract_id=2784289" TargetMode="External"/><Relationship Id="rId53" Type="http://schemas.openxmlformats.org/officeDocument/2006/relationships/hyperlink" Target="http://papers.ssrn.com/sol3/papers.cfm?abstract_id=1855028" TargetMode="External"/><Relationship Id="rId58" Type="http://schemas.openxmlformats.org/officeDocument/2006/relationships/hyperlink" Target="http://papers.ssrn.com/sol3/papers.cfm?abstract_id=2482955" TargetMode="External"/><Relationship Id="rId74" Type="http://schemas.openxmlformats.org/officeDocument/2006/relationships/hyperlink" Target="https://papers.ssrn.com/sol3/papers.cfm?abstract_id=2517301"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inform.pwc.com/" TargetMode="External"/><Relationship Id="rId82" Type="http://schemas.openxmlformats.org/officeDocument/2006/relationships/theme" Target="theme/theme1.xm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2517301" TargetMode="External"/><Relationship Id="rId43" Type="http://schemas.openxmlformats.org/officeDocument/2006/relationships/hyperlink" Target="http://papers.ssrn.com/sol3/papers.cfm?abstract_id=1785262" TargetMode="External"/><Relationship Id="rId48" Type="http://schemas.openxmlformats.org/officeDocument/2006/relationships/hyperlink" Target="http://papers.ssrn.com/sol3/papers.cfm?abstract_id=2157631" TargetMode="External"/><Relationship Id="rId56" Type="http://schemas.openxmlformats.org/officeDocument/2006/relationships/hyperlink" Target="http://papers.ssrn.com/sol3/papers.cfm?abstract_id=2245821"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77" Type="http://schemas.openxmlformats.org/officeDocument/2006/relationships/hyperlink" Target="http://papers.ssrn.com/sol3/papers.cfm?abstract_id=1785262" TargetMode="Externa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hyperlink" Target="http://papers.ssrn.com/sol3/papers.cfm?abstract_id=2400324" TargetMode="External"/><Relationship Id="rId80"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2746010" TargetMode="External"/><Relationship Id="rId46" Type="http://schemas.openxmlformats.org/officeDocument/2006/relationships/hyperlink" Target="http://www.maths.univ-evry.fr/prepubli/366.pdf" TargetMode="External"/><Relationship Id="rId59" Type="http://schemas.openxmlformats.org/officeDocument/2006/relationships/hyperlink" Target="http://papers.ssrn.com/sol3/papers.cfm?abstract_id=1785262"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arxiv.org/pdf/1210.3811.pdf" TargetMode="External"/><Relationship Id="rId54" Type="http://schemas.openxmlformats.org/officeDocument/2006/relationships/hyperlink" Target="http://investor.shareholder.com" TargetMode="External"/><Relationship Id="rId62" Type="http://schemas.openxmlformats.org/officeDocument/2006/relationships/hyperlink" Target="http://papers.ssrn.com/sol3/papers.cfm?abstract_id=2482955" TargetMode="External"/><Relationship Id="rId70" Type="http://schemas.openxmlformats.org/officeDocument/2006/relationships/hyperlink" Target="http://papers.ssrn.com/sol3/papers.cfm?abstract_id=2482955" TargetMode="External"/><Relationship Id="rId75" Type="http://schemas.openxmlformats.org/officeDocument/2006/relationships/hyperlink" Target="http://papers.ssrn.com/sol3/papers.cfm?abstract_id=1969344"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745909"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2482955"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www.leeds-faculty.colorado.edu" TargetMode="External"/><Relationship Id="rId60" Type="http://schemas.openxmlformats.org/officeDocument/2006/relationships/hyperlink" Target="http://www.kpmg.com" TargetMode="External"/><Relationship Id="rId65" Type="http://schemas.openxmlformats.org/officeDocument/2006/relationships/hyperlink" Target="http://papers.ssrn.com/sol3/papers.cfm?abstract_id=1785262" TargetMode="External"/><Relationship Id="rId73" Type="http://schemas.openxmlformats.org/officeDocument/2006/relationships/hyperlink" Target="http://papers.ssrn.com/sol3/papers.cfm?abstract_id=2482955" TargetMode="External"/><Relationship Id="rId78" Type="http://schemas.openxmlformats.org/officeDocument/2006/relationships/hyperlink" Target="https://papers.ssrn.com/sol3/papers.cfm?abstract_id=2534011"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310226"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www.albanese.co.uk" TargetMode="External"/><Relationship Id="rId55" Type="http://schemas.openxmlformats.org/officeDocument/2006/relationships/hyperlink" Target="http://papers.ssrn.com/sol3/papers.cfm?abstract_id=2482955" TargetMode="External"/><Relationship Id="rId76" Type="http://schemas.openxmlformats.org/officeDocument/2006/relationships/hyperlink" Target="http://papers.ssrn.com/sol3/papers.cfm?abstract_id=2482955" TargetMode="External"/><Relationship Id="rId7" Type="http://schemas.openxmlformats.org/officeDocument/2006/relationships/endnotes" Target="endnotes.xml"/><Relationship Id="rId71" Type="http://schemas.openxmlformats.org/officeDocument/2006/relationships/hyperlink" Target="http://papers.ssrn.com/sol3/papers.cfm?abstract_id=2482955"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 Id="rId24" Type="http://schemas.openxmlformats.org/officeDocument/2006/relationships/hyperlink" Target="http://papers.ssrn.com/sol3/papers.cfm?abstract_id=2220371" TargetMode="External"/><Relationship Id="rId40" Type="http://schemas.openxmlformats.org/officeDocument/2006/relationships/hyperlink" Target="http://papers.ssrn.com/sol3/papers.cfm?abstract_id=2103121" TargetMode="External"/><Relationship Id="rId45" Type="http://schemas.openxmlformats.org/officeDocument/2006/relationships/hyperlink" Target="http://papers.ssrn.com/sol3/papers.cfm?abstract_id=2027195" TargetMode="External"/><Relationship Id="rId66" Type="http://schemas.openxmlformats.org/officeDocument/2006/relationships/hyperlink" Target="http://papers.ssrn.com/sol3/papers.cfm?abstract_id=614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500</Pages>
  <Words>98938</Words>
  <Characters>563950</Characters>
  <Application>Microsoft Office Word</Application>
  <DocSecurity>0</DocSecurity>
  <Lines>4699</Lines>
  <Paragraphs>1323</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661565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25</cp:revision>
  <cp:lastPrinted>2018-03-17T15:56:00Z</cp:lastPrinted>
  <dcterms:created xsi:type="dcterms:W3CDTF">2018-03-28T22:34:00Z</dcterms:created>
  <dcterms:modified xsi:type="dcterms:W3CDTF">2018-04-07T03:13:00Z</dcterms:modified>
</cp:coreProperties>
</file>