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B704C">
        <w:rPr>
          <w:b/>
          <w:bCs/>
        </w:rPr>
        <w:t>4</w:t>
      </w:r>
      <w:r w:rsidR="009D7A96">
        <w:rPr>
          <w:b/>
          <w:bCs/>
        </w:rPr>
        <w:t>5</w:t>
      </w:r>
      <w:r w:rsidR="00451A26">
        <w:rPr>
          <w:b/>
          <w:bCs/>
        </w:rPr>
        <w:t xml:space="preserve"> </w:t>
      </w:r>
      <w:r w:rsidR="00E4691D">
        <w:t>1</w:t>
      </w:r>
      <w:r w:rsidR="009D7A96">
        <w:t>6</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0B5DA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0B5D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0B5D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0B5DA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0B5DA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0B5DA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0B5DA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0B5DA3"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0B5DA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0B5DA3"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0B5DA3"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0B5DA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0B5D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w:t>
      </w:r>
      <w:proofErr w:type="spellStart"/>
      <w:r>
        <w:t>ollateral</w:t>
      </w:r>
      <w:proofErr w:type="spellEnd"/>
      <w:r>
        <w:t xml:space="preserve">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0B5DA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B5DA3"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0B5DA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B5DA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0B5DA3"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0B5DA3"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0B5DA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0B5DA3"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w:t>
      </w:r>
      <w:proofErr w:type="spellStart"/>
      <w:r>
        <w:t>o</w:t>
      </w:r>
      <w:proofErr w:type="spellEnd"/>
      <w:r>
        <w:t xml:space="preserve">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w:t>
      </w:r>
      <w:proofErr w:type="spellStart"/>
      <w:r>
        <w:t>sity</w:t>
      </w:r>
      <w:proofErr w:type="spellEnd"/>
      <w:r>
        <w:t xml:space="preserve">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0B5DA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0B5DA3"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0B5DA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0B5DA3"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0B5D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B5D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0B5DA3"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0B5DA3"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0B5D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B5DA3"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0B5DA3"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0B5DA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801009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0B5DA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801009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0B5D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0B5DA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0B5DA3"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0B5DA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0B5DA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0B5DA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0B5DA3"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0B5DA3"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0B5DA3"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0B5DA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0B5DA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0B5DA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0B5DA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0B5DA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0B5DA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0B5DA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0B5DA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0B5DA3"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w:t>
      </w:r>
      <w:proofErr w:type="spellStart"/>
      <w:r>
        <w:t>nteger</w:t>
      </w:r>
      <w:proofErr w:type="spellEnd"/>
      <w:r>
        <w:t>.</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0B5DA3"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0B5DA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0B5DA3"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0B5DA3"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0B5DA3"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0B5DA3"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proofErr w:type="spellStart"/>
      <w:r w:rsidR="00CE38D4">
        <w:t>a</w:t>
      </w:r>
      <w:r>
        <w:t>yer</w:t>
      </w:r>
      <w:proofErr w:type="spellEnd"/>
      <w:r>
        <w:t xml:space="preserve">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w:t>
      </w:r>
      <w:proofErr w:type="spellStart"/>
      <w:r>
        <w:t>alues</w:t>
      </w:r>
      <w:proofErr w:type="spellEnd"/>
      <w:r>
        <w:t xml:space="preserve">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0B5DA3"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w:t>
      </w:r>
      <w:proofErr w:type="spellStart"/>
      <w:r w:rsidR="00893AB0">
        <w:t>en</w:t>
      </w:r>
      <w:proofErr w:type="spellEnd"/>
      <w:r w:rsidR="00893AB0">
        <w:t xml:space="preserve">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w:t>
      </w:r>
      <w:proofErr w:type="spellStart"/>
      <w:r>
        <w:t>ed</w:t>
      </w:r>
      <w:proofErr w:type="spellEnd"/>
      <w:r>
        <w:t xml:space="preserve"> as</w:t>
      </w:r>
    </w:p>
    <w:p w:rsidR="002207E3" w:rsidRDefault="002207E3" w:rsidP="002207E3">
      <w:pPr>
        <w:pStyle w:val="ListParagraph"/>
        <w:spacing w:after="200" w:line="360" w:lineRule="auto"/>
        <w:ind w:left="360"/>
        <w:rPr>
          <w:u w:val="single"/>
        </w:rPr>
      </w:pPr>
    </w:p>
    <w:p w:rsidR="00F16ECC" w:rsidRP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0B5DA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0B5DA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0B5DA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0B5DA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w:t>
      </w:r>
      <w:proofErr w:type="spellStart"/>
      <w:r>
        <w:t>ed</w:t>
      </w:r>
      <w:proofErr w:type="spellEnd"/>
      <w:r>
        <w:t xml:space="preserve">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the portfolio value of the c</w:t>
      </w:r>
      <w:proofErr w:type="spellStart"/>
      <w:r>
        <w:t>ollateral</w:t>
      </w:r>
      <w:proofErr w:type="spellEnd"/>
      <w:r>
        <w:t xml:space="preserve">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w:t>
      </w:r>
      <w:proofErr w:type="spellStart"/>
      <w:r w:rsidR="00951331">
        <w:t>terpolated</w:t>
      </w:r>
      <w:proofErr w:type="spellEnd"/>
      <w:r w:rsidR="00951331">
        <w:t xml:space="preserve">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0B5DA3"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in terms of the day count conventions of the st</w:t>
      </w:r>
      <w:proofErr w:type="spellStart"/>
      <w:r>
        <w:t>andard</w:t>
      </w:r>
      <w:proofErr w:type="spellEnd"/>
      <w:r>
        <w:t xml:space="preserve">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w:t>
      </w:r>
      <w:proofErr w:type="spellStart"/>
      <w:r>
        <w:t>ramework</w:t>
      </w:r>
      <w:proofErr w:type="spellEnd"/>
      <w:r>
        <w:t>.</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0B5DA3"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0B5DA3"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0B5DA3"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0B5DA3"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w:t>
      </w:r>
      <w:proofErr w:type="spellStart"/>
      <w:r>
        <w:t>alculate</w:t>
      </w:r>
      <w:proofErr w:type="spellEnd"/>
      <w:r>
        <w:t xml:space="preserv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0B5DA3"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0B5DA3"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0B5DA3"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0B5DA3"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0B5DA3"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0B5DA3"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0B5DA3"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0B5DA3"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0B5DA3"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0B5DA3"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0B5DA3"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w:t>
      </w:r>
      <w:proofErr w:type="spellStart"/>
      <w:r>
        <w:t>llateral</w:t>
      </w:r>
      <w:proofErr w:type="spellEnd"/>
      <w:r>
        <w:t xml:space="preserve">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0B5DA3"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w:t>
      </w:r>
      <w:proofErr w:type="spellStart"/>
      <w:r>
        <w:t>ncratic</w:t>
      </w:r>
      <w:proofErr w:type="spellEnd"/>
      <w:r>
        <w:t xml:space="preserve">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0B5DA3"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0B5DA3"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0B5DA3"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0B5DA3"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0B5DA3"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0B5DA3"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0B5DA3"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0B5DA3"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0B5DA3"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0B5DA3"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0B5DA3"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w:t>
      </w:r>
      <w:proofErr w:type="spellStart"/>
      <w:r>
        <w:t>ing</w:t>
      </w:r>
      <w:proofErr w:type="spellEnd"/>
      <w:r>
        <w:t xml:space="preserve">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0B5DA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0B5DA3"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0B5DA3"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0B5DA3"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the portfolio value of the co</w:t>
      </w:r>
      <w:proofErr w:type="spellStart"/>
      <w:r>
        <w:t>llateral</w:t>
      </w:r>
      <w:proofErr w:type="spellEnd"/>
      <w:r>
        <w:t xml:space="preserve">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0B5DA3"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0B5DA3"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0B5DA3"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0B5DA3"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0B5DA3"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0B5DA3"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0B5DA3"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0B5DA3"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0B5DA3"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0B5DA3"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0B5DA3"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0B5DA3"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0B5DA3"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0B5DA3"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0B5DA3"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0B5DA3"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0B5DA3"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0B5DA3"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0B5DA3"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0B5DA3"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w:t>
      </w:r>
      <w:proofErr w:type="spellStart"/>
      <w:r>
        <w:t>bility</w:t>
      </w:r>
      <w:proofErr w:type="spellEnd"/>
      <w:r>
        <w:t xml:space="preserve">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0B5DA3"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0B5DA3"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0B5DA3"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0B5DA3"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0B5DA3"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0B5DA3"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0B5DA3"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0B5DA3"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0B5DA3"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0B5DA3"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0B5DA3"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w:t>
      </w:r>
      <w:proofErr w:type="spellStart"/>
      <w:r w:rsidR="00B02005">
        <w:t>ss</w:t>
      </w:r>
      <w:proofErr w:type="spellEnd"/>
      <w:r w:rsidR="00B02005">
        <w:t xml:space="preserve">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0B5DA3"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0B5DA3"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0B5DA3"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0B5DA3"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0B5DA3"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0B5DA3"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0B5DA3"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0B5DA3"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0B5DA3"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0B5DA3"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0B5DA3"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0B5DA3"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0B5DA3"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0B5DA3"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0B5DA3"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0B5DA3"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w:t>
      </w:r>
      <w:proofErr w:type="spellStart"/>
      <w:r>
        <w:t>ollateralized</w:t>
      </w:r>
      <w:proofErr w:type="spellEnd"/>
      <w:r>
        <w:t xml:space="preserve">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0B5DA3"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0B5DA3"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0B5DA3"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0B5DA3"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0B5DA3"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0B5DA3"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w:t>
      </w:r>
      <w:proofErr w:type="spellStart"/>
      <w:r>
        <w:t>ely</w:t>
      </w:r>
      <w:proofErr w:type="spellEnd"/>
      <w:r>
        <w:t xml:space="preserve">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0B5DA3"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0B5DA3"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0B5DA3"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0B5DA3"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0B5DA3"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0B5DA3"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0B5DA3"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w:t>
      </w:r>
      <w:proofErr w:type="spellStart"/>
      <w:r>
        <w:t>ero</w:t>
      </w:r>
      <w:proofErr w:type="spellEnd"/>
      <w:r>
        <w:t>).</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0B5DA3"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0B5DA3"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0B5DA3"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0B5DA3"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0B5DA3"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0B5DA3"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0B5DA3"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0B5DA3"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0B5DA3"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0B5DA3"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0B5DA3"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0B5DA3"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0B5DA3"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0B5DA3"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0B5DA3"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0B5DA3"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0B5DA3"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0B5DA3"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0B5DA3"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0B5DA3"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0B5DA3"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0B5DA3"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0B5DA3"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0B5DA3"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0B5DA3"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0B5DA3"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0B5DA3"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0B5DA3"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0B5DA3"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0B5DA3"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0B5DA3"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0B5DA3"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0B5DA3"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0B5DA3"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0B5DA3"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0B5DA3"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0B5DA3"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0B5DA3"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0B5DA3"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w:t>
      </w:r>
      <w:proofErr w:type="spellStart"/>
      <w:r>
        <w:t>herwise</w:t>
      </w:r>
      <w:proofErr w:type="spellEnd"/>
      <w:r>
        <w:t xml:space="preserv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0B5DA3"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0B5DA3"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0B5DA3"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0B5DA3"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0B5DA3"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0B5DA3"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0B5DA3"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0B5DA3"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E4691D" w:rsidRDefault="00E4691D">
      <w:pPr>
        <w:spacing w:after="200" w:line="276"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0B5DA3"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w:t>
      </w:r>
      <w:proofErr w:type="spellStart"/>
      <w:r>
        <w:t>xpressions</w:t>
      </w:r>
      <w:proofErr w:type="spellEnd"/>
      <w:r>
        <w:t xml:space="preserve">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0B5DA3"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0B5DA3"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0B5DA3"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0B5DA3"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margining date and completed instantaneously. In practice the margin call is a chain of eve</w:t>
      </w:r>
      <w:proofErr w:type="spellStart"/>
      <w:r>
        <w:t>nts</w:t>
      </w:r>
      <w:proofErr w:type="spellEnd"/>
      <w:r>
        <w:t xml:space="preserve">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0B5DA3"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0B5DA3"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w:t>
      </w:r>
      <w:proofErr w:type="spellStart"/>
      <w:r>
        <w:t>eously</w:t>
      </w:r>
      <w:proofErr w:type="spellEnd"/>
      <w:r>
        <w:t xml:space="preserve">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w:t>
      </w:r>
      <w:proofErr w:type="spellStart"/>
      <w:r w:rsidR="005C396A">
        <w:t>eceiving</w:t>
      </w:r>
      <w:proofErr w:type="spellEnd"/>
      <w:r w:rsidR="005C396A">
        <w:t xml:space="preserve">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w:t>
      </w:r>
      <w:proofErr w:type="spellStart"/>
      <w:r>
        <w:t>ency</w:t>
      </w:r>
      <w:proofErr w:type="spellEnd"/>
      <w:r>
        <w:t xml:space="preserve">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The MPoR floor must be increased in certain cas</w:t>
      </w:r>
      <w:proofErr w:type="spellStart"/>
      <w:r w:rsidR="00831468">
        <w:t>es</w:t>
      </w:r>
      <w:proofErr w:type="spellEnd"/>
      <w:r w:rsidR="00831468">
        <w:t xml:space="preserve">,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w:t>
      </w:r>
      <w:proofErr w:type="spellStart"/>
      <w:r>
        <w:t>ke</w:t>
      </w:r>
      <w:proofErr w:type="spellEnd"/>
      <w:r>
        <w:t xml:space="preserv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w:t>
      </w:r>
      <w:proofErr w:type="spellStart"/>
      <w:r>
        <w:t>ome</w:t>
      </w:r>
      <w:proofErr w:type="spellEnd"/>
      <w:r>
        <w:t xml:space="preserv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5"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0B5DA3"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0B5DA3"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After rec</w:t>
      </w:r>
      <w:proofErr w:type="spellStart"/>
      <w:r>
        <w:t>eiving</w:t>
      </w:r>
      <w:proofErr w:type="spellEnd"/>
      <w:r>
        <w:t xml:space="preserve">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w:t>
      </w:r>
      <w:proofErr w:type="spellStart"/>
      <w:r>
        <w:t>ication</w:t>
      </w:r>
      <w:proofErr w:type="spellEnd"/>
      <w:r>
        <w:t xml:space="preserve">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0B5DA3"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0B5DA3"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0B5DA3"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is defined as the last observation date for which the margin was settled in full (a few d</w:t>
      </w:r>
      <w:proofErr w:type="spellStart"/>
      <w:r>
        <w:t>ays</w:t>
      </w:r>
      <w:proofErr w:type="spellEnd"/>
      <w:r>
        <w:t xml:space="preserve">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w:t>
      </w:r>
      <w:proofErr w:type="spellStart"/>
      <w:r>
        <w:t>al</w:t>
      </w:r>
      <w:proofErr w:type="spellEnd"/>
      <w:r>
        <w:t xml:space="preserve">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w:t>
      </w:r>
      <w:proofErr w:type="spellStart"/>
      <w:r>
        <w:t>otentially</w:t>
      </w:r>
      <w:proofErr w:type="spellEnd"/>
      <w:r>
        <w:t xml:space="preserve">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0B5DA3"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0B5DA3"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0B5DA3"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0B5DA3"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0B5DA3"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w:t>
      </w:r>
      <w:proofErr w:type="spellStart"/>
      <w:r>
        <w:t>ger</w:t>
      </w:r>
      <w:proofErr w:type="spellEnd"/>
      <w:r>
        <w:t xml:space="preserve">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0B5DA3"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0B5DA3"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0B5DA3"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0B5DA3"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0B5DA3"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0B5DA3"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0B5DA3"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0B5DA3"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w:t>
      </w:r>
      <w:proofErr w:type="spellStart"/>
      <w:r>
        <w:t>siness</w:t>
      </w:r>
      <w:proofErr w:type="spellEnd"/>
      <w:r>
        <w:t xml:space="preserve">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6"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m:t>
        </m:r>
        <m:r>
          <w:rPr>
            <w:rFonts w:ascii="Cambria Math" w:hAnsi="Cambria Math"/>
            <w:u w:val="single"/>
          </w:rPr>
          <m:t>4</m:t>
        </m:r>
        <m:r>
          <w:rPr>
            <w:rFonts w:ascii="Cambria Math" w:hAnsi="Cambria Math"/>
            <w:u w:val="single"/>
          </w:rPr>
          <m:t xml:space="preserve">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m:t>
        </m:r>
        <m:r>
          <w:rPr>
            <w:rFonts w:ascii="Cambria Math" w:hAnsi="Cambria Math"/>
            <w:u w:val="single"/>
          </w:rPr>
          <m:t>3</m:t>
        </m:r>
        <m:r>
          <w:rPr>
            <w:rFonts w:ascii="Cambria Math" w:hAnsi="Cambria Math"/>
            <w:u w:val="single"/>
          </w:rPr>
          <m:t xml:space="preserve">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m:t>
        </m:r>
        <m:r>
          <w:rPr>
            <w:rFonts w:ascii="Cambria Math" w:hAnsi="Cambria Math"/>
            <w:u w:val="single"/>
          </w:rPr>
          <m:t>2</m:t>
        </m:r>
        <m:r>
          <w:rPr>
            <w:rFonts w:ascii="Cambria Math" w:hAnsi="Cambria Math"/>
            <w:u w:val="single"/>
          </w:rPr>
          <m:t xml:space="preserve">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m:t>
        </m:r>
        <m:r>
          <w:rPr>
            <w:rFonts w:ascii="Cambria Math" w:hAnsi="Cambria Math"/>
            <w:u w:val="single"/>
          </w:rPr>
          <m:t>7</m:t>
        </m:r>
        <m:r>
          <w:rPr>
            <w:rFonts w:ascii="Cambria Math" w:hAnsi="Cambria Math"/>
            <w:u w:val="single"/>
          </w:rPr>
          <m:t xml:space="preserve">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m:t>
        </m:r>
        <m:r>
          <w:rPr>
            <w:rFonts w:ascii="Cambria Math" w:hAnsi="Cambria Math"/>
            <w:u w:val="single"/>
          </w:rPr>
          <m:t>6</m:t>
        </m:r>
        <m:r>
          <w:rPr>
            <w:rFonts w:ascii="Cambria Math" w:hAnsi="Cambria Math"/>
            <w:u w:val="single"/>
          </w:rPr>
          <m:t xml:space="preserve">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m:t>
        </m:r>
        <m:r>
          <w:rPr>
            <w:rFonts w:ascii="Cambria Math" w:hAnsi="Cambria Math"/>
            <w:u w:val="single"/>
          </w:rPr>
          <m:t>5</m:t>
        </m:r>
        <m:r>
          <w:rPr>
            <w:rFonts w:ascii="Cambria Math" w:hAnsi="Cambria Math"/>
            <w:u w:val="single"/>
          </w:rPr>
          <m:t xml:space="preserve">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m:t>
        </m:r>
        <m:r>
          <w:rPr>
            <w:rFonts w:ascii="Cambria Math" w:hAnsi="Cambria Math"/>
            <w:u w:val="single"/>
          </w:rPr>
          <m:t>3</m:t>
        </m:r>
        <m:r>
          <w:rPr>
            <w:rFonts w:ascii="Cambria Math" w:hAnsi="Cambria Math"/>
            <w:u w:val="single"/>
          </w:rPr>
          <m:t xml:space="preserve">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m:t>
        </m:r>
        <m:r>
          <w:rPr>
            <w:rFonts w:ascii="Cambria Math" w:hAnsi="Cambria Math"/>
            <w:u w:val="single"/>
          </w:rPr>
          <m:t>2</m:t>
        </m:r>
        <m:r>
          <w:rPr>
            <w:rFonts w:ascii="Cambria Math" w:hAnsi="Cambria Math"/>
            <w:u w:val="single"/>
          </w:rPr>
          <m:t xml:space="preserve">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de</w:t>
      </w:r>
      <w:proofErr w:type="spellStart"/>
      <w:r>
        <w:t>signating</w:t>
      </w:r>
      <w:proofErr w:type="spellEnd"/>
      <w:r>
        <w:t xml:space="preserve">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470621"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E36BE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E36BE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E36BE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E36BEB"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161EA3" w:rsidRDefault="00161EA3" w:rsidP="00EE4975">
      <w:pPr>
        <w:pStyle w:val="ListParagraph"/>
        <w:numPr>
          <w:ilvl w:val="0"/>
          <w:numId w:val="244"/>
        </w:numPr>
        <w:spacing w:after="200" w:line="360" w:lineRule="auto"/>
      </w:pPr>
      <w:r w:rsidRPr="00EE4975">
        <w:rPr>
          <w:u w:val="single"/>
        </w:rPr>
        <w:t>Margin and Trade Flow Gaps</w:t>
      </w:r>
      <w:r>
        <w:t xml:space="preserve">: To formulate the model in more precise mathematical terms, this section returns to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EE4975" w:rsidRDefault="00EE4975" w:rsidP="00EE4975">
      <w:pPr>
        <w:pStyle w:val="ListParagraph"/>
        <w:numPr>
          <w:ilvl w:val="0"/>
          <w:numId w:val="244"/>
        </w:numPr>
        <w:spacing w:after="200" w:line="360" w:lineRule="auto"/>
      </w:pPr>
      <w:r>
        <w:rPr>
          <w:u w:val="single"/>
        </w:rPr>
        <w:t>Client Last Margin Posting Date</w:t>
      </w:r>
      <w:r>
        <w:t xml:space="preserve">: As with the classical model, it is assumed that the MPoR starts at time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w:t>
      </w:r>
      <w:r>
        <w:lastRenderedPageBreak/>
        <w:t>prescribed collateral support amount calculated from the market data obser</w:t>
      </w:r>
      <w:bookmarkStart w:id="0" w:name="_GoBack"/>
      <w:bookmarkEnd w:id="0"/>
      <w:r>
        <w:t xml:space="preserve">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This is to be compared with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w:t>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r>
              <w:rPr>
                <w:rFonts w:ascii="Cambria Math" w:hAnsi="Cambria Math"/>
              </w:rPr>
              <m:t>-δ</m:t>
            </m:r>
          </m:e>
        </m:d>
      </m:oMath>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7"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8"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0B5D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0B5D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w:t>
      </w:r>
      <w:proofErr w:type="spellStart"/>
      <w:r>
        <w:t>alculating</w:t>
      </w:r>
      <w:proofErr w:type="spellEnd"/>
      <w:r>
        <w:t xml:space="preserve">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0B5D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0B5D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0B5D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0B5D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0B5DA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0B5DA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0B5DA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0B5DA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w:t>
      </w:r>
      <w:proofErr w:type="spellStart"/>
      <w:r w:rsidR="00C947AF">
        <w:t>rty</w:t>
      </w:r>
      <w:proofErr w:type="spellEnd"/>
      <w:r w:rsidR="00C947AF">
        <w:t xml:space="preserve">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39"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0"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1"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2"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w:t>
      </w:r>
      <w:proofErr w:type="spellStart"/>
      <w:r>
        <w:rPr>
          <w:rFonts w:eastAsiaTheme="minorEastAsia"/>
        </w:rPr>
        <w:t>qual</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w:t>
      </w:r>
      <w:proofErr w:type="spellStart"/>
      <w:r w:rsidR="00397E59" w:rsidRPr="00F7337F">
        <w:rPr>
          <w:rFonts w:eastAsiaTheme="minorEastAsia"/>
        </w:rPr>
        <w:t>er</w:t>
      </w:r>
      <w:proofErr w:type="spellEnd"/>
      <w:r w:rsidR="00397E59" w:rsidRPr="00F7337F">
        <w:rPr>
          <w:rFonts w:eastAsiaTheme="minorEastAsia"/>
        </w:rPr>
        <w:t xml:space="preserve"> </w:t>
      </w:r>
      <m:oMath>
        <m:r>
          <w:rPr>
            <w:rFonts w:ascii="Cambria Math" w:hAnsi="Cambria Math"/>
          </w:rPr>
          <m:t>B</m:t>
        </m:r>
      </m:oMath>
    </w:p>
    <w:p w:rsidR="00397E59" w:rsidRPr="00F7337F"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0B5DA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B5D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B5D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0B5DA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0B5DA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0B5DA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w:t>
      </w:r>
      <w:proofErr w:type="spellStart"/>
      <w:r w:rsidR="00397E59">
        <w:rPr>
          <w:rFonts w:eastAsiaTheme="minorEastAsia"/>
        </w:rPr>
        <w:t>ond</w:t>
      </w:r>
      <w:proofErr w:type="spellEnd"/>
      <w:r w:rsidR="00397E59">
        <w:rPr>
          <w:rFonts w:eastAsiaTheme="minorEastAsia"/>
        </w:rPr>
        <w:t xml:space="preserve">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w:t>
      </w:r>
      <w:proofErr w:type="spellStart"/>
      <w:r>
        <w:rPr>
          <w:rFonts w:eastAsiaTheme="minorEastAsia"/>
        </w:rPr>
        <w:t>ses</w:t>
      </w:r>
      <w:proofErr w:type="spellEnd"/>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0B5DA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w:t>
      </w:r>
      <w:proofErr w:type="spellStart"/>
      <w:r>
        <w:rPr>
          <w:rFonts w:eastAsiaTheme="minorEastAsia"/>
        </w:rPr>
        <w:t>rall</w:t>
      </w:r>
      <w:proofErr w:type="spellEnd"/>
      <w:r>
        <w:rPr>
          <w:rFonts w:eastAsiaTheme="minorEastAsia"/>
        </w:rPr>
        <w:t xml:space="preserve">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0B5DA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0B5DA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0B5DA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w:t>
      </w:r>
      <w:proofErr w:type="spellStart"/>
      <w:r>
        <w:rPr>
          <w:rFonts w:eastAsiaTheme="minorEastAsia"/>
        </w:rPr>
        <w:t>eplication</w:t>
      </w:r>
      <w:proofErr w:type="spellEnd"/>
      <w:r>
        <w:rPr>
          <w:rFonts w:eastAsiaTheme="minorEastAsia"/>
        </w:rPr>
        <w:t xml:space="preserve">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5D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B5D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0B5DA3"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0B5DA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0B5DA3"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0B5DA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w:t>
      </w:r>
      <w:proofErr w:type="spellStart"/>
      <w:r w:rsidRPr="00B8739F">
        <w:rPr>
          <w:rFonts w:eastAsiaTheme="minorEastAsia"/>
        </w:rPr>
        <w:t>eplication</w:t>
      </w:r>
      <w:proofErr w:type="spellEnd"/>
      <w:r w:rsidRPr="00B8739F">
        <w:rPr>
          <w:rFonts w:eastAsiaTheme="minorEastAsia"/>
        </w:rPr>
        <w:t xml:space="preserve">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w:t>
      </w:r>
      <w:proofErr w:type="spellStart"/>
      <w:r>
        <w:rPr>
          <w:rFonts w:eastAsiaTheme="minorEastAsia"/>
        </w:rPr>
        <w:t>ements</w:t>
      </w:r>
      <w:proofErr w:type="spellEnd"/>
      <w:r>
        <w:rPr>
          <w:rFonts w:eastAsiaTheme="minorEastAsia"/>
        </w:rPr>
        <w:t xml:space="preserve">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B5D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w:t>
      </w:r>
      <w:proofErr w:type="spellStart"/>
      <w:r>
        <w:rPr>
          <w:rFonts w:eastAsiaTheme="minorEastAsia"/>
        </w:rPr>
        <w:t>ll</w:t>
      </w:r>
      <w:proofErr w:type="spellEnd"/>
      <w:r>
        <w:rPr>
          <w:rFonts w:eastAsiaTheme="minorEastAsia"/>
        </w:rPr>
        <w:t xml:space="preserve">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0B5DA3"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0B5DA3"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0B5DA3"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0B5DA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0B5DA3"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0B5DA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w:t>
      </w:r>
      <w:proofErr w:type="spellStart"/>
      <w:r>
        <w:rPr>
          <w:rFonts w:eastAsiaTheme="minorEastAsia"/>
        </w:rPr>
        <w:t>ed</w:t>
      </w:r>
      <w:proofErr w:type="spellEnd"/>
      <w:r>
        <w:rPr>
          <w:rFonts w:eastAsiaTheme="minorEastAsia"/>
        </w:rPr>
        <w:t xml:space="preserve">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w:t>
      </w:r>
      <w:proofErr w:type="spellStart"/>
      <w:r>
        <w:rPr>
          <w:rFonts w:eastAsiaTheme="minorEastAsia"/>
        </w:rPr>
        <w:t>ecovery</w:t>
      </w:r>
      <w:proofErr w:type="spellEnd"/>
      <w:r>
        <w:rPr>
          <w:rFonts w:eastAsiaTheme="minorEastAsia"/>
        </w:rPr>
        <w:t>.</w:t>
      </w:r>
    </w:p>
    <w:p w:rsidR="00397E59" w:rsidRPr="00D84B0E" w:rsidRDefault="000B5DA3"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w:t>
      </w:r>
      <w:proofErr w:type="spellStart"/>
      <w:r>
        <w:rPr>
          <w:rFonts w:eastAsiaTheme="minorEastAsia"/>
        </w:rPr>
        <w:t>nd</w:t>
      </w:r>
      <w:proofErr w:type="spellEnd"/>
      <w:r>
        <w:rPr>
          <w:rFonts w:eastAsiaTheme="minorEastAsia"/>
        </w:rPr>
        <w:t xml:space="preserve">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B5D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B5DA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B5DA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B5DA3"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0B5DA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3"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4"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5"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6"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7"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8"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9"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0"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1"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2"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0B5DA3"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4"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6"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7"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8"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0"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m:t>
        </m:r>
        <m:r>
          <w:rPr>
            <w:rFonts w:ascii="Cambria Math" w:hAnsi="Cambria Math"/>
          </w:rPr>
          <m:t>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w:t>
      </w:r>
      <w:proofErr w:type="spellStart"/>
      <w:r>
        <w:t>osses</w:t>
      </w:r>
      <w:proofErr w:type="spellEnd"/>
      <w:r>
        <w:t xml:space="preserve">.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w:t>
      </w:r>
      <w:proofErr w:type="spellStart"/>
      <w:r>
        <w:t>rfectly</w:t>
      </w:r>
      <w:proofErr w:type="spellEnd"/>
      <w:r>
        <w:t xml:space="preserve"> functioning REPO market for derivatives would have</w:t>
      </w:r>
    </w:p>
    <w:p w:rsidR="00397E59" w:rsidRDefault="00397E59" w:rsidP="00397E59">
      <w:pPr>
        <w:pStyle w:val="ListParagraph"/>
        <w:spacing w:line="360" w:lineRule="auto"/>
        <w:ind w:left="360"/>
        <w:rPr>
          <w:u w:val="single"/>
        </w:rPr>
      </w:pPr>
    </w:p>
    <w:p w:rsidR="00397E59" w:rsidRPr="00746E27"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w:t>
      </w:r>
      <w:proofErr w:type="spellStart"/>
      <w:r>
        <w:t>nsfer</w:t>
      </w:r>
      <w:proofErr w:type="spellEnd"/>
      <w:r>
        <w:t xml:space="preserve">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w:t>
      </w:r>
      <w:proofErr w:type="spellStart"/>
      <w:r>
        <w:t>ransfer</w:t>
      </w:r>
      <w:proofErr w:type="spellEnd"/>
      <w:r>
        <w:t xml:space="preserve">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3"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4"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5"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0B5DA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w:t>
      </w:r>
      <w:proofErr w:type="spellStart"/>
      <w:r>
        <w:t>itions</w:t>
      </w:r>
      <w:proofErr w:type="spellEnd"/>
      <w:r>
        <w:t xml:space="preserve">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w:t>
      </w:r>
      <w:proofErr w:type="spellStart"/>
      <w:r>
        <w:t>terparties</w:t>
      </w:r>
      <w:proofErr w:type="spellEnd"/>
      <w:r>
        <w:t xml:space="preserve">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Senior bank cre</w:t>
      </w:r>
      <w:proofErr w:type="spellStart"/>
      <w:r>
        <w:t>ditors</w:t>
      </w:r>
      <w:proofErr w:type="spellEnd"/>
      <w:r>
        <w:t xml:space="preserve">,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7"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0B5D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w:t>
      </w:r>
      <w:proofErr w:type="spellStart"/>
      <w:r>
        <w:t>duced</w:t>
      </w:r>
      <w:proofErr w:type="spellEnd"/>
      <w:r>
        <w:t xml:space="preserve">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w:t>
      </w:r>
      <w:proofErr w:type="spellStart"/>
      <w:r>
        <w:t>ing</w:t>
      </w:r>
      <w:proofErr w:type="spellEnd"/>
      <w:r>
        <w:t xml:space="preserve">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0B5DA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0B5DA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0B5DA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0B5D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0B5D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0B5DA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0"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0B5DA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w:t>
      </w:r>
      <w:proofErr w:type="spellStart"/>
      <w:r>
        <w:t>ateral</w:t>
      </w:r>
      <w:proofErr w:type="spellEnd"/>
      <w:r>
        <w:t xml:space="preserve">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w:t>
      </w:r>
      <w:proofErr w:type="spellStart"/>
      <w:r>
        <w:t>argin</w:t>
      </w:r>
      <w:proofErr w:type="spellEnd"/>
      <w:r>
        <w:t xml:space="preserve">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0B5DA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m:t>
              </m:r>
              <m:r>
                <w:rPr>
                  <w:rFonts w:ascii="Cambria Math" w:hAnsi="Cambria Math"/>
                </w:rPr>
                <m:t>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w:t>
      </w:r>
      <w:proofErr w:type="spellStart"/>
      <w:r>
        <w:t>essions</w:t>
      </w:r>
      <w:proofErr w:type="spellEnd"/>
      <w:r>
        <w:t xml:space="preserve">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w:t>
      </w:r>
      <w:proofErr w:type="spellStart"/>
      <w:r>
        <w:t>tentially</w:t>
      </w:r>
      <w:proofErr w:type="spellEnd"/>
      <w:r>
        <w:t xml:space="preserve">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0B5DA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w:t>
      </w:r>
      <w:proofErr w:type="spellStart"/>
      <w:r>
        <w:t>gned</w:t>
      </w:r>
      <w:proofErr w:type="spellEnd"/>
      <w:r>
        <w:t xml:space="preserve">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6"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m:t>
          </m:r>
          <m:r>
            <w:rPr>
              <w:rFonts w:ascii="Cambria Math" w:hAnsi="Cambria Math"/>
            </w:rPr>
            <m:t>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0B5DA3"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0B5DA3"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w:t>
      </w:r>
      <w:proofErr w:type="spellStart"/>
      <w:r>
        <w:t>onsiderations</w:t>
      </w:r>
      <w:proofErr w:type="spellEnd"/>
      <w:r>
        <w:t xml:space="preserve">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w:t>
      </w:r>
      <w:proofErr w:type="spellStart"/>
      <w:r w:rsidR="00F55C37">
        <w:t>llows</w:t>
      </w:r>
      <w:proofErr w:type="spellEnd"/>
      <w:r w:rsidR="00F55C37">
        <w:t xml:space="preserve">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w:t>
      </w:r>
      <w:proofErr w:type="spellStart"/>
      <w:r w:rsidR="00BE722B">
        <w:t>er</w:t>
      </w:r>
      <w:proofErr w:type="spellEnd"/>
      <w:r w:rsidR="00BE722B">
        <w:t xml:space="preserve">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0B5DA3"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m:t>
          </m:r>
          <m:r>
            <w:rPr>
              <w:rFonts w:ascii="Cambria Math" w:hAnsi="Cambria Math"/>
            </w:rPr>
            <m:t>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m:t>
          </m:r>
          <m:r>
            <w:rPr>
              <w:rFonts w:ascii="Cambria Math" w:hAnsi="Cambria Math"/>
            </w:rPr>
            <m:t>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w:t>
      </w:r>
      <w:proofErr w:type="spellStart"/>
      <w:r w:rsidRPr="00826E40">
        <w:rPr>
          <w:u w:val="single"/>
        </w:rPr>
        <w:t>eholders</w:t>
      </w:r>
      <w:proofErr w:type="spellEnd"/>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proofErr w:type="spellStart"/>
      <w:r w:rsidR="00E61D9E">
        <w:t>n</w:t>
      </w:r>
      <w:r>
        <w:t>ged</w:t>
      </w:r>
      <w:proofErr w:type="spellEnd"/>
      <w:r>
        <w:t>.</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w:t>
      </w:r>
      <w:proofErr w:type="spellStart"/>
      <w:r>
        <w:t>uffer</w:t>
      </w:r>
      <w:proofErr w:type="spellEnd"/>
      <w:r>
        <w:t xml:space="preserve">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w:t>
      </w:r>
      <w:proofErr w:type="spellStart"/>
      <w:r w:rsidR="00594EFA">
        <w:t>eant</w:t>
      </w:r>
      <w:proofErr w:type="spellEnd"/>
      <w:r w:rsidR="00594EFA">
        <w:t xml:space="preserve">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7"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8"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79"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0B5DA3"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0B5DA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0B5DA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0B5DA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0B5DA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0B5DA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whereas if the issuer defau</w:t>
      </w:r>
      <w:proofErr w:type="spellStart"/>
      <w:r w:rsidR="00AA126B">
        <w:t>lts</w:t>
      </w:r>
      <w:proofErr w:type="spellEnd"/>
      <w:r w:rsidR="00AA126B">
        <w:t xml:space="preserve">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0B5DA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0B5DA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0B5DA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0B5DA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0B5DA3"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0B5DA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0B5D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0B5D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0B5DA3"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0B5DA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0B5DA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B5DA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0B5DA3"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0B5DA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B5DA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B5DA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0B5D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0B5DA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B5D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0B5DA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0B5DA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0B5DA3"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0B5DA3"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0B5DA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0B5D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B5DA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0B5DA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0B5D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B5DA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0B5D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0B5DA3"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0B5DA3"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0B5DA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0B5DA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0B5DA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0B5DA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0B5DA3"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0B5DA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0B5DA3"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0B5DA3"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0B5DA3"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0B5DA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B5DA3"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0B5DA3"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0B5DA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Thus these terms would not be the ones to be used in contra-asset and the contra-liability account</w:t>
      </w:r>
      <w:proofErr w:type="spellStart"/>
      <w:r>
        <w:t>ing</w:t>
      </w:r>
      <w:proofErr w:type="spellEnd"/>
      <w:r>
        <w:t xml:space="preserve">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0B5DA3"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0B5DA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w:t>
      </w:r>
      <w:proofErr w:type="spellStart"/>
      <w:r>
        <w:t>nceforth</w:t>
      </w:r>
      <w:proofErr w:type="spellEnd"/>
      <w:r>
        <w:t xml:space="preserve"> – yields a system of linear PDE’s:</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w:t>
      </w:r>
      <w:proofErr w:type="spellStart"/>
      <w:r>
        <w:t>ults</w:t>
      </w:r>
      <w:proofErr w:type="spellEnd"/>
      <w:r>
        <w:t>. The hedge errors in this case are given by</w:t>
      </w:r>
    </w:p>
    <w:p w:rsidR="005F1E57" w:rsidRDefault="005F1E57" w:rsidP="005F1E57">
      <w:pPr>
        <w:pStyle w:val="ListParagraph"/>
        <w:spacing w:line="360" w:lineRule="auto"/>
        <w:ind w:left="360"/>
        <w:rPr>
          <w:u w:val="single"/>
        </w:rPr>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0B5DA3"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w:t>
      </w:r>
      <w:proofErr w:type="spellStart"/>
      <w:r>
        <w:t>itive</w:t>
      </w:r>
      <w:proofErr w:type="spellEnd"/>
      <w:r>
        <w:t xml:space="preser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0B5D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0B5D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0B5D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0B5D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0B5DA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0B5DA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0B5DA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0B5DA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0B5DA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0B5DA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0B5DA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0B5DA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0B5DA3"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0B5DA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0B5DA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0B5DA3"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0B5DA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0B5DA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0B5DA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0B5DA3"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0B5DA3"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0B5D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0B5D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0B5D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0B5D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0B5D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0B5DA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0B5D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5D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5D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0B5D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5D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B5DA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0B5D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0B5D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0B5D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0B5D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0B5D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0B5D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0B5DA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0B5DA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m:t>
                          </m:r>
                          <m:r>
                            <w:rPr>
                              <w:rFonts w:ascii="Cambria Math" w:hAnsi="Cambria Math"/>
                              <w:vanish/>
                            </w:rPr>
                            <m:t>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0B5DA3"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0B5DA3"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B5DA3"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0B5DA3"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B5DA3"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0B5DA3"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0B5DA3"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0B5DA3"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0B5DA3"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0B5DA3"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0B5DA3"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0B5DA3"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0B5DA3"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0B5DA3"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0B5DA3"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0B5DA3"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0B5DA3"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0B5D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0B5D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B5D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0B5D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0B5D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B5DA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0B5DA3"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0B5DA3"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0B5DA3"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0B5DA3"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0B5DA3"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0B5DA3"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0B5DA3"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0B5DA3"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0B5DA3"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0B5DA3"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0B5D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0B5D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0B5D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0B5DA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0B5DA3"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0B5DA3"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0B5DA3"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w:t>
      </w:r>
      <w:proofErr w:type="spellStart"/>
      <w:r w:rsidR="00020B11" w:rsidRPr="00167872">
        <w:rPr>
          <w:u w:val="single"/>
        </w:rPr>
        <w:t>onservative</w:t>
      </w:r>
      <w:proofErr w:type="spellEnd"/>
      <w:r w:rsidR="00020B11" w:rsidRPr="00167872">
        <w:rPr>
          <w:u w:val="single"/>
        </w:rPr>
        <w:t xml:space="preser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0B5DA3"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0B5DA3"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0B5DA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w:t>
      </w:r>
      <w:proofErr w:type="spellStart"/>
      <w:r>
        <w:t>gy</w:t>
      </w:r>
      <w:proofErr w:type="spellEnd"/>
      <w:r>
        <w:t xml:space="preserve">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0"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1"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2"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3"/>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70A" w:rsidRDefault="001F470A" w:rsidP="008F462D">
      <w:r>
        <w:separator/>
      </w:r>
    </w:p>
  </w:endnote>
  <w:endnote w:type="continuationSeparator" w:id="0">
    <w:p w:rsidR="001F470A" w:rsidRDefault="001F470A"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EE4975" w:rsidRDefault="00EE4975">
        <w:pPr>
          <w:pStyle w:val="Footer"/>
          <w:jc w:val="center"/>
        </w:pPr>
        <w:r>
          <w:fldChar w:fldCharType="begin"/>
        </w:r>
        <w:r>
          <w:instrText xml:space="preserve"> PAGE   \* MERGEFORMAT </w:instrText>
        </w:r>
        <w:r>
          <w:fldChar w:fldCharType="separate"/>
        </w:r>
        <w:r w:rsidR="00461842">
          <w:rPr>
            <w:noProof/>
          </w:rPr>
          <w:t>251</w:t>
        </w:r>
        <w:r>
          <w:rPr>
            <w:noProof/>
          </w:rPr>
          <w:fldChar w:fldCharType="end"/>
        </w:r>
      </w:p>
    </w:sdtContent>
  </w:sdt>
  <w:p w:rsidR="00EE4975" w:rsidRDefault="00EE4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70A" w:rsidRDefault="001F470A" w:rsidP="008F462D">
      <w:r>
        <w:separator/>
      </w:r>
    </w:p>
  </w:footnote>
  <w:footnote w:type="continuationSeparator" w:id="0">
    <w:p w:rsidR="001F470A" w:rsidRDefault="001F470A"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975" w:rsidRDefault="00EE4975">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EE4975" w:rsidRDefault="00EE4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8">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1">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6">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5">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0"/>
  </w:num>
  <w:num w:numId="2">
    <w:abstractNumId w:val="95"/>
  </w:num>
  <w:num w:numId="3">
    <w:abstractNumId w:val="202"/>
  </w:num>
  <w:num w:numId="4">
    <w:abstractNumId w:val="70"/>
  </w:num>
  <w:num w:numId="5">
    <w:abstractNumId w:val="67"/>
  </w:num>
  <w:num w:numId="6">
    <w:abstractNumId w:val="157"/>
  </w:num>
  <w:num w:numId="7">
    <w:abstractNumId w:val="234"/>
  </w:num>
  <w:num w:numId="8">
    <w:abstractNumId w:val="185"/>
  </w:num>
  <w:num w:numId="9">
    <w:abstractNumId w:val="183"/>
  </w:num>
  <w:num w:numId="10">
    <w:abstractNumId w:val="77"/>
  </w:num>
  <w:num w:numId="11">
    <w:abstractNumId w:val="100"/>
  </w:num>
  <w:num w:numId="12">
    <w:abstractNumId w:val="5"/>
  </w:num>
  <w:num w:numId="13">
    <w:abstractNumId w:val="13"/>
  </w:num>
  <w:num w:numId="14">
    <w:abstractNumId w:val="194"/>
  </w:num>
  <w:num w:numId="15">
    <w:abstractNumId w:val="107"/>
  </w:num>
  <w:num w:numId="16">
    <w:abstractNumId w:val="199"/>
  </w:num>
  <w:num w:numId="17">
    <w:abstractNumId w:val="35"/>
  </w:num>
  <w:num w:numId="18">
    <w:abstractNumId w:val="222"/>
  </w:num>
  <w:num w:numId="19">
    <w:abstractNumId w:val="208"/>
  </w:num>
  <w:num w:numId="20">
    <w:abstractNumId w:val="66"/>
  </w:num>
  <w:num w:numId="21">
    <w:abstractNumId w:val="17"/>
  </w:num>
  <w:num w:numId="22">
    <w:abstractNumId w:val="154"/>
  </w:num>
  <w:num w:numId="23">
    <w:abstractNumId w:val="225"/>
  </w:num>
  <w:num w:numId="24">
    <w:abstractNumId w:val="34"/>
  </w:num>
  <w:num w:numId="25">
    <w:abstractNumId w:val="182"/>
  </w:num>
  <w:num w:numId="26">
    <w:abstractNumId w:val="170"/>
  </w:num>
  <w:num w:numId="27">
    <w:abstractNumId w:val="150"/>
  </w:num>
  <w:num w:numId="28">
    <w:abstractNumId w:val="50"/>
  </w:num>
  <w:num w:numId="29">
    <w:abstractNumId w:val="148"/>
  </w:num>
  <w:num w:numId="30">
    <w:abstractNumId w:val="26"/>
  </w:num>
  <w:num w:numId="31">
    <w:abstractNumId w:val="216"/>
  </w:num>
  <w:num w:numId="32">
    <w:abstractNumId w:val="63"/>
  </w:num>
  <w:num w:numId="33">
    <w:abstractNumId w:val="224"/>
  </w:num>
  <w:num w:numId="34">
    <w:abstractNumId w:val="19"/>
  </w:num>
  <w:num w:numId="35">
    <w:abstractNumId w:val="8"/>
  </w:num>
  <w:num w:numId="36">
    <w:abstractNumId w:val="141"/>
  </w:num>
  <w:num w:numId="37">
    <w:abstractNumId w:val="167"/>
  </w:num>
  <w:num w:numId="38">
    <w:abstractNumId w:val="68"/>
  </w:num>
  <w:num w:numId="39">
    <w:abstractNumId w:val="221"/>
  </w:num>
  <w:num w:numId="40">
    <w:abstractNumId w:val="38"/>
  </w:num>
  <w:num w:numId="41">
    <w:abstractNumId w:val="36"/>
  </w:num>
  <w:num w:numId="42">
    <w:abstractNumId w:val="41"/>
  </w:num>
  <w:num w:numId="43">
    <w:abstractNumId w:val="153"/>
  </w:num>
  <w:num w:numId="44">
    <w:abstractNumId w:val="162"/>
  </w:num>
  <w:num w:numId="45">
    <w:abstractNumId w:val="74"/>
  </w:num>
  <w:num w:numId="46">
    <w:abstractNumId w:val="78"/>
  </w:num>
  <w:num w:numId="47">
    <w:abstractNumId w:val="163"/>
  </w:num>
  <w:num w:numId="48">
    <w:abstractNumId w:val="200"/>
  </w:num>
  <w:num w:numId="49">
    <w:abstractNumId w:val="76"/>
  </w:num>
  <w:num w:numId="50">
    <w:abstractNumId w:val="192"/>
  </w:num>
  <w:num w:numId="51">
    <w:abstractNumId w:val="126"/>
  </w:num>
  <w:num w:numId="52">
    <w:abstractNumId w:val="239"/>
  </w:num>
  <w:num w:numId="53">
    <w:abstractNumId w:val="193"/>
  </w:num>
  <w:num w:numId="54">
    <w:abstractNumId w:val="124"/>
  </w:num>
  <w:num w:numId="55">
    <w:abstractNumId w:val="118"/>
  </w:num>
  <w:num w:numId="56">
    <w:abstractNumId w:val="204"/>
  </w:num>
  <w:num w:numId="57">
    <w:abstractNumId w:val="45"/>
  </w:num>
  <w:num w:numId="58">
    <w:abstractNumId w:val="158"/>
  </w:num>
  <w:num w:numId="59">
    <w:abstractNumId w:val="112"/>
  </w:num>
  <w:num w:numId="60">
    <w:abstractNumId w:val="106"/>
  </w:num>
  <w:num w:numId="61">
    <w:abstractNumId w:val="114"/>
  </w:num>
  <w:num w:numId="62">
    <w:abstractNumId w:val="144"/>
  </w:num>
  <w:num w:numId="63">
    <w:abstractNumId w:val="31"/>
  </w:num>
  <w:num w:numId="64">
    <w:abstractNumId w:val="168"/>
  </w:num>
  <w:num w:numId="65">
    <w:abstractNumId w:val="137"/>
  </w:num>
  <w:num w:numId="66">
    <w:abstractNumId w:val="217"/>
  </w:num>
  <w:num w:numId="67">
    <w:abstractNumId w:val="20"/>
  </w:num>
  <w:num w:numId="68">
    <w:abstractNumId w:val="91"/>
  </w:num>
  <w:num w:numId="69">
    <w:abstractNumId w:val="7"/>
  </w:num>
  <w:num w:numId="70">
    <w:abstractNumId w:val="98"/>
  </w:num>
  <w:num w:numId="71">
    <w:abstractNumId w:val="54"/>
  </w:num>
  <w:num w:numId="72">
    <w:abstractNumId w:val="40"/>
  </w:num>
  <w:num w:numId="73">
    <w:abstractNumId w:val="79"/>
  </w:num>
  <w:num w:numId="74">
    <w:abstractNumId w:val="132"/>
  </w:num>
  <w:num w:numId="75">
    <w:abstractNumId w:val="220"/>
  </w:num>
  <w:num w:numId="76">
    <w:abstractNumId w:val="73"/>
  </w:num>
  <w:num w:numId="77">
    <w:abstractNumId w:val="22"/>
  </w:num>
  <w:num w:numId="78">
    <w:abstractNumId w:val="120"/>
  </w:num>
  <w:num w:numId="79">
    <w:abstractNumId w:val="64"/>
  </w:num>
  <w:num w:numId="80">
    <w:abstractNumId w:val="155"/>
  </w:num>
  <w:num w:numId="81">
    <w:abstractNumId w:val="97"/>
  </w:num>
  <w:num w:numId="82">
    <w:abstractNumId w:val="99"/>
  </w:num>
  <w:num w:numId="83">
    <w:abstractNumId w:val="69"/>
  </w:num>
  <w:num w:numId="84">
    <w:abstractNumId w:val="55"/>
  </w:num>
  <w:num w:numId="85">
    <w:abstractNumId w:val="113"/>
  </w:num>
  <w:num w:numId="86">
    <w:abstractNumId w:val="37"/>
  </w:num>
  <w:num w:numId="87">
    <w:abstractNumId w:val="173"/>
  </w:num>
  <w:num w:numId="88">
    <w:abstractNumId w:val="122"/>
  </w:num>
  <w:num w:numId="89">
    <w:abstractNumId w:val="218"/>
  </w:num>
  <w:num w:numId="90">
    <w:abstractNumId w:val="184"/>
  </w:num>
  <w:num w:numId="91">
    <w:abstractNumId w:val="43"/>
  </w:num>
  <w:num w:numId="92">
    <w:abstractNumId w:val="24"/>
  </w:num>
  <w:num w:numId="93">
    <w:abstractNumId w:val="71"/>
  </w:num>
  <w:num w:numId="94">
    <w:abstractNumId w:val="161"/>
  </w:num>
  <w:num w:numId="95">
    <w:abstractNumId w:val="214"/>
  </w:num>
  <w:num w:numId="96">
    <w:abstractNumId w:val="30"/>
  </w:num>
  <w:num w:numId="97">
    <w:abstractNumId w:val="169"/>
  </w:num>
  <w:num w:numId="98">
    <w:abstractNumId w:val="23"/>
  </w:num>
  <w:num w:numId="99">
    <w:abstractNumId w:val="174"/>
  </w:num>
  <w:num w:numId="100">
    <w:abstractNumId w:val="159"/>
  </w:num>
  <w:num w:numId="101">
    <w:abstractNumId w:val="178"/>
  </w:num>
  <w:num w:numId="102">
    <w:abstractNumId w:val="228"/>
  </w:num>
  <w:num w:numId="103">
    <w:abstractNumId w:val="48"/>
  </w:num>
  <w:num w:numId="104">
    <w:abstractNumId w:val="197"/>
  </w:num>
  <w:num w:numId="105">
    <w:abstractNumId w:val="89"/>
  </w:num>
  <w:num w:numId="106">
    <w:abstractNumId w:val="0"/>
  </w:num>
  <w:num w:numId="107">
    <w:abstractNumId w:val="16"/>
  </w:num>
  <w:num w:numId="108">
    <w:abstractNumId w:val="172"/>
  </w:num>
  <w:num w:numId="109">
    <w:abstractNumId w:val="96"/>
  </w:num>
  <w:num w:numId="110">
    <w:abstractNumId w:val="103"/>
  </w:num>
  <w:num w:numId="111">
    <w:abstractNumId w:val="90"/>
  </w:num>
  <w:num w:numId="112">
    <w:abstractNumId w:val="171"/>
  </w:num>
  <w:num w:numId="113">
    <w:abstractNumId w:val="27"/>
  </w:num>
  <w:num w:numId="114">
    <w:abstractNumId w:val="212"/>
  </w:num>
  <w:num w:numId="115">
    <w:abstractNumId w:val="109"/>
  </w:num>
  <w:num w:numId="116">
    <w:abstractNumId w:val="176"/>
  </w:num>
  <w:num w:numId="117">
    <w:abstractNumId w:val="233"/>
  </w:num>
  <w:num w:numId="118">
    <w:abstractNumId w:val="138"/>
  </w:num>
  <w:num w:numId="119">
    <w:abstractNumId w:val="59"/>
  </w:num>
  <w:num w:numId="120">
    <w:abstractNumId w:val="102"/>
  </w:num>
  <w:num w:numId="121">
    <w:abstractNumId w:val="156"/>
  </w:num>
  <w:num w:numId="122">
    <w:abstractNumId w:val="121"/>
  </w:num>
  <w:num w:numId="123">
    <w:abstractNumId w:val="236"/>
  </w:num>
  <w:num w:numId="124">
    <w:abstractNumId w:val="111"/>
  </w:num>
  <w:num w:numId="125">
    <w:abstractNumId w:val="117"/>
  </w:num>
  <w:num w:numId="126">
    <w:abstractNumId w:val="1"/>
  </w:num>
  <w:num w:numId="127">
    <w:abstractNumId w:val="115"/>
  </w:num>
  <w:num w:numId="128">
    <w:abstractNumId w:val="84"/>
  </w:num>
  <w:num w:numId="129">
    <w:abstractNumId w:val="152"/>
  </w:num>
  <w:num w:numId="130">
    <w:abstractNumId w:val="145"/>
  </w:num>
  <w:num w:numId="131">
    <w:abstractNumId w:val="42"/>
  </w:num>
  <w:num w:numId="132">
    <w:abstractNumId w:val="92"/>
  </w:num>
  <w:num w:numId="133">
    <w:abstractNumId w:val="215"/>
  </w:num>
  <w:num w:numId="134">
    <w:abstractNumId w:val="237"/>
  </w:num>
  <w:num w:numId="135">
    <w:abstractNumId w:val="129"/>
  </w:num>
  <w:num w:numId="136">
    <w:abstractNumId w:val="130"/>
  </w:num>
  <w:num w:numId="137">
    <w:abstractNumId w:val="21"/>
  </w:num>
  <w:num w:numId="138">
    <w:abstractNumId w:val="60"/>
  </w:num>
  <w:num w:numId="139">
    <w:abstractNumId w:val="179"/>
  </w:num>
  <w:num w:numId="140">
    <w:abstractNumId w:val="238"/>
  </w:num>
  <w:num w:numId="141">
    <w:abstractNumId w:val="142"/>
  </w:num>
  <w:num w:numId="142">
    <w:abstractNumId w:val="187"/>
  </w:num>
  <w:num w:numId="143">
    <w:abstractNumId w:val="242"/>
  </w:num>
  <w:num w:numId="144">
    <w:abstractNumId w:val="101"/>
  </w:num>
  <w:num w:numId="145">
    <w:abstractNumId w:val="180"/>
  </w:num>
  <w:num w:numId="146">
    <w:abstractNumId w:val="33"/>
  </w:num>
  <w:num w:numId="147">
    <w:abstractNumId w:val="14"/>
  </w:num>
  <w:num w:numId="148">
    <w:abstractNumId w:val="188"/>
  </w:num>
  <w:num w:numId="149">
    <w:abstractNumId w:val="230"/>
  </w:num>
  <w:num w:numId="150">
    <w:abstractNumId w:val="210"/>
  </w:num>
  <w:num w:numId="151">
    <w:abstractNumId w:val="61"/>
  </w:num>
  <w:num w:numId="152">
    <w:abstractNumId w:val="86"/>
  </w:num>
  <w:num w:numId="153">
    <w:abstractNumId w:val="209"/>
  </w:num>
  <w:num w:numId="154">
    <w:abstractNumId w:val="12"/>
  </w:num>
  <w:num w:numId="155">
    <w:abstractNumId w:val="4"/>
  </w:num>
  <w:num w:numId="156">
    <w:abstractNumId w:val="105"/>
  </w:num>
  <w:num w:numId="157">
    <w:abstractNumId w:val="166"/>
  </w:num>
  <w:num w:numId="158">
    <w:abstractNumId w:val="165"/>
  </w:num>
  <w:num w:numId="159">
    <w:abstractNumId w:val="53"/>
  </w:num>
  <w:num w:numId="160">
    <w:abstractNumId w:val="85"/>
  </w:num>
  <w:num w:numId="161">
    <w:abstractNumId w:val="203"/>
  </w:num>
  <w:num w:numId="162">
    <w:abstractNumId w:val="81"/>
  </w:num>
  <w:num w:numId="163">
    <w:abstractNumId w:val="116"/>
  </w:num>
  <w:num w:numId="164">
    <w:abstractNumId w:val="177"/>
  </w:num>
  <w:num w:numId="165">
    <w:abstractNumId w:val="6"/>
  </w:num>
  <w:num w:numId="166">
    <w:abstractNumId w:val="9"/>
  </w:num>
  <w:num w:numId="167">
    <w:abstractNumId w:val="134"/>
  </w:num>
  <w:num w:numId="168">
    <w:abstractNumId w:val="206"/>
  </w:num>
  <w:num w:numId="169">
    <w:abstractNumId w:val="191"/>
  </w:num>
  <w:num w:numId="170">
    <w:abstractNumId w:val="235"/>
  </w:num>
  <w:num w:numId="171">
    <w:abstractNumId w:val="125"/>
  </w:num>
  <w:num w:numId="172">
    <w:abstractNumId w:val="56"/>
  </w:num>
  <w:num w:numId="173">
    <w:abstractNumId w:val="29"/>
  </w:num>
  <w:num w:numId="174">
    <w:abstractNumId w:val="147"/>
  </w:num>
  <w:num w:numId="175">
    <w:abstractNumId w:val="243"/>
  </w:num>
  <w:num w:numId="176">
    <w:abstractNumId w:val="119"/>
  </w:num>
  <w:num w:numId="177">
    <w:abstractNumId w:val="211"/>
  </w:num>
  <w:num w:numId="178">
    <w:abstractNumId w:val="135"/>
  </w:num>
  <w:num w:numId="179">
    <w:abstractNumId w:val="213"/>
  </w:num>
  <w:num w:numId="180">
    <w:abstractNumId w:val="75"/>
  </w:num>
  <w:num w:numId="181">
    <w:abstractNumId w:val="198"/>
  </w:num>
  <w:num w:numId="182">
    <w:abstractNumId w:val="62"/>
  </w:num>
  <w:num w:numId="183">
    <w:abstractNumId w:val="93"/>
  </w:num>
  <w:num w:numId="184">
    <w:abstractNumId w:val="139"/>
  </w:num>
  <w:num w:numId="185">
    <w:abstractNumId w:val="195"/>
  </w:num>
  <w:num w:numId="186">
    <w:abstractNumId w:val="47"/>
  </w:num>
  <w:num w:numId="187">
    <w:abstractNumId w:val="83"/>
  </w:num>
  <w:num w:numId="188">
    <w:abstractNumId w:val="207"/>
  </w:num>
  <w:num w:numId="189">
    <w:abstractNumId w:val="140"/>
  </w:num>
  <w:num w:numId="190">
    <w:abstractNumId w:val="49"/>
  </w:num>
  <w:num w:numId="191">
    <w:abstractNumId w:val="15"/>
  </w:num>
  <w:num w:numId="192">
    <w:abstractNumId w:val="80"/>
  </w:num>
  <w:num w:numId="193">
    <w:abstractNumId w:val="94"/>
  </w:num>
  <w:num w:numId="194">
    <w:abstractNumId w:val="231"/>
  </w:num>
  <w:num w:numId="195">
    <w:abstractNumId w:val="52"/>
  </w:num>
  <w:num w:numId="196">
    <w:abstractNumId w:val="226"/>
  </w:num>
  <w:num w:numId="197">
    <w:abstractNumId w:val="87"/>
  </w:num>
  <w:num w:numId="198">
    <w:abstractNumId w:val="58"/>
  </w:num>
  <w:num w:numId="199">
    <w:abstractNumId w:val="232"/>
  </w:num>
  <w:num w:numId="200">
    <w:abstractNumId w:val="51"/>
  </w:num>
  <w:num w:numId="201">
    <w:abstractNumId w:val="57"/>
  </w:num>
  <w:num w:numId="202">
    <w:abstractNumId w:val="136"/>
  </w:num>
  <w:num w:numId="203">
    <w:abstractNumId w:val="128"/>
  </w:num>
  <w:num w:numId="204">
    <w:abstractNumId w:val="88"/>
  </w:num>
  <w:num w:numId="205">
    <w:abstractNumId w:val="229"/>
  </w:num>
  <w:num w:numId="206">
    <w:abstractNumId w:val="39"/>
  </w:num>
  <w:num w:numId="207">
    <w:abstractNumId w:val="127"/>
  </w:num>
  <w:num w:numId="208">
    <w:abstractNumId w:val="133"/>
  </w:num>
  <w:num w:numId="209">
    <w:abstractNumId w:val="143"/>
  </w:num>
  <w:num w:numId="210">
    <w:abstractNumId w:val="186"/>
  </w:num>
  <w:num w:numId="211">
    <w:abstractNumId w:val="196"/>
  </w:num>
  <w:num w:numId="212">
    <w:abstractNumId w:val="241"/>
  </w:num>
  <w:num w:numId="213">
    <w:abstractNumId w:val="181"/>
  </w:num>
  <w:num w:numId="214">
    <w:abstractNumId w:val="10"/>
  </w:num>
  <w:num w:numId="215">
    <w:abstractNumId w:val="46"/>
  </w:num>
  <w:num w:numId="216">
    <w:abstractNumId w:val="65"/>
  </w:num>
  <w:num w:numId="217">
    <w:abstractNumId w:val="240"/>
  </w:num>
  <w:num w:numId="218">
    <w:abstractNumId w:val="44"/>
  </w:num>
  <w:num w:numId="219">
    <w:abstractNumId w:val="205"/>
  </w:num>
  <w:num w:numId="220">
    <w:abstractNumId w:val="175"/>
  </w:num>
  <w:num w:numId="221">
    <w:abstractNumId w:val="25"/>
  </w:num>
  <w:num w:numId="222">
    <w:abstractNumId w:val="108"/>
  </w:num>
  <w:num w:numId="223">
    <w:abstractNumId w:val="131"/>
  </w:num>
  <w:num w:numId="224">
    <w:abstractNumId w:val="227"/>
  </w:num>
  <w:num w:numId="225">
    <w:abstractNumId w:val="146"/>
  </w:num>
  <w:num w:numId="226">
    <w:abstractNumId w:val="18"/>
  </w:num>
  <w:num w:numId="227">
    <w:abstractNumId w:val="110"/>
  </w:num>
  <w:num w:numId="228">
    <w:abstractNumId w:val="3"/>
  </w:num>
  <w:num w:numId="229">
    <w:abstractNumId w:val="104"/>
  </w:num>
  <w:num w:numId="230">
    <w:abstractNumId w:val="219"/>
  </w:num>
  <w:num w:numId="231">
    <w:abstractNumId w:val="190"/>
  </w:num>
  <w:num w:numId="232">
    <w:abstractNumId w:val="28"/>
  </w:num>
  <w:num w:numId="233">
    <w:abstractNumId w:val="123"/>
  </w:num>
  <w:num w:numId="234">
    <w:abstractNumId w:val="151"/>
  </w:num>
  <w:num w:numId="235">
    <w:abstractNumId w:val="11"/>
  </w:num>
  <w:num w:numId="236">
    <w:abstractNumId w:val="82"/>
  </w:num>
  <w:num w:numId="237">
    <w:abstractNumId w:val="201"/>
  </w:num>
  <w:num w:numId="238">
    <w:abstractNumId w:val="2"/>
  </w:num>
  <w:num w:numId="239">
    <w:abstractNumId w:val="72"/>
  </w:num>
  <w:num w:numId="240">
    <w:abstractNumId w:val="164"/>
  </w:num>
  <w:num w:numId="241">
    <w:abstractNumId w:val="149"/>
  </w:num>
  <w:num w:numId="242">
    <w:abstractNumId w:val="223"/>
  </w:num>
  <w:num w:numId="243">
    <w:abstractNumId w:val="189"/>
  </w:num>
  <w:num w:numId="244">
    <w:abstractNumId w:val="32"/>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524F8"/>
    <w:rsid w:val="000600B2"/>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5DA3"/>
    <w:rsid w:val="000B6828"/>
    <w:rsid w:val="000C1B8F"/>
    <w:rsid w:val="000C371B"/>
    <w:rsid w:val="000C49C5"/>
    <w:rsid w:val="000D5C53"/>
    <w:rsid w:val="000D70CB"/>
    <w:rsid w:val="000E50E7"/>
    <w:rsid w:val="000E717D"/>
    <w:rsid w:val="000F3195"/>
    <w:rsid w:val="000F6C8E"/>
    <w:rsid w:val="00100D36"/>
    <w:rsid w:val="00103E3C"/>
    <w:rsid w:val="0010438C"/>
    <w:rsid w:val="00105A96"/>
    <w:rsid w:val="00105B19"/>
    <w:rsid w:val="00106F7D"/>
    <w:rsid w:val="0010713C"/>
    <w:rsid w:val="001101CE"/>
    <w:rsid w:val="00113670"/>
    <w:rsid w:val="00113BC5"/>
    <w:rsid w:val="00116CA9"/>
    <w:rsid w:val="001369F0"/>
    <w:rsid w:val="00137AC6"/>
    <w:rsid w:val="00140884"/>
    <w:rsid w:val="001415B7"/>
    <w:rsid w:val="00142744"/>
    <w:rsid w:val="00151220"/>
    <w:rsid w:val="00153307"/>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1B3D"/>
    <w:rsid w:val="001C1517"/>
    <w:rsid w:val="001C207A"/>
    <w:rsid w:val="001C581C"/>
    <w:rsid w:val="001D0C27"/>
    <w:rsid w:val="001D53F0"/>
    <w:rsid w:val="001D6E76"/>
    <w:rsid w:val="001D7576"/>
    <w:rsid w:val="001E3150"/>
    <w:rsid w:val="001E562F"/>
    <w:rsid w:val="001F03C3"/>
    <w:rsid w:val="001F1086"/>
    <w:rsid w:val="001F2F4D"/>
    <w:rsid w:val="001F3658"/>
    <w:rsid w:val="001F470A"/>
    <w:rsid w:val="002020E8"/>
    <w:rsid w:val="00202BF1"/>
    <w:rsid w:val="00206443"/>
    <w:rsid w:val="00215B22"/>
    <w:rsid w:val="002207E3"/>
    <w:rsid w:val="00224487"/>
    <w:rsid w:val="00224CFB"/>
    <w:rsid w:val="00232FC5"/>
    <w:rsid w:val="00233604"/>
    <w:rsid w:val="00236EBD"/>
    <w:rsid w:val="00241F2B"/>
    <w:rsid w:val="00241F92"/>
    <w:rsid w:val="002426A3"/>
    <w:rsid w:val="00242EA4"/>
    <w:rsid w:val="00244832"/>
    <w:rsid w:val="00245BBE"/>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09F2"/>
    <w:rsid w:val="00351301"/>
    <w:rsid w:val="00354F45"/>
    <w:rsid w:val="003568B0"/>
    <w:rsid w:val="00356FDD"/>
    <w:rsid w:val="003579EF"/>
    <w:rsid w:val="00357AE4"/>
    <w:rsid w:val="00364216"/>
    <w:rsid w:val="00365C6C"/>
    <w:rsid w:val="00366C39"/>
    <w:rsid w:val="003705EC"/>
    <w:rsid w:val="00373D86"/>
    <w:rsid w:val="00375834"/>
    <w:rsid w:val="003779D2"/>
    <w:rsid w:val="003843EC"/>
    <w:rsid w:val="00385075"/>
    <w:rsid w:val="003855A2"/>
    <w:rsid w:val="00385939"/>
    <w:rsid w:val="003906AB"/>
    <w:rsid w:val="00392585"/>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61A2"/>
    <w:rsid w:val="004A7582"/>
    <w:rsid w:val="004B1046"/>
    <w:rsid w:val="004B1053"/>
    <w:rsid w:val="004B2FFB"/>
    <w:rsid w:val="004B46C1"/>
    <w:rsid w:val="004B4C61"/>
    <w:rsid w:val="004C2D2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8540F"/>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7757C"/>
    <w:rsid w:val="0068381A"/>
    <w:rsid w:val="006842C6"/>
    <w:rsid w:val="0068502A"/>
    <w:rsid w:val="00685B0C"/>
    <w:rsid w:val="00686D79"/>
    <w:rsid w:val="006931FB"/>
    <w:rsid w:val="00694662"/>
    <w:rsid w:val="00695BC9"/>
    <w:rsid w:val="006A2924"/>
    <w:rsid w:val="006A37DC"/>
    <w:rsid w:val="006A4FE6"/>
    <w:rsid w:val="006B0528"/>
    <w:rsid w:val="006B3E9E"/>
    <w:rsid w:val="006B44A4"/>
    <w:rsid w:val="006C391C"/>
    <w:rsid w:val="006D305B"/>
    <w:rsid w:val="006D6285"/>
    <w:rsid w:val="006E14D0"/>
    <w:rsid w:val="006E178D"/>
    <w:rsid w:val="006E25B3"/>
    <w:rsid w:val="006F1D53"/>
    <w:rsid w:val="006F27C3"/>
    <w:rsid w:val="006F5742"/>
    <w:rsid w:val="006F64BE"/>
    <w:rsid w:val="006F6E8B"/>
    <w:rsid w:val="006F7043"/>
    <w:rsid w:val="006F7FF6"/>
    <w:rsid w:val="0070033E"/>
    <w:rsid w:val="00700516"/>
    <w:rsid w:val="0070072D"/>
    <w:rsid w:val="0070274C"/>
    <w:rsid w:val="00703E6F"/>
    <w:rsid w:val="007041E7"/>
    <w:rsid w:val="00707B1C"/>
    <w:rsid w:val="00710E9A"/>
    <w:rsid w:val="00715EE1"/>
    <w:rsid w:val="00720ADD"/>
    <w:rsid w:val="00721408"/>
    <w:rsid w:val="00722DFA"/>
    <w:rsid w:val="0073023B"/>
    <w:rsid w:val="00732B8B"/>
    <w:rsid w:val="00736B33"/>
    <w:rsid w:val="00736E65"/>
    <w:rsid w:val="0074006C"/>
    <w:rsid w:val="00740C10"/>
    <w:rsid w:val="007415B2"/>
    <w:rsid w:val="00741F1A"/>
    <w:rsid w:val="00744041"/>
    <w:rsid w:val="007551C1"/>
    <w:rsid w:val="00756E1B"/>
    <w:rsid w:val="007573D0"/>
    <w:rsid w:val="00763763"/>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5A6"/>
    <w:rsid w:val="007E1F82"/>
    <w:rsid w:val="007F0360"/>
    <w:rsid w:val="007F0F75"/>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5955"/>
    <w:rsid w:val="00845343"/>
    <w:rsid w:val="0085172B"/>
    <w:rsid w:val="008525AE"/>
    <w:rsid w:val="00854440"/>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56A2"/>
    <w:rsid w:val="008D5CAB"/>
    <w:rsid w:val="008E3C22"/>
    <w:rsid w:val="008E5A6F"/>
    <w:rsid w:val="008E71D5"/>
    <w:rsid w:val="008F175A"/>
    <w:rsid w:val="008F3ADE"/>
    <w:rsid w:val="008F462D"/>
    <w:rsid w:val="008F492E"/>
    <w:rsid w:val="008F74B9"/>
    <w:rsid w:val="008F7840"/>
    <w:rsid w:val="009002C2"/>
    <w:rsid w:val="00900B59"/>
    <w:rsid w:val="009014E8"/>
    <w:rsid w:val="00901578"/>
    <w:rsid w:val="00901C53"/>
    <w:rsid w:val="00911A07"/>
    <w:rsid w:val="00915D94"/>
    <w:rsid w:val="00916250"/>
    <w:rsid w:val="00916CC6"/>
    <w:rsid w:val="00920613"/>
    <w:rsid w:val="009243DE"/>
    <w:rsid w:val="00931364"/>
    <w:rsid w:val="00937162"/>
    <w:rsid w:val="00951331"/>
    <w:rsid w:val="0095261B"/>
    <w:rsid w:val="00960915"/>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1A31"/>
    <w:rsid w:val="009A4019"/>
    <w:rsid w:val="009A4F80"/>
    <w:rsid w:val="009A755B"/>
    <w:rsid w:val="009B1191"/>
    <w:rsid w:val="009B1C13"/>
    <w:rsid w:val="009B350D"/>
    <w:rsid w:val="009B40E8"/>
    <w:rsid w:val="009B4E7B"/>
    <w:rsid w:val="009C274C"/>
    <w:rsid w:val="009C31EA"/>
    <w:rsid w:val="009C5DDF"/>
    <w:rsid w:val="009D0A87"/>
    <w:rsid w:val="009D3E2B"/>
    <w:rsid w:val="009D49F0"/>
    <w:rsid w:val="009D7797"/>
    <w:rsid w:val="009D7A96"/>
    <w:rsid w:val="009D7D09"/>
    <w:rsid w:val="009E0EB0"/>
    <w:rsid w:val="009E5F68"/>
    <w:rsid w:val="009F11EF"/>
    <w:rsid w:val="009F7F99"/>
    <w:rsid w:val="00A02A9E"/>
    <w:rsid w:val="00A0478C"/>
    <w:rsid w:val="00A110A1"/>
    <w:rsid w:val="00A11701"/>
    <w:rsid w:val="00A15876"/>
    <w:rsid w:val="00A21CE0"/>
    <w:rsid w:val="00A243B5"/>
    <w:rsid w:val="00A25D37"/>
    <w:rsid w:val="00A26F19"/>
    <w:rsid w:val="00A30628"/>
    <w:rsid w:val="00A320F3"/>
    <w:rsid w:val="00A35BA7"/>
    <w:rsid w:val="00A37BDE"/>
    <w:rsid w:val="00A406B0"/>
    <w:rsid w:val="00A51480"/>
    <w:rsid w:val="00A57A13"/>
    <w:rsid w:val="00A611B3"/>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676E3"/>
    <w:rsid w:val="00B73030"/>
    <w:rsid w:val="00B7496E"/>
    <w:rsid w:val="00B7598E"/>
    <w:rsid w:val="00B77BC3"/>
    <w:rsid w:val="00B82F71"/>
    <w:rsid w:val="00B83D9A"/>
    <w:rsid w:val="00B85A8C"/>
    <w:rsid w:val="00B8619A"/>
    <w:rsid w:val="00B86917"/>
    <w:rsid w:val="00B909FF"/>
    <w:rsid w:val="00B94B67"/>
    <w:rsid w:val="00B975E6"/>
    <w:rsid w:val="00B97DD9"/>
    <w:rsid w:val="00BA04DE"/>
    <w:rsid w:val="00BA6CE1"/>
    <w:rsid w:val="00BB19AC"/>
    <w:rsid w:val="00BB226A"/>
    <w:rsid w:val="00BB28E3"/>
    <w:rsid w:val="00BB4566"/>
    <w:rsid w:val="00BB4F04"/>
    <w:rsid w:val="00BB6FB4"/>
    <w:rsid w:val="00BC2EF5"/>
    <w:rsid w:val="00BC350B"/>
    <w:rsid w:val="00BC5970"/>
    <w:rsid w:val="00BC675F"/>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6963"/>
    <w:rsid w:val="00C15CDA"/>
    <w:rsid w:val="00C165F7"/>
    <w:rsid w:val="00C214DA"/>
    <w:rsid w:val="00C24948"/>
    <w:rsid w:val="00C2577C"/>
    <w:rsid w:val="00C270B3"/>
    <w:rsid w:val="00C27AE4"/>
    <w:rsid w:val="00C32F38"/>
    <w:rsid w:val="00C359B4"/>
    <w:rsid w:val="00C35B7A"/>
    <w:rsid w:val="00C4315C"/>
    <w:rsid w:val="00C473D6"/>
    <w:rsid w:val="00C513C4"/>
    <w:rsid w:val="00C534D1"/>
    <w:rsid w:val="00C56535"/>
    <w:rsid w:val="00C60973"/>
    <w:rsid w:val="00C6242C"/>
    <w:rsid w:val="00C62CF2"/>
    <w:rsid w:val="00C70159"/>
    <w:rsid w:val="00C72E29"/>
    <w:rsid w:val="00C74348"/>
    <w:rsid w:val="00C7625C"/>
    <w:rsid w:val="00C81FF6"/>
    <w:rsid w:val="00C83F45"/>
    <w:rsid w:val="00C846D0"/>
    <w:rsid w:val="00C84E86"/>
    <w:rsid w:val="00C84EEF"/>
    <w:rsid w:val="00C91088"/>
    <w:rsid w:val="00C947AF"/>
    <w:rsid w:val="00C96934"/>
    <w:rsid w:val="00CA12B3"/>
    <w:rsid w:val="00CA5F70"/>
    <w:rsid w:val="00CA6A95"/>
    <w:rsid w:val="00CA761C"/>
    <w:rsid w:val="00CB102F"/>
    <w:rsid w:val="00CB178E"/>
    <w:rsid w:val="00CB17FA"/>
    <w:rsid w:val="00CB2EC4"/>
    <w:rsid w:val="00CB6000"/>
    <w:rsid w:val="00CC2A5B"/>
    <w:rsid w:val="00CC314B"/>
    <w:rsid w:val="00CC454E"/>
    <w:rsid w:val="00CC5138"/>
    <w:rsid w:val="00CC765E"/>
    <w:rsid w:val="00CD34EB"/>
    <w:rsid w:val="00CD728E"/>
    <w:rsid w:val="00CE235F"/>
    <w:rsid w:val="00CE2F0F"/>
    <w:rsid w:val="00CE2F8F"/>
    <w:rsid w:val="00CE38D4"/>
    <w:rsid w:val="00CE4683"/>
    <w:rsid w:val="00CE6D36"/>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40F8B"/>
    <w:rsid w:val="00D41D6F"/>
    <w:rsid w:val="00D47AE2"/>
    <w:rsid w:val="00D52B86"/>
    <w:rsid w:val="00D53040"/>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66FB"/>
    <w:rsid w:val="00E0176D"/>
    <w:rsid w:val="00E03781"/>
    <w:rsid w:val="00E0582C"/>
    <w:rsid w:val="00E1147C"/>
    <w:rsid w:val="00E11BC1"/>
    <w:rsid w:val="00E144EB"/>
    <w:rsid w:val="00E156A4"/>
    <w:rsid w:val="00E176E4"/>
    <w:rsid w:val="00E225D7"/>
    <w:rsid w:val="00E30E62"/>
    <w:rsid w:val="00E32219"/>
    <w:rsid w:val="00E32CFE"/>
    <w:rsid w:val="00E36319"/>
    <w:rsid w:val="00E36BEB"/>
    <w:rsid w:val="00E37E86"/>
    <w:rsid w:val="00E41E8E"/>
    <w:rsid w:val="00E43176"/>
    <w:rsid w:val="00E43204"/>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66E6"/>
    <w:rsid w:val="00E72945"/>
    <w:rsid w:val="00E72F24"/>
    <w:rsid w:val="00E7469E"/>
    <w:rsid w:val="00E75557"/>
    <w:rsid w:val="00E75DDE"/>
    <w:rsid w:val="00E77C1B"/>
    <w:rsid w:val="00E80E6A"/>
    <w:rsid w:val="00E81F7E"/>
    <w:rsid w:val="00E92592"/>
    <w:rsid w:val="00E9418F"/>
    <w:rsid w:val="00E94950"/>
    <w:rsid w:val="00E96182"/>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61"/>
    <w:rsid w:val="00F45145"/>
    <w:rsid w:val="00F465F9"/>
    <w:rsid w:val="00F51434"/>
    <w:rsid w:val="00F522DA"/>
    <w:rsid w:val="00F55C37"/>
    <w:rsid w:val="00F57C91"/>
    <w:rsid w:val="00F57FF4"/>
    <w:rsid w:val="00F616E3"/>
    <w:rsid w:val="00F62A09"/>
    <w:rsid w:val="00F63024"/>
    <w:rsid w:val="00F65500"/>
    <w:rsid w:val="00F6761B"/>
    <w:rsid w:val="00F73DE0"/>
    <w:rsid w:val="00F81EB1"/>
    <w:rsid w:val="00F83992"/>
    <w:rsid w:val="00F84771"/>
    <w:rsid w:val="00F84EF9"/>
    <w:rsid w:val="00F917A6"/>
    <w:rsid w:val="00F93A6F"/>
    <w:rsid w:val="00FA089C"/>
    <w:rsid w:val="00FB1549"/>
    <w:rsid w:val="00FB53F5"/>
    <w:rsid w:val="00FB5734"/>
    <w:rsid w:val="00FC2653"/>
    <w:rsid w:val="00FC2C16"/>
    <w:rsid w:val="00FC4728"/>
    <w:rsid w:val="00FC77BE"/>
    <w:rsid w:val="00FD1694"/>
    <w:rsid w:val="00FD3BDB"/>
    <w:rsid w:val="00FD466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2746010" TargetMode="External"/><Relationship Id="rId47" Type="http://schemas.openxmlformats.org/officeDocument/2006/relationships/hyperlink" Target="http://papers.ssrn.com/sol3/papers.cfm?abstract_id=1785262" TargetMode="External"/><Relationship Id="rId63" Type="http://schemas.openxmlformats.org/officeDocument/2006/relationships/hyperlink" Target="http://papers.ssrn.com/sol3/papers.cfm?abstract_id=1785262" TargetMode="External"/><Relationship Id="rId68" Type="http://schemas.openxmlformats.org/officeDocument/2006/relationships/hyperlink" Target="http://papers.ssrn.com/sol3/papers.cfm?abstract_id=2482955" TargetMode="External"/><Relationship Id="rId84" Type="http://schemas.openxmlformats.org/officeDocument/2006/relationships/footer" Target="footer1.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papers.ssrn.com/sol3/papers.cfm?abstract_id=2719964"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investor.shareholder.com"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papers.ssrn.com/sol3/papers.cfm?abstract_id=1969344"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isda.org" TargetMode="External"/><Relationship Id="rId43" Type="http://schemas.openxmlformats.org/officeDocument/2006/relationships/hyperlink" Target="http://papers.ssrn.com/sol3/papers.cfm?abstract_id=1310226" TargetMode="External"/><Relationship Id="rId48" Type="http://schemas.openxmlformats.org/officeDocument/2006/relationships/hyperlink" Target="http://papers.ssrn.com/sol3/papers.cfm?abstract_id=2157631" TargetMode="External"/><Relationship Id="rId56" Type="http://schemas.openxmlformats.org/officeDocument/2006/relationships/hyperlink" Target="http://www.leeds-faculty.colorado.edu" TargetMode="External"/><Relationship Id="rId64" Type="http://schemas.openxmlformats.org/officeDocument/2006/relationships/hyperlink" Target="http://www.kpmg.com" TargetMode="External"/><Relationship Id="rId69" Type="http://schemas.openxmlformats.org/officeDocument/2006/relationships/hyperlink" Target="http://papers.ssrn.com/sol3/papers.cfm?abstract_id=1785262" TargetMode="External"/><Relationship Id="rId77"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www.maths.univ-evry.fr/prepubli/367.pdf"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2482955"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1744101" TargetMode="External"/><Relationship Id="rId46" Type="http://schemas.openxmlformats.org/officeDocument/2006/relationships/hyperlink" Target="http://papers.ssrn.com/sol3/papers.cfm?abstract_id=1605307"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papers.ssrn.com/sol3/papers.cfm?abstract_id=6143"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84289" TargetMode="External"/><Relationship Id="rId54" Type="http://schemas.openxmlformats.org/officeDocument/2006/relationships/hyperlink" Target="http://www.albanese.co.uk"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6143" TargetMode="External"/><Relationship Id="rId75" Type="http://schemas.openxmlformats.org/officeDocument/2006/relationships/hyperlink" Target="http://papers.ssrn.com/sol3/papers.cfm?abstract_id=2482955"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s://en.wikipedia.org/wiki/Settlement_risk" TargetMode="External"/><Relationship Id="rId49" Type="http://schemas.openxmlformats.org/officeDocument/2006/relationships/hyperlink" Target="http://papers.ssrn.com/sol3/papers.cfm?abstract_id=2027195" TargetMode="External"/><Relationship Id="rId57" Type="http://schemas.openxmlformats.org/officeDocument/2006/relationships/hyperlink" Target="http://papers.ssrn.com/sol3/papers.cfm?abstract_id=1855028"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03121" TargetMode="External"/><Relationship Id="rId52" Type="http://schemas.openxmlformats.org/officeDocument/2006/relationships/hyperlink" Target="http://papers.ssrn.com/sol3/papers.cfm?abstract_id=2157631" TargetMode="External"/><Relationship Id="rId60" Type="http://schemas.openxmlformats.org/officeDocument/2006/relationships/hyperlink" Target="http://papers.ssrn.com/sol3/papers.cfm?abstract_id=2245821" TargetMode="External"/><Relationship Id="rId65" Type="http://schemas.openxmlformats.org/officeDocument/2006/relationships/hyperlink" Target="http://inform.pwc.com/"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s://papers.ssrn.com/sol3/papers.cfm?abstract_id=2517301" TargetMode="External"/><Relationship Id="rId81" Type="http://schemas.openxmlformats.org/officeDocument/2006/relationships/hyperlink" Target="http://papers.ssrn.com/sol3/papers.cfm?abstract_id=1785262" TargetMode="External"/><Relationship Id="rId8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25173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www.maths.univ-evry.fr/prepubli/366.pdf" TargetMode="External"/><Relationship Id="rId55" Type="http://schemas.openxmlformats.org/officeDocument/2006/relationships/hyperlink" Target="http://papers.ssrn.com/sol3/papers.cfm?abstract_id=2482955" TargetMode="External"/><Relationship Id="rId76" Type="http://schemas.openxmlformats.org/officeDocument/2006/relationships/hyperlink" Target="http://papers.ssrn.com/sol3/papers.cfm?abstract_id=2400324" TargetMode="Externa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745909" TargetMode="External"/><Relationship Id="rId45" Type="http://schemas.openxmlformats.org/officeDocument/2006/relationships/hyperlink" Target="http://arxiv.org/pdf/1210.3811.pdf" TargetMode="External"/><Relationship Id="rId66" Type="http://schemas.openxmlformats.org/officeDocument/2006/relationships/hyperlink" Target="http://papers.ssrn.com/sol3/papers.cfm?abstract_id=2482955" TargetMode="External"/><Relationship Id="rId87" Type="http://schemas.openxmlformats.org/officeDocument/2006/relationships/theme" Target="theme/theme1.xml"/><Relationship Id="rId61" Type="http://schemas.openxmlformats.org/officeDocument/2006/relationships/hyperlink" Target="http://papers.ssrn.com/sol3/papers.cfm?abstract_id=2482955" TargetMode="External"/><Relationship Id="rId82" Type="http://schemas.openxmlformats.org/officeDocument/2006/relationships/hyperlink" Target="https://papers.ssrn.com/sol3/papers.cfm?abstract_id=2534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CD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E4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E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533</Pages>
  <Words>107134</Words>
  <Characters>610669</Characters>
  <Application>Microsoft Office Word</Application>
  <DocSecurity>0</DocSecurity>
  <Lines>5088</Lines>
  <Paragraphs>1432</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8</cp:revision>
  <cp:lastPrinted>2018-03-17T15:56:00Z</cp:lastPrinted>
  <dcterms:created xsi:type="dcterms:W3CDTF">2018-05-16T23:53:00Z</dcterms:created>
  <dcterms:modified xsi:type="dcterms:W3CDTF">2018-05-17T01:08:00Z</dcterms:modified>
</cp:coreProperties>
</file>