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861C22">
        <w:rPr>
          <w:b/>
          <w:bCs/>
        </w:rPr>
        <w:t>5</w:t>
      </w:r>
      <w:r w:rsidR="00BD2713">
        <w:rPr>
          <w:b/>
          <w:bCs/>
        </w:rPr>
        <w:t>1</w:t>
      </w:r>
      <w:r w:rsidR="00451A26">
        <w:rPr>
          <w:b/>
          <w:bCs/>
        </w:rPr>
        <w:t xml:space="preserve"> </w:t>
      </w:r>
      <w:r w:rsidR="00BD2713">
        <w:t>30</w:t>
      </w:r>
      <w:r>
        <w:t xml:space="preserve"> </w:t>
      </w:r>
      <w:r w:rsidR="002A6CDC">
        <w:t>Ma</w:t>
      </w:r>
      <w:r w:rsidR="00E4691D">
        <w:t>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0F0838"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0F0838"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0F0838"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0F0838"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0F0838"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0F0838"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0F0838"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0F0838"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0F0838"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0F0838"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0F0838"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0F0838"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0F0838"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0F0838"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0F0838"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0F0838"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0F0838"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0F0838"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0F0838"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0F0838"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0F0838"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0F0838"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0F0838"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0F0838"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0F0838"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0F0838"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0F0838"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0F0838"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0F0838"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0F0838"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0F0838"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0F0838"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0F0838"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89223326"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0F0838"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pt;height:14pt" o:ole="">
            <v:imagedata r:id="rId9" o:title=""/>
          </v:shape>
          <o:OLEObject Type="Embed" ProgID="Equation.3" ShapeID="_x0000_i1026" DrawAspect="Content" ObjectID="_1589223327"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0F0838"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0F0838"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0F0838"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0F0838"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0F0838"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0F0838"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0F0838"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0F0838"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0F0838"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0F0838"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0F0838"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0F0838"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0F0838"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0F0838"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0F0838"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0F0838"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0F0838"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0F0838"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0F0838"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0F083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0F083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0F083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0F083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0F083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0F083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0F083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0F083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0F083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0F083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0F0838"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0F0838"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0F0838"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0F0838"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0F0838"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0F0838"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0F0838"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0F0838"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0F0838"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0F0838"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0F0838"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0F0838"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0F0838"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0F0838"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0F0838"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0F08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0F0838"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0F0838"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0F0838"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0F0838"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0F083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0F083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0F083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0F0838"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0F083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0F083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0F083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0F083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0F083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0F083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0F0838"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0F0838"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0F0838"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0F0838"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0F0838"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0F083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0F083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0F083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0F083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0F083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0F083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0F083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0F083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0F083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0F083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0F083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0F0838"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0F0838"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0F0838"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0F0838"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0F0838"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0F0838"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0F0838"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0F0838"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0F0838"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0F083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0F083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0F0838"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0F083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0F083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0F083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0F0838"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0F083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0F083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0F0838"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0F0838"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0F0838"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0F0838"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0F0838"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0F0838"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0F0838"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0F0838"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0F0838"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0F0838"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0F0838"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0F0838"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0F0838"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0F0838"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0F0838"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0F0838"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0F0838"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0F0838"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0F0838"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0F0838"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0F0838"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0F0838"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0F0838"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0F0838"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0F0838"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0F0838"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0F0838"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0F0838"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0F0838"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0F0838"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0F0838"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0F0838"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0F0838"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0F0838"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0F083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0F083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0F083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0F083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0F0838"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0F083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0F0838"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0F0838"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0F0838"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0F083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0F083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0F083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0F083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0F083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0F083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0F083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0F083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0F083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0F083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0F0838"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0F0838"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0F0838"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0F0838"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0F0838"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0F0838"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0F0838"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0F0838"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0F0838"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0F0838"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0F0838"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0F0838"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0F0838"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0F0838"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0F0838"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0F0838"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0F0838"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0F0838"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0F0838"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0F0838"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0F0838"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0F083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0F0838"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0F0838"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0F083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0F083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0F0838"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0F0838"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0F0838"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0F083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0F083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0F0838"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0F083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0F0838"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0F0838"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0F083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0F083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0F083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0F083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0F083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0F083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0F083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0F0838"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0F0838"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0F0838"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0F0838"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0F0838"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0F0838"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0F0838"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0F0838"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0F0838"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0F0838"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0F0838"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0F0838"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0F0838"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0F0838"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0F0838"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0F0838"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0F0838"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0F0838"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0F0838"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0F0838"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0F0838"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0F0838"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0F0838"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0F0838"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0F0838"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0F0838"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0F0838"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0F0838"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0F0838"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0F0838"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0F0838"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0F0838"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0F0838"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981184" w:rsidRPr="00981184" w:rsidRDefault="00981184" w:rsidP="00981184">
      <w:pPr>
        <w:spacing w:after="200" w:line="360" w:lineRule="auto"/>
      </w:pPr>
    </w:p>
    <w:p w:rsidR="00981184" w:rsidRPr="00981184" w:rsidRDefault="00981184" w:rsidP="00981184">
      <w:pPr>
        <w:spacing w:after="200" w:line="360" w:lineRule="auto"/>
        <w:rPr>
          <w:b/>
          <w:sz w:val="32"/>
          <w:szCs w:val="32"/>
        </w:rPr>
      </w:pPr>
      <w:r w:rsidRPr="00981184">
        <w:rPr>
          <w:b/>
          <w:sz w:val="32"/>
          <w:szCs w:val="32"/>
        </w:rPr>
        <w:t>Modeling Counterparty Credit Exposure in the Presence of Margin Agreements</w:t>
      </w:r>
    </w:p>
    <w:p w:rsidR="00981184" w:rsidRPr="00981184" w:rsidRDefault="00981184" w:rsidP="00981184">
      <w:pPr>
        <w:spacing w:after="200" w:line="360" w:lineRule="auto"/>
      </w:pPr>
    </w:p>
    <w:p w:rsidR="00981184" w:rsidRDefault="00981184" w:rsidP="00981184">
      <w:pPr>
        <w:spacing w:after="200" w:line="360" w:lineRule="auto"/>
        <w:rPr>
          <w:b/>
        </w:rPr>
      </w:pPr>
    </w:p>
    <w:p w:rsidR="00981184" w:rsidRPr="00981184" w:rsidRDefault="00981184" w:rsidP="00981184">
      <w:pPr>
        <w:spacing w:after="200" w:line="360" w:lineRule="auto"/>
        <w:rPr>
          <w:b/>
          <w:sz w:val="28"/>
          <w:szCs w:val="28"/>
        </w:rPr>
      </w:pPr>
      <w:r w:rsidRPr="00981184">
        <w:rPr>
          <w:b/>
          <w:sz w:val="28"/>
          <w:szCs w:val="28"/>
        </w:rPr>
        <w:t>Abstract</w:t>
      </w:r>
    </w:p>
    <w:p w:rsidR="00981184" w:rsidRDefault="00981184" w:rsidP="00981184">
      <w:pPr>
        <w:spacing w:after="200" w:line="360" w:lineRule="auto"/>
      </w:pPr>
    </w:p>
    <w:p w:rsidR="00981184" w:rsidRDefault="00981184" w:rsidP="00981184">
      <w:pPr>
        <w:pStyle w:val="ListParagraph"/>
        <w:numPr>
          <w:ilvl w:val="0"/>
          <w:numId w:val="245"/>
        </w:numPr>
        <w:spacing w:after="200" w:line="360" w:lineRule="auto"/>
      </w:pPr>
      <w:r w:rsidRPr="00981184">
        <w:rPr>
          <w:u w:val="single"/>
        </w:rPr>
        <w:t>Margin Based Credit Exposure Reduction</w:t>
      </w:r>
      <w:r>
        <w:t>: Margin agreements as a means of reducing counterparty credit exposure.</w:t>
      </w:r>
    </w:p>
    <w:p w:rsidR="00981184" w:rsidRDefault="00981184" w:rsidP="00981184">
      <w:pPr>
        <w:pStyle w:val="ListParagraph"/>
        <w:numPr>
          <w:ilvl w:val="0"/>
          <w:numId w:val="245"/>
        </w:numPr>
        <w:spacing w:after="200" w:line="360" w:lineRule="auto"/>
      </w:pPr>
      <w:r>
        <w:rPr>
          <w:u w:val="single"/>
        </w:rPr>
        <w:t>Calculating MPoR Collateralized Exposures</w:t>
      </w:r>
      <w:r w:rsidRPr="00981184">
        <w:t>:</w:t>
      </w:r>
    </w:p>
    <w:p w:rsidR="00981184" w:rsidRDefault="00981184" w:rsidP="00981184">
      <w:pPr>
        <w:pStyle w:val="ListParagraph"/>
        <w:numPr>
          <w:ilvl w:val="1"/>
          <w:numId w:val="245"/>
        </w:numPr>
        <w:spacing w:after="200" w:line="360" w:lineRule="auto"/>
      </w:pPr>
      <w:r>
        <w:t>Collateralized Exposure and Margin Period of Risk</w:t>
      </w:r>
    </w:p>
    <w:p w:rsidR="00981184" w:rsidRDefault="00981184" w:rsidP="00981184">
      <w:pPr>
        <w:pStyle w:val="ListParagraph"/>
        <w:numPr>
          <w:ilvl w:val="1"/>
          <w:numId w:val="245"/>
        </w:numPr>
        <w:spacing w:after="200" w:line="360" w:lineRule="auto"/>
      </w:pPr>
      <w:r>
        <w:t>Semi-analytical Method for calculating collateralized EE</w:t>
      </w:r>
    </w:p>
    <w:p w:rsidR="00981184" w:rsidRDefault="00981184" w:rsidP="00981184">
      <w:pPr>
        <w:pStyle w:val="ListParagraph"/>
        <w:numPr>
          <w:ilvl w:val="0"/>
          <w:numId w:val="245"/>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rsidR="00981184" w:rsidRDefault="00981184" w:rsidP="00981184">
      <w:pPr>
        <w:spacing w:after="200" w:line="360" w:lineRule="auto"/>
      </w:pPr>
    </w:p>
    <w:p w:rsidR="00981184" w:rsidRDefault="00981184" w:rsidP="00981184">
      <w:pPr>
        <w:spacing w:after="200" w:line="360" w:lineRule="auto"/>
      </w:pPr>
    </w:p>
    <w:p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rsidR="00981184" w:rsidRDefault="00981184" w:rsidP="00981184">
      <w:pPr>
        <w:spacing w:after="200" w:line="360" w:lineRule="auto"/>
      </w:pPr>
    </w:p>
    <w:p w:rsidR="00981184" w:rsidRDefault="00C23B32" w:rsidP="00C23B32">
      <w:pPr>
        <w:pStyle w:val="ListParagraph"/>
        <w:numPr>
          <w:ilvl w:val="0"/>
          <w:numId w:val="246"/>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rsidR="00C23B32" w:rsidRDefault="00C23B32" w:rsidP="00C23B32">
      <w:pPr>
        <w:pStyle w:val="ListParagraph"/>
        <w:numPr>
          <w:ilvl w:val="0"/>
          <w:numId w:val="246"/>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rsidR="0039544A" w:rsidRDefault="0039544A" w:rsidP="00C23B32">
      <w:pPr>
        <w:pStyle w:val="ListParagraph"/>
        <w:numPr>
          <w:ilvl w:val="0"/>
          <w:numId w:val="246"/>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rsidR="00D33EB1" w:rsidRDefault="0039544A" w:rsidP="00C23B32">
      <w:pPr>
        <w:pStyle w:val="ListParagraph"/>
        <w:numPr>
          <w:ilvl w:val="0"/>
          <w:numId w:val="246"/>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rsidR="00D33EB1" w:rsidRPr="00D33EB1" w:rsidRDefault="00D33EB1" w:rsidP="00D33EB1">
      <w:pPr>
        <w:pStyle w:val="ListParagraph"/>
        <w:spacing w:after="200" w:line="360" w:lineRule="auto"/>
        <w:ind w:left="360"/>
      </w:pPr>
    </w:p>
    <w:p w:rsidR="00D33EB1" w:rsidRDefault="005728DE" w:rsidP="00D33EB1">
      <w:pPr>
        <w:pStyle w:val="ListParagraph"/>
        <w:spacing w:after="200" w:line="360" w:lineRule="auto"/>
        <w:ind w:left="360"/>
      </w:pPr>
      <m:oMathPara>
        <m:oMath>
          <m:r>
            <w:rPr>
              <w:rFonts w:ascii="Cambria Math" w:hAnsi="Cambria Math"/>
            </w:rPr>
            <m:t>t=0</m:t>
          </m:r>
        </m:oMath>
      </m:oMathPara>
    </w:p>
    <w:p w:rsidR="00D33EB1" w:rsidRDefault="00D33EB1" w:rsidP="00D33EB1">
      <w:pPr>
        <w:pStyle w:val="ListParagraph"/>
        <w:spacing w:after="200" w:line="360" w:lineRule="auto"/>
        <w:ind w:left="360"/>
      </w:pPr>
    </w:p>
    <w:p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rsidR="00750BD8" w:rsidRDefault="005728DE" w:rsidP="00C23B32">
      <w:pPr>
        <w:pStyle w:val="ListParagraph"/>
        <w:numPr>
          <w:ilvl w:val="0"/>
          <w:numId w:val="246"/>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rsidR="00750BD8" w:rsidRDefault="00750BD8" w:rsidP="00750BD8">
      <w:pPr>
        <w:pStyle w:val="ListParagraph"/>
        <w:spacing w:after="200" w:line="360" w:lineRule="auto"/>
        <w:ind w:left="360"/>
        <w:rPr>
          <w:u w:val="single"/>
        </w:rPr>
      </w:pPr>
    </w:p>
    <w:p w:rsidR="00750BD8" w:rsidRDefault="000F08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rsidR="00750BD8" w:rsidRDefault="00750BD8" w:rsidP="00750BD8">
      <w:pPr>
        <w:pStyle w:val="ListParagraph"/>
        <w:spacing w:after="200" w:line="360" w:lineRule="auto"/>
        <w:ind w:left="360"/>
      </w:pPr>
    </w:p>
    <w:p w:rsidR="00750BD8" w:rsidRDefault="000F08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rsidR="00750BD8" w:rsidRDefault="00750BD8" w:rsidP="00750BD8">
      <w:pPr>
        <w:pStyle w:val="ListParagraph"/>
        <w:spacing w:after="200" w:line="360" w:lineRule="auto"/>
        <w:ind w:left="360"/>
      </w:pPr>
    </w:p>
    <w:p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rsidR="00750BD8" w:rsidRDefault="005728DE" w:rsidP="00C23B32">
      <w:pPr>
        <w:pStyle w:val="ListParagraph"/>
        <w:numPr>
          <w:ilvl w:val="0"/>
          <w:numId w:val="246"/>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rsidR="00750BD8" w:rsidRDefault="00750BD8" w:rsidP="00750BD8">
      <w:pPr>
        <w:pStyle w:val="ListParagraph"/>
        <w:spacing w:after="200" w:line="360" w:lineRule="auto"/>
        <w:ind w:left="360"/>
        <w:rPr>
          <w:u w:val="single"/>
        </w:rPr>
      </w:pPr>
    </w:p>
    <w:p w:rsidR="005728DE" w:rsidRPr="00750BD8" w:rsidRDefault="000F08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5728DE" w:rsidRDefault="005728DE" w:rsidP="00C23B32">
      <w:pPr>
        <w:pStyle w:val="ListParagraph"/>
        <w:numPr>
          <w:ilvl w:val="0"/>
          <w:numId w:val="246"/>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rsidR="00750BD8" w:rsidRDefault="000F128B" w:rsidP="00C23B32">
      <w:pPr>
        <w:pStyle w:val="ListParagraph"/>
        <w:numPr>
          <w:ilvl w:val="0"/>
          <w:numId w:val="246"/>
        </w:numPr>
        <w:spacing w:after="200" w:line="360" w:lineRule="auto"/>
      </w:pPr>
      <w:r>
        <w:rPr>
          <w:u w:val="single"/>
        </w:rPr>
        <w:lastRenderedPageBreak/>
        <w:t>Unmitigated Counterpart Level Positive Exposure</w:t>
      </w:r>
      <w:r w:rsidRPr="000F128B">
        <w:t>:</w:t>
      </w:r>
      <w:r>
        <w:t xml:space="preserve"> </w:t>
      </w:r>
      <w:r w:rsidR="00835121">
        <w:t xml:space="preserve">It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rsidR="00750BD8" w:rsidRDefault="00750BD8" w:rsidP="00750BD8">
      <w:pPr>
        <w:pStyle w:val="ListParagraph"/>
        <w:spacing w:after="200" w:line="360" w:lineRule="auto"/>
        <w:ind w:left="360"/>
        <w:rPr>
          <w:u w:val="single"/>
        </w:rPr>
      </w:pPr>
    </w:p>
    <w:p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835121" w:rsidP="00C23B32">
      <w:pPr>
        <w:pStyle w:val="ListParagraph"/>
        <w:numPr>
          <w:ilvl w:val="0"/>
          <w:numId w:val="246"/>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rsidR="00750BD8" w:rsidRDefault="00750BD8" w:rsidP="00750BD8">
      <w:pPr>
        <w:pStyle w:val="ListParagraph"/>
        <w:spacing w:after="200" w:line="360" w:lineRule="auto"/>
        <w:ind w:left="360"/>
        <w:rPr>
          <w:u w:val="single"/>
        </w:rPr>
      </w:pPr>
    </w:p>
    <w:p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rsidR="00750BD8" w:rsidRDefault="00750BD8" w:rsidP="00750BD8">
      <w:pPr>
        <w:pStyle w:val="ListParagraph"/>
        <w:spacing w:after="200" w:line="360" w:lineRule="auto"/>
        <w:ind w:left="360"/>
      </w:pPr>
    </w:p>
    <w:p w:rsidR="00835121" w:rsidRDefault="00835121" w:rsidP="00750BD8">
      <w:pPr>
        <w:pStyle w:val="ListParagraph"/>
        <w:spacing w:after="200" w:line="360" w:lineRule="auto"/>
        <w:ind w:left="360"/>
      </w:pPr>
      <w:r>
        <w:t>Each non-nettable trade represents a netting set.</w:t>
      </w:r>
    </w:p>
    <w:p w:rsidR="001B030D" w:rsidRDefault="001B030D" w:rsidP="00C23B32">
      <w:pPr>
        <w:pStyle w:val="ListParagraph"/>
        <w:numPr>
          <w:ilvl w:val="0"/>
          <w:numId w:val="246"/>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rsidR="001B030D" w:rsidRDefault="001B030D" w:rsidP="00C23B32">
      <w:pPr>
        <w:pStyle w:val="ListParagraph"/>
        <w:numPr>
          <w:ilvl w:val="0"/>
          <w:numId w:val="246"/>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rsidR="001B030D" w:rsidRDefault="001B030D" w:rsidP="00C23B32">
      <w:pPr>
        <w:pStyle w:val="ListParagraph"/>
        <w:numPr>
          <w:ilvl w:val="0"/>
          <w:numId w:val="246"/>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rsidR="00750BD8" w:rsidRDefault="00F51E54" w:rsidP="00C23B32">
      <w:pPr>
        <w:pStyle w:val="ListParagraph"/>
        <w:numPr>
          <w:ilvl w:val="0"/>
          <w:numId w:val="246"/>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rsidR="00750BD8" w:rsidRDefault="00750BD8" w:rsidP="00750BD8">
      <w:pPr>
        <w:pStyle w:val="ListParagraph"/>
        <w:spacing w:after="200" w:line="360" w:lineRule="auto"/>
        <w:ind w:left="360"/>
        <w:rPr>
          <w:u w:val="single"/>
        </w:rPr>
      </w:pPr>
    </w:p>
    <w:p w:rsidR="00750BD8" w:rsidRDefault="000F08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rsidR="00750BD8" w:rsidRDefault="00750BD8" w:rsidP="00750BD8">
      <w:pPr>
        <w:pStyle w:val="ListParagraph"/>
        <w:spacing w:after="200" w:line="360" w:lineRule="auto"/>
        <w:ind w:left="360"/>
      </w:pPr>
    </w:p>
    <w:p w:rsidR="00CD207A" w:rsidRPr="00750BD8" w:rsidRDefault="000F08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750BD8" w:rsidRDefault="00750BD8" w:rsidP="00750BD8">
      <w:pPr>
        <w:pStyle w:val="ListParagraph"/>
        <w:spacing w:after="200" w:line="360" w:lineRule="auto"/>
        <w:ind w:left="360"/>
      </w:pPr>
    </w:p>
    <w:p w:rsidR="00750BD8" w:rsidRDefault="009F3638" w:rsidP="00C23B32">
      <w:pPr>
        <w:pStyle w:val="ListParagraph"/>
        <w:numPr>
          <w:ilvl w:val="0"/>
          <w:numId w:val="246"/>
        </w:numPr>
        <w:spacing w:after="200" w:line="360" w:lineRule="auto"/>
      </w:pPr>
      <w:r>
        <w:rPr>
          <w:u w:val="single"/>
        </w:rPr>
        <w:t>Netting Set Collateralized Portfolio Value</w:t>
      </w:r>
      <w:r>
        <w:t>: To simplify the notations, consider a single netting set</w:t>
      </w:r>
    </w:p>
    <w:p w:rsidR="00750BD8" w:rsidRDefault="00750BD8" w:rsidP="00750BD8">
      <w:pPr>
        <w:pStyle w:val="ListParagraph"/>
        <w:spacing w:after="200" w:line="360" w:lineRule="auto"/>
        <w:ind w:left="360"/>
        <w:rPr>
          <w:u w:val="single"/>
        </w:rPr>
      </w:pPr>
    </w:p>
    <w:p w:rsidR="00750BD8" w:rsidRDefault="000F08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by</w:t>
      </w:r>
    </w:p>
    <w:p w:rsidR="00750BD8" w:rsidRDefault="00750BD8" w:rsidP="00750BD8">
      <w:pPr>
        <w:pStyle w:val="ListParagraph"/>
        <w:spacing w:after="200" w:line="360" w:lineRule="auto"/>
        <w:ind w:left="360"/>
      </w:pPr>
    </w:p>
    <w:p w:rsidR="009F3638" w:rsidRDefault="000F0838"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rsidR="009F3638" w:rsidRDefault="009F3638" w:rsidP="009F3638">
      <w:pPr>
        <w:spacing w:after="200" w:line="360" w:lineRule="auto"/>
      </w:pPr>
    </w:p>
    <w:p w:rsidR="009F3638" w:rsidRDefault="009F3638" w:rsidP="009F3638">
      <w:pPr>
        <w:spacing w:after="200" w:line="360" w:lineRule="auto"/>
      </w:pPr>
    </w:p>
    <w:p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rsidR="009F3638" w:rsidRDefault="009F3638" w:rsidP="009F3638">
      <w:pPr>
        <w:spacing w:after="200" w:line="360" w:lineRule="auto"/>
      </w:pPr>
    </w:p>
    <w:p w:rsidR="00F66BDC" w:rsidRDefault="009F3638" w:rsidP="00D33EB1">
      <w:pPr>
        <w:pStyle w:val="ListParagraph"/>
        <w:numPr>
          <w:ilvl w:val="0"/>
          <w:numId w:val="247"/>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rsidR="00F66BDC" w:rsidRDefault="00F66BDC" w:rsidP="00F66BDC">
      <w:pPr>
        <w:pStyle w:val="ListParagraph"/>
        <w:spacing w:after="200" w:line="360" w:lineRule="auto"/>
        <w:ind w:left="360"/>
        <w:rPr>
          <w:u w:val="single"/>
        </w:rPr>
      </w:pPr>
    </w:p>
    <w:p w:rsidR="009F3638" w:rsidRPr="00F66BDC" w:rsidRDefault="000F0838"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Expression for the Collateralized Portfolio Value</w:t>
      </w:r>
      <w:r>
        <w:t>: Therefore the collateralized portfolio value is</w:t>
      </w:r>
    </w:p>
    <w:p w:rsidR="00F66BDC" w:rsidRDefault="00F66BDC" w:rsidP="00F66BDC">
      <w:pPr>
        <w:pStyle w:val="ListParagraph"/>
        <w:spacing w:after="200" w:line="360" w:lineRule="auto"/>
        <w:ind w:left="360"/>
        <w:rPr>
          <w:u w:val="single"/>
        </w:rPr>
      </w:pPr>
    </w:p>
    <w:p w:rsidR="008D261F" w:rsidRPr="00F66BDC" w:rsidRDefault="000F0838"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Floor/Ceiling of the Collateralized Exposure</w:t>
      </w:r>
      <w:r>
        <w:t>:</w:t>
      </w:r>
    </w:p>
    <w:p w:rsidR="00F66BDC" w:rsidRDefault="00F66BDC" w:rsidP="00F66BDC">
      <w:pPr>
        <w:pStyle w:val="ListParagraph"/>
        <w:spacing w:after="200" w:line="360" w:lineRule="auto"/>
        <w:ind w:left="360"/>
      </w:pPr>
    </w:p>
    <w:p w:rsidR="008D261F" w:rsidRPr="00F66BDC" w:rsidRDefault="000F0838"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rsidR="00F66BDC" w:rsidRDefault="00F66BDC" w:rsidP="00F66BDC">
      <w:pPr>
        <w:pStyle w:val="ListParagraph"/>
        <w:spacing w:after="200" w:line="360" w:lineRule="auto"/>
        <w:ind w:left="360"/>
      </w:pPr>
    </w:p>
    <w:p w:rsidR="008D261F" w:rsidRDefault="008D261F" w:rsidP="008D261F">
      <w:pPr>
        <w:pStyle w:val="ListParagraph"/>
        <w:spacing w:after="200" w:line="360" w:lineRule="auto"/>
        <w:ind w:left="360"/>
      </w:pPr>
      <w:r>
        <w:t>i</w:t>
      </w:r>
      <w:r w:rsidRPr="008D261F">
        <w:t xml:space="preserve">s limited from </w:t>
      </w:r>
      <w:r>
        <w:t>above and by zero from below.</w:t>
      </w:r>
    </w:p>
    <w:p w:rsidR="008D261F" w:rsidRDefault="008D261F" w:rsidP="008D261F">
      <w:pPr>
        <w:pStyle w:val="ListParagraph"/>
        <w:numPr>
          <w:ilvl w:val="0"/>
          <w:numId w:val="247"/>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rsidR="006C1FA8" w:rsidRDefault="006C1FA8" w:rsidP="008D261F">
      <w:pPr>
        <w:pStyle w:val="ListParagraph"/>
        <w:numPr>
          <w:ilvl w:val="0"/>
          <w:numId w:val="247"/>
        </w:numPr>
        <w:spacing w:after="200" w:line="360" w:lineRule="auto"/>
      </w:pPr>
      <w:r>
        <w:rPr>
          <w:u w:val="single"/>
        </w:rPr>
        <w:t>Counterparty Variation Margin Posting Delay</w:t>
      </w:r>
      <w:r w:rsidRPr="006C1FA8">
        <w:t>:</w:t>
      </w:r>
      <w:r>
        <w:t xml:space="preserve"> Thus the collateral available at time </w:t>
      </w:r>
      <m:oMath>
        <m:r>
          <w:rPr>
            <w:rFonts w:ascii="Cambria Math" w:hAnsi="Cambria Math"/>
          </w:rPr>
          <m:t>t</m:t>
        </m:r>
      </m:oMath>
      <w:r>
        <w:t xml:space="preserve"> is determined by the portfolio value at time </w:t>
      </w:r>
      <m:oMath>
        <m:r>
          <w:rPr>
            <w:rFonts w:ascii="Cambria Math" w:hAnsi="Cambria Math"/>
          </w:rPr>
          <m:t>t-∆t</m:t>
        </m:r>
      </m:oMath>
      <w:r>
        <w:t>.</w:t>
      </w:r>
    </w:p>
    <w:p w:rsidR="006C1FA8" w:rsidRDefault="006C1FA8" w:rsidP="008D261F">
      <w:pPr>
        <w:pStyle w:val="ListParagraph"/>
        <w:numPr>
          <w:ilvl w:val="0"/>
          <w:numId w:val="247"/>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rsidR="006C1FA8" w:rsidRDefault="006C1FA8" w:rsidP="008D261F">
      <w:pPr>
        <w:pStyle w:val="ListParagraph"/>
        <w:numPr>
          <w:ilvl w:val="0"/>
          <w:numId w:val="247"/>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rsidR="00F66BDC" w:rsidRDefault="007116AB" w:rsidP="008D261F">
      <w:pPr>
        <w:pStyle w:val="ListParagraph"/>
        <w:numPr>
          <w:ilvl w:val="0"/>
          <w:numId w:val="247"/>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rsidR="00F66BDC" w:rsidRDefault="00F66BDC" w:rsidP="00F66BDC">
      <w:pPr>
        <w:pStyle w:val="ListParagraph"/>
        <w:spacing w:after="200" w:line="360" w:lineRule="auto"/>
        <w:ind w:left="360"/>
      </w:pPr>
    </w:p>
    <w:p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rsidR="00F66BDC" w:rsidRDefault="008558AD" w:rsidP="008D261F">
      <w:pPr>
        <w:pStyle w:val="ListParagraph"/>
        <w:numPr>
          <w:ilvl w:val="0"/>
          <w:numId w:val="247"/>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rsidR="00F66BDC" w:rsidRDefault="00F66BDC" w:rsidP="00F66BDC">
      <w:pPr>
        <w:pStyle w:val="ListParagraph"/>
        <w:spacing w:after="200" w:line="360" w:lineRule="auto"/>
        <w:ind w:left="360"/>
        <w:rPr>
          <w:u w:val="single"/>
        </w:rPr>
      </w:pPr>
    </w:p>
    <w:p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rsidR="00F66BDC" w:rsidRDefault="00F66BDC" w:rsidP="00F66BDC">
      <w:pPr>
        <w:pStyle w:val="ListParagraph"/>
        <w:spacing w:after="200" w:line="360" w:lineRule="auto"/>
        <w:ind w:left="360"/>
      </w:pPr>
    </w:p>
    <w:p w:rsidR="00F66BDC" w:rsidRDefault="008558AD" w:rsidP="008D261F">
      <w:pPr>
        <w:pStyle w:val="ListParagraph"/>
        <w:numPr>
          <w:ilvl w:val="0"/>
          <w:numId w:val="247"/>
        </w:numPr>
        <w:spacing w:after="200" w:line="360" w:lineRule="auto"/>
      </w:pPr>
      <w:r>
        <w:rPr>
          <w:u w:val="single"/>
        </w:rPr>
        <w:t>The Total Collateralized Portfolio Value</w:t>
      </w:r>
      <w:r>
        <w:t>: The collateralized portfolio value is</w:t>
      </w:r>
    </w:p>
    <w:p w:rsidR="00F66BDC" w:rsidRDefault="00F66BDC" w:rsidP="00F66BDC">
      <w:pPr>
        <w:pStyle w:val="ListParagraph"/>
        <w:spacing w:after="200" w:line="360" w:lineRule="auto"/>
        <w:ind w:left="360"/>
        <w:rPr>
          <w:u w:val="single"/>
        </w:rPr>
      </w:pPr>
    </w:p>
    <w:p w:rsidR="00F66BDC" w:rsidRDefault="000F0838"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rsidR="00F66BDC" w:rsidRDefault="00F66BDC" w:rsidP="00F66BDC">
      <w:pPr>
        <w:pStyle w:val="ListParagraph"/>
        <w:spacing w:after="200" w:line="360" w:lineRule="auto"/>
        <w:ind w:left="360"/>
      </w:pPr>
    </w:p>
    <w:p w:rsidR="00F66BDC" w:rsidRDefault="008558AD" w:rsidP="00F66BDC">
      <w:pPr>
        <w:pStyle w:val="ListParagraph"/>
        <w:spacing w:after="200" w:line="360" w:lineRule="auto"/>
        <w:ind w:left="360"/>
      </w:pPr>
      <w:r>
        <w:t>where</w:t>
      </w:r>
    </w:p>
    <w:p w:rsidR="00F66BDC" w:rsidRDefault="00F66BDC" w:rsidP="00F66BDC">
      <w:pPr>
        <w:pStyle w:val="ListParagraph"/>
        <w:spacing w:after="200" w:line="360" w:lineRule="auto"/>
        <w:ind w:left="360"/>
      </w:pPr>
    </w:p>
    <w:p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F66BDC" w:rsidRDefault="00F66BDC" w:rsidP="00F66BDC">
      <w:pPr>
        <w:pStyle w:val="ListParagraph"/>
        <w:spacing w:after="200" w:line="360" w:lineRule="auto"/>
        <w:ind w:left="360"/>
      </w:pPr>
    </w:p>
    <w:p w:rsidR="00B81908" w:rsidRDefault="00B81908" w:rsidP="008D261F">
      <w:pPr>
        <w:pStyle w:val="ListParagraph"/>
        <w:numPr>
          <w:ilvl w:val="0"/>
          <w:numId w:val="247"/>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rsidR="00F66BDC" w:rsidRDefault="00B81908" w:rsidP="008D261F">
      <w:pPr>
        <w:pStyle w:val="ListParagraph"/>
        <w:numPr>
          <w:ilvl w:val="0"/>
          <w:numId w:val="247"/>
        </w:numPr>
        <w:spacing w:after="200" w:line="360" w:lineRule="auto"/>
      </w:pPr>
      <w:r>
        <w:rPr>
          <w:u w:val="single"/>
        </w:rPr>
        <w:t>Monte-Carlo Look-back Points</w:t>
      </w:r>
      <w:r w:rsidRPr="00B81908">
        <w:t>:</w:t>
      </w:r>
      <w:r>
        <w:t xml:space="preserve"> For each</w:t>
      </w:r>
    </w:p>
    <w:p w:rsidR="00F66BDC" w:rsidRDefault="00F66BDC" w:rsidP="00F66BDC">
      <w:pPr>
        <w:pStyle w:val="ListParagraph"/>
        <w:spacing w:after="200" w:line="360" w:lineRule="auto"/>
        <w:ind w:left="360"/>
        <w:rPr>
          <w:u w:val="single"/>
        </w:rPr>
      </w:pPr>
    </w:p>
    <w:p w:rsidR="00F66BDC" w:rsidRDefault="000F0838"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rsidR="00F66BDC" w:rsidRDefault="00F66BDC" w:rsidP="00F66BDC">
      <w:pPr>
        <w:pStyle w:val="ListParagraph"/>
        <w:spacing w:after="200" w:line="360" w:lineRule="auto"/>
        <w:ind w:left="360"/>
      </w:pPr>
    </w:p>
    <w:p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B81908" w:rsidRDefault="00B81908" w:rsidP="008D261F">
      <w:pPr>
        <w:pStyle w:val="ListParagraph"/>
        <w:numPr>
          <w:ilvl w:val="0"/>
          <w:numId w:val="247"/>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rsidR="00702F0B" w:rsidRDefault="00702F0B" w:rsidP="008D261F">
      <w:pPr>
        <w:pStyle w:val="ListParagraph"/>
        <w:numPr>
          <w:ilvl w:val="0"/>
          <w:numId w:val="247"/>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rsidR="00702F0B" w:rsidRDefault="00702F0B" w:rsidP="00702F0B">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43359F" w:rsidRDefault="0043359F" w:rsidP="0043359F">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rsidR="00F66BDC" w:rsidRDefault="0043359F" w:rsidP="00702F0B">
      <w:pPr>
        <w:pStyle w:val="ListParagraph"/>
        <w:numPr>
          <w:ilvl w:val="1"/>
          <w:numId w:val="247"/>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 0</m:t>
                  </m:r>
                </m:e>
              </m:d>
            </m:e>
          </m:func>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0F0838"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rsidR="00F66BDC" w:rsidRDefault="00F66BDC" w:rsidP="00F66BDC">
      <w:pPr>
        <w:pStyle w:val="ListParagraph"/>
        <w:spacing w:after="200" w:line="360" w:lineRule="auto"/>
        <w:ind w:left="1080"/>
      </w:pPr>
    </w:p>
    <w:p w:rsidR="00E4341B" w:rsidRDefault="00E4341B" w:rsidP="00E4341B">
      <w:pPr>
        <w:pStyle w:val="ListParagraph"/>
        <w:numPr>
          <w:ilvl w:val="0"/>
          <w:numId w:val="247"/>
        </w:numPr>
        <w:spacing w:after="200" w:line="360" w:lineRule="auto"/>
      </w:pPr>
      <w:r w:rsidRPr="00E4341B">
        <w:rPr>
          <w:u w:val="single"/>
        </w:rPr>
        <w:t>Simulating the Collateralized Portfolio Value</w:t>
      </w:r>
      <w:r>
        <w:t>: Collateralized threshold can go above the threshold due to MPR and MTA.</w:t>
      </w:r>
    </w:p>
    <w:p w:rsidR="00E4341B" w:rsidRDefault="00E4341B" w:rsidP="00E4341B">
      <w:pPr>
        <w:spacing w:after="200" w:line="360" w:lineRule="auto"/>
      </w:pPr>
    </w:p>
    <w:p w:rsidR="00E4341B" w:rsidRDefault="00E4341B" w:rsidP="00E4341B">
      <w:pPr>
        <w:spacing w:after="200" w:line="360" w:lineRule="auto"/>
      </w:pPr>
    </w:p>
    <w:p w:rsidR="00E4341B" w:rsidRPr="003D1D20" w:rsidRDefault="00E4341B" w:rsidP="00E4341B">
      <w:pPr>
        <w:spacing w:after="200" w:line="360" w:lineRule="auto"/>
        <w:rPr>
          <w:b/>
          <w:sz w:val="28"/>
          <w:szCs w:val="28"/>
        </w:rPr>
      </w:pPr>
      <w:r w:rsidRPr="003D1D20">
        <w:rPr>
          <w:b/>
          <w:sz w:val="28"/>
          <w:szCs w:val="28"/>
        </w:rPr>
        <w:t>Semi-Analytical Method for Collateralized EE</w:t>
      </w:r>
    </w:p>
    <w:p w:rsidR="00E4341B" w:rsidRDefault="00E4341B" w:rsidP="00E4341B">
      <w:pPr>
        <w:spacing w:after="200" w:line="360" w:lineRule="auto"/>
      </w:pPr>
    </w:p>
    <w:p w:rsidR="00E4341B" w:rsidRDefault="00E4341B" w:rsidP="003D1D20">
      <w:pPr>
        <w:pStyle w:val="ListParagraph"/>
        <w:numPr>
          <w:ilvl w:val="0"/>
          <w:numId w:val="248"/>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obtained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rsidR="00F419BD" w:rsidRDefault="00F419BD" w:rsidP="003D1D20">
      <w:pPr>
        <w:pStyle w:val="ListParagraph"/>
        <w:numPr>
          <w:ilvl w:val="0"/>
          <w:numId w:val="248"/>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expectation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rsidR="00F419BD" w:rsidRDefault="00F419BD" w:rsidP="003D1D20">
      <w:pPr>
        <w:pStyle w:val="ListParagraph"/>
        <w:numPr>
          <w:ilvl w:val="0"/>
          <w:numId w:val="248"/>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rsidR="0036177D" w:rsidRDefault="00F419BD" w:rsidP="003D1D20">
      <w:pPr>
        <w:pStyle w:val="ListParagraph"/>
        <w:numPr>
          <w:ilvl w:val="0"/>
          <w:numId w:val="248"/>
        </w:numPr>
        <w:spacing w:after="200" w:line="360" w:lineRule="auto"/>
      </w:pPr>
      <w:r>
        <w:rPr>
          <w:u w:val="single"/>
        </w:rPr>
        <w:t>Collateralized EE Conditional on Path</w:t>
      </w:r>
      <w:r w:rsidRPr="00F419BD">
        <w:t>:</w:t>
      </w:r>
      <w:r>
        <w:t xml:space="preserve"> Collateralized EE can be represented as</w:t>
      </w:r>
    </w:p>
    <w:p w:rsidR="0036177D" w:rsidRDefault="0036177D" w:rsidP="0036177D">
      <w:pPr>
        <w:pStyle w:val="ListParagraph"/>
        <w:spacing w:after="200" w:line="360" w:lineRule="auto"/>
        <w:ind w:left="360"/>
        <w:rPr>
          <w:u w:val="single"/>
        </w:rPr>
      </w:pPr>
    </w:p>
    <w:p w:rsid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F419BD" w:rsidP="00361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w:t>
      </w:r>
    </w:p>
    <w:p w:rsidR="0036177D" w:rsidRDefault="0036177D" w:rsidP="0036177D">
      <w:pPr>
        <w:pStyle w:val="ListParagraph"/>
        <w:spacing w:after="200" w:line="360" w:lineRule="auto"/>
        <w:ind w:left="360"/>
      </w:pPr>
    </w:p>
    <w:p w:rsidR="00F419BD"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91283C" w:rsidP="003D1D20">
      <w:pPr>
        <w:pStyle w:val="ListParagraph"/>
        <w:numPr>
          <w:ilvl w:val="0"/>
          <w:numId w:val="248"/>
        </w:numPr>
        <w:spacing w:after="200" w:line="360" w:lineRule="auto"/>
      </w:pPr>
      <w:r>
        <w:rPr>
          <w:u w:val="single"/>
        </w:rPr>
        <w:lastRenderedPageBreak/>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w:t>
      </w:r>
    </w:p>
    <w:p w:rsidR="0036177D" w:rsidRDefault="0036177D" w:rsidP="0036177D">
      <w:pPr>
        <w:pStyle w:val="ListParagraph"/>
        <w:spacing w:after="200" w:line="360" w:lineRule="auto"/>
        <w:ind w:left="360"/>
        <w:rPr>
          <w:u w:val="single"/>
        </w:rPr>
      </w:pPr>
    </w:p>
    <w:p w:rsidR="0091283C"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m:oMathPara>
    </w:p>
    <w:p w:rsidR="0036177D" w:rsidRDefault="0036177D" w:rsidP="0036177D">
      <w:pPr>
        <w:pStyle w:val="ListParagraph"/>
        <w:spacing w:after="200" w:line="360" w:lineRule="auto"/>
        <w:ind w:left="360"/>
      </w:pPr>
    </w:p>
    <w:p w:rsidR="007E11DC" w:rsidRDefault="007E11DC" w:rsidP="003D1D20">
      <w:pPr>
        <w:pStyle w:val="ListParagraph"/>
        <w:numPr>
          <w:ilvl w:val="0"/>
          <w:numId w:val="248"/>
        </w:numPr>
        <w:spacing w:after="200" w:line="360" w:lineRule="auto"/>
      </w:pPr>
      <w:r>
        <w:rPr>
          <w:u w:val="single"/>
        </w:rPr>
        <w:t>Goal - Computing the Collateralized EE Analytically</w:t>
      </w:r>
      <w:r>
        <w:t>:</w:t>
      </w:r>
      <w:r w:rsidRPr="007E11DC">
        <w:t xml:space="preserve"> If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rsidRPr="007E11DC">
        <w:t xml:space="preserve"> can be computed analyticall</w:t>
      </w:r>
      <w:r>
        <w:t xml:space="preserve">y, the </w:t>
      </w:r>
      <w:r>
        <w:rPr>
          <w:i/>
        </w:rPr>
        <w:t>unconditionally collateralized EE</w:t>
      </w:r>
      <w:r>
        <w:t xml:space="preserve"> can be obtained as a simple average of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across all scenarios </w:t>
      </w:r>
      <m:oMath>
        <m:r>
          <w:rPr>
            <w:rFonts w:ascii="Cambria Math" w:hAnsi="Cambria Math"/>
          </w:rPr>
          <m:t>j</m:t>
        </m:r>
      </m:oMath>
    </w:p>
    <w:p w:rsidR="007E11DC" w:rsidRDefault="007E11DC" w:rsidP="003D1D20">
      <w:pPr>
        <w:pStyle w:val="ListParagraph"/>
        <w:numPr>
          <w:ilvl w:val="0"/>
          <w:numId w:val="248"/>
        </w:numPr>
        <w:spacing w:after="200" w:line="360" w:lineRule="auto"/>
      </w:pPr>
      <w:r>
        <w:rPr>
          <w:u w:val="single"/>
        </w:rPr>
        <w:t>Assumption of Normal Portfolio Value</w:t>
      </w:r>
      <w:r>
        <w:t xml:space="preserve">: Assume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normally distributed with mean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w:t>
      </w:r>
    </w:p>
    <w:p w:rsidR="007E11DC" w:rsidRDefault="007E11DC" w:rsidP="003D1D20">
      <w:pPr>
        <w:pStyle w:val="ListParagraph"/>
        <w:numPr>
          <w:ilvl w:val="0"/>
          <w:numId w:val="248"/>
        </w:numPr>
        <w:spacing w:after="200" w:line="360" w:lineRule="auto"/>
      </w:pPr>
      <w:r>
        <w:rPr>
          <w:u w:val="single"/>
        </w:rPr>
        <w:t>Brownian Bridge for Secondary Nodes</w:t>
      </w:r>
      <w:r w:rsidRPr="007E11DC">
        <w:t>:</w:t>
      </w:r>
      <w:r>
        <w:t xml:space="preserve"> One can construct a </w:t>
      </w:r>
      <w:r>
        <w:rPr>
          <w:i/>
        </w:rPr>
        <w:t>Brownian Bridge</w:t>
      </w:r>
      <w:r>
        <w:t xml:space="preserve"> from </w:t>
      </w:r>
      <m:oMath>
        <m:r>
          <w:rPr>
            <w:rFonts w:ascii="Cambria Math" w:hAnsi="Cambria Math"/>
          </w:rPr>
          <m:t>V</m:t>
        </m:r>
        <m:d>
          <m:dPr>
            <m:ctrlPr>
              <w:rPr>
                <w:rFonts w:ascii="Cambria Math" w:hAnsi="Cambria Math"/>
                <w:i/>
              </w:rPr>
            </m:ctrlPr>
          </m:dPr>
          <m:e>
            <m:r>
              <w:rPr>
                <w:rFonts w:ascii="Cambria Math" w:hAnsi="Cambria Math"/>
              </w:rPr>
              <m:t>0</m:t>
            </m:r>
          </m:e>
        </m:d>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w:t>
      </w:r>
    </w:p>
    <w:p w:rsidR="0036177D" w:rsidRDefault="000F0838" w:rsidP="003D1D20">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t-∆t</m:t>
            </m:r>
          </m:e>
        </m:d>
      </m:oMath>
      <w:r w:rsidR="007E11DC" w:rsidRPr="007E11DC">
        <w:rPr>
          <w:u w:val="single"/>
        </w:rPr>
        <w:t xml:space="preserve"> Mean and Standard Deviation</w:t>
      </w:r>
      <w:r w:rsidR="007E11DC">
        <w:t xml:space="preserve">: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7E11D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rsidR="007E11DC">
        <w:t xml:space="preserve"> has a </w:t>
      </w:r>
      <w:r w:rsidR="007E11DC">
        <w:rPr>
          <w:i/>
        </w:rPr>
        <w:t>normal distribution</w:t>
      </w:r>
      <w:r w:rsidR="007E11DC">
        <w:t xml:space="preserve"> with </w:t>
      </w:r>
      <w:r w:rsidR="0036177D">
        <w:rPr>
          <w:i/>
        </w:rPr>
        <w:t>expectation</w:t>
      </w:r>
    </w:p>
    <w:p w:rsidR="0036177D" w:rsidRDefault="0036177D" w:rsidP="0036177D">
      <w:pPr>
        <w:pStyle w:val="ListParagraph"/>
        <w:spacing w:after="200" w:line="360" w:lineRule="auto"/>
        <w:ind w:left="360"/>
        <w:rPr>
          <w:u w:val="single"/>
        </w:rPr>
      </w:pPr>
    </w:p>
    <w:p w:rsid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7E11DC"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pPr>
    </w:p>
    <w:p w:rsidR="007E11DC"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Pr="008D261F" w:rsidRDefault="0036177D" w:rsidP="0036177D">
      <w:pPr>
        <w:pStyle w:val="ListParagraph"/>
        <w:spacing w:after="200" w:line="360" w:lineRule="auto"/>
        <w:ind w:left="360"/>
      </w:pPr>
    </w:p>
    <w:p w:rsidR="009940B9" w:rsidRDefault="009940B9" w:rsidP="009940B9">
      <w:pPr>
        <w:pStyle w:val="ListParagraph"/>
        <w:numPr>
          <w:ilvl w:val="0"/>
          <w:numId w:val="248"/>
        </w:numPr>
        <w:spacing w:after="200" w:line="360" w:lineRule="auto"/>
      </w:pPr>
      <w:r>
        <w:rPr>
          <w:u w:val="single"/>
        </w:rPr>
        <w:t>Closed Form Conditional Collateralized EE</w:t>
      </w:r>
      <w:r w:rsidRPr="007E11DC">
        <w:t>:</w:t>
      </w:r>
      <w:r>
        <w:t xml:space="preserve"> </w:t>
      </w:r>
      <w:r>
        <w:rPr>
          <w:i/>
        </w:rPr>
        <w:t>Conditional Collateralized EE</w:t>
      </w:r>
      <w:r>
        <w:t xml:space="preserve"> can be obtained in a closed form.</w:t>
      </w:r>
    </w:p>
    <w:p w:rsidR="008340C6" w:rsidRDefault="008340C6" w:rsidP="009940B9">
      <w:pPr>
        <w:pStyle w:val="ListParagraph"/>
        <w:numPr>
          <w:ilvl w:val="0"/>
          <w:numId w:val="248"/>
        </w:numPr>
        <w:spacing w:after="200" w:line="360" w:lineRule="auto"/>
      </w:pPr>
      <w:r>
        <w:rPr>
          <w:u w:val="single"/>
        </w:rPr>
        <w:t>Piece-wise Constant Local Volatility</w:t>
      </w:r>
      <w:r w:rsidRPr="008340C6">
        <w:t>:</w:t>
      </w:r>
      <w:r>
        <w:t xml:space="preser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the distribution of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is normal, but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replaced by the local quantity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w:t>
      </w:r>
    </w:p>
    <w:p w:rsidR="0036177D" w:rsidRDefault="008340C6" w:rsidP="009940B9">
      <w:pPr>
        <w:pStyle w:val="ListParagraph"/>
        <w:numPr>
          <w:ilvl w:val="0"/>
          <w:numId w:val="248"/>
        </w:numPr>
        <w:spacing w:after="200" w:line="360" w:lineRule="auto"/>
      </w:pPr>
      <w:r>
        <w:rPr>
          <w:u w:val="single"/>
        </w:rPr>
        <w:t xml:space="preserve">Portfolio Value Monotonically Increasing with </w:t>
      </w:r>
      <m:oMath>
        <m:r>
          <w:rPr>
            <w:rFonts w:ascii="Cambria Math" w:hAnsi="Cambria Math"/>
            <w:u w:val="single"/>
          </w:rPr>
          <m:t>Z</m:t>
        </m:r>
      </m:oMath>
      <w:r w:rsidRPr="008340C6">
        <w:t>:</w:t>
      </w:r>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described using</w:t>
      </w:r>
    </w:p>
    <w:p w:rsidR="0036177D" w:rsidRDefault="0036177D" w:rsidP="0036177D">
      <w:pPr>
        <w:pStyle w:val="ListParagraph"/>
        <w:spacing w:after="200" w:line="360" w:lineRule="auto"/>
        <w:ind w:left="360"/>
        <w:rPr>
          <w:u w:val="single"/>
        </w:rPr>
      </w:pPr>
    </w:p>
    <w:p w:rsidR="0036177D" w:rsidRDefault="008340C6" w:rsidP="0036177D">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=ϑ</m:t>
          </m:r>
          <m:d>
            <m:dPr>
              <m:ctrlPr>
                <w:rPr>
                  <w:rFonts w:ascii="Cambria Math" w:hAnsi="Cambria Math"/>
                  <w:i/>
                </w:rPr>
              </m:ctrlPr>
            </m:dPr>
            <m:e>
              <m:r>
                <w:rPr>
                  <w:rFonts w:ascii="Cambria Math" w:hAnsi="Cambria Math"/>
                </w:rPr>
                <m:t>t, Z</m:t>
              </m:r>
            </m:e>
          </m:d>
        </m:oMath>
      </m:oMathPara>
    </w:p>
    <w:p w:rsidR="0036177D" w:rsidRDefault="0036177D" w:rsidP="0036177D">
      <w:pPr>
        <w:pStyle w:val="ListParagraph"/>
        <w:spacing w:after="200" w:line="360" w:lineRule="auto"/>
        <w:ind w:left="360"/>
      </w:pPr>
    </w:p>
    <w:p w:rsidR="008340C6" w:rsidRDefault="008340C6" w:rsidP="0036177D">
      <w:pPr>
        <w:pStyle w:val="ListParagraph"/>
        <w:spacing w:after="200" w:line="360" w:lineRule="auto"/>
        <w:ind w:left="360"/>
      </w:pPr>
      <w:r>
        <w:t xml:space="preserve">where </w:t>
      </w:r>
      <m:oMath>
        <m:r>
          <w:rPr>
            <w:rFonts w:ascii="Cambria Math" w:hAnsi="Cambria Math"/>
          </w:rPr>
          <m:t>ϑ</m:t>
        </m:r>
        <m:d>
          <m:dPr>
            <m:ctrlPr>
              <w:rPr>
                <w:rFonts w:ascii="Cambria Math" w:hAnsi="Cambria Math"/>
                <w:i/>
              </w:rPr>
            </m:ctrlPr>
          </m:dPr>
          <m:e>
            <m:r>
              <w:rPr>
                <w:rFonts w:ascii="Cambria Math" w:hAnsi="Cambria Math"/>
              </w:rPr>
              <m:t>t, Z</m:t>
            </m:r>
          </m:e>
        </m:d>
      </m:oMath>
      <w:r>
        <w:t xml:space="preserve"> is a monotonically increasing function of the standard normal random variable </w:t>
      </w:r>
      <m:oMath>
        <m:r>
          <w:rPr>
            <w:rFonts w:ascii="Cambria Math" w:hAnsi="Cambria Math"/>
          </w:rPr>
          <m:t>Z</m:t>
        </m:r>
      </m:oMath>
      <w:r>
        <w:t>.</w:t>
      </w:r>
    </w:p>
    <w:p w:rsidR="0036177D" w:rsidRDefault="00CA2685" w:rsidP="009940B9">
      <w:pPr>
        <w:pStyle w:val="ListParagraph"/>
        <w:numPr>
          <w:ilvl w:val="0"/>
          <w:numId w:val="248"/>
        </w:numPr>
        <w:spacing w:after="200" w:line="360" w:lineRule="auto"/>
      </w:pPr>
      <w:r>
        <w:rPr>
          <w:u w:val="single"/>
        </w:rPr>
        <w:t xml:space="preserve">The </w:t>
      </w:r>
      <w:r w:rsidRPr="00CA2685">
        <w:rPr>
          <w:i/>
          <w:u w:val="single"/>
        </w:rPr>
        <w:t>Equivalent Normal</w:t>
      </w:r>
      <w:r>
        <w:rPr>
          <w:u w:val="single"/>
        </w:rPr>
        <w:t xml:space="preserve"> Portfolio Process</w:t>
      </w:r>
      <w:r w:rsidRPr="00CA2685">
        <w:t>:</w:t>
      </w:r>
      <w:r>
        <w:t xml:space="preserve"> A </w:t>
      </w:r>
      <w:r>
        <w:rPr>
          <w:i/>
        </w:rPr>
        <w:t>normal equivalent</w:t>
      </w:r>
      <w:r>
        <w:t xml:space="preserve"> portfolio process is defined as</w:t>
      </w:r>
    </w:p>
    <w:p w:rsidR="0036177D" w:rsidRDefault="0036177D" w:rsidP="0036177D">
      <w:pPr>
        <w:pStyle w:val="ListParagraph"/>
        <w:spacing w:after="200" w:line="360" w:lineRule="auto"/>
        <w:ind w:left="360"/>
        <w:rPr>
          <w:u w:val="single"/>
        </w:rPr>
      </w:pPr>
    </w:p>
    <w:p w:rsidR="00CA2685" w:rsidRPr="0036177D" w:rsidRDefault="00CA2685" w:rsidP="0036177D">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 Z</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Z</m:t>
          </m:r>
        </m:oMath>
      </m:oMathPara>
    </w:p>
    <w:p w:rsidR="0036177D" w:rsidRDefault="0036177D" w:rsidP="0036177D">
      <w:pPr>
        <w:pStyle w:val="ListParagraph"/>
        <w:spacing w:after="200" w:line="360" w:lineRule="auto"/>
        <w:ind w:left="360"/>
      </w:pPr>
    </w:p>
    <w:p w:rsidR="00CA2685" w:rsidRDefault="00CA2685" w:rsidP="009940B9">
      <w:pPr>
        <w:pStyle w:val="ListParagraph"/>
        <w:numPr>
          <w:ilvl w:val="0"/>
          <w:numId w:val="248"/>
        </w:numPr>
        <w:spacing w:after="200" w:line="360" w:lineRule="auto"/>
      </w:pPr>
      <w:r>
        <w:rPr>
          <w:u w:val="single"/>
        </w:rPr>
        <w:t xml:space="preserve">Density Scaling to determine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To obtain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scaled by the probability densities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6177D" w:rsidRDefault="006F7502" w:rsidP="009940B9">
      <w:pPr>
        <w:pStyle w:val="ListParagraph"/>
        <w:numPr>
          <w:ilvl w:val="0"/>
          <w:numId w:val="248"/>
        </w:numPr>
        <w:spacing w:after="200" w:line="360" w:lineRule="auto"/>
      </w:pPr>
      <w:r>
        <w:rPr>
          <w:u w:val="single"/>
        </w:rPr>
        <w:t>Standard Deviation Scaled Probability Density</w:t>
      </w:r>
      <w:r w:rsidRPr="006F7502">
        <w:t>:</w:t>
      </w:r>
      <w:r>
        <w:t xml:space="preserve"> The probability density of the quantity </w:t>
      </w:r>
      <m:oMath>
        <m:r>
          <w:rPr>
            <w:rFonts w:ascii="Cambria Math" w:hAnsi="Cambria Math"/>
          </w:rPr>
          <m:t>X</m:t>
        </m:r>
      </m:oMath>
      <w:r>
        <w:t xml:space="preserve"> is denoted via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m:t>
            </m:r>
          </m:e>
        </m:d>
      </m:oMath>
      <w:r>
        <w:t xml:space="preserve"> and the standard deviation is scaled according to</w:t>
      </w:r>
    </w:p>
    <w:p w:rsidR="0036177D" w:rsidRDefault="0036177D" w:rsidP="0036177D">
      <w:pPr>
        <w:pStyle w:val="ListParagraph"/>
        <w:spacing w:after="200" w:line="360" w:lineRule="auto"/>
        <w:ind w:left="360"/>
        <w:rPr>
          <w:u w:val="single"/>
        </w:rPr>
      </w:pPr>
    </w:p>
    <w:p w:rsidR="006F7502"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num>
            <m:den>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den>
          </m:f>
          <m:r>
            <w:rPr>
              <w:rFonts w:ascii="Cambria Math" w:hAnsi="Cambria Math"/>
            </w:rPr>
            <m:t>σ</m:t>
          </m:r>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6F7502" w:rsidP="009940B9">
      <w:pPr>
        <w:pStyle w:val="ListParagraph"/>
        <w:numPr>
          <w:ilvl w:val="0"/>
          <w:numId w:val="248"/>
        </w:numPr>
        <w:spacing w:after="200" w:line="360" w:lineRule="auto"/>
      </w:pPr>
      <w:r>
        <w:rPr>
          <w:u w:val="single"/>
        </w:rPr>
        <w:t xml:space="preserve">Changing Variables from </w:t>
      </w:r>
      <m:oMath>
        <m:r>
          <w:rPr>
            <w:rFonts w:ascii="Cambria Math" w:hAnsi="Cambria Math"/>
            <w:u w:val="single"/>
          </w:rPr>
          <m:t>W/V</m:t>
        </m:r>
      </m:oMath>
      <w:r>
        <w:rPr>
          <w:u w:val="single"/>
        </w:rPr>
        <w:t xml:space="preserve"> to </w:t>
      </w:r>
      <m:oMath>
        <m:r>
          <w:rPr>
            <w:rFonts w:ascii="Cambria Math" w:hAnsi="Cambria Math"/>
            <w:u w:val="single"/>
          </w:rPr>
          <m:t>Z</m:t>
        </m:r>
      </m:oMath>
      <w:r>
        <w:t xml:space="preserve">: Changing the variables from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to </w:t>
      </w:r>
      <m:oMath>
        <m:r>
          <w:rPr>
            <w:rFonts w:ascii="Cambria Math" w:hAnsi="Cambria Math"/>
          </w:rPr>
          <m:t>Z</m:t>
        </m:r>
      </m:oMath>
      <w:r>
        <w:t>, one gets</w:t>
      </w:r>
    </w:p>
    <w:p w:rsidR="0036177D" w:rsidRDefault="0036177D" w:rsidP="0036177D">
      <w:pPr>
        <w:pStyle w:val="ListParagraph"/>
        <w:spacing w:after="200" w:line="360" w:lineRule="auto"/>
        <w:ind w:left="360"/>
        <w:rPr>
          <w:u w:val="single"/>
        </w:rPr>
      </w:pPr>
    </w:p>
    <w:p w:rsid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∂ϑ</m:t>
              </m:r>
              <m:d>
                <m:dPr>
                  <m:ctrlPr>
                    <w:rPr>
                      <w:rFonts w:ascii="Cambria Math" w:hAnsi="Cambria Math"/>
                      <w:i/>
                    </w:rPr>
                  </m:ctrlPr>
                </m:dPr>
                <m:e>
                  <m:r>
                    <w:rPr>
                      <w:rFonts w:ascii="Cambria Math" w:hAnsi="Cambria Math"/>
                    </w:rPr>
                    <m:t>t, Z</m:t>
                  </m:r>
                </m:e>
              </m:d>
              <m:r>
                <w:rPr>
                  <w:rFonts w:ascii="Cambria Math" w:hAnsi="Cambria Math"/>
                </w:rPr>
                <m:t>/∂Z</m:t>
              </m:r>
            </m:den>
          </m:f>
        </m:oMath>
      </m:oMathPara>
    </w:p>
    <w:p w:rsidR="0036177D" w:rsidRDefault="0036177D" w:rsidP="0036177D">
      <w:pPr>
        <w:pStyle w:val="ListParagraph"/>
        <w:spacing w:after="200" w:line="360" w:lineRule="auto"/>
        <w:ind w:left="360"/>
      </w:pPr>
    </w:p>
    <w:p w:rsidR="006F7502"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σ</m:t>
              </m:r>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36177D" w:rsidRDefault="00A52E02" w:rsidP="009940B9">
      <w:pPr>
        <w:pStyle w:val="ListParagraph"/>
        <w:numPr>
          <w:ilvl w:val="0"/>
          <w:numId w:val="248"/>
        </w:numPr>
        <w:spacing w:after="200" w:line="360" w:lineRule="auto"/>
      </w:pPr>
      <w:r>
        <w:rPr>
          <w:u w:val="single"/>
        </w:rPr>
        <w:t xml:space="preserve">Substitution to the Definition of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w:t>
      </w:r>
      <w:r w:rsidR="009C380A">
        <w:t xml:space="preserve">Substituting to the definition of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rsidR="009C380A">
        <w:t xml:space="preserve"> above gives</w:t>
      </w:r>
    </w:p>
    <w:p w:rsidR="0036177D" w:rsidRDefault="0036177D" w:rsidP="0036177D">
      <w:pPr>
        <w:pStyle w:val="ListParagraph"/>
        <w:spacing w:after="200" w:line="360" w:lineRule="auto"/>
        <w:ind w:left="360"/>
        <w:rPr>
          <w:u w:val="single"/>
        </w:rPr>
      </w:pPr>
    </w:p>
    <w:p w:rsidR="00A52E02"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i/>
                    </w:rPr>
                  </m:ctrlPr>
                </m:dPr>
                <m:e>
                  <m:r>
                    <w:rPr>
                      <w:rFonts w:ascii="Cambria Math" w:hAnsi="Cambria Math"/>
                    </w:rPr>
                    <m:t>t, Z</m:t>
                  </m:r>
                </m:e>
              </m:d>
            </m:num>
            <m:den>
              <m:r>
                <w:rPr>
                  <w:rFonts w:ascii="Cambria Math" w:hAnsi="Cambria Math"/>
                </w:rPr>
                <m:t>∂Z</m:t>
              </m:r>
            </m:den>
          </m:f>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CDF - The Base Methodology</w:t>
      </w:r>
      <w:r>
        <w:t xml:space="preserve">: The values of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can be obtained from</w:t>
      </w:r>
    </w:p>
    <w:p w:rsidR="0036177D" w:rsidRDefault="0036177D" w:rsidP="0036177D">
      <w:pPr>
        <w:pStyle w:val="ListParagraph"/>
        <w:spacing w:after="200" w:line="360" w:lineRule="auto"/>
        <w:ind w:left="360"/>
        <w:rPr>
          <w:u w:val="single"/>
        </w:rPr>
      </w:pPr>
    </w:p>
    <w:p w:rsidR="009C380A"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d>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the CDF - Sorting the Realizations</w:t>
      </w:r>
      <w:r>
        <w:t xml:space="preserve">: One sorts the array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in increasing order so that</w:t>
      </w:r>
    </w:p>
    <w:p w:rsidR="0036177D" w:rsidRDefault="0036177D" w:rsidP="0036177D">
      <w:pPr>
        <w:pStyle w:val="ListParagraph"/>
        <w:spacing w:after="200" w:line="360" w:lineRule="auto"/>
        <w:ind w:left="360"/>
        <w:rPr>
          <w:u w:val="single"/>
        </w:rPr>
      </w:pPr>
    </w:p>
    <w:p w:rsid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SORTED</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9C380A" w:rsidRDefault="009C380A" w:rsidP="0036177D">
      <w:pPr>
        <w:pStyle w:val="ListParagraph"/>
        <w:spacing w:after="200" w:line="360" w:lineRule="auto"/>
        <w:ind w:left="360"/>
      </w:pPr>
      <w:r>
        <w:t xml:space="preserve">where </w:t>
      </w:r>
      <m:oMath>
        <m:r>
          <w:rPr>
            <w:rFonts w:ascii="Cambria Math" w:hAnsi="Cambria Math"/>
          </w:rPr>
          <m:t>j</m:t>
        </m:r>
        <m:d>
          <m:dPr>
            <m:ctrlPr>
              <w:rPr>
                <w:rFonts w:ascii="Cambria Math" w:hAnsi="Cambria Math"/>
                <w:i/>
              </w:rPr>
            </m:ctrlPr>
          </m:dPr>
          <m:e>
            <m:r>
              <w:rPr>
                <w:rFonts w:ascii="Cambria Math" w:hAnsi="Cambria Math"/>
              </w:rPr>
              <m:t>k</m:t>
            </m:r>
          </m:e>
        </m:d>
      </m:oMath>
      <w:r>
        <w:t xml:space="preserve"> is the sorting index.</w:t>
      </w:r>
    </w:p>
    <w:p w:rsidR="0036177D" w:rsidRDefault="00B05B80" w:rsidP="009940B9">
      <w:pPr>
        <w:pStyle w:val="ListParagraph"/>
        <w:numPr>
          <w:ilvl w:val="0"/>
          <w:numId w:val="248"/>
        </w:numPr>
        <w:spacing w:after="200" w:line="360" w:lineRule="auto"/>
      </w:pPr>
      <w:r>
        <w:rPr>
          <w:u w:val="single"/>
        </w:rPr>
        <w:t>Estimating CDF - Piecewise Constant Jump</w:t>
      </w:r>
      <w:r w:rsidRPr="00B05B80">
        <w:t>:</w:t>
      </w:r>
      <w:r>
        <w:t xml:space="preserve"> From the sorted array, one can build a piecewise constant CDF that jumps by </w:t>
      </w:r>
      <m:oMath>
        <m:f>
          <m:fPr>
            <m:ctrlPr>
              <w:rPr>
                <w:rFonts w:ascii="Cambria Math" w:hAnsi="Cambria Math"/>
                <w:i/>
              </w:rPr>
            </m:ctrlPr>
          </m:fPr>
          <m:num>
            <m:r>
              <w:rPr>
                <w:rFonts w:ascii="Cambria Math" w:hAnsi="Cambria Math"/>
              </w:rPr>
              <m:t>1</m:t>
            </m:r>
          </m:num>
          <m:den>
            <m:r>
              <w:rPr>
                <w:rFonts w:ascii="Cambria Math" w:hAnsi="Cambria Math"/>
              </w:rPr>
              <m:t>M</m:t>
            </m:r>
          </m:den>
        </m:f>
      </m:oMath>
      <w:r>
        <w:t xml:space="preserve"> as </w:t>
      </w:r>
      <m:oMath>
        <m:r>
          <w:rPr>
            <w:rFonts w:ascii="Cambria Math" w:hAnsi="Cambria Math"/>
          </w:rPr>
          <m:t>V</m:t>
        </m:r>
        <m:d>
          <m:dPr>
            <m:ctrlPr>
              <w:rPr>
                <w:rFonts w:ascii="Cambria Math" w:hAnsi="Cambria Math"/>
                <w:i/>
              </w:rPr>
            </m:ctrlPr>
          </m:dPr>
          <m:e>
            <m:r>
              <w:rPr>
                <w:rFonts w:ascii="Cambria Math" w:hAnsi="Cambria Math"/>
              </w:rPr>
              <m:t>t</m:t>
            </m:r>
          </m:e>
        </m:d>
      </m:oMath>
      <w:r>
        <w:t xml:space="preserve"> crosses any of the simulated values.</w:t>
      </w:r>
    </w:p>
    <w:p w:rsidR="0036177D" w:rsidRDefault="0036177D" w:rsidP="0036177D">
      <w:pPr>
        <w:pStyle w:val="ListParagraph"/>
        <w:spacing w:after="200" w:line="360" w:lineRule="auto"/>
        <w:ind w:left="360"/>
        <w:rPr>
          <w:u w:val="single"/>
        </w:rPr>
      </w:pPr>
    </w:p>
    <w:p w:rsid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2M</m:t>
              </m:r>
            </m:den>
          </m:f>
          <m:r>
            <w:rPr>
              <w:rFonts w:ascii="Cambria Math" w:hAnsi="Cambria Math"/>
            </w:rPr>
            <m:t xml:space="preserve"> → </m:t>
          </m:r>
          <m:f>
            <m:fPr>
              <m:ctrlPr>
                <w:rPr>
                  <w:rFonts w:ascii="Cambria Math" w:hAnsi="Cambria Math"/>
                  <w:i/>
                </w:rPr>
              </m:ctrlPr>
            </m:fPr>
            <m:num>
              <m:r>
                <w:rPr>
                  <w:rFonts w:ascii="Cambria Math" w:hAnsi="Cambria Math"/>
                </w:rPr>
                <m:t>k-0.5</m:t>
              </m:r>
            </m:num>
            <m:den>
              <m:r>
                <w:rPr>
                  <w:rFonts w:ascii="Cambria Math" w:hAnsi="Cambria Math"/>
                </w:rPr>
                <m:t>M</m:t>
              </m:r>
            </m:den>
          </m:f>
        </m:oMath>
      </m:oMathPara>
    </w:p>
    <w:p w:rsidR="0036177D" w:rsidRDefault="0036177D" w:rsidP="0036177D">
      <w:pPr>
        <w:pStyle w:val="ListParagraph"/>
        <w:spacing w:after="200" w:line="360" w:lineRule="auto"/>
        <w:ind w:left="360"/>
      </w:pPr>
    </w:p>
    <w:p w:rsidR="00B05B80" w:rsidRDefault="00B05B80" w:rsidP="0036177D">
      <w:pPr>
        <w:pStyle w:val="ListParagraph"/>
        <w:spacing w:after="200" w:line="360" w:lineRule="auto"/>
        <w:ind w:left="360"/>
      </w:pPr>
      <w:r>
        <w:t xml:space="preserve">where </w:t>
      </w:r>
      <m:oMath>
        <m:r>
          <w:rPr>
            <w:rFonts w:ascii="Cambria Math" w:hAnsi="Cambria Math"/>
          </w:rPr>
          <m:t>0.5</m:t>
        </m:r>
      </m:oMath>
      <w:r>
        <w:t xml:space="preserve"> is the de-facto bias reducer.</w:t>
      </w:r>
    </w:p>
    <w:p w:rsidR="0036177D" w:rsidRDefault="00A50E95" w:rsidP="009940B9">
      <w:pPr>
        <w:pStyle w:val="ListParagraph"/>
        <w:numPr>
          <w:ilvl w:val="0"/>
          <w:numId w:val="248"/>
        </w:numPr>
        <w:spacing w:after="200" w:line="360" w:lineRule="auto"/>
      </w:pPr>
      <w:r>
        <w:rPr>
          <w:u w:val="single"/>
        </w:rPr>
        <w:t>Estimation of the Weiner Wanderer</w:t>
      </w:r>
      <w:r w:rsidRPr="00A50E95">
        <w:t>:</w:t>
      </w:r>
      <w:r>
        <w:t xml:space="preserve"> Now one can obtain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as</w:t>
      </w:r>
    </w:p>
    <w:p w:rsidR="0036177D" w:rsidRDefault="0036177D" w:rsidP="0036177D">
      <w:pPr>
        <w:pStyle w:val="ListParagraph"/>
        <w:spacing w:after="200" w:line="360" w:lineRule="auto"/>
        <w:ind w:left="360"/>
        <w:rPr>
          <w:u w:val="single"/>
        </w:rPr>
      </w:pPr>
    </w:p>
    <w:p w:rsidR="00A50E95"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m:t>
                  </m:r>
                </m:den>
              </m:f>
            </m:e>
          </m:d>
        </m:oMath>
      </m:oMathPara>
    </w:p>
    <w:p w:rsidR="0036177D" w:rsidRDefault="0036177D" w:rsidP="0036177D">
      <w:pPr>
        <w:pStyle w:val="ListParagraph"/>
        <w:spacing w:after="200" w:line="360" w:lineRule="auto"/>
        <w:ind w:left="360"/>
      </w:pPr>
    </w:p>
    <w:p w:rsidR="0036177D" w:rsidRDefault="00A50E95" w:rsidP="009940B9">
      <w:pPr>
        <w:pStyle w:val="ListParagraph"/>
        <w:numPr>
          <w:ilvl w:val="0"/>
          <w:numId w:val="248"/>
        </w:numPr>
        <w:spacing w:after="200" w:line="360" w:lineRule="auto"/>
      </w:pPr>
      <w:r>
        <w:rPr>
          <w:u w:val="single"/>
        </w:rPr>
        <w:t>Estimating the Local Standard Deviation</w:t>
      </w:r>
      <w:r>
        <w:t xml:space="preserve">: Local standard deviation </w:t>
      </w:r>
      <m:oMath>
        <m:sSub>
          <m:sSubPr>
            <m:ctrlPr>
              <w:rPr>
                <w:rFonts w:ascii="Cambria Math" w:hAnsi="Cambria Math"/>
                <w:i/>
              </w:rPr>
            </m:ctrlPr>
          </m:sSubPr>
          <m:e>
            <m:r>
              <w:rPr>
                <w:rFonts w:ascii="Cambria Math" w:hAnsi="Cambria Math"/>
              </w:rPr>
              <m:t>σ</m:t>
            </m:r>
          </m:e>
          <m:sub>
            <m:r>
              <w:rPr>
                <w:rFonts w:ascii="Cambria Math" w:hAnsi="Cambria Math"/>
              </w:rPr>
              <m:t>LOC, j</m:t>
            </m:r>
          </m:sub>
        </m:sSub>
        <m:d>
          <m:dPr>
            <m:ctrlPr>
              <w:rPr>
                <w:rFonts w:ascii="Cambria Math" w:hAnsi="Cambria Math"/>
                <w:i/>
              </w:rPr>
            </m:ctrlPr>
          </m:dPr>
          <m:e>
            <m:r>
              <w:rPr>
                <w:rFonts w:ascii="Cambria Math" w:hAnsi="Cambria Math"/>
              </w:rPr>
              <m:t>t</m:t>
            </m:r>
          </m:e>
        </m:d>
      </m:oMath>
      <w:r>
        <w:t xml:space="preserve"> can be estimated as</w:t>
      </w:r>
    </w:p>
    <w:p w:rsidR="0036177D" w:rsidRDefault="0036177D" w:rsidP="0036177D">
      <w:pPr>
        <w:pStyle w:val="ListParagraph"/>
        <w:spacing w:after="200" w:line="360" w:lineRule="auto"/>
        <w:ind w:left="360"/>
        <w:rPr>
          <w:u w:val="single"/>
        </w:rPr>
      </w:pPr>
    </w:p>
    <w:p w:rsidR="00A50E95"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 xml:space="preserve">LOC, </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en>
          </m:f>
        </m:oMath>
      </m:oMathPara>
    </w:p>
    <w:p w:rsidR="0036177D" w:rsidRDefault="0036177D" w:rsidP="0036177D">
      <w:pPr>
        <w:pStyle w:val="ListParagraph"/>
        <w:spacing w:after="200" w:line="360" w:lineRule="auto"/>
        <w:ind w:left="360"/>
      </w:pPr>
    </w:p>
    <w:p w:rsidR="0036177D" w:rsidRDefault="00360D40" w:rsidP="009940B9">
      <w:pPr>
        <w:pStyle w:val="ListParagraph"/>
        <w:numPr>
          <w:ilvl w:val="0"/>
          <w:numId w:val="248"/>
        </w:numPr>
        <w:spacing w:after="200" w:line="360" w:lineRule="auto"/>
      </w:pPr>
      <w:r>
        <w:rPr>
          <w:u w:val="single"/>
        </w:rPr>
        <w:lastRenderedPageBreak/>
        <w:t xml:space="preserve">Choice of the Different Amount </w:t>
      </w:r>
      <m:oMath>
        <m:r>
          <w:rPr>
            <w:rFonts w:ascii="Cambria Math" w:hAnsi="Cambria Math"/>
            <w:u w:val="single"/>
          </w:rPr>
          <m:t>∆k</m:t>
        </m:r>
      </m:oMath>
      <w:r>
        <w:t xml:space="preserve">: </w:t>
      </w:r>
      <w:r w:rsidR="004A71AA">
        <w:t xml:space="preserve">The offset </w:t>
      </w:r>
      <m:oMath>
        <m:r>
          <w:rPr>
            <w:rFonts w:ascii="Cambria Math" w:hAnsi="Cambria Math"/>
          </w:rPr>
          <m:t>∆k</m:t>
        </m:r>
      </m:oMath>
      <w:r w:rsidR="004A71AA">
        <w:t xml:space="preserve"> should not be too small (too much noise) or too large (loss of </w:t>
      </w:r>
      <w:r w:rsidR="004A71AA">
        <w:rPr>
          <w:i/>
        </w:rPr>
        <w:t>locality</w:t>
      </w:r>
      <w:r w:rsidR="004A71AA">
        <w:t>). This range works apparently well (Pykhtin (2009)):</w:t>
      </w:r>
    </w:p>
    <w:p w:rsidR="0036177D" w:rsidRDefault="0036177D" w:rsidP="0036177D">
      <w:pPr>
        <w:pStyle w:val="ListParagraph"/>
        <w:spacing w:after="200" w:line="360" w:lineRule="auto"/>
        <w:ind w:left="360"/>
        <w:rPr>
          <w:u w:val="single"/>
        </w:rPr>
      </w:pPr>
    </w:p>
    <w:p w:rsidR="00360D40" w:rsidRPr="0036177D" w:rsidRDefault="00360D40" w:rsidP="0036177D">
      <w:pPr>
        <w:pStyle w:val="ListParagraph"/>
        <w:spacing w:after="200" w:line="360" w:lineRule="auto"/>
        <w:ind w:left="360"/>
      </w:pPr>
      <m:oMathPara>
        <m:oMath>
          <m:r>
            <w:rPr>
              <w:rFonts w:ascii="Cambria Math" w:hAnsi="Cambria Math"/>
            </w:rPr>
            <m:t>20≤∆k≤0.05M</m:t>
          </m:r>
        </m:oMath>
      </m:oMathPara>
    </w:p>
    <w:p w:rsidR="0036177D" w:rsidRDefault="0036177D" w:rsidP="0036177D">
      <w:pPr>
        <w:pStyle w:val="ListParagraph"/>
        <w:spacing w:after="200" w:line="360" w:lineRule="auto"/>
        <w:ind w:left="360"/>
      </w:pPr>
    </w:p>
    <w:p w:rsidR="0036177D" w:rsidRPr="0036177D" w:rsidRDefault="00B7179A" w:rsidP="009940B9">
      <w:pPr>
        <w:pStyle w:val="ListParagraph"/>
        <w:numPr>
          <w:ilvl w:val="0"/>
          <w:numId w:val="248"/>
        </w:numPr>
        <w:spacing w:after="200" w:line="360" w:lineRule="auto"/>
      </w:pPr>
      <w:r>
        <w:rPr>
          <w:u w:val="single"/>
        </w:rPr>
        <w:t xml:space="preserve">The Brownian Bridge Mean and </w:t>
      </w:r>
      <m:oMath>
        <m:r>
          <w:rPr>
            <w:rFonts w:ascii="Cambria Math" w:hAnsi="Cambria Math"/>
            <w:u w:val="single"/>
          </w:rPr>
          <m:t>σ</m:t>
        </m:r>
      </m:oMath>
      <w:r>
        <w:t xml:space="preserve">: Similar to the above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p>
    <w:p w:rsidR="0036177D" w:rsidRDefault="0036177D" w:rsidP="0036177D">
      <w:pPr>
        <w:pStyle w:val="ListParagraph"/>
        <w:spacing w:after="200" w:line="360" w:lineRule="auto"/>
        <w:ind w:left="360"/>
        <w:rPr>
          <w:u w:val="single"/>
        </w:rPr>
      </w:pPr>
    </w:p>
    <w:p w:rsid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B7179A"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rPr>
          <w:i/>
        </w:rPr>
      </w:pPr>
    </w:p>
    <w:p w:rsidR="00B7179A"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Default="0036177D" w:rsidP="0036177D">
      <w:pPr>
        <w:pStyle w:val="ListParagraph"/>
        <w:spacing w:after="200" w:line="360" w:lineRule="auto"/>
        <w:ind w:left="360"/>
      </w:pPr>
    </w:p>
    <w:p w:rsidR="0036177D" w:rsidRDefault="00B7179A" w:rsidP="00B7179A">
      <w:pPr>
        <w:pStyle w:val="ListParagraph"/>
        <w:numPr>
          <w:ilvl w:val="0"/>
          <w:numId w:val="248"/>
        </w:numPr>
        <w:spacing w:after="200" w:line="360" w:lineRule="auto"/>
      </w:pPr>
      <w:r>
        <w:rPr>
          <w:u w:val="single"/>
        </w:rPr>
        <w:t xml:space="preserve">The Collateralized Exposure Mean and </w:t>
      </w:r>
      <m:oMath>
        <m:r>
          <w:rPr>
            <w:rFonts w:ascii="Cambria Math" w:hAnsi="Cambria Math"/>
            <w:u w:val="single"/>
          </w:rPr>
          <m:t>σ</m:t>
        </m:r>
      </m:oMath>
      <w:r>
        <w:t xml:space="preserve">: The </w:t>
      </w:r>
      <w:r>
        <w:rPr>
          <w:i/>
        </w:rPr>
        <w:t>collateralized exposure</w:t>
      </w:r>
      <w:r>
        <w:t xml:space="preserve"> depends on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which is also normal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with the same standard deviation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sidRPr="00B7179A">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given by</w:t>
      </w:r>
    </w:p>
    <w:p w:rsidR="0036177D" w:rsidRDefault="0036177D" w:rsidP="0036177D">
      <w:pPr>
        <w:pStyle w:val="ListParagraph"/>
        <w:spacing w:after="200" w:line="360" w:lineRule="auto"/>
        <w:ind w:left="360"/>
        <w:rPr>
          <w:u w:val="single"/>
        </w:rPr>
      </w:pPr>
    </w:p>
    <w:p w:rsidR="00B7179A"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 xml:space="preserve">Collateralized EE Conditional on </w:t>
      </w:r>
      <m:oMath>
        <m:r>
          <w:rPr>
            <w:rFonts w:ascii="Cambria Math" w:hAnsi="Cambria Math"/>
            <w:u w:val="single"/>
          </w:rPr>
          <m:t>j</m:t>
        </m:r>
      </m:oMath>
      <w:r>
        <w:t xml:space="preserve">: Collateralized EE conditional on scenario </w:t>
      </w:r>
      <m:oMath>
        <m:r>
          <w:rPr>
            <w:rFonts w:ascii="Cambria Math" w:hAnsi="Cambria Math"/>
          </w:rPr>
          <m:t>j</m:t>
        </m:r>
      </m:oMath>
      <w:r>
        <w:t xml:space="preserve"> at time </w:t>
      </w:r>
      <m:oMath>
        <m:r>
          <w:rPr>
            <w:rFonts w:ascii="Cambria Math" w:hAnsi="Cambria Math"/>
          </w:rPr>
          <m:t>t</m:t>
        </m:r>
      </m:oMath>
      <w:r>
        <w:t xml:space="preserve"> is</w:t>
      </w:r>
    </w:p>
    <w:p w:rsidR="0036177D" w:rsidRDefault="0036177D" w:rsidP="0036177D">
      <w:pPr>
        <w:pStyle w:val="ListParagraph"/>
        <w:spacing w:after="200" w:line="360" w:lineRule="auto"/>
        <w:ind w:left="360"/>
        <w:rPr>
          <w:u w:val="single"/>
        </w:rPr>
      </w:pPr>
    </w:p>
    <w:p w:rsidR="0013585E"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Collateralized EE on Negative Exposure</w:t>
      </w:r>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equals </w:t>
      </w:r>
      <w:r>
        <w:rPr>
          <w:i/>
        </w:rPr>
        <w:t>zero</w:t>
      </w:r>
      <w:r>
        <w:t xml:space="preserve"> whenever</w:t>
      </w:r>
    </w:p>
    <w:p w:rsidR="0036177D" w:rsidRDefault="0036177D" w:rsidP="0036177D">
      <w:pPr>
        <w:pStyle w:val="ListParagraph"/>
        <w:spacing w:after="200" w:line="360" w:lineRule="auto"/>
        <w:ind w:left="360"/>
        <w:rPr>
          <w:u w:val="single"/>
        </w:rPr>
      </w:pPr>
    </w:p>
    <w:p w:rsid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6177D" w:rsidRDefault="0036177D" w:rsidP="0036177D">
      <w:pPr>
        <w:pStyle w:val="ListParagraph"/>
        <w:spacing w:after="200" w:line="360" w:lineRule="auto"/>
        <w:ind w:left="360"/>
      </w:pPr>
    </w:p>
    <w:p w:rsidR="0036177D" w:rsidRDefault="0013585E" w:rsidP="0036177D">
      <w:pPr>
        <w:pStyle w:val="ListParagraph"/>
        <w:spacing w:after="200" w:line="360" w:lineRule="auto"/>
        <w:ind w:left="360"/>
      </w:pPr>
      <w:r>
        <w:t>so that</w:t>
      </w:r>
    </w:p>
    <w:p w:rsidR="0036177D" w:rsidRDefault="0036177D" w:rsidP="0036177D">
      <w:pPr>
        <w:pStyle w:val="ListParagraph"/>
        <w:spacing w:after="200" w:line="360" w:lineRule="auto"/>
        <w:ind w:left="360"/>
      </w:pPr>
    </w:p>
    <w:p w:rsidR="0013585E"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Integral Form for Collateralized EE</w:t>
      </w:r>
      <w:r>
        <w:t xml:space="preserve">: Since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has a normal distribution, one can write</w:t>
      </w:r>
    </w:p>
    <w:p w:rsidR="0036177D" w:rsidRDefault="0036177D" w:rsidP="0036177D">
      <w:pPr>
        <w:pStyle w:val="ListParagraph"/>
        <w:spacing w:after="200" w:line="360" w:lineRule="auto"/>
        <w:ind w:left="360"/>
        <w:rPr>
          <w:u w:val="single"/>
        </w:rPr>
      </w:pPr>
    </w:p>
    <w:p w:rsidR="0013585E" w:rsidRP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e>
              </m:func>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ub>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p>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d>
        </m:oMath>
      </m:oMathPara>
    </w:p>
    <w:p w:rsidR="0036177D" w:rsidRDefault="0036177D" w:rsidP="0036177D">
      <w:pPr>
        <w:pStyle w:val="ListParagraph"/>
        <w:spacing w:after="200" w:line="360" w:lineRule="auto"/>
        <w:ind w:left="360"/>
      </w:pPr>
    </w:p>
    <w:p w:rsidR="0036177D" w:rsidRDefault="00A64EAB" w:rsidP="00B7179A">
      <w:pPr>
        <w:pStyle w:val="ListParagraph"/>
        <w:numPr>
          <w:ilvl w:val="0"/>
          <w:numId w:val="248"/>
        </w:numPr>
        <w:spacing w:after="200" w:line="360" w:lineRule="auto"/>
      </w:pPr>
      <w:r>
        <w:rPr>
          <w:u w:val="single"/>
        </w:rPr>
        <w:t>Conditional Collateralized EE Closed Form</w:t>
      </w:r>
      <w:r>
        <w:t>: Evaluating the integrals, one obtains</w:t>
      </w:r>
    </w:p>
    <w:p w:rsidR="0036177D" w:rsidRDefault="0036177D" w:rsidP="0036177D">
      <w:pPr>
        <w:pStyle w:val="ListParagraph"/>
        <w:spacing w:after="200" w:line="360" w:lineRule="auto"/>
        <w:ind w:left="360"/>
        <w:rPr>
          <w:u w:val="single"/>
        </w:rPr>
      </w:pPr>
    </w:p>
    <w:p w:rsid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e>
              </m:d>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oMath>
      </m:oMathPara>
    </w:p>
    <w:p w:rsidR="0036177D" w:rsidRDefault="0036177D" w:rsidP="0036177D">
      <w:pPr>
        <w:pStyle w:val="ListParagraph"/>
        <w:spacing w:after="200" w:line="360" w:lineRule="auto"/>
        <w:ind w:left="360"/>
      </w:pPr>
    </w:p>
    <w:p w:rsidR="0036177D" w:rsidRDefault="00E865A4" w:rsidP="0036177D">
      <w:pPr>
        <w:pStyle w:val="ListParagraph"/>
        <w:spacing w:after="200" w:line="360" w:lineRule="auto"/>
        <w:ind w:left="360"/>
      </w:pPr>
      <w:r>
        <w:t>where</w:t>
      </w:r>
    </w:p>
    <w:p w:rsidR="0036177D" w:rsidRDefault="0036177D" w:rsidP="0036177D">
      <w:pPr>
        <w:pStyle w:val="ListParagraph"/>
        <w:spacing w:after="200" w:line="360" w:lineRule="auto"/>
        <w:ind w:left="360"/>
      </w:pPr>
    </w:p>
    <w:p w:rsidR="0036177D"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A64EAB" w:rsidRDefault="000F0838"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45A7B" w:rsidRDefault="00345A7B" w:rsidP="00345A7B">
      <w:pPr>
        <w:spacing w:after="200" w:line="360" w:lineRule="auto"/>
      </w:pPr>
    </w:p>
    <w:p w:rsidR="00345A7B" w:rsidRDefault="00345A7B" w:rsidP="00345A7B">
      <w:pPr>
        <w:spacing w:after="200" w:line="360" w:lineRule="auto"/>
      </w:pPr>
    </w:p>
    <w:p w:rsidR="00345A7B" w:rsidRPr="0036177D" w:rsidRDefault="00345A7B" w:rsidP="00345A7B">
      <w:pPr>
        <w:spacing w:after="200" w:line="360" w:lineRule="auto"/>
        <w:rPr>
          <w:b/>
          <w:sz w:val="28"/>
          <w:szCs w:val="28"/>
        </w:rPr>
      </w:pPr>
      <w:r w:rsidRPr="0036177D">
        <w:rPr>
          <w:b/>
          <w:sz w:val="28"/>
          <w:szCs w:val="28"/>
        </w:rPr>
        <w:t>Analysis of Basel “Shortcut” Method for Collateralized Effective EPE</w:t>
      </w:r>
    </w:p>
    <w:p w:rsidR="00345A7B" w:rsidRDefault="00345A7B" w:rsidP="00345A7B">
      <w:pPr>
        <w:spacing w:after="200" w:line="360" w:lineRule="auto"/>
      </w:pPr>
    </w:p>
    <w:p w:rsidR="00345A7B" w:rsidRDefault="00345A7B" w:rsidP="0036177D">
      <w:pPr>
        <w:pStyle w:val="ListParagraph"/>
        <w:numPr>
          <w:ilvl w:val="0"/>
          <w:numId w:val="250"/>
        </w:numPr>
        <w:spacing w:after="200" w:line="360" w:lineRule="auto"/>
      </w:pPr>
      <w:r w:rsidRPr="0036177D">
        <w:rPr>
          <w:u w:val="single"/>
        </w:rPr>
        <w:t>Basel 2 Exposure Capital Requirements</w:t>
      </w:r>
      <w:r>
        <w:t xml:space="preserve">: </w:t>
      </w:r>
      <w:r w:rsidR="0036177D">
        <w:t>Basel 2 minimal capital requirements for the counterparty risk are determined by wholesale exposure rules with exposu</w:t>
      </w:r>
      <w:r w:rsidR="00BA7B37">
        <w:t>r</w:t>
      </w:r>
      <w:r w:rsidR="0036177D">
        <w:t>e at default obtained from expected exposure profile as follows.</w:t>
      </w:r>
    </w:p>
    <w:p w:rsidR="00BA7B37" w:rsidRDefault="00BA7B37" w:rsidP="0036177D">
      <w:pPr>
        <w:pStyle w:val="ListParagraph"/>
        <w:numPr>
          <w:ilvl w:val="0"/>
          <w:numId w:val="250"/>
        </w:numPr>
        <w:spacing w:after="200" w:line="360" w:lineRule="auto"/>
      </w:pPr>
      <w:r>
        <w:rPr>
          <w:u w:val="single"/>
        </w:rPr>
        <w:t>Exposure at Default - Basel Variants</w:t>
      </w:r>
      <w:r>
        <w:t>:</w:t>
      </w:r>
    </w:p>
    <w:p w:rsidR="00BA7B37" w:rsidRDefault="00BA7B37" w:rsidP="00BA7B37">
      <w:pPr>
        <w:pStyle w:val="ListParagraph"/>
        <w:numPr>
          <w:ilvl w:val="1"/>
          <w:numId w:val="250"/>
        </w:numPr>
        <w:spacing w:after="200" w:line="360" w:lineRule="auto"/>
      </w:pPr>
      <w:r>
        <w:t>Expected Exposure (EE) – Expected Exposure Profile (EE)</w:t>
      </w:r>
    </w:p>
    <w:p w:rsidR="004A2A5E" w:rsidRDefault="00BA7B37" w:rsidP="00BA7B37">
      <w:pPr>
        <w:pStyle w:val="ListParagraph"/>
        <w:numPr>
          <w:ilvl w:val="1"/>
          <w:numId w:val="250"/>
        </w:numPr>
        <w:spacing w:after="200" w:line="360" w:lineRule="auto"/>
      </w:pPr>
      <w:r>
        <w:t xml:space="preserve">Expected Positive Exposure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Effective EE -</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e>
              </m:d>
            </m:e>
          </m:func>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Effective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Effective 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Exposure at Default (EAD)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EAD=α×Effective EPE</m:t>
          </m:r>
        </m:oMath>
      </m:oMathPara>
    </w:p>
    <w:p w:rsidR="004A2A5E" w:rsidRDefault="004A2A5E" w:rsidP="004A2A5E">
      <w:pPr>
        <w:pStyle w:val="ListParagraph"/>
        <w:spacing w:after="200" w:line="360" w:lineRule="auto"/>
        <w:ind w:left="1080"/>
      </w:pPr>
    </w:p>
    <w:p w:rsidR="00847AEA" w:rsidRDefault="00847AEA" w:rsidP="00847AEA">
      <w:pPr>
        <w:pStyle w:val="ListParagraph"/>
        <w:numPr>
          <w:ilvl w:val="0"/>
          <w:numId w:val="250"/>
        </w:numPr>
        <w:spacing w:after="200" w:line="360" w:lineRule="auto"/>
      </w:pPr>
      <w:r>
        <w:rPr>
          <w:u w:val="single"/>
        </w:rPr>
        <w:t>Incorporating the Margin Agreement</w:t>
      </w:r>
      <w:r>
        <w:t>: For collateralized counterparties, the netting set level Effective EPE must incorporate the effect of margin agreement.</w:t>
      </w:r>
    </w:p>
    <w:p w:rsidR="00847AEA" w:rsidRDefault="00847AEA" w:rsidP="00847AEA">
      <w:pPr>
        <w:pStyle w:val="ListParagraph"/>
        <w:numPr>
          <w:ilvl w:val="0"/>
          <w:numId w:val="250"/>
        </w:numPr>
        <w:spacing w:after="200" w:line="360" w:lineRule="auto"/>
      </w:pPr>
      <w:r>
        <w:rPr>
          <w:u w:val="single"/>
        </w:rPr>
        <w:t>Effective EPE using Internal Model of Collateral</w:t>
      </w:r>
      <w:r w:rsidRPr="00847AEA">
        <w:t>:</w:t>
      </w:r>
      <w:r>
        <w:t xml:space="preserve"> Collateralized Effective EPE can be calculated using an </w:t>
      </w:r>
      <w:r>
        <w:rPr>
          <w:i/>
        </w:rPr>
        <w:t>internal model of collateral</w:t>
      </w:r>
      <w:r>
        <w:t>.</w:t>
      </w:r>
    </w:p>
    <w:p w:rsidR="00847AEA" w:rsidRDefault="00847AEA" w:rsidP="00847AEA">
      <w:pPr>
        <w:pStyle w:val="ListParagraph"/>
        <w:numPr>
          <w:ilvl w:val="0"/>
          <w:numId w:val="250"/>
        </w:numPr>
        <w:spacing w:after="200" w:line="360" w:lineRule="auto"/>
      </w:pPr>
      <w:r>
        <w:rPr>
          <w:u w:val="single"/>
        </w:rPr>
        <w:lastRenderedPageBreak/>
        <w:t>Basel 2 Simple and Conservative Shortcut</w:t>
      </w:r>
      <w:r w:rsidRPr="00847AEA">
        <w:t>:</w:t>
      </w:r>
      <w:r>
        <w:t xml:space="preserve"> Alternatively dealers can use a </w:t>
      </w:r>
      <w:r>
        <w:rPr>
          <w:i/>
        </w:rPr>
        <w:t>simple and conservative approximation</w:t>
      </w:r>
      <w:r>
        <w:t xml:space="preserve"> to the effective EPE, and sets the effective EPE for a margined counterparty equal to the lesser of:</w:t>
      </w:r>
    </w:p>
    <w:p w:rsidR="00847AEA" w:rsidRDefault="00847AEA" w:rsidP="00847AEA">
      <w:pPr>
        <w:pStyle w:val="ListParagraph"/>
        <w:numPr>
          <w:ilvl w:val="1"/>
          <w:numId w:val="250"/>
        </w:numPr>
        <w:spacing w:after="200" w:line="360" w:lineRule="auto"/>
      </w:pPr>
      <w:r>
        <w:t xml:space="preserve">The </w:t>
      </w:r>
      <w:r>
        <w:rPr>
          <w:i/>
        </w:rPr>
        <w:t>Threshold</w:t>
      </w:r>
      <w:r>
        <w:t xml:space="preserve">, if positive, under the margin agreement </w:t>
      </w:r>
      <w:r w:rsidRPr="00270475">
        <w:rPr>
          <w:i/>
        </w:rPr>
        <w:t>plus</w:t>
      </w:r>
      <w:r>
        <w:t xml:space="preserve"> an </w:t>
      </w:r>
      <w:r w:rsidRPr="00270475">
        <w:rPr>
          <w:i/>
        </w:rPr>
        <w:t>add-on</w:t>
      </w:r>
      <w:r>
        <w:t xml:space="preserve"> that reflects the potential increase in exposure over the margin period of risk. The </w:t>
      </w:r>
      <w:r w:rsidRPr="00270475">
        <w:rPr>
          <w:i/>
        </w:rPr>
        <w:t>add-on</w:t>
      </w:r>
      <w:r>
        <w:t xml:space="preserve"> is computed as the </w:t>
      </w:r>
      <w:r>
        <w:rPr>
          <w:i/>
        </w:rPr>
        <w:t>expected increase in the netting set’s exposure</w:t>
      </w:r>
      <w:r>
        <w:t xml:space="preserve"> beginning from the current exposure of zero over the margin period of risk.</w:t>
      </w:r>
    </w:p>
    <w:p w:rsidR="00270475" w:rsidRDefault="00270475" w:rsidP="00847AEA">
      <w:pPr>
        <w:pStyle w:val="ListParagraph"/>
        <w:numPr>
          <w:ilvl w:val="1"/>
          <w:numId w:val="250"/>
        </w:numPr>
        <w:spacing w:after="200" w:line="360" w:lineRule="auto"/>
      </w:pPr>
      <w:r w:rsidRPr="00270475">
        <w:rPr>
          <w:i/>
        </w:rPr>
        <w:t>Effective EPE without a margin agreement</w:t>
      </w:r>
      <w:r>
        <w:t>.</w:t>
      </w:r>
    </w:p>
    <w:p w:rsidR="004A2A5E" w:rsidRDefault="00270475" w:rsidP="00270475">
      <w:pPr>
        <w:pStyle w:val="ListParagraph"/>
        <w:numPr>
          <w:ilvl w:val="0"/>
          <w:numId w:val="250"/>
        </w:numPr>
        <w:spacing w:after="200" w:line="360" w:lineRule="auto"/>
      </w:pPr>
      <w:r>
        <w:rPr>
          <w:u w:val="single"/>
        </w:rPr>
        <w:t>Derivation of the “Shortcut” Method</w:t>
      </w:r>
      <w:r>
        <w:t>: The Basel “Shortcut”</w:t>
      </w:r>
      <w:r w:rsidR="00633085">
        <w:t xml:space="preserve"> method can be obtained as follows:</w:t>
      </w:r>
    </w:p>
    <w:p w:rsidR="004A2A5E" w:rsidRDefault="004A2A5E" w:rsidP="004A2A5E">
      <w:pPr>
        <w:pStyle w:val="ListParagraph"/>
        <w:spacing w:after="200" w:line="360" w:lineRule="auto"/>
        <w:ind w:left="360"/>
        <w:rPr>
          <w:u w:val="single"/>
        </w:rPr>
      </w:pPr>
    </w:p>
    <w:p w:rsidR="00270475" w:rsidRPr="004A2A5E" w:rsidRDefault="000F0838" w:rsidP="004A2A5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r>
                        <w:rPr>
                          <w:rFonts w:ascii="Cambria Math" w:hAnsi="Cambria Math"/>
                        </w:rPr>
                        <m:t>, 0</m:t>
                      </m:r>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oMath>
      </m:oMathPara>
    </w:p>
    <w:p w:rsidR="004A2A5E" w:rsidRDefault="004A2A5E" w:rsidP="004A2A5E">
      <w:pPr>
        <w:pStyle w:val="ListParagraph"/>
        <w:spacing w:after="200" w:line="360" w:lineRule="auto"/>
        <w:ind w:left="360"/>
      </w:pPr>
    </w:p>
    <w:p w:rsidR="004A2A5E" w:rsidRDefault="00633085" w:rsidP="00270475">
      <w:pPr>
        <w:pStyle w:val="ListParagraph"/>
        <w:numPr>
          <w:ilvl w:val="0"/>
          <w:numId w:val="250"/>
        </w:numPr>
        <w:spacing w:after="200" w:line="360" w:lineRule="auto"/>
      </w:pPr>
      <w:r>
        <w:rPr>
          <w:u w:val="single"/>
        </w:rPr>
        <w:t>Enhancing the Exposure Conservativeness</w:t>
      </w:r>
      <w:r>
        <w:t>: Time averaging adds more conservativeness:</w:t>
      </w:r>
    </w:p>
    <w:p w:rsidR="004A2A5E" w:rsidRDefault="004A2A5E" w:rsidP="004A2A5E">
      <w:pPr>
        <w:pStyle w:val="ListParagraph"/>
        <w:spacing w:after="200" w:line="360" w:lineRule="auto"/>
        <w:ind w:left="360"/>
        <w:rPr>
          <w:u w:val="single"/>
        </w:rPr>
      </w:pPr>
    </w:p>
    <w:p w:rsidR="00633085" w:rsidRDefault="000F0838" w:rsidP="004A2A5E">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EPE,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oMath>
      </m:oMathPara>
    </w:p>
    <w:p w:rsidR="004A2A5E" w:rsidRDefault="004A2A5E" w:rsidP="004A2A5E">
      <w:pPr>
        <w:spacing w:after="200" w:line="360" w:lineRule="auto"/>
      </w:pPr>
    </w:p>
    <w:p w:rsidR="004A2A5E" w:rsidRDefault="004A2A5E" w:rsidP="004A2A5E">
      <w:pPr>
        <w:spacing w:after="200" w:line="360" w:lineRule="auto"/>
      </w:pPr>
    </w:p>
    <w:p w:rsidR="004A2A5E" w:rsidRPr="004A2A5E" w:rsidRDefault="004A2A5E" w:rsidP="004A2A5E">
      <w:pPr>
        <w:spacing w:after="200" w:line="360" w:lineRule="auto"/>
        <w:rPr>
          <w:b/>
          <w:sz w:val="28"/>
          <w:szCs w:val="28"/>
        </w:rPr>
      </w:pPr>
      <w:r w:rsidRPr="004A2A5E">
        <w:rPr>
          <w:b/>
          <w:sz w:val="28"/>
          <w:szCs w:val="28"/>
        </w:rPr>
        <w:t>Conclusion</w:t>
      </w:r>
    </w:p>
    <w:p w:rsidR="004A2A5E" w:rsidRDefault="004A2A5E" w:rsidP="004A2A5E">
      <w:pPr>
        <w:spacing w:after="200" w:line="360" w:lineRule="auto"/>
      </w:pPr>
    </w:p>
    <w:p w:rsidR="004A2A5E" w:rsidRDefault="004A2A5E" w:rsidP="004A2A5E">
      <w:pPr>
        <w:pStyle w:val="ListParagraph"/>
        <w:numPr>
          <w:ilvl w:val="0"/>
          <w:numId w:val="251"/>
        </w:numPr>
        <w:spacing w:after="200" w:line="360" w:lineRule="auto"/>
      </w:pPr>
      <w:r w:rsidRPr="004A2A5E">
        <w:rPr>
          <w:u w:val="single"/>
        </w:rPr>
        <w:t>Margin Agreements for Risk Mitigation</w:t>
      </w:r>
      <w:r>
        <w:t>: Margin agreements are important risk mitigation tools that need to be modeled accurately.</w:t>
      </w:r>
    </w:p>
    <w:p w:rsidR="00674CBA" w:rsidRDefault="00674CBA" w:rsidP="00674CBA">
      <w:pPr>
        <w:pStyle w:val="ListParagraph"/>
        <w:numPr>
          <w:ilvl w:val="0"/>
          <w:numId w:val="251"/>
        </w:numPr>
        <w:spacing w:after="200" w:line="360" w:lineRule="auto"/>
      </w:pPr>
      <w:r w:rsidRPr="00674CBA">
        <w:rPr>
          <w:u w:val="single"/>
        </w:rPr>
        <w:t>Complete MC Doubles Simulation Time</w:t>
      </w:r>
      <w:r>
        <w:t>: Full Monte Carlo is the most flexible approach, but requires simulating trade values at secondary time points, thus doubling the simulation time.</w:t>
      </w:r>
    </w:p>
    <w:p w:rsidR="00674CBA" w:rsidRDefault="00674CBA" w:rsidP="00674CBA">
      <w:pPr>
        <w:pStyle w:val="ListParagraph"/>
        <w:numPr>
          <w:ilvl w:val="0"/>
          <w:numId w:val="251"/>
        </w:numPr>
        <w:spacing w:after="200" w:line="360" w:lineRule="auto"/>
      </w:pPr>
      <w:r>
        <w:rPr>
          <w:u w:val="single"/>
        </w:rPr>
        <w:lastRenderedPageBreak/>
        <w:t>Semi-Analytical Approach Avoids That</w:t>
      </w:r>
      <w:r w:rsidRPr="00674CBA">
        <w:t>:</w:t>
      </w:r>
      <w:r>
        <w:t xml:space="preserve"> Pykhtin (2009) has presented an accurate semi-analytical approach of calculating the EE that avoids doubling of the simulation time.</w:t>
      </w:r>
    </w:p>
    <w:p w:rsidR="00674CBA" w:rsidRDefault="00674CBA" w:rsidP="00674CBA">
      <w:pPr>
        <w:pStyle w:val="ListParagraph"/>
        <w:numPr>
          <w:ilvl w:val="0"/>
          <w:numId w:val="251"/>
        </w:numPr>
        <w:spacing w:after="200" w:line="360" w:lineRule="auto"/>
      </w:pPr>
      <w:r>
        <w:rPr>
          <w:u w:val="single"/>
        </w:rPr>
        <w:t>Basel 2 Shortcuts are too Conservative</w:t>
      </w:r>
      <w:r w:rsidRPr="00674CBA">
        <w:t>:</w:t>
      </w:r>
      <w:r>
        <w:t xml:space="preserve"> Basel 2 “Shortcut” method for Effective EPE has sound theoretical grounds, but is too conservative.</w:t>
      </w:r>
    </w:p>
    <w:p w:rsidR="004A71AA" w:rsidRDefault="004A71AA" w:rsidP="004A71AA">
      <w:pPr>
        <w:spacing w:after="200" w:line="360" w:lineRule="auto"/>
      </w:pPr>
    </w:p>
    <w:p w:rsidR="004A71AA" w:rsidRDefault="004A71AA" w:rsidP="004A71AA">
      <w:pPr>
        <w:spacing w:after="200" w:line="360" w:lineRule="auto"/>
      </w:pPr>
    </w:p>
    <w:p w:rsidR="004A71AA" w:rsidRPr="00B7179A" w:rsidRDefault="004A71AA" w:rsidP="004A71AA">
      <w:pPr>
        <w:spacing w:after="200" w:line="360" w:lineRule="auto"/>
        <w:rPr>
          <w:b/>
          <w:sz w:val="28"/>
          <w:szCs w:val="28"/>
        </w:rPr>
      </w:pPr>
      <w:r w:rsidRPr="00B7179A">
        <w:rPr>
          <w:b/>
          <w:sz w:val="28"/>
          <w:szCs w:val="28"/>
        </w:rPr>
        <w:t>References</w:t>
      </w:r>
    </w:p>
    <w:p w:rsidR="004A71AA" w:rsidRDefault="004A71AA" w:rsidP="004A71AA">
      <w:pPr>
        <w:spacing w:after="200" w:line="360" w:lineRule="auto"/>
      </w:pPr>
    </w:p>
    <w:p w:rsidR="004A71AA" w:rsidRDefault="004A71AA" w:rsidP="00B7179A">
      <w:pPr>
        <w:pStyle w:val="ListParagraph"/>
        <w:numPr>
          <w:ilvl w:val="0"/>
          <w:numId w:val="249"/>
        </w:numPr>
        <w:spacing w:after="200" w:line="360" w:lineRule="auto"/>
      </w:pPr>
      <w:r>
        <w:t xml:space="preserve">Pykhtin, M. (2009): </w:t>
      </w:r>
      <w:hyperlink r:id="rId35" w:history="1">
        <w:r w:rsidRPr="00B7179A">
          <w:rPr>
            <w:rStyle w:val="Hyperlink"/>
          </w:rPr>
          <w:t xml:space="preserve">Modeling Counterparty Credit Exposure in the Presence </w:t>
        </w:r>
        <w:r w:rsidR="00B7179A" w:rsidRPr="00B7179A">
          <w:rPr>
            <w:rStyle w:val="Hyperlink"/>
          </w:rPr>
          <w:t>of Margin Agreements</w:t>
        </w:r>
      </w:hyperlink>
    </w:p>
    <w:p w:rsidR="00E4691D" w:rsidRDefault="00E4691D" w:rsidP="00981184">
      <w:pPr>
        <w:spacing w:after="200" w:line="360"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0F0838"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0F0838"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0F0838"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0F0838"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0F0838"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0F0838"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0F0838"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6"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0F0838"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0F0838"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0F0838"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0F0838"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0F0838"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several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0F0838"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0F0838"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0F0838"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0F0838"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0F0838"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0F0838"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0F0838"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0F0838"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0F0838"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0F0838"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0F0838"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0F0838"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0F0838"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7"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rsidR="008B390F" w:rsidRDefault="008B390F" w:rsidP="005C3FAC">
      <w:pPr>
        <w:pStyle w:val="ListParagraph"/>
        <w:numPr>
          <w:ilvl w:val="0"/>
          <w:numId w:val="242"/>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rsidR="008B390F" w:rsidRDefault="008B390F" w:rsidP="005C3FAC">
      <w:pPr>
        <w:pStyle w:val="ListParagraph"/>
        <w:numPr>
          <w:ilvl w:val="0"/>
          <w:numId w:val="242"/>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rsidR="008B390F" w:rsidRDefault="008B390F" w:rsidP="005C3FAC">
      <w:pPr>
        <w:pStyle w:val="ListParagraph"/>
        <w:numPr>
          <w:ilvl w:val="0"/>
          <w:numId w:val="242"/>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rsidR="000B5DA3" w:rsidRDefault="000B5DA3" w:rsidP="005C3FAC">
      <w:pPr>
        <w:pStyle w:val="ListParagraph"/>
        <w:numPr>
          <w:ilvl w:val="0"/>
          <w:numId w:val="242"/>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w:t>
      </w:r>
      <w:r>
        <w:lastRenderedPageBreak/>
        <w:t>scenario assumes that the totality of the margin dispute negotiations, operational delays, human errors, legal reviews etc., adds up to 8 business days, yielding an MPoR of a total of 15 business days.</w:t>
      </w:r>
    </w:p>
    <w:p w:rsidR="000B5DA3" w:rsidRDefault="000B5DA3" w:rsidP="005C3FAC">
      <w:pPr>
        <w:pStyle w:val="ListParagraph"/>
        <w:numPr>
          <w:ilvl w:val="0"/>
          <w:numId w:val="242"/>
        </w:numPr>
        <w:spacing w:after="200" w:line="360" w:lineRule="auto"/>
      </w:pPr>
      <w:r>
        <w:rPr>
          <w:u w:val="single"/>
        </w:rPr>
        <w:t>Typical Conservative CSA Event Timeline</w:t>
      </w:r>
      <w:r w:rsidRPr="000B5DA3">
        <w:t>:</w:t>
      </w:r>
      <w:r>
        <w:t xml:space="preserve"> One plausible scenario with daily re-margining could be:</w:t>
      </w:r>
    </w:p>
    <w:p w:rsidR="000B5DA3" w:rsidRPr="00E666E6" w:rsidRDefault="000B5DA3" w:rsidP="000B5DA3">
      <w:pPr>
        <w:pStyle w:val="ListParagraph"/>
        <w:numPr>
          <w:ilvl w:val="1"/>
          <w:numId w:val="242"/>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t-3 ⟹</m:t>
        </m:r>
      </m:oMath>
      <w:r>
        <w:t xml:space="preserve"> The PED is not cured.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 ⟹</m:t>
        </m:r>
      </m:oMath>
      <w:r>
        <w:t xml:space="preserve"> ETD.</w:t>
      </w:r>
    </w:p>
    <w:p w:rsidR="003A5D77" w:rsidRDefault="00F21CDA" w:rsidP="003A5D77">
      <w:pPr>
        <w:pStyle w:val="ListParagraph"/>
        <w:numPr>
          <w:ilvl w:val="0"/>
          <w:numId w:val="242"/>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rsidR="00470621" w:rsidRDefault="00470621" w:rsidP="003A5D77">
      <w:pPr>
        <w:pStyle w:val="ListParagraph"/>
        <w:numPr>
          <w:ilvl w:val="0"/>
          <w:numId w:val="242"/>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rsidR="00470621" w:rsidRDefault="00470621" w:rsidP="00470621">
      <w:pPr>
        <w:pStyle w:val="ListParagraph"/>
        <w:spacing w:after="200" w:line="360" w:lineRule="auto"/>
        <w:ind w:left="360"/>
        <w:rPr>
          <w:u w:val="single"/>
        </w:rPr>
      </w:pPr>
    </w:p>
    <w:p w:rsidR="00470621" w:rsidRDefault="000F0838"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lastRenderedPageBreak/>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rsidR="00470621" w:rsidRDefault="00470621" w:rsidP="00470621">
      <w:pPr>
        <w:pStyle w:val="ListParagraph"/>
        <w:spacing w:after="200" w:line="360" w:lineRule="auto"/>
        <w:ind w:left="360"/>
      </w:pPr>
    </w:p>
    <w:p w:rsidR="00470621" w:rsidRDefault="000F0838"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rsidR="00470621" w:rsidRDefault="00470621" w:rsidP="00470621">
      <w:pPr>
        <w:pStyle w:val="ListParagraph"/>
        <w:spacing w:after="200" w:line="360" w:lineRule="auto"/>
        <w:ind w:left="360"/>
      </w:pPr>
    </w:p>
    <w:p w:rsidR="00470621" w:rsidRDefault="000F0838"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And finally since </w:t>
      </w:r>
      <m:oMath>
        <m:r>
          <w:rPr>
            <w:rFonts w:ascii="Cambria Math" w:hAnsi="Cambria Math"/>
          </w:rPr>
          <m:t>D</m:t>
        </m:r>
      </m:oMath>
      <w:r>
        <w:t xml:space="preserve"> stops its trade payments at </w:t>
      </w:r>
      <m:oMath>
        <m:r>
          <w:rPr>
            <w:rFonts w:ascii="Cambria Math" w:hAnsi="Cambria Math"/>
          </w:rPr>
          <m:t>t-2</m:t>
        </m:r>
      </m:oMath>
    </w:p>
    <w:p w:rsidR="00470621" w:rsidRDefault="00470621" w:rsidP="00470621">
      <w:pPr>
        <w:pStyle w:val="ListParagraph"/>
        <w:spacing w:after="200" w:line="360" w:lineRule="auto"/>
        <w:ind w:left="360"/>
      </w:pPr>
    </w:p>
    <w:p w:rsidR="00470621" w:rsidRDefault="000F0838"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rsidR="00470621" w:rsidRDefault="00470621" w:rsidP="00470621">
      <w:pPr>
        <w:spacing w:after="200" w:line="360" w:lineRule="auto"/>
      </w:pPr>
    </w:p>
    <w:p w:rsidR="00470621" w:rsidRDefault="00470621" w:rsidP="00470621">
      <w:pPr>
        <w:spacing w:after="200" w:line="360" w:lineRule="auto"/>
      </w:pPr>
    </w:p>
    <w:p w:rsidR="00470621" w:rsidRPr="00470621" w:rsidRDefault="00470621" w:rsidP="00470621">
      <w:pPr>
        <w:spacing w:after="200" w:line="360" w:lineRule="auto"/>
        <w:rPr>
          <w:b/>
          <w:sz w:val="28"/>
          <w:szCs w:val="28"/>
        </w:rPr>
      </w:pPr>
      <w:r w:rsidRPr="00470621">
        <w:rPr>
          <w:b/>
          <w:sz w:val="28"/>
          <w:szCs w:val="28"/>
        </w:rPr>
        <w:t>Summary and Comparison of Timelines</w:t>
      </w:r>
    </w:p>
    <w:p w:rsidR="00470621" w:rsidRDefault="00470621" w:rsidP="00470621">
      <w:pPr>
        <w:spacing w:after="200" w:line="360" w:lineRule="auto"/>
      </w:pPr>
    </w:p>
    <w:p w:rsidR="00470621" w:rsidRDefault="00470621" w:rsidP="00470621">
      <w:pPr>
        <w:pStyle w:val="ListParagraph"/>
        <w:numPr>
          <w:ilvl w:val="0"/>
          <w:numId w:val="243"/>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rsidR="00470621" w:rsidRDefault="00470621" w:rsidP="00470621">
      <w:pPr>
        <w:pStyle w:val="ListParagraph"/>
        <w:numPr>
          <w:ilvl w:val="0"/>
          <w:numId w:val="243"/>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915"/>
        <w:gridCol w:w="1915"/>
        <w:gridCol w:w="1915"/>
        <w:gridCol w:w="1915"/>
        <w:gridCol w:w="1916"/>
      </w:tblGrid>
      <w:tr w:rsidR="00E36BEB" w:rsidTr="00E36BEB">
        <w:tc>
          <w:tcPr>
            <w:tcW w:w="1915" w:type="dxa"/>
            <w:vAlign w:val="center"/>
          </w:tcPr>
          <w:p w:rsidR="00E36BEB" w:rsidRPr="00E36BEB" w:rsidRDefault="00E36BEB" w:rsidP="00E36BEB">
            <w:pPr>
              <w:spacing w:after="200" w:line="360" w:lineRule="auto"/>
              <w:jc w:val="center"/>
              <w:rPr>
                <w:b/>
              </w:rPr>
            </w:pPr>
            <w:r>
              <w:rPr>
                <w:b/>
              </w:rPr>
              <w:t>Parameter</w:t>
            </w:r>
          </w:p>
        </w:tc>
        <w:tc>
          <w:tcPr>
            <w:tcW w:w="1915" w:type="dxa"/>
            <w:vAlign w:val="center"/>
          </w:tcPr>
          <w:p w:rsidR="00E36BEB" w:rsidRPr="00E36BEB" w:rsidRDefault="00E36BEB" w:rsidP="00E36BEB">
            <w:pPr>
              <w:spacing w:after="200" w:line="360" w:lineRule="auto"/>
              <w:jc w:val="center"/>
              <w:rPr>
                <w:b/>
              </w:rPr>
            </w:pPr>
            <w:r>
              <w:rPr>
                <w:b/>
              </w:rPr>
              <w:t>Conservative</w:t>
            </w:r>
          </w:p>
        </w:tc>
        <w:tc>
          <w:tcPr>
            <w:tcW w:w="1915" w:type="dxa"/>
            <w:vAlign w:val="center"/>
          </w:tcPr>
          <w:p w:rsidR="00E36BEB" w:rsidRPr="00E36BEB" w:rsidRDefault="00E36BEB" w:rsidP="00E36BEB">
            <w:pPr>
              <w:spacing w:after="200" w:line="360" w:lineRule="auto"/>
              <w:jc w:val="center"/>
              <w:rPr>
                <w:b/>
              </w:rPr>
            </w:pPr>
            <w:r>
              <w:rPr>
                <w:b/>
              </w:rPr>
              <w:t>Aggressive</w:t>
            </w:r>
          </w:p>
        </w:tc>
        <w:tc>
          <w:tcPr>
            <w:tcW w:w="1915" w:type="dxa"/>
            <w:vAlign w:val="center"/>
          </w:tcPr>
          <w:p w:rsidR="00E36BEB" w:rsidRPr="00E36BEB" w:rsidRDefault="00E36BEB" w:rsidP="00E36BEB">
            <w:pPr>
              <w:spacing w:after="200" w:line="360" w:lineRule="auto"/>
              <w:jc w:val="center"/>
              <w:rPr>
                <w:b/>
              </w:rPr>
            </w:pPr>
            <w:r>
              <w:rPr>
                <w:b/>
              </w:rPr>
              <w:t>Classical+</w:t>
            </w:r>
          </w:p>
        </w:tc>
        <w:tc>
          <w:tcPr>
            <w:tcW w:w="1916" w:type="dxa"/>
            <w:vAlign w:val="center"/>
          </w:tcPr>
          <w:p w:rsidR="00E36BEB" w:rsidRPr="00E36BEB" w:rsidRDefault="00E36BEB" w:rsidP="00E36BEB">
            <w:pPr>
              <w:spacing w:after="200" w:line="360" w:lineRule="auto"/>
              <w:jc w:val="center"/>
              <w:rPr>
                <w:b/>
              </w:rPr>
            </w:pPr>
            <w:r>
              <w:rPr>
                <w:b/>
              </w:rPr>
              <w:t>Classical-</w:t>
            </w:r>
          </w:p>
        </w:tc>
      </w:tr>
      <w:tr w:rsidR="00E36BEB" w:rsidTr="00E36BEB">
        <w:tc>
          <w:tcPr>
            <w:tcW w:w="1915" w:type="dxa"/>
            <w:vAlign w:val="center"/>
          </w:tcPr>
          <w:p w:rsidR="00E36BEB" w:rsidRDefault="000F0838"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0F0838"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0F0838"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0F0838"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bl>
    <w:p w:rsidR="00E36BEB" w:rsidRDefault="00E36BEB" w:rsidP="00E36BEB">
      <w:pPr>
        <w:spacing w:after="200" w:line="360" w:lineRule="auto"/>
      </w:pPr>
    </w:p>
    <w:p w:rsidR="00161EA3" w:rsidRDefault="00161EA3" w:rsidP="00161EA3">
      <w:pPr>
        <w:pStyle w:val="ListParagraph"/>
        <w:numPr>
          <w:ilvl w:val="0"/>
          <w:numId w:val="243"/>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rsidR="00161EA3" w:rsidRDefault="00161EA3" w:rsidP="00161EA3">
      <w:pPr>
        <w:spacing w:after="200" w:line="360" w:lineRule="auto"/>
      </w:pPr>
    </w:p>
    <w:p w:rsidR="00161EA3" w:rsidRDefault="00161EA3" w:rsidP="00161EA3">
      <w:pPr>
        <w:spacing w:after="200" w:line="360" w:lineRule="auto"/>
      </w:pPr>
    </w:p>
    <w:p w:rsidR="00161EA3" w:rsidRPr="00EE4975" w:rsidRDefault="00161EA3" w:rsidP="00161EA3">
      <w:pPr>
        <w:spacing w:after="200" w:line="360" w:lineRule="auto"/>
        <w:rPr>
          <w:b/>
          <w:sz w:val="28"/>
          <w:szCs w:val="28"/>
        </w:rPr>
      </w:pPr>
      <w:r w:rsidRPr="00EE4975">
        <w:rPr>
          <w:b/>
          <w:sz w:val="28"/>
          <w:szCs w:val="28"/>
        </w:rPr>
        <w:t>Unpaid Margin Flows and Margin Flow Gap</w:t>
      </w:r>
    </w:p>
    <w:p w:rsidR="00161EA3" w:rsidRDefault="00161EA3" w:rsidP="00161EA3">
      <w:pPr>
        <w:spacing w:after="200" w:line="360" w:lineRule="auto"/>
      </w:pPr>
    </w:p>
    <w:p w:rsidR="00BA3747" w:rsidRDefault="00161EA3" w:rsidP="00EE4975">
      <w:pPr>
        <w:pStyle w:val="ListParagraph"/>
        <w:numPr>
          <w:ilvl w:val="0"/>
          <w:numId w:val="244"/>
        </w:numPr>
        <w:spacing w:after="200" w:line="360" w:lineRule="auto"/>
      </w:pPr>
      <w:r w:rsidRPr="00EE4975">
        <w:rPr>
          <w:u w:val="single"/>
        </w:rPr>
        <w:t>Margin and Trade Flow Gaps</w:t>
      </w:r>
      <w:r>
        <w:t>: To formulate the model in more precise mathematical terms, this section returns to</w:t>
      </w:r>
    </w:p>
    <w:p w:rsidR="00BA3747" w:rsidRDefault="00BA3747" w:rsidP="00BA3747">
      <w:pPr>
        <w:pStyle w:val="ListParagraph"/>
        <w:spacing w:after="200" w:line="360" w:lineRule="auto"/>
        <w:ind w:left="360"/>
        <w:rPr>
          <w:u w:val="single"/>
        </w:rPr>
      </w:pPr>
    </w:p>
    <w:p w:rsidR="00BA3747" w:rsidRDefault="00161EA3"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161EA3" w:rsidRDefault="00161EA3" w:rsidP="00BA3747">
      <w:pPr>
        <w:pStyle w:val="ListParagraph"/>
        <w:spacing w:after="200" w:line="360" w:lineRule="auto"/>
        <w:ind w:left="360"/>
      </w:pPr>
      <w:r>
        <w:t xml:space="preserve">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rsidR="00BA3747" w:rsidRDefault="00EE4975" w:rsidP="00EE4975">
      <w:pPr>
        <w:pStyle w:val="ListParagraph"/>
        <w:numPr>
          <w:ilvl w:val="0"/>
          <w:numId w:val="244"/>
        </w:numPr>
        <w:spacing w:after="200" w:line="360" w:lineRule="auto"/>
      </w:pPr>
      <w:r>
        <w:rPr>
          <w:u w:val="single"/>
        </w:rPr>
        <w:t>Client Last Margin Posting Date</w:t>
      </w:r>
      <w:r>
        <w:t>: As with the classical model, it is assumed that the MPoR starts at time</w:t>
      </w:r>
    </w:p>
    <w:p w:rsidR="00BA3747" w:rsidRDefault="00BA3747" w:rsidP="00BA3747">
      <w:pPr>
        <w:pStyle w:val="ListParagraph"/>
        <w:spacing w:after="200" w:line="360" w:lineRule="auto"/>
        <w:ind w:left="360"/>
        <w:rPr>
          <w:u w:val="single"/>
        </w:rPr>
      </w:pPr>
    </w:p>
    <w:p w:rsidR="00BA3747" w:rsidRDefault="000F0838"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This is to be compared with</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EE4975" w:rsidRP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BA3747" w:rsidRDefault="00BA3747" w:rsidP="00BA3747">
      <w:pPr>
        <w:pStyle w:val="ListParagraph"/>
        <w:spacing w:after="200" w:line="360" w:lineRule="auto"/>
        <w:ind w:left="360"/>
      </w:pPr>
    </w:p>
    <w:p w:rsidR="00BA3747" w:rsidRDefault="005613DB" w:rsidP="00EE4975">
      <w:pPr>
        <w:pStyle w:val="ListParagraph"/>
        <w:numPr>
          <w:ilvl w:val="0"/>
          <w:numId w:val="244"/>
        </w:numPr>
        <w:spacing w:after="200" w:line="360" w:lineRule="auto"/>
      </w:pPr>
      <w:r>
        <w:rPr>
          <w:u w:val="single"/>
        </w:rPr>
        <w:t>Definition of the Margin Flow Gap</w:t>
      </w:r>
      <w:r>
        <w:t>: In contrast to</w:t>
      </w:r>
    </w:p>
    <w:p w:rsidR="00BA3747" w:rsidRDefault="00BA3747" w:rsidP="00BA3747">
      <w:pPr>
        <w:pStyle w:val="ListParagraph"/>
        <w:spacing w:after="200" w:line="360" w:lineRule="auto"/>
        <w:ind w:left="360"/>
        <w:rPr>
          <w:u w:val="single"/>
        </w:rPr>
      </w:pPr>
    </w:p>
    <w:p w:rsidR="00BA3747" w:rsidRDefault="005613DB"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 xml:space="preserve">this model assumes that </w:t>
      </w:r>
      <m:oMath>
        <m:r>
          <w:rPr>
            <w:rFonts w:ascii="Cambria Math" w:hAnsi="Cambria Math"/>
          </w:rPr>
          <m:t>D</m:t>
        </m:r>
      </m:oMath>
      <w:r>
        <w:t xml:space="preserve"> will continue posting and returning collateral to </w:t>
      </w:r>
      <m:oMath>
        <m:r>
          <w:rPr>
            <w:rFonts w:ascii="Cambria Math" w:hAnsi="Cambria Math"/>
          </w:rPr>
          <m:t>C</m:t>
        </m:r>
      </m:oMath>
      <w:r>
        <w:t xml:space="preserve"> for all contractual margin observations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whenever required by the CSA, after</w:t>
      </w:r>
    </w:p>
    <w:p w:rsidR="00BA3747" w:rsidRDefault="00BA3747" w:rsidP="00BA3747">
      <w:pPr>
        <w:pStyle w:val="ListParagraph"/>
        <w:spacing w:after="200" w:line="360" w:lineRule="auto"/>
        <w:ind w:left="360"/>
      </w:pPr>
    </w:p>
    <w:p w:rsidR="00BA3747" w:rsidRDefault="000F0838"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and up to and including the observation date</w:t>
      </w:r>
    </w:p>
    <w:p w:rsidR="00BA3747" w:rsidRDefault="00BA3747" w:rsidP="00BA3747">
      <w:pPr>
        <w:pStyle w:val="ListParagraph"/>
        <w:spacing w:after="200" w:line="360" w:lineRule="auto"/>
        <w:ind w:left="360"/>
      </w:pPr>
    </w:p>
    <w:p w:rsidR="00BA3747" w:rsidRDefault="000F0838"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BA3747" w:rsidRDefault="00BA3747" w:rsidP="00BA3747">
      <w:pPr>
        <w:pStyle w:val="ListParagraph"/>
        <w:spacing w:after="200" w:line="360" w:lineRule="auto"/>
        <w:ind w:left="360"/>
      </w:pPr>
    </w:p>
    <w:p w:rsidR="005613DB" w:rsidRDefault="00B93F10" w:rsidP="00BA3747">
      <w:pPr>
        <w:pStyle w:val="ListParagraph"/>
        <w:spacing w:after="200" w:line="360" w:lineRule="auto"/>
        <w:ind w:left="360"/>
      </w:pPr>
      <w:r>
        <w:t xml:space="preserve">The presence of an observation period of non-zero length for which </w:t>
      </w:r>
      <m:oMath>
        <m:r>
          <w:rPr>
            <w:rFonts w:ascii="Cambria Math" w:hAnsi="Cambria Math"/>
          </w:rPr>
          <m:t>D</m:t>
        </m:r>
      </m:oMath>
      <w:r>
        <w:t xml:space="preserve"> is posting and returning collateral but </w:t>
      </w:r>
      <m:oMath>
        <m:r>
          <w:rPr>
            <w:rFonts w:ascii="Cambria Math" w:hAnsi="Cambria Math"/>
          </w:rPr>
          <m:t>C</m:t>
        </m:r>
      </m:oMath>
      <w:r>
        <w:t xml:space="preserve"> is not is referred to as </w:t>
      </w:r>
      <w:r>
        <w:rPr>
          <w:i/>
        </w:rPr>
        <w:t>margin flow gap</w:t>
      </w:r>
      <w:r>
        <w:t>.</w:t>
      </w:r>
    </w:p>
    <w:p w:rsidR="00BA3747" w:rsidRDefault="00B93F10" w:rsidP="00EE4975">
      <w:pPr>
        <w:pStyle w:val="ListParagraph"/>
        <w:numPr>
          <w:ilvl w:val="0"/>
          <w:numId w:val="244"/>
        </w:numPr>
        <w:spacing w:after="200" w:line="360" w:lineRule="auto"/>
      </w:pPr>
      <w:r>
        <w:rPr>
          <w:u w:val="single"/>
        </w:rPr>
        <w:lastRenderedPageBreak/>
        <w:t>Choosing the Collateral Computation Date</w:t>
      </w:r>
      <w:r w:rsidRPr="00B93F10">
        <w:t>:</w:t>
      </w:r>
      <w:r>
        <w:t xml:space="preserve"> Here, it is always expected that</w:t>
      </w:r>
    </w:p>
    <w:p w:rsidR="00BA3747" w:rsidRDefault="00BA3747" w:rsidP="00BA3747">
      <w:pPr>
        <w:pStyle w:val="ListParagraph"/>
        <w:spacing w:after="200" w:line="360" w:lineRule="auto"/>
        <w:ind w:left="360"/>
        <w:rPr>
          <w:u w:val="single"/>
        </w:rPr>
      </w:pPr>
    </w:p>
    <w:p w:rsidR="00BA3747" w:rsidRDefault="000F0838"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B93F10" w:rsidP="00BA3747">
      <w:pPr>
        <w:pStyle w:val="ListParagraph"/>
        <w:spacing w:after="200" w:line="360" w:lineRule="auto"/>
        <w:ind w:left="360"/>
      </w:pPr>
      <w:r>
        <w:t xml:space="preserve">which therefore in effect assumes the possibility of a time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only </w:t>
      </w:r>
      <m:oMath>
        <m:r>
          <w:rPr>
            <w:rFonts w:ascii="Cambria Math" w:hAnsi="Cambria Math"/>
          </w:rPr>
          <m:t>D</m:t>
        </m:r>
      </m:oMath>
      <w:r>
        <w:t xml:space="preserve"> honors its margin requirements. In this interval, </w:t>
      </w:r>
      <m:oMath>
        <m:r>
          <w:rPr>
            <w:rFonts w:ascii="Cambria Math" w:hAnsi="Cambria Math"/>
          </w:rPr>
          <m:t>D</m:t>
        </m:r>
      </m:oMath>
      <w:r>
        <w:t xml:space="preserve"> can match its contractually stipulated amounts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only when they involve transfers from </w:t>
      </w:r>
      <m:oMath>
        <m:r>
          <w:rPr>
            <w:rFonts w:ascii="Cambria Math" w:hAnsi="Cambria Math"/>
          </w:rPr>
          <m:t>D</m:t>
        </m:r>
      </m:oMath>
      <w:r>
        <w:t xml:space="preserve"> to </w:t>
      </w:r>
      <m:oMath>
        <m:r>
          <w:rPr>
            <w:rFonts w:ascii="Cambria Math" w:hAnsi="Cambria Math"/>
          </w:rPr>
          <m:t>C</m:t>
        </m:r>
      </m:oMath>
      <w:r>
        <w:t xml:space="preserve">. This asymmetry results in </w:t>
      </w:r>
      <m:oMath>
        <m:r>
          <w:rPr>
            <w:rFonts w:ascii="Cambria Math" w:hAnsi="Cambria Math"/>
          </w:rPr>
          <m:t>D</m:t>
        </m:r>
      </m:oMath>
      <w:r>
        <w:t xml:space="preserve"> holding at time </w:t>
      </w:r>
      <m:oMath>
        <m:r>
          <w:rPr>
            <w:rFonts w:ascii="Cambria Math" w:hAnsi="Cambria Math"/>
          </w:rPr>
          <m:t>t</m:t>
        </m:r>
      </m:oMath>
      <w:r>
        <w:t xml:space="preserve"> the </w:t>
      </w:r>
      <w:r w:rsidRPr="00B93F10">
        <w:rPr>
          <w:i/>
        </w:rPr>
        <w:t>smallest</w:t>
      </w:r>
      <w:r>
        <w:t xml:space="preserve"> collateral computed in the observation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t xml:space="preserve"> i.e.</w:t>
      </w:r>
    </w:p>
    <w:p w:rsidR="00BA3747" w:rsidRDefault="00BA3747" w:rsidP="00BA3747">
      <w:pPr>
        <w:pStyle w:val="ListParagraph"/>
        <w:spacing w:after="200" w:line="360" w:lineRule="auto"/>
        <w:ind w:left="360"/>
      </w:pPr>
    </w:p>
    <w:p w:rsidR="00B93F10" w:rsidRPr="00BA3747" w:rsidRDefault="00B93F10"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B93F10" w:rsidP="00EE4975">
      <w:pPr>
        <w:pStyle w:val="ListParagraph"/>
        <w:numPr>
          <w:ilvl w:val="0"/>
          <w:numId w:val="244"/>
        </w:numPr>
        <w:spacing w:after="200" w:line="360" w:lineRule="auto"/>
      </w:pPr>
      <w:r>
        <w:rPr>
          <w:u w:val="single"/>
        </w:rPr>
        <w:t>Implications of the Collateral Date Choice</w:t>
      </w:r>
      <w:r>
        <w:t xml:space="preserve">: The </w:t>
      </w:r>
      <w:r>
        <w:rPr>
          <w:i/>
        </w:rPr>
        <w:t>worst case</w:t>
      </w:r>
      <w:r>
        <w:t xml:space="preserve"> form of the above provides a less optimistic view on available collateral than on classical modeling, </w:t>
      </w:r>
      <w:r w:rsidR="000A0D55">
        <w:t xml:space="preserve">resulting in larger exposure whenever there are multiple collateral observation dates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0A0D55">
        <w:t xml:space="preserve"> – it is assumed that one of the observation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A0D55">
        <w:t xml:space="preserve"> always coincides with the start of the MPoR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0A0D55">
        <w:t xml:space="preserve">. All other things being equal, the difference in exposure relative to the classical model will increase with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If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is kept constant, the difference will increase with more frequent re-margining. Note that</w:t>
      </w:r>
    </w:p>
    <w:p w:rsidR="00BA3747" w:rsidRDefault="00BA3747" w:rsidP="00BA3747">
      <w:pPr>
        <w:pStyle w:val="ListParagraph"/>
        <w:spacing w:after="200" w:line="360" w:lineRule="auto"/>
        <w:ind w:left="360"/>
        <w:rPr>
          <w:u w:val="single"/>
        </w:rPr>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matches</w:t>
      </w:r>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when</w:t>
      </w:r>
    </w:p>
    <w:p w:rsidR="00BA3747" w:rsidRDefault="00BA3747" w:rsidP="00BA3747">
      <w:pPr>
        <w:pStyle w:val="ListParagraph"/>
        <w:spacing w:after="200" w:line="360" w:lineRule="auto"/>
        <w:ind w:left="360"/>
      </w:pPr>
    </w:p>
    <w:p w:rsidR="00B93F10" w:rsidRDefault="000F0838"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5742E6" w:rsidRDefault="005742E6" w:rsidP="005742E6">
      <w:pPr>
        <w:spacing w:after="200" w:line="360" w:lineRule="auto"/>
      </w:pPr>
    </w:p>
    <w:p w:rsidR="005742E6" w:rsidRDefault="005742E6" w:rsidP="005742E6">
      <w:pPr>
        <w:spacing w:after="200" w:line="360" w:lineRule="auto"/>
      </w:pPr>
    </w:p>
    <w:p w:rsidR="005742E6" w:rsidRPr="00BA3747" w:rsidRDefault="005742E6" w:rsidP="005742E6">
      <w:pPr>
        <w:spacing w:after="200" w:line="360" w:lineRule="auto"/>
        <w:rPr>
          <w:b/>
          <w:sz w:val="28"/>
          <w:szCs w:val="28"/>
        </w:rPr>
      </w:pPr>
      <w:r w:rsidRPr="00BA3747">
        <w:rPr>
          <w:b/>
          <w:sz w:val="28"/>
          <w:szCs w:val="28"/>
        </w:rPr>
        <w:t>Unpaid Trade Flows and Trade Flow Gap</w:t>
      </w:r>
    </w:p>
    <w:p w:rsidR="005742E6" w:rsidRDefault="005742E6" w:rsidP="005742E6">
      <w:pPr>
        <w:spacing w:after="200" w:line="360" w:lineRule="auto"/>
      </w:pPr>
    </w:p>
    <w:p w:rsidR="00587D97" w:rsidRDefault="005742E6" w:rsidP="00BA3747">
      <w:pPr>
        <w:pStyle w:val="ListParagraph"/>
        <w:numPr>
          <w:ilvl w:val="0"/>
          <w:numId w:val="252"/>
        </w:numPr>
        <w:spacing w:after="200" w:line="360" w:lineRule="auto"/>
      </w:pPr>
      <w:r w:rsidRPr="00BA3747">
        <w:rPr>
          <w:u w:val="single"/>
        </w:rPr>
        <w:t>Origin of the Trade Flow Gap</w:t>
      </w:r>
      <w:r>
        <w:t xml:space="preserve">: According to the assumptions in the earlier sections, the last date when </w:t>
      </w:r>
      <m:oMath>
        <m:r>
          <w:rPr>
            <w:rFonts w:ascii="Cambria Math" w:hAnsi="Cambria Math"/>
          </w:rPr>
          <m:t>C</m:t>
        </m:r>
      </m:oMath>
      <w:r>
        <w:t xml:space="preserve"> is still paying the trade flows is</w:t>
      </w:r>
    </w:p>
    <w:p w:rsidR="00587D97" w:rsidRDefault="00587D97" w:rsidP="00587D97">
      <w:pPr>
        <w:pStyle w:val="ListParagraph"/>
        <w:spacing w:after="200" w:line="360" w:lineRule="auto"/>
        <w:ind w:left="360"/>
        <w:rPr>
          <w:u w:val="single"/>
        </w:rPr>
      </w:pPr>
    </w:p>
    <w:p w:rsidR="00587D97" w:rsidRDefault="000F0838"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87D97" w:rsidRDefault="005742E6" w:rsidP="00587D97">
      <w:pPr>
        <w:pStyle w:val="ListParagraph"/>
        <w:spacing w:after="200" w:line="360" w:lineRule="auto"/>
        <w:ind w:left="360"/>
      </w:pPr>
      <w:r>
        <w:t xml:space="preserve">and the last date when </w:t>
      </w:r>
      <m:oMath>
        <m:r>
          <w:rPr>
            <w:rFonts w:ascii="Cambria Math" w:hAnsi="Cambria Math"/>
          </w:rPr>
          <m:t>D</m:t>
        </m:r>
      </m:oMath>
      <w:r>
        <w:t xml:space="preserve"> is still trade flows is</w:t>
      </w:r>
    </w:p>
    <w:p w:rsidR="00587D97" w:rsidRDefault="00587D97" w:rsidP="00587D97">
      <w:pPr>
        <w:pStyle w:val="ListParagraph"/>
        <w:spacing w:after="200" w:line="360" w:lineRule="auto"/>
        <w:ind w:left="360"/>
      </w:pPr>
    </w:p>
    <w:p w:rsidR="00587D97" w:rsidRDefault="000F0838"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742E6" w:rsidRDefault="005742E6" w:rsidP="00587D97">
      <w:pPr>
        <w:pStyle w:val="ListParagraph"/>
        <w:spacing w:after="200" w:line="360" w:lineRule="auto"/>
        <w:ind w:left="360"/>
      </w:pPr>
      <w:r>
        <w:t xml:space="preserve">The period when </w:t>
      </w:r>
      <m:oMath>
        <m:r>
          <w:rPr>
            <w:rFonts w:ascii="Cambria Math" w:hAnsi="Cambria Math"/>
          </w:rPr>
          <m:t>D</m:t>
        </m:r>
      </m:oMath>
      <w:r>
        <w:t xml:space="preserve"> is still paying trade flo</w:t>
      </w:r>
      <w:r w:rsidR="00BA3747">
        <w:t>w</w:t>
      </w:r>
      <w:r>
        <w:t xml:space="preserve">s while </w:t>
      </w:r>
      <m:oMath>
        <m:r>
          <w:rPr>
            <w:rFonts w:ascii="Cambria Math" w:hAnsi="Cambria Math"/>
          </w:rPr>
          <m:t>C</m:t>
        </m:r>
      </m:oMath>
      <w:r>
        <w:t xml:space="preserve"> does not </w:t>
      </w:r>
      <w:r w:rsidR="00BA3747">
        <w:t xml:space="preserve">is referred to as the </w:t>
      </w:r>
      <w:r w:rsidR="00BA3747" w:rsidRPr="00BA3747">
        <w:rPr>
          <w:i/>
        </w:rPr>
        <w:t>trade flow gap</w:t>
      </w:r>
      <w:r w:rsidR="00BA3747">
        <w:t>.</w:t>
      </w:r>
    </w:p>
    <w:p w:rsidR="00587D97" w:rsidRDefault="00EE62C9" w:rsidP="00BA3747">
      <w:pPr>
        <w:pStyle w:val="ListParagraph"/>
        <w:numPr>
          <w:ilvl w:val="0"/>
          <w:numId w:val="252"/>
        </w:numPr>
        <w:spacing w:after="200" w:line="360" w:lineRule="auto"/>
      </w:pPr>
      <w:r>
        <w:rPr>
          <w:u w:val="single"/>
        </w:rPr>
        <w:t>Projecting the Unpaid Trade Flow Value</w:t>
      </w:r>
      <w:r w:rsidRPr="00EE62C9">
        <w:t>:</w:t>
      </w:r>
      <w:r>
        <w:t xml:space="preserve"> The value of the net trade flows unpaid by the termination date </w:t>
      </w:r>
      <m:oMath>
        <m:r>
          <w:rPr>
            <w:rFonts w:ascii="Cambria Math" w:hAnsi="Cambria Math"/>
          </w:rPr>
          <m:t>t</m:t>
        </m:r>
      </m:oMath>
      <w:r>
        <w:t xml:space="preserve"> can be expressed using the notation established so far as</w:t>
      </w:r>
    </w:p>
    <w:p w:rsidR="00587D97" w:rsidRDefault="00587D97" w:rsidP="00587D97">
      <w:pPr>
        <w:pStyle w:val="ListParagraph"/>
        <w:spacing w:after="200" w:line="360" w:lineRule="auto"/>
        <w:ind w:left="360"/>
        <w:rPr>
          <w:u w:val="single"/>
        </w:rPr>
      </w:pPr>
    </w:p>
    <w:p w:rsidR="00587D97" w:rsidRDefault="00EE62C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EE62C9" w:rsidRDefault="00EE62C9" w:rsidP="00587D97">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rsidR="00EE62C9" w:rsidRDefault="00EE62C9" w:rsidP="00BA3747">
      <w:pPr>
        <w:pStyle w:val="ListParagraph"/>
        <w:numPr>
          <w:ilvl w:val="0"/>
          <w:numId w:val="252"/>
        </w:numPr>
        <w:spacing w:after="200" w:line="360" w:lineRule="auto"/>
      </w:pPr>
      <w:r>
        <w:rPr>
          <w:u w:val="single"/>
        </w:rPr>
        <w:t>Same Date Dealer/Client Flows</w:t>
      </w:r>
      <w:r w:rsidRPr="00EE62C9">
        <w:t>:</w:t>
      </w:r>
      <w:r>
        <w:t xml:space="preserve"> In calculating the above equation, care needs to be taken on how the trade flows are aggregated and accrued to the termination date </w:t>
      </w:r>
      <m:oMath>
        <m:r>
          <w:rPr>
            <w:rFonts w:ascii="Cambria Math" w:hAnsi="Cambria Math"/>
          </w:rPr>
          <m:t>t</m:t>
        </m:r>
      </m:oMath>
      <w:r>
        <w:t xml:space="preserve">. Cash flows of opposite direction scheduled to be paid in the same currency on the same date (for instance, the two legs of an ordinary single-currency interest-rate swap) in the period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are aggregated (netted) at the cash flow date, therefore only the aggregated amount – their </w:t>
      </w:r>
      <w:r>
        <w:lastRenderedPageBreak/>
        <w:t xml:space="preserve">difference – enters in to the above equation. The aggregated amount of the missed cash flows should be accrued to time </w:t>
      </w:r>
      <m:oMath>
        <m:r>
          <w:rPr>
            <w:rFonts w:ascii="Cambria Math" w:hAnsi="Cambria Math"/>
          </w:rPr>
          <m:t>t</m:t>
        </m:r>
      </m:oMath>
      <w:r w:rsidR="005E5CE4">
        <w:t xml:space="preserve"> at the interest rate of the currency in question, and then converted to </w:t>
      </w:r>
      <m:oMath>
        <m:r>
          <w:rPr>
            <w:rFonts w:ascii="Cambria Math" w:hAnsi="Cambria Math"/>
          </w:rPr>
          <m:t>D</m:t>
        </m:r>
      </m:oMath>
      <w:r w:rsidR="005E5CE4">
        <w:t>’s domestic currency.</w:t>
      </w:r>
    </w:p>
    <w:p w:rsidR="005E5CE4" w:rsidRDefault="005E5CE4" w:rsidP="00BA3747">
      <w:pPr>
        <w:pStyle w:val="ListParagraph"/>
        <w:numPr>
          <w:ilvl w:val="0"/>
          <w:numId w:val="252"/>
        </w:numPr>
        <w:spacing w:after="200" w:line="360" w:lineRule="auto"/>
      </w:pPr>
      <w:r>
        <w:rPr>
          <w:u w:val="single"/>
        </w:rPr>
        <w:t>Different Currency Dealer/Client Flows</w:t>
      </w:r>
      <w:r w:rsidRPr="005E5CE4">
        <w:t>:</w:t>
      </w:r>
      <w:r>
        <w:t xml:space="preserve"> Cash flows in opposite direction scheduled to be paid in </w:t>
      </w:r>
      <w:r>
        <w:rPr>
          <w:i/>
        </w:rPr>
        <w:t>different</w:t>
      </w:r>
      <w:r>
        <w:t xml:space="preserve"> currencies on the same date (for instance, the two legs of a cross-currency interest rate swap) are </w:t>
      </w:r>
      <w:r>
        <w:rPr>
          <w:i/>
        </w:rPr>
        <w:t>not</w:t>
      </w:r>
      <w:r>
        <w:t xml:space="preserve"> netted at the cash flow date. The missed cash flow amounts in each currency should be accrued to time </w:t>
      </w:r>
      <m:oMath>
        <m:r>
          <w:rPr>
            <w:rFonts w:ascii="Cambria Math" w:hAnsi="Cambria Math"/>
          </w:rPr>
          <m:t>t</m:t>
        </m:r>
      </m:oMath>
      <w:r>
        <w:t xml:space="preserve"> at the relevant interest rates, and then converted to </w:t>
      </w:r>
      <m:oMath>
        <m:r>
          <w:rPr>
            <w:rFonts w:ascii="Cambria Math" w:hAnsi="Cambria Math"/>
          </w:rPr>
          <m:t>D</m:t>
        </m:r>
      </m:oMath>
      <w:r>
        <w:t>’s domestic currency.</w:t>
      </w:r>
    </w:p>
    <w:p w:rsidR="005E5CE4" w:rsidRDefault="005E5CE4" w:rsidP="00BA3747">
      <w:pPr>
        <w:pStyle w:val="ListParagraph"/>
        <w:numPr>
          <w:ilvl w:val="0"/>
          <w:numId w:val="252"/>
        </w:numPr>
        <w:spacing w:after="200" w:line="360" w:lineRule="auto"/>
      </w:pPr>
      <w:r>
        <w:rPr>
          <w:u w:val="single"/>
        </w:rPr>
        <w:t>Physically Settled Dealer/Client Flows</w:t>
      </w:r>
      <w:r w:rsidRPr="005E5CE4">
        <w:t>:</w:t>
      </w:r>
      <w:r>
        <w:t xml:space="preserve"> The value of each asset flow (for instance, a swap that would result from exercising a physically settled swaption) should be obtained through pricing at time </w:t>
      </w:r>
      <m:oMath>
        <m:r>
          <w:rPr>
            <w:rFonts w:ascii="Cambria Math" w:hAnsi="Cambria Math"/>
          </w:rPr>
          <m:t>t</m:t>
        </m:r>
      </m:oMath>
      <w:r>
        <w:t xml:space="preserve"> of the undelivered asset in </w:t>
      </w:r>
      <m:oMath>
        <m:r>
          <w:rPr>
            <w:rFonts w:ascii="Cambria Math" w:hAnsi="Cambria Math"/>
          </w:rPr>
          <m:t>D</m:t>
        </m:r>
      </m:oMath>
      <w:r>
        <w:t>’s domestic currency. Generally, asset flows are not aggregated.</w:t>
      </w:r>
    </w:p>
    <w:p w:rsidR="00587D97" w:rsidRDefault="005E5CE4" w:rsidP="00BA3747">
      <w:pPr>
        <w:pStyle w:val="ListParagraph"/>
        <w:numPr>
          <w:ilvl w:val="0"/>
          <w:numId w:val="252"/>
        </w:numPr>
        <w:spacing w:after="200" w:line="360" w:lineRule="auto"/>
      </w:pPr>
      <w:r>
        <w:rPr>
          <w:u w:val="single"/>
        </w:rPr>
        <w:t>Collateral available at Termination Date</w:t>
      </w:r>
      <w:r w:rsidRPr="005E5CE4">
        <w:t>:</w:t>
      </w:r>
      <w:r>
        <w:t xml:space="preserve"> To analyze the impact of these assumptions on the expression for </w:t>
      </w:r>
      <m:oMath>
        <m:r>
          <w:rPr>
            <w:rFonts w:ascii="Cambria Math" w:hAnsi="Cambria Math"/>
          </w:rPr>
          <m:t>UTF</m:t>
        </m:r>
        <m:d>
          <m:dPr>
            <m:ctrlPr>
              <w:rPr>
                <w:rFonts w:ascii="Cambria Math" w:hAnsi="Cambria Math"/>
                <w:i/>
              </w:rPr>
            </m:ctrlPr>
          </m:dPr>
          <m:e>
            <m:r>
              <w:rPr>
                <w:rFonts w:ascii="Cambria Math" w:hAnsi="Cambria Math"/>
              </w:rPr>
              <m:t>t</m:t>
            </m:r>
          </m:e>
        </m:d>
      </m:oMath>
      <w:r>
        <w:t xml:space="preserve"> above, consider for simplicity a zero-threshold margin agreement with no MTA/rounding. Then, from</w:t>
      </w:r>
    </w:p>
    <w:p w:rsidR="00587D97" w:rsidRDefault="00587D97" w:rsidP="00587D97">
      <w:pPr>
        <w:pStyle w:val="ListParagraph"/>
        <w:spacing w:after="200" w:line="360" w:lineRule="auto"/>
        <w:ind w:left="360"/>
        <w:rPr>
          <w:u w:val="single"/>
        </w:rPr>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w:r>
        <w:t xml:space="preserve">the collateral available to </w:t>
      </w:r>
      <m:oMath>
        <m:r>
          <w:rPr>
            <w:rFonts w:ascii="Cambria Math" w:hAnsi="Cambria Math"/>
          </w:rPr>
          <m:t>D</m:t>
        </m:r>
      </m:oMath>
      <w:r>
        <w:t xml:space="preserve"> at the termination date can be written as</w:t>
      </w:r>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E5CE4" w:rsidRPr="00587D97" w:rsidRDefault="000F0838"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Corresponding CSA Implied Client Exposure</w:t>
      </w:r>
      <w:r>
        <w:t>: Substituting</w:t>
      </w:r>
    </w:p>
    <w:p w:rsidR="00587D97" w:rsidRDefault="00587D97" w:rsidP="00587D97">
      <w:pPr>
        <w:pStyle w:val="ListParagraph"/>
        <w:spacing w:after="200" w:line="360" w:lineRule="auto"/>
        <w:ind w:left="360"/>
        <w:rPr>
          <w:u w:val="single"/>
        </w:rPr>
      </w:pPr>
    </w:p>
    <w:p w:rsidR="00587D97" w:rsidRDefault="00E97C8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and</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87D97" w:rsidRDefault="000F0838"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into</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yields, for the simple CSA considered</w:t>
      </w:r>
    </w:p>
    <w:p w:rsidR="00587D97" w:rsidRDefault="00587D97" w:rsidP="00587D97">
      <w:pPr>
        <w:pStyle w:val="ListParagraph"/>
        <w:spacing w:after="200" w:line="360" w:lineRule="auto"/>
        <w:ind w:left="360"/>
      </w:pPr>
    </w:p>
    <w:p w:rsidR="00E97C89" w:rsidRP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CSA Implied Client Exposure Components</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 xml:space="preserve"> above implies that trading flows from </w:t>
      </w:r>
      <m:oMath>
        <m:r>
          <w:rPr>
            <w:rFonts w:ascii="Cambria Math" w:hAnsi="Cambria Math"/>
          </w:rPr>
          <m:t>D</m:t>
        </m:r>
      </m:oMath>
      <w:r>
        <w:t xml:space="preserve"> to </w:t>
      </w:r>
      <m:oMath>
        <m:r>
          <w:rPr>
            <w:rFonts w:ascii="Cambria Math" w:hAnsi="Cambria Math"/>
          </w:rPr>
          <m:t>C</m:t>
        </m:r>
      </m:oMath>
      <w:r>
        <w:t xml:space="preserve"> can occur within the MPoR. Thus trade flows have the potential to generate large spikes in the exposure profiles – especially in the presence of a trade flow gap where only </w:t>
      </w:r>
      <m:oMath>
        <m:r>
          <w:rPr>
            <w:rFonts w:ascii="Cambria Math" w:hAnsi="Cambria Math"/>
          </w:rPr>
          <m:t>D</m:t>
        </m:r>
      </m:oMath>
      <w:r>
        <w:t xml:space="preserve"> pays trade flows. To see this, the exposure components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can be further drilled down as follows. First, ignoring the minor discounting effects inside the MPoR, the portfolio value at time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can be represented as a sum of the portfolio’s forward value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xml:space="preserve"> to time </w:t>
      </w:r>
      <m:oMath>
        <m:r>
          <w:rPr>
            <w:rFonts w:ascii="Cambria Math" w:hAnsi="Cambria Math"/>
          </w:rPr>
          <m:t>t</m:t>
        </m:r>
      </m:oMath>
      <w:r>
        <w:t xml:space="preserve"> and the value of all the trade flows taking place </w:t>
      </w:r>
      <w:r w:rsidRPr="00127616">
        <w:rPr>
          <w:u w:val="single"/>
        </w:rPr>
        <w:t xml:space="preserve">after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oMath>
      <w:r>
        <w:t xml:space="preserve"> and </w:t>
      </w:r>
      <w:r w:rsidRPr="00127616">
        <w:rPr>
          <w:u w:val="single"/>
        </w:rPr>
        <w:t xml:space="preserve">up to and including </w:t>
      </w:r>
      <m:oMath>
        <m:r>
          <w:rPr>
            <w:rFonts w:ascii="Cambria Math" w:hAnsi="Cambria Math"/>
            <w:u w:val="single"/>
          </w:rPr>
          <m:t>t</m:t>
        </m:r>
      </m:oMath>
      <w:r>
        <w:t>:</w:t>
      </w:r>
    </w:p>
    <w:p w:rsidR="00587D97" w:rsidRDefault="00587D97" w:rsidP="00587D97">
      <w:pPr>
        <w:pStyle w:val="ListParagraph"/>
        <w:spacing w:after="200" w:line="360" w:lineRule="auto"/>
        <w:ind w:left="360"/>
        <w:rPr>
          <w:u w:val="single"/>
        </w:rPr>
      </w:pPr>
    </w:p>
    <w:p w:rsidR="00E97C89" w:rsidRPr="00587D97" w:rsidRDefault="00E97C89"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BA3747">
      <w:pPr>
        <w:pStyle w:val="ListParagraph"/>
        <w:numPr>
          <w:ilvl w:val="0"/>
          <w:numId w:val="252"/>
        </w:numPr>
        <w:spacing w:after="200" w:line="360" w:lineRule="auto"/>
      </w:pPr>
      <w:r>
        <w:rPr>
          <w:u w:val="single"/>
        </w:rPr>
        <w:t>Trade Flow Post Collateral Date</w:t>
      </w:r>
      <w:r>
        <w:t>: This may be further re-written as</w:t>
      </w:r>
    </w:p>
    <w:p w:rsidR="00587D97" w:rsidRDefault="00587D97" w:rsidP="00587D97">
      <w:pPr>
        <w:pStyle w:val="ListParagraph"/>
        <w:spacing w:after="200" w:line="360" w:lineRule="auto"/>
        <w:ind w:left="360"/>
        <w:rPr>
          <w:u w:val="single"/>
        </w:rPr>
      </w:pPr>
    </w:p>
    <w:p w:rsidR="00587D97" w:rsidRDefault="000F0838"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lastRenderedPageBreak/>
        <w:t>which, together with</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allows re-stating</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in the following form:</w:t>
      </w:r>
    </w:p>
    <w:p w:rsidR="00587D97" w:rsidRDefault="00587D97" w:rsidP="00587D97">
      <w:pPr>
        <w:pStyle w:val="ListParagraph"/>
        <w:spacing w:after="200" w:line="360" w:lineRule="auto"/>
        <w:ind w:left="360"/>
      </w:pPr>
    </w:p>
    <w:p w:rsidR="00127616" w:rsidRP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BA3747">
      <w:pPr>
        <w:pStyle w:val="ListParagraph"/>
        <w:numPr>
          <w:ilvl w:val="0"/>
          <w:numId w:val="252"/>
        </w:numPr>
        <w:spacing w:after="200" w:line="360" w:lineRule="auto"/>
      </w:pPr>
      <w:r>
        <w:rPr>
          <w:u w:val="single"/>
        </w:rPr>
        <w:t xml:space="preserve">The Market Driven Portfolio Change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→t</m:t>
        </m:r>
      </m:oMath>
      <w:r>
        <w:t>: The terms in</w:t>
      </w:r>
    </w:p>
    <w:p w:rsidR="00587D97" w:rsidRDefault="00587D97" w:rsidP="00587D97">
      <w:pPr>
        <w:pStyle w:val="ListParagraph"/>
        <w:spacing w:after="200" w:line="360" w:lineRule="auto"/>
        <w:ind w:left="360"/>
        <w:rPr>
          <w:u w:val="single"/>
        </w:rPr>
      </w:pPr>
    </w:p>
    <w:p w:rsidR="00587D97" w:rsidRDefault="00744527"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587D97">
      <w:pPr>
        <w:pStyle w:val="ListParagraph"/>
        <w:spacing w:after="200" w:line="360" w:lineRule="auto"/>
        <w:ind w:left="360"/>
      </w:pPr>
      <w:r>
        <w:t>have been re-arranged into five separate components, corresponding to the five different contributions to the exposures. The first is</w:t>
      </w:r>
    </w:p>
    <w:p w:rsidR="00587D97" w:rsidRDefault="00587D97" w:rsidP="00587D97">
      <w:pPr>
        <w:pStyle w:val="ListParagraph"/>
        <w:spacing w:after="200" w:line="360" w:lineRule="auto"/>
        <w:ind w:left="360"/>
      </w:pPr>
    </w:p>
    <w:p w:rsidR="00587D97" w:rsidRDefault="00C04B38"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oMath>
      </m:oMathPara>
    </w:p>
    <w:p w:rsidR="00587D97" w:rsidRDefault="00587D97" w:rsidP="00587D97">
      <w:pPr>
        <w:pStyle w:val="ListParagraph"/>
        <w:spacing w:after="200" w:line="360" w:lineRule="auto"/>
        <w:ind w:left="360"/>
      </w:pPr>
    </w:p>
    <w:p w:rsidR="00744527" w:rsidRDefault="00744527" w:rsidP="00587D97">
      <w:pPr>
        <w:pStyle w:val="ListParagraph"/>
        <w:spacing w:after="200" w:line="360" w:lineRule="auto"/>
        <w:ind w:left="360"/>
      </w:pPr>
      <w:r>
        <w:t xml:space="preserve">- the change of the portfolio forward value to time </w:t>
      </w:r>
      <m:oMath>
        <m:r>
          <w:rPr>
            <w:rFonts w:ascii="Cambria Math" w:hAnsi="Cambria Math"/>
          </w:rPr>
          <m:t>t</m:t>
        </m:r>
      </m:oMath>
      <w:r>
        <w:t xml:space="preserve"> driven by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w:t>
      </w:r>
      <w:r w:rsidR="00C04B38">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rsidR="00C04B38">
        <w:t xml:space="preserve"> and </w:t>
      </w:r>
      <m:oMath>
        <m:r>
          <w:rPr>
            <w:rFonts w:ascii="Cambria Math" w:hAnsi="Cambria Math"/>
          </w:rPr>
          <m:t>t</m:t>
        </m:r>
      </m:oMath>
      <w:r w:rsidR="00C04B38">
        <w:t>; it produces no spikes in the expected exposure profile.</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0F0838"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lastRenderedPageBreak/>
        <w:t xml:space="preserve">represents the change of the value of the trade flows scheduled to be paid – but actually unpaid – by </w:t>
      </w:r>
      <m:oMath>
        <m:r>
          <w:rPr>
            <w:rFonts w:ascii="Cambria Math" w:hAnsi="Cambria Math"/>
          </w:rPr>
          <m:t>C</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resulting from the change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it produces no spikes in the expected exposure profiles.</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'→t</m:t>
        </m:r>
      </m:oMath>
      <w:r w:rsidRPr="00C04B38">
        <w:t>:</w:t>
      </w:r>
    </w:p>
    <w:p w:rsidR="00587D97" w:rsidRDefault="00587D97" w:rsidP="00587D97">
      <w:pPr>
        <w:pStyle w:val="ListParagraph"/>
        <w:spacing w:after="200" w:line="360" w:lineRule="auto"/>
        <w:ind w:left="360"/>
        <w:rPr>
          <w:u w:val="single"/>
        </w:rPr>
      </w:pPr>
    </w:p>
    <w:p w:rsidR="00587D97" w:rsidRDefault="000F0838"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t xml:space="preserve">is the change of the value of the net trade flows between </w:t>
      </w:r>
      <m:oMath>
        <m:r>
          <w:rPr>
            <w:rFonts w:ascii="Cambria Math" w:hAnsi="Cambria Math"/>
          </w:rPr>
          <m:t>C</m:t>
        </m:r>
      </m:oMath>
      <w:r>
        <w:t xml:space="preserve"> and </w:t>
      </w:r>
      <m:oMath>
        <m:r>
          <w:rPr>
            <w:rFonts w:ascii="Cambria Math" w:hAnsi="Cambria Math"/>
          </w:rPr>
          <m:t>D</m:t>
        </m:r>
      </m:oMath>
      <w:r>
        <w:t xml:space="preserve"> scheduled to be paid – but actually unpaid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resulting from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This term likewise produces no spikes in the expected exposure profile.</w:t>
      </w:r>
    </w:p>
    <w:p w:rsidR="00587D97" w:rsidRDefault="002D3CF4" w:rsidP="00BA3747">
      <w:pPr>
        <w:pStyle w:val="ListParagraph"/>
        <w:numPr>
          <w:ilvl w:val="0"/>
          <w:numId w:val="252"/>
        </w:numPr>
        <w:spacing w:after="200" w:line="360" w:lineRule="auto"/>
      </w:pPr>
      <w:r>
        <w:rPr>
          <w:u w:val="single"/>
        </w:rPr>
        <w:t xml:space="preserve">Net Trade Flow between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2D3CF4" w:rsidP="00587D9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oMath>
      </m:oMathPara>
    </w:p>
    <w:p w:rsidR="00587D97" w:rsidRDefault="00587D97" w:rsidP="00587D97">
      <w:pPr>
        <w:pStyle w:val="ListParagraph"/>
        <w:spacing w:after="200" w:line="360" w:lineRule="auto"/>
        <w:ind w:left="360"/>
      </w:pPr>
    </w:p>
    <w:p w:rsidR="002D3CF4" w:rsidRDefault="002D3CF4" w:rsidP="00587D97">
      <w:pPr>
        <w:pStyle w:val="ListParagraph"/>
        <w:spacing w:after="200" w:line="360" w:lineRule="auto"/>
        <w:ind w:left="360"/>
      </w:pPr>
      <w:r>
        <w:t xml:space="preserve">is the negative value of the net trade flow between </w:t>
      </w:r>
      <m:oMath>
        <m:r>
          <w:rPr>
            <w:rFonts w:ascii="Cambria Math" w:hAnsi="Cambria Math"/>
          </w:rPr>
          <m:t>C</m:t>
        </m:r>
      </m:oMath>
      <w:r>
        <w:t xml:space="preserve"> and </w:t>
      </w:r>
      <m:oMath>
        <m:r>
          <w:rPr>
            <w:rFonts w:ascii="Cambria Math" w:hAnsi="Cambria Math"/>
          </w:rPr>
          <m:t>D</m:t>
        </m:r>
      </m:oMath>
      <w:r>
        <w:t xml:space="preserve"> scheduled to be paid – and actually 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oMath>
      <w:r>
        <w:t xml:space="preserve">. Paths where </w:t>
      </w:r>
      <m:oMath>
        <m:r>
          <w:rPr>
            <w:rFonts w:ascii="Cambria Math" w:hAnsi="Cambria Math"/>
          </w:rPr>
          <m:t>D</m:t>
        </m:r>
      </m:oMath>
      <w:r>
        <w:t xml:space="preserve"> is the net payer – so that </w:t>
      </w:r>
      <m:oMath>
        <m:r>
          <w:rPr>
            <w:rFonts w:ascii="Cambria Math" w:hAnsi="Cambria Math"/>
          </w:rPr>
          <m:t>TF</m:t>
        </m:r>
      </m:oMath>
      <w:r>
        <w:t xml:space="preserve"> is negative – contribute to the upward spikes in the EE profile.</w:t>
      </w:r>
    </w:p>
    <w:p w:rsidR="002D3CF4" w:rsidRDefault="002D3CF4" w:rsidP="00BA3747">
      <w:pPr>
        <w:pStyle w:val="ListParagraph"/>
        <w:numPr>
          <w:ilvl w:val="0"/>
          <w:numId w:val="252"/>
        </w:numPr>
        <w:spacing w:after="200" w:line="360" w:lineRule="auto"/>
      </w:pPr>
      <w:r>
        <w:rPr>
          <w:u w:val="single"/>
        </w:rPr>
        <w:t xml:space="preserve">Dealer Trade Flow across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r>
        <w:t xml:space="preserve"> The negative value of the trade flows scheduled to be paid – and actually paid – by </w:t>
      </w:r>
      <m:oMath>
        <m:r>
          <w:rPr>
            <w:rFonts w:ascii="Cambria Math" w:hAnsi="Cambria Math"/>
          </w:rPr>
          <m:t>C</m:t>
        </m:r>
      </m:oMath>
      <w:r>
        <w:t xml:space="preserve"> to </w:t>
      </w:r>
      <m:oMath>
        <m:r>
          <w:rPr>
            <w:rFonts w:ascii="Cambria Math" w:hAnsi="Cambria Math"/>
          </w:rPr>
          <m:t>D</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Whenever such trade flows are present </w:t>
      </w:r>
      <m:oMath>
        <m:r>
          <w:rPr>
            <w:rFonts w:ascii="Cambria Math" w:hAnsi="Cambria Math"/>
          </w:rPr>
          <m:t>D</m:t>
        </m:r>
      </m:oMath>
      <w:r>
        <w:t xml:space="preserve"> is always the payer, leading to upward spikes in the EE profile. Furthermore, in some cases, the spikes arising from this term can be of extreme magnitude, e.g., the scheduled notional exchange in a cross-currency swap where </w:t>
      </w:r>
      <m:oMath>
        <m:r>
          <w:rPr>
            <w:rFonts w:ascii="Cambria Math" w:hAnsi="Cambria Math"/>
          </w:rPr>
          <m:t>D</m:t>
        </m:r>
      </m:oMath>
      <w:r>
        <w:t xml:space="preserve"> pays the full notional, but receives nothing.</w:t>
      </w:r>
    </w:p>
    <w:p w:rsidR="002D3CF4" w:rsidRDefault="002D3CF4" w:rsidP="002D3CF4">
      <w:pPr>
        <w:spacing w:after="200" w:line="360" w:lineRule="auto"/>
      </w:pPr>
    </w:p>
    <w:p w:rsidR="002D3CF4" w:rsidRDefault="002D3CF4" w:rsidP="002D3CF4">
      <w:pPr>
        <w:spacing w:after="200" w:line="360" w:lineRule="auto"/>
      </w:pPr>
    </w:p>
    <w:p w:rsidR="002D3CF4" w:rsidRPr="00587D97" w:rsidRDefault="002D3CF4" w:rsidP="002D3CF4">
      <w:pPr>
        <w:spacing w:after="200" w:line="360" w:lineRule="auto"/>
        <w:rPr>
          <w:b/>
          <w:sz w:val="28"/>
          <w:szCs w:val="28"/>
        </w:rPr>
      </w:pPr>
      <w:r w:rsidRPr="00587D97">
        <w:rPr>
          <w:b/>
          <w:sz w:val="28"/>
          <w:szCs w:val="28"/>
        </w:rPr>
        <w:t>Numerical Examples</w:t>
      </w:r>
    </w:p>
    <w:p w:rsidR="002D3CF4" w:rsidRDefault="002D3CF4" w:rsidP="002D3CF4">
      <w:pPr>
        <w:spacing w:after="200" w:line="360" w:lineRule="auto"/>
      </w:pPr>
    </w:p>
    <w:p w:rsidR="002D3CF4" w:rsidRDefault="002D3CF4" w:rsidP="00587D97">
      <w:pPr>
        <w:pStyle w:val="ListParagraph"/>
        <w:numPr>
          <w:ilvl w:val="0"/>
          <w:numId w:val="253"/>
        </w:numPr>
        <w:spacing w:after="200" w:line="360" w:lineRule="auto"/>
      </w:pPr>
      <w:r w:rsidRPr="00587D97">
        <w:rPr>
          <w:u w:val="single"/>
        </w:rPr>
        <w:lastRenderedPageBreak/>
        <w:t>Illustrative Exposures and CVA Magnitudes</w:t>
      </w:r>
      <w:r>
        <w:t xml:space="preserve">: To gain intuition for the model, this section presents exposure profiles and CVA metrics for several trade and portfolio examples, using both the Aggressive and the Conservative calibrations. The focus is on ordinary and cross-currency swaps, as these instruments </w:t>
      </w:r>
      <w:r w:rsidR="0015343A">
        <w:t>are the primary sources of exposures in most dealers. For all the numerical examples, the stochastic yield curves are driven by one-factor Hull-White model; for cross-currency swap examples, the FX rate is assumed to follow a Black Scholes model.</w:t>
      </w:r>
    </w:p>
    <w:p w:rsidR="001C74DA" w:rsidRDefault="001C74DA" w:rsidP="00587D97">
      <w:pPr>
        <w:pStyle w:val="ListParagraph"/>
        <w:numPr>
          <w:ilvl w:val="0"/>
          <w:numId w:val="253"/>
        </w:numPr>
        <w:spacing w:after="200" w:line="360" w:lineRule="auto"/>
      </w:pPr>
      <w:r>
        <w:rPr>
          <w:u w:val="single"/>
        </w:rPr>
        <w:t>Single Swap Classical/Conservative Exposures</w:t>
      </w:r>
      <w:r w:rsidRPr="001C74DA">
        <w:t>:</w:t>
      </w:r>
      <w:r>
        <w:t xml:space="preserve"> Andersen, Pykhtin, and Sokol (2017) first examine how the model differs from the classical exposure approach. They use Monte Carlo simulation on a USD 10 MM 1-year par-valued vanilla interest rate swap to compare exposures of the Conservative calibration with those computed against the Classical+ and the Classical- models – see the Table above. To make comparisons more meaningful, they override the default setting of 10 business days for the Classical model, and instead set it equal to 15 business days – the length of the MPoR for the Conservative calibration.</w:t>
      </w:r>
    </w:p>
    <w:p w:rsidR="001C74DA" w:rsidRDefault="001C74DA" w:rsidP="00587D97">
      <w:pPr>
        <w:pStyle w:val="ListParagraph"/>
        <w:numPr>
          <w:ilvl w:val="0"/>
          <w:numId w:val="253"/>
        </w:numPr>
        <w:spacing w:after="200" w:line="360" w:lineRule="auto"/>
      </w:pPr>
      <w:r>
        <w:rPr>
          <w:u w:val="single"/>
        </w:rPr>
        <w:t>Single Swap - Classical Exposure Estimations</w:t>
      </w:r>
      <w:r w:rsidRPr="001C74DA">
        <w:t>:</w:t>
      </w:r>
      <w:r>
        <w:t xml:space="preserve"> As they note in their figures, the Classical- calibration is, of course, the least conservative setting, as it ignores both the effect of trade flows and that of the margin asymmetry. The Classical+ calibration tracks the Classical- calibration at most times, but contains noticeable spikes around the last 3 cash flow dates. No spikes occur in their figure on the first quarterly cash flow date, as they assume that the floating rate is fixed at the fixed rate, making the net cash flow zero in all scenarios.</w:t>
      </w:r>
    </w:p>
    <w:p w:rsidR="001C74DA" w:rsidRDefault="001C74DA" w:rsidP="00587D97">
      <w:pPr>
        <w:pStyle w:val="ListParagraph"/>
        <w:numPr>
          <w:ilvl w:val="0"/>
          <w:numId w:val="253"/>
        </w:numPr>
        <w:spacing w:after="200" w:line="360" w:lineRule="auto"/>
      </w:pPr>
      <w:r>
        <w:rPr>
          <w:u w:val="single"/>
        </w:rPr>
        <w:t>Single Swap Conservative Model - MPoR End</w:t>
      </w:r>
      <w:r w:rsidRPr="001C74DA">
        <w:t>:</w:t>
      </w:r>
      <w:r>
        <w:t xml:space="preserve"> The conservative calibration results also contain spikes around the cash flow dates, although these differ from the Classical+ calibration in several ways. First, the Conservative calibration always recognizes that there will be a part towards the end of the MPoR (after time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w:t>
      </w:r>
      <w:r w:rsidR="00A06DD6">
        <w:t xml:space="preserve"> where </w:t>
      </w:r>
      <m:oMath>
        <m:r>
          <w:rPr>
            <w:rFonts w:ascii="Cambria Math" w:hAnsi="Cambria Math"/>
          </w:rPr>
          <m:t>C</m:t>
        </m:r>
      </m:oMath>
      <w:r w:rsidR="00A06DD6">
        <w:t xml:space="preserve"> and </w:t>
      </w:r>
      <m:oMath>
        <m:r>
          <w:rPr>
            <w:rFonts w:ascii="Cambria Math" w:hAnsi="Cambria Math"/>
          </w:rPr>
          <m:t>D</m:t>
        </m:r>
      </m:oMath>
      <w:r w:rsidR="00A06DD6">
        <w:t xml:space="preserve"> will both have stopped paying margin and coupons; as a result, the spikes of the Conservative calibration start later (here: 3 business days) than those of the Classical+ calibration.</w:t>
      </w:r>
    </w:p>
    <w:p w:rsidR="00B66769" w:rsidRDefault="00B66769" w:rsidP="00587D97">
      <w:pPr>
        <w:pStyle w:val="ListParagraph"/>
        <w:numPr>
          <w:ilvl w:val="0"/>
          <w:numId w:val="253"/>
        </w:numPr>
        <w:spacing w:after="200" w:line="360" w:lineRule="auto"/>
      </w:pPr>
      <w:r>
        <w:rPr>
          <w:u w:val="single"/>
        </w:rPr>
        <w:t>Single Swap Conservative Model - Trade Flows</w:t>
      </w:r>
      <w:r w:rsidRPr="00B66769">
        <w:t>:</w:t>
      </w:r>
      <w:r>
        <w:t xml:space="preserve"> Second, the initial part of the spike – in the period from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 is substantially higher for the Conservative calibration due to the assumption of only </w:t>
      </w:r>
      <m:oMath>
        <m:r>
          <w:rPr>
            <w:rFonts w:ascii="Cambria Math" w:hAnsi="Cambria Math"/>
          </w:rPr>
          <m:t>D</m:t>
        </m:r>
      </m:oMath>
      <w:r>
        <w:t xml:space="preserve"> paying cash flows in this sub-period. The remainder of the spike is comparable in height to the Classical+ spike.</w:t>
      </w:r>
    </w:p>
    <w:p w:rsidR="00D40BA1" w:rsidRDefault="00B66769" w:rsidP="00587D97">
      <w:pPr>
        <w:pStyle w:val="ListParagraph"/>
        <w:numPr>
          <w:ilvl w:val="0"/>
          <w:numId w:val="253"/>
        </w:numPr>
        <w:spacing w:after="200" w:line="360" w:lineRule="auto"/>
      </w:pPr>
      <w:r>
        <w:rPr>
          <w:u w:val="single"/>
        </w:rPr>
        <w:lastRenderedPageBreak/>
        <w:t>Single Swap - Classical vs</w:t>
      </w:r>
      <w:r w:rsidRPr="00B66769">
        <w:rPr>
          <w:u w:val="single"/>
        </w:rPr>
        <w:t>. Conservative</w:t>
      </w:r>
      <w:r>
        <w:t xml:space="preserve">: </w:t>
      </w:r>
      <w:r>
        <w:rPr>
          <w:i/>
        </w:rPr>
        <w:t>Between</w:t>
      </w:r>
      <w:r>
        <w:t xml:space="preserve"> spikes the Conservative calibration produces higher exposures than both the Classical- and the Classical+ methods – by around </w:t>
      </w:r>
      <m:oMath>
        <m:r>
          <w:rPr>
            <w:rFonts w:ascii="Cambria Math" w:hAnsi="Cambria Math"/>
          </w:rPr>
          <m:t>40%</m:t>
        </m:r>
      </m:oMath>
      <w:r>
        <w:t xml:space="preserve">. This is, of course, a consequence of the </w:t>
      </w:r>
      <w:r>
        <w:rPr>
          <w:i/>
        </w:rPr>
        <w:t>worst case</w:t>
      </w:r>
      <w:r>
        <w:t xml:space="preserve"> margin asymmetry mechanism in</w:t>
      </w:r>
    </w:p>
    <w:p w:rsidR="00D40BA1" w:rsidRDefault="00B66769" w:rsidP="00D40BA1">
      <w:pPr>
        <w:pStyle w:val="ListParagraph"/>
        <w:spacing w:after="200" w:line="360" w:lineRule="auto"/>
        <w:ind w:left="360"/>
      </w:pPr>
      <w:r>
        <w:t xml:space="preserve"> </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D40BA1" w:rsidRDefault="00D40BA1" w:rsidP="00D40BA1">
      <w:pPr>
        <w:pStyle w:val="ListParagraph"/>
        <w:spacing w:after="200" w:line="360" w:lineRule="auto"/>
        <w:ind w:left="360"/>
      </w:pPr>
    </w:p>
    <w:p w:rsidR="00B66769" w:rsidRDefault="00D40BA1" w:rsidP="00D40BA1">
      <w:pPr>
        <w:pStyle w:val="ListParagraph"/>
        <w:spacing w:after="200" w:line="360" w:lineRule="auto"/>
        <w:ind w:left="360"/>
      </w:pPr>
      <w:r>
        <w:t>the effect of which will grow with the diffusion volatility of the rate process. Of course the last coupon period again has no exposure between spikes, since the volatility of swap prices vanishes after the last coupon rate fixing.</w:t>
      </w:r>
    </w:p>
    <w:p w:rsidR="00D40BA1" w:rsidRDefault="00D40BA1" w:rsidP="00D40BA1">
      <w:pPr>
        <w:pStyle w:val="ListParagraph"/>
        <w:numPr>
          <w:ilvl w:val="0"/>
          <w:numId w:val="253"/>
        </w:numPr>
        <w:spacing w:after="200" w:line="360" w:lineRule="auto"/>
      </w:pPr>
      <w:r w:rsidRPr="00D40BA1">
        <w:rPr>
          <w:u w:val="single"/>
        </w:rPr>
        <w:t>Single Swap: Aggressive Calibration Exposures</w:t>
      </w:r>
      <w:r>
        <w:t xml:space="preserve">: Comparison the Aggressive calibration to the Classical+ and the Classical- calibrations are qualitatively similar. A detailed comparison is therefore skipped here, but Andersen, Pykhtin, and Sokol note that the pick-up in exposure from margin asymmetry falls to about 15%, rather than the 40% observed for the Conservative calibration – a result of the fact that, for Aggressive calibration, the </w:t>
      </w:r>
      <w:r>
        <w:rPr>
          <w:i/>
        </w:rPr>
        <w:t>worst case</w:t>
      </w:r>
      <w:r>
        <w:t xml:space="preserve"> margin result is established over much fewer days. Andersen, Pykhtin, and Sokol (2017) demonstrate the comparison of the exposure profiles for the Aggressive and the Conservative calibrations in their graphs; as expected, the Conservative calibration leads to both bigger and wider exposure spikes, as well as to higher exposure levels between spikes.</w:t>
      </w:r>
    </w:p>
    <w:p w:rsidR="00047FC8" w:rsidRDefault="00047FC8" w:rsidP="00D40BA1">
      <w:pPr>
        <w:pStyle w:val="ListParagraph"/>
        <w:numPr>
          <w:ilvl w:val="0"/>
          <w:numId w:val="253"/>
        </w:numPr>
        <w:spacing w:after="200" w:line="360" w:lineRule="auto"/>
      </w:pPr>
      <w:r>
        <w:rPr>
          <w:u w:val="single"/>
        </w:rPr>
        <w:t>Single Swap - Maturity/Coupon Effect</w:t>
      </w:r>
      <w:r w:rsidRPr="00047FC8">
        <w:t>:</w:t>
      </w:r>
      <w:r>
        <w:t xml:space="preserve"> While instructive, the 1-year vanilla swap example is quiet benign exposure-wise; </w:t>
      </w:r>
      <w:r w:rsidR="00380B97">
        <w:t>not only is the instrument very short-dated, it also allows for netting of coupons on trade-flow dates, thereby reducing the effects of trade flow spikes. Andersen, Pykhtin, and Sokol (2017) relax both effects by increasing the maturity of the swap, and by making the fixed and the floating legs pay on different schedules – and illustrate the exposure results in a separate figure.</w:t>
      </w:r>
    </w:p>
    <w:p w:rsidR="00380B97" w:rsidRDefault="00380B97" w:rsidP="00D40BA1">
      <w:pPr>
        <w:pStyle w:val="ListParagraph"/>
        <w:numPr>
          <w:ilvl w:val="0"/>
          <w:numId w:val="253"/>
        </w:numPr>
        <w:spacing w:after="200" w:line="360" w:lineRule="auto"/>
      </w:pPr>
      <w:r>
        <w:rPr>
          <w:u w:val="single"/>
        </w:rPr>
        <w:t>Single Swap - Coupon Payment Mismatch</w:t>
      </w:r>
      <w:r w:rsidRPr="00380B97">
        <w:t>:</w:t>
      </w:r>
      <w:r>
        <w:t xml:space="preserve"> The upward exposure spikes occur twice per year, whenever the dealer must make a semi-annual fixed payment. On the dates when the counterparty makes a quarterly floating payment that is not accompanied by a fixed payment by the dealer, a narrow </w:t>
      </w:r>
      <w:r>
        <w:rPr>
          <w:i/>
        </w:rPr>
        <w:t>downward</w:t>
      </w:r>
      <w:r>
        <w:t xml:space="preserve"> spike emerges, due to the delay in transferring the coupon back to the counterparty through the margin mechanism.</w:t>
      </w:r>
    </w:p>
    <w:p w:rsidR="00380B97" w:rsidRDefault="00380B97" w:rsidP="00D40BA1">
      <w:pPr>
        <w:pStyle w:val="ListParagraph"/>
        <w:numPr>
          <w:ilvl w:val="0"/>
          <w:numId w:val="253"/>
        </w:numPr>
        <w:spacing w:after="200" w:line="360" w:lineRule="auto"/>
      </w:pPr>
      <w:r>
        <w:rPr>
          <w:u w:val="single"/>
        </w:rPr>
        <w:lastRenderedPageBreak/>
        <w:t>Single Swap - Impact of Maturity</w:t>
      </w:r>
      <w:r w:rsidRPr="00380B97">
        <w:t>:</w:t>
      </w:r>
      <w:r>
        <w:t xml:space="preserve"> The exposure between spikes is also much larger, a consequence of the higher volatility of the 10-year swap compared to the 1-year swap. Of course, as the swap nears its maturity, its duration and volatility die out, so the non-spike exposure profile predictably gets pulled to zero at the 10-year date. Also, as predicted, the Aggressive calibration produces much lower exposures than the Conservative calibration, by nearly a factor of 2.</w:t>
      </w:r>
    </w:p>
    <w:p w:rsidR="000054A7" w:rsidRDefault="000054A7" w:rsidP="00D40BA1">
      <w:pPr>
        <w:pStyle w:val="ListParagraph"/>
        <w:numPr>
          <w:ilvl w:val="0"/>
          <w:numId w:val="253"/>
        </w:numPr>
        <w:spacing w:after="200" w:line="360" w:lineRule="auto"/>
      </w:pPr>
      <w:r>
        <w:rPr>
          <w:u w:val="single"/>
        </w:rPr>
        <w:t>Single Cross-Currency Swap - Herstatt Risk</w:t>
      </w:r>
      <w:r w:rsidRPr="000054A7">
        <w:t>:</w:t>
      </w:r>
      <w:r>
        <w:t xml:space="preserve"> A more extreme form of trade flow spikes will occur for cross-currency swaps, where neither the coupon nor the final payment can be netted. The notional payment, in particular, can induce a very significant payment exposure spike (the Herstatt Risk), whenever the exposure model allows for a trade flow gap. To recall, the Conservative calibration has a trade flow gap, but the Aggressive calibration does not.</w:t>
      </w:r>
    </w:p>
    <w:p w:rsidR="000054A7" w:rsidRDefault="000054A7" w:rsidP="00D40BA1">
      <w:pPr>
        <w:pStyle w:val="ListParagraph"/>
        <w:numPr>
          <w:ilvl w:val="0"/>
          <w:numId w:val="253"/>
        </w:numPr>
        <w:spacing w:after="200" w:line="360" w:lineRule="auto"/>
      </w:pPr>
      <w:r>
        <w:rPr>
          <w:u w:val="single"/>
        </w:rPr>
        <w:t>Single Cross-Currency Swap - Coupon Mismatch</w:t>
      </w:r>
      <w:r w:rsidRPr="000054A7">
        <w:t>:</w:t>
      </w:r>
      <w:r>
        <w:t xml:space="preserve"> As confirmed by Andersen, Pykhtin, and Sokol (2017), the exposure for a conservative calibration has a very large spike that is not present in the Aggressive calibration. Like Conservative calibration, Aggressive calibration will, of course, still produce spikes at the cash flow dates, due to margin effects.</w:t>
      </w:r>
    </w:p>
    <w:p w:rsidR="000054A7" w:rsidRDefault="000054A7" w:rsidP="00D40BA1">
      <w:pPr>
        <w:pStyle w:val="ListParagraph"/>
        <w:numPr>
          <w:ilvl w:val="0"/>
          <w:numId w:val="253"/>
        </w:numPr>
        <w:spacing w:after="200" w:line="360" w:lineRule="auto"/>
      </w:pPr>
      <w:r>
        <w:rPr>
          <w:u w:val="single"/>
        </w:rPr>
        <w:t>Single Cross-Currency Swap - Principal Mismatch</w:t>
      </w:r>
      <w:r w:rsidRPr="000054A7">
        <w:t>:</w:t>
      </w:r>
      <w:r>
        <w:t xml:space="preserve"> As a consequence, the principal exchange is likely fa away from break-even, resulting in a large exposure spike at maturity. Although smaller than for the Conservative calibration, the spike at maturity is also present for the Aggressive calibration; while both </w:t>
      </w:r>
      <m:oMath>
        <m:r>
          <w:rPr>
            <w:rFonts w:ascii="Cambria Math" w:hAnsi="Cambria Math"/>
          </w:rPr>
          <m:t>C</m:t>
        </m:r>
      </m:oMath>
      <w:r>
        <w:t xml:space="preserve"> and </w:t>
      </w:r>
      <m:oMath>
        <m:r>
          <w:rPr>
            <w:rFonts w:ascii="Cambria Math" w:hAnsi="Cambria Math"/>
          </w:rPr>
          <m:t>D</m:t>
        </m:r>
      </m:oMath>
      <w:r>
        <w:t xml:space="preserve"> pay the principal exchange, </w:t>
      </w:r>
      <m:oMath>
        <m:r>
          <w:rPr>
            <w:rFonts w:ascii="Cambria Math" w:hAnsi="Cambria Math"/>
          </w:rPr>
          <m:t>C</m:t>
        </m:r>
      </m:oMath>
      <w:r>
        <w:t xml:space="preserve"> does not make the margin transfer for the balance of the principal payments.</w:t>
      </w:r>
    </w:p>
    <w:p w:rsidR="000054A7" w:rsidRDefault="000054A7" w:rsidP="000054A7">
      <w:pPr>
        <w:spacing w:after="200" w:line="360" w:lineRule="auto"/>
      </w:pPr>
    </w:p>
    <w:p w:rsidR="000054A7" w:rsidRDefault="000054A7" w:rsidP="000054A7">
      <w:pPr>
        <w:spacing w:after="200" w:line="360" w:lineRule="auto"/>
      </w:pPr>
    </w:p>
    <w:p w:rsidR="000054A7" w:rsidRPr="00C6710E" w:rsidRDefault="000054A7" w:rsidP="000054A7">
      <w:pPr>
        <w:spacing w:after="200" w:line="360" w:lineRule="auto"/>
        <w:rPr>
          <w:b/>
          <w:sz w:val="28"/>
          <w:szCs w:val="28"/>
        </w:rPr>
      </w:pPr>
      <w:r w:rsidRPr="00C6710E">
        <w:rPr>
          <w:b/>
          <w:sz w:val="28"/>
          <w:szCs w:val="28"/>
        </w:rPr>
        <w:t>Portfolio Results</w:t>
      </w:r>
    </w:p>
    <w:p w:rsidR="000054A7" w:rsidRDefault="000054A7" w:rsidP="000054A7">
      <w:pPr>
        <w:spacing w:after="200" w:line="360" w:lineRule="auto"/>
      </w:pPr>
    </w:p>
    <w:p w:rsidR="000054A7" w:rsidRPr="008A7E84" w:rsidRDefault="000054A7" w:rsidP="00C6710E">
      <w:pPr>
        <w:pStyle w:val="ListParagraph"/>
        <w:numPr>
          <w:ilvl w:val="0"/>
          <w:numId w:val="254"/>
        </w:numPr>
        <w:spacing w:after="200" w:line="360" w:lineRule="auto"/>
        <w:rPr>
          <w:u w:val="single"/>
        </w:rPr>
      </w:pPr>
      <w:r w:rsidRPr="00C6710E">
        <w:rPr>
          <w:u w:val="single"/>
        </w:rPr>
        <w:t>Single Swap Portfolio: Setup Overview</w:t>
      </w:r>
      <w:r>
        <w:t xml:space="preserve">: For individual trades, the presence of localized spikes in the exposure profiles may ultimately have a relatively modest impact on the credit risk metrics, such as the CVA – after all, the likelihood of the counterparty default in a </w:t>
      </w:r>
      <w:r>
        <w:lastRenderedPageBreak/>
        <w:t>narrow time interval</w:t>
      </w:r>
      <w:r w:rsidR="00C6710E">
        <w:t xml:space="preserve"> around quarterly or semi-annual cash flow event is typically low. For a </w:t>
      </w:r>
      <w:r w:rsidR="00C6710E" w:rsidRPr="00C6710E">
        <w:rPr>
          <w:i/>
        </w:rPr>
        <w:t>portfolio</w:t>
      </w:r>
      <w:r w:rsidR="00C6710E" w:rsidRPr="00C6710E">
        <w:t xml:space="preserve"> of swaps, however, the spikes will add up and </w:t>
      </w:r>
      <w:r w:rsidR="00C6710E">
        <w:t>affect the net exposure profile nearly everywhere.</w:t>
      </w:r>
    </w:p>
    <w:p w:rsidR="008A7E84" w:rsidRPr="008A7E84" w:rsidRDefault="008A7E84" w:rsidP="00C6710E">
      <w:pPr>
        <w:pStyle w:val="ListParagraph"/>
        <w:numPr>
          <w:ilvl w:val="0"/>
          <w:numId w:val="254"/>
        </w:numPr>
        <w:spacing w:after="200" w:line="360" w:lineRule="auto"/>
        <w:rPr>
          <w:u w:val="single"/>
        </w:rPr>
      </w:pPr>
      <w:r>
        <w:rPr>
          <w:u w:val="single"/>
        </w:rPr>
        <w:t xml:space="preserve">Single Swap Portfolio </w:t>
      </w:r>
      <w:r w:rsidR="00C36F45">
        <w:rPr>
          <w:u w:val="single"/>
        </w:rPr>
        <w:t xml:space="preserve">- </w:t>
      </w:r>
      <w:r>
        <w:rPr>
          <w:u w:val="single"/>
        </w:rPr>
        <w:t>Draw Algorithm</w:t>
      </w:r>
      <w:r>
        <w:t>: To illustrate this, Andersen, Pykhtin, and Sokol (2017) picked 50 interest rate swaps with quarterly floating rate payments and semi-annual fixed rate payments of 2%. The terms of the swap were randomized as follows:</w:t>
      </w:r>
    </w:p>
    <w:p w:rsidR="008A7E84" w:rsidRPr="008A7E84" w:rsidRDefault="008A7E84" w:rsidP="008A7E84">
      <w:pPr>
        <w:pStyle w:val="ListParagraph"/>
        <w:numPr>
          <w:ilvl w:val="1"/>
          <w:numId w:val="254"/>
        </w:numPr>
        <w:spacing w:after="200" w:line="360" w:lineRule="auto"/>
        <w:rPr>
          <w:u w:val="single"/>
        </w:rPr>
      </w:pPr>
      <w:r>
        <w:t>Notionals of the swap are sampled uniformly on the interval from 0 to USD 1 MM.</w:t>
      </w:r>
    </w:p>
    <w:p w:rsidR="008A7E84" w:rsidRPr="008A7E84" w:rsidRDefault="008A7E84" w:rsidP="008A7E84">
      <w:pPr>
        <w:pStyle w:val="ListParagraph"/>
        <w:numPr>
          <w:ilvl w:val="1"/>
          <w:numId w:val="254"/>
        </w:numPr>
        <w:spacing w:after="200" w:line="360" w:lineRule="auto"/>
        <w:rPr>
          <w:u w:val="single"/>
        </w:rPr>
      </w:pPr>
      <w:r>
        <w:t>Duration of the fixed leg payments – payer or receiver – is random.</w:t>
      </w:r>
    </w:p>
    <w:p w:rsidR="008A7E84" w:rsidRPr="008A7E84" w:rsidRDefault="008A7E84" w:rsidP="008A7E84">
      <w:pPr>
        <w:pStyle w:val="ListParagraph"/>
        <w:numPr>
          <w:ilvl w:val="1"/>
          <w:numId w:val="254"/>
        </w:numPr>
        <w:spacing w:after="200" w:line="360" w:lineRule="auto"/>
        <w:rPr>
          <w:u w:val="single"/>
        </w:rPr>
      </w:pPr>
      <w:r>
        <w:t>Start date of each swap is subject to a random offset to avoid complete MPoR overlaps.</w:t>
      </w:r>
    </w:p>
    <w:p w:rsidR="008A7E84" w:rsidRPr="008A7E84" w:rsidRDefault="008A7E84" w:rsidP="008A7E84">
      <w:pPr>
        <w:pStyle w:val="ListParagraph"/>
        <w:numPr>
          <w:ilvl w:val="1"/>
          <w:numId w:val="254"/>
        </w:numPr>
        <w:spacing w:after="200" w:line="360" w:lineRule="auto"/>
        <w:rPr>
          <w:u w:val="single"/>
        </w:rPr>
      </w:pPr>
      <w:r>
        <w:t>Swap maturities are scaled uniformly on the interval from 1 to 10 years.</w:t>
      </w:r>
    </w:p>
    <w:p w:rsidR="008A7E84" w:rsidRPr="00C36F45" w:rsidRDefault="00C36F45" w:rsidP="008A7E84">
      <w:pPr>
        <w:pStyle w:val="ListParagraph"/>
        <w:numPr>
          <w:ilvl w:val="0"/>
          <w:numId w:val="254"/>
        </w:numPr>
        <w:spacing w:after="200" w:line="360" w:lineRule="auto"/>
        <w:rPr>
          <w:u w:val="single"/>
        </w:rPr>
      </w:pPr>
      <w:r w:rsidRPr="00C36F45">
        <w:rPr>
          <w:u w:val="single"/>
        </w:rPr>
        <w:t>Single Swap Portfolio</w:t>
      </w:r>
      <w:r>
        <w:rPr>
          <w:u w:val="single"/>
        </w:rPr>
        <w:t>:</w:t>
      </w:r>
      <w:r w:rsidRPr="00C36F45">
        <w:rPr>
          <w:u w:val="single"/>
        </w:rPr>
        <w:t xml:space="preserve"> Aggressive vs Conservative</w:t>
      </w:r>
      <w:r>
        <w:t xml:space="preserve">: They also illustrate the resulting exposure profile in a separate figure. Both the Conservative profile, and to a lesser extent, the Aggressive profile include frequent spikes around the trade-flow times above the </w:t>
      </w:r>
      <w:r>
        <w:rPr>
          <w:i/>
        </w:rPr>
        <w:t>baseline</w:t>
      </w:r>
      <w:r>
        <w:t xml:space="preserve"> exposure level. As seen in the next section, these spikes make a significant contribution to the CVA metrics. As before, the exposure under the Conservative calibration is twice as large as that under the Aggressive calibration.</w:t>
      </w:r>
    </w:p>
    <w:p w:rsidR="00C36F45" w:rsidRPr="00C36F45" w:rsidRDefault="00C36F45" w:rsidP="008A7E84">
      <w:pPr>
        <w:pStyle w:val="ListParagraph"/>
        <w:numPr>
          <w:ilvl w:val="0"/>
          <w:numId w:val="254"/>
        </w:numPr>
        <w:spacing w:after="200" w:line="360" w:lineRule="auto"/>
        <w:rPr>
          <w:u w:val="single"/>
        </w:rPr>
      </w:pPr>
      <w:r>
        <w:rPr>
          <w:u w:val="single"/>
        </w:rPr>
        <w:t>XCCY Swaps Portfolios Generation Algorithm</w:t>
      </w:r>
      <w:r>
        <w:t>: To repeat the portfolio results with a cross-currency swap, Andersen, Pykhtin, and Sokol (2017) constructed a 50 deal portfolio by randomization, using the following rules.</w:t>
      </w:r>
    </w:p>
    <w:p w:rsidR="00C36F45" w:rsidRPr="00C36F45" w:rsidRDefault="00C36F45" w:rsidP="00C36F45">
      <w:pPr>
        <w:pStyle w:val="ListParagraph"/>
        <w:numPr>
          <w:ilvl w:val="1"/>
          <w:numId w:val="254"/>
        </w:numPr>
        <w:spacing w:after="200" w:line="360" w:lineRule="auto"/>
        <w:rPr>
          <w:u w:val="single"/>
        </w:rPr>
      </w:pPr>
      <w:r>
        <w:t>EUR notionals are sampled uniformly in the interval from 0 to USD 10 MM</w:t>
      </w:r>
    </w:p>
    <w:p w:rsidR="00C36F45" w:rsidRPr="00C36F45" w:rsidRDefault="00C36F45" w:rsidP="00C36F45">
      <w:pPr>
        <w:pStyle w:val="ListParagraph"/>
        <w:numPr>
          <w:ilvl w:val="1"/>
          <w:numId w:val="254"/>
        </w:numPr>
        <w:spacing w:after="200" w:line="360" w:lineRule="auto"/>
        <w:rPr>
          <w:u w:val="single"/>
        </w:rPr>
      </w:pPr>
      <w:r>
        <w:t>USD notionals are 1.5 times the EUR notionals</w:t>
      </w:r>
    </w:p>
    <w:p w:rsidR="00C36F45" w:rsidRPr="00C36F45" w:rsidRDefault="00C36F45" w:rsidP="00C36F45">
      <w:pPr>
        <w:pStyle w:val="ListParagraph"/>
        <w:numPr>
          <w:ilvl w:val="1"/>
          <w:numId w:val="254"/>
        </w:numPr>
        <w:spacing w:after="200" w:line="360" w:lineRule="auto"/>
        <w:rPr>
          <w:u w:val="single"/>
        </w:rPr>
      </w:pPr>
      <w:r>
        <w:t>EUR leg has a fixed semi-annual coupon of 3%, and the USD leg floating quarterly coupon</w:t>
      </w:r>
    </w:p>
    <w:p w:rsidR="00C36F45" w:rsidRPr="00C36F45" w:rsidRDefault="00C36F45" w:rsidP="00C36F45">
      <w:pPr>
        <w:pStyle w:val="ListParagraph"/>
        <w:numPr>
          <w:ilvl w:val="1"/>
          <w:numId w:val="254"/>
        </w:numPr>
        <w:spacing w:after="200" w:line="360" w:lineRule="auto"/>
        <w:rPr>
          <w:u w:val="single"/>
        </w:rPr>
      </w:pPr>
      <w:r>
        <w:t>Direction of the fixed leg payments (payer or receiver) is random</w:t>
      </w:r>
    </w:p>
    <w:p w:rsidR="00C36F45" w:rsidRDefault="00C36F45" w:rsidP="00C36F45">
      <w:pPr>
        <w:pStyle w:val="ListParagraph"/>
        <w:numPr>
          <w:ilvl w:val="1"/>
          <w:numId w:val="254"/>
        </w:numPr>
        <w:spacing w:after="200" w:line="360" w:lineRule="auto"/>
      </w:pPr>
      <w:r w:rsidRPr="00C36F45">
        <w:t xml:space="preserve">Start </w:t>
      </w:r>
      <w:r>
        <w:t>date of each swap is subject to a random offset to avoid complete MPoR overlaps</w:t>
      </w:r>
    </w:p>
    <w:p w:rsidR="00C36F45" w:rsidRDefault="00C36F45" w:rsidP="00C36F45">
      <w:pPr>
        <w:pStyle w:val="ListParagraph"/>
        <w:numPr>
          <w:ilvl w:val="1"/>
          <w:numId w:val="254"/>
        </w:numPr>
        <w:spacing w:after="200" w:line="360" w:lineRule="auto"/>
      </w:pPr>
      <w:r>
        <w:t>Swap maturities are sampled uniformly in the interval from 1 to 10 years</w:t>
      </w:r>
    </w:p>
    <w:p w:rsidR="00C36F45" w:rsidRDefault="00C36F45" w:rsidP="00C36F45">
      <w:pPr>
        <w:pStyle w:val="ListParagraph"/>
        <w:numPr>
          <w:ilvl w:val="0"/>
          <w:numId w:val="254"/>
        </w:numPr>
        <w:spacing w:after="200" w:line="360" w:lineRule="auto"/>
      </w:pPr>
      <w:r w:rsidRPr="00C36F45">
        <w:rPr>
          <w:u w:val="single"/>
        </w:rPr>
        <w:t>XCCY Swap Portfolio: Conservative vs. Aggressive</w:t>
      </w:r>
      <w:r>
        <w:t>: As shown in their figure for an expect</w:t>
      </w:r>
      <w:r w:rsidR="00A0489F">
        <w:t>e</w:t>
      </w:r>
      <w:r>
        <w:t xml:space="preserve">d exposure for a 10Y cross-currency swap, Andersen, Pykhtin, and Sokol (2017) </w:t>
      </w:r>
      <w:r>
        <w:lastRenderedPageBreak/>
        <w:t xml:space="preserve">generated the swaps within the portfolio such that the principal exchanged and the fixed coupon are not at-the-money, </w:t>
      </w:r>
      <w:r w:rsidR="00DF5D89">
        <w:t>to mimic a typical situation corresponding to a portfolio of seasoned trades. As demonstrated in another figure for the expected exposure of the cross-currency swap portfolio, the exposure for the conservative calibration is, as expected, dominated by a series of Herstatt risk spikes, one per swap in the portfolio.</w:t>
      </w:r>
    </w:p>
    <w:p w:rsidR="007A045A" w:rsidRDefault="007A045A" w:rsidP="007A045A">
      <w:pPr>
        <w:spacing w:after="200" w:line="360" w:lineRule="auto"/>
      </w:pPr>
    </w:p>
    <w:p w:rsidR="007A045A" w:rsidRDefault="007A045A" w:rsidP="007A045A">
      <w:pPr>
        <w:spacing w:after="200" w:line="360" w:lineRule="auto"/>
      </w:pPr>
    </w:p>
    <w:p w:rsidR="007A045A" w:rsidRPr="00A0489F" w:rsidRDefault="007A045A" w:rsidP="007A045A">
      <w:pPr>
        <w:spacing w:after="200" w:line="360" w:lineRule="auto"/>
        <w:rPr>
          <w:b/>
          <w:sz w:val="28"/>
          <w:szCs w:val="28"/>
        </w:rPr>
      </w:pPr>
      <w:r w:rsidRPr="00A0489F">
        <w:rPr>
          <w:b/>
          <w:sz w:val="28"/>
          <w:szCs w:val="28"/>
        </w:rPr>
        <w:t>CVA Results</w:t>
      </w:r>
    </w:p>
    <w:p w:rsidR="007A045A" w:rsidRDefault="007A045A" w:rsidP="007A045A">
      <w:pPr>
        <w:spacing w:after="200" w:line="360" w:lineRule="auto"/>
      </w:pPr>
    </w:p>
    <w:p w:rsidR="00D74607" w:rsidRDefault="007A045A" w:rsidP="00A0489F">
      <w:pPr>
        <w:pStyle w:val="ListParagraph"/>
        <w:numPr>
          <w:ilvl w:val="0"/>
          <w:numId w:val="255"/>
        </w:numPr>
        <w:spacing w:after="200" w:line="360" w:lineRule="auto"/>
      </w:pPr>
      <w:r w:rsidRPr="00A0489F">
        <w:rPr>
          <w:u w:val="single"/>
        </w:rPr>
        <w:t>CVA Computation from Expected Exposure</w:t>
      </w:r>
      <w:r>
        <w:t xml:space="preserve">: As mentioned earlier, a common use of the expected exposure results is the computation of the CVA. Under suitable assumptions, </w:t>
      </w:r>
      <m:oMath>
        <m:r>
          <w:rPr>
            <w:rFonts w:ascii="Cambria Math" w:hAnsi="Cambria Math"/>
          </w:rPr>
          <m:t>D</m:t>
        </m:r>
      </m:oMath>
      <w:r w:rsidR="007769DD">
        <w:t>’s</w:t>
      </w:r>
      <w:r>
        <w:t xml:space="preserve"> unilateral CVA may be computed from the expected exposure</w:t>
      </w:r>
      <w:r w:rsidR="007769DD">
        <w:t xml:space="preserve"> (EE)</w:t>
      </w:r>
      <w:r>
        <w:t xml:space="preserve"> profile as</w:t>
      </w:r>
    </w:p>
    <w:p w:rsidR="00D74607" w:rsidRDefault="00D74607" w:rsidP="00D74607">
      <w:pPr>
        <w:pStyle w:val="ListParagraph"/>
        <w:spacing w:after="200" w:line="360" w:lineRule="auto"/>
        <w:ind w:left="360"/>
        <w:rPr>
          <w:u w:val="single"/>
        </w:rPr>
      </w:pPr>
    </w:p>
    <w:p w:rsidR="00D74607" w:rsidRDefault="007769DD" w:rsidP="00D74607">
      <w:pPr>
        <w:pStyle w:val="ListParagraph"/>
        <w:spacing w:after="200" w:line="360" w:lineRule="auto"/>
        <w:ind w:left="36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D74607" w:rsidRDefault="00D74607" w:rsidP="00D74607">
      <w:pPr>
        <w:pStyle w:val="ListParagraph"/>
        <w:spacing w:after="200" w:line="360" w:lineRule="auto"/>
        <w:ind w:left="360"/>
      </w:pPr>
    </w:p>
    <w:p w:rsidR="007A045A" w:rsidRDefault="007A045A" w:rsidP="00D74607">
      <w:pPr>
        <w:pStyle w:val="ListParagraph"/>
        <w:spacing w:after="200" w:line="360" w:lineRule="auto"/>
        <w:ind w:left="360"/>
      </w:pPr>
      <w:r>
        <w:t xml:space="preserve">where </w:t>
      </w:r>
      <m:oMath>
        <m:r>
          <w:rPr>
            <w:rFonts w:ascii="Cambria Math" w:hAnsi="Cambria Math"/>
          </w:rPr>
          <m:t>R</m:t>
        </m:r>
      </m:oMath>
      <w:r>
        <w:t xml:space="preserve"> is the recovery rate,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0</m:t>
        </m:r>
      </m:oMath>
      <w:r>
        <w:t xml:space="preserve"> discount factor to time </w:t>
      </w:r>
      <m:oMath>
        <m:r>
          <w:rPr>
            <w:rFonts w:ascii="Cambria Math" w:hAnsi="Cambria Math"/>
          </w:rPr>
          <m:t>t</m:t>
        </m:r>
      </m:oMath>
      <w:r w:rsidR="00A0489F">
        <w:t xml:space="preserve">, and </w:t>
      </w:r>
      <m:oMath>
        <m:r>
          <w:rPr>
            <w:rFonts w:ascii="Cambria Math" w:hAnsi="Cambria Math"/>
          </w:rPr>
          <m:t>X</m:t>
        </m:r>
        <m:d>
          <m:dPr>
            <m:ctrlPr>
              <w:rPr>
                <w:rFonts w:ascii="Cambria Math" w:hAnsi="Cambria Math"/>
                <w:i/>
              </w:rPr>
            </m:ctrlPr>
          </m:dPr>
          <m:e>
            <m:r>
              <w:rPr>
                <w:rFonts w:ascii="Cambria Math" w:hAnsi="Cambria Math"/>
              </w:rPr>
              <m:t>t</m:t>
            </m:r>
          </m:e>
        </m:d>
      </m:oMath>
      <w:r w:rsidR="00A0489F">
        <w:t xml:space="preserve"> is the time-</w:t>
      </w:r>
      <m:oMath>
        <m:r>
          <w:rPr>
            <w:rFonts w:ascii="Cambria Math" w:hAnsi="Cambria Math"/>
          </w:rPr>
          <m:t>0</m:t>
        </m:r>
      </m:oMath>
      <w:r w:rsidR="00A0489F">
        <w:t xml:space="preserve"> survival probability of </w:t>
      </w:r>
      <m:oMath>
        <m:r>
          <w:rPr>
            <w:rFonts w:ascii="Cambria Math" w:hAnsi="Cambria Math"/>
          </w:rPr>
          <m:t>C</m:t>
        </m:r>
      </m:oMath>
      <w:r w:rsidR="00A0489F">
        <w:t xml:space="preserve"> to time </w:t>
      </w:r>
      <m:oMath>
        <m:r>
          <w:rPr>
            <w:rFonts w:ascii="Cambria Math" w:hAnsi="Cambria Math"/>
          </w:rPr>
          <m:t>t</m:t>
        </m:r>
      </m:oMath>
      <w:r>
        <w:t>.</w:t>
      </w:r>
      <w:r w:rsidR="00A0489F">
        <w:t xml:space="preserve"> As discussed before, the exposure profile here is offset by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A0489F">
        <w:t xml:space="preserve"> to properly align it with the default events.</w:t>
      </w:r>
    </w:p>
    <w:p w:rsidR="00D74607" w:rsidRDefault="00A0489F" w:rsidP="00A0489F">
      <w:pPr>
        <w:pStyle w:val="ListParagraph"/>
        <w:numPr>
          <w:ilvl w:val="0"/>
          <w:numId w:val="255"/>
        </w:numPr>
        <w:spacing w:after="200" w:line="360" w:lineRule="auto"/>
      </w:pPr>
      <w:r>
        <w:rPr>
          <w:u w:val="single"/>
        </w:rPr>
        <w:t>CVA Metrics Dealer/Client Settings</w:t>
      </w:r>
      <w:r w:rsidRPr="00A0489F">
        <w:t>:</w:t>
      </w:r>
      <w:r>
        <w:t xml:space="preserve"> The CVA metric serves as a convenient condensation of the exposure profiles of the previous two sections into single numbers, and Andersen, Pykhtin, and Sokol (2017) tabulate the CVA numbers for the corresponding instruments/portfolios. The CVA integral was discretize</w:t>
      </w:r>
      <w:r w:rsidR="00D74607">
        <w:t>d using a daily grid, assumed at</w:t>
      </w:r>
    </w:p>
    <w:p w:rsidR="00D74607" w:rsidRDefault="00D74607" w:rsidP="00D74607">
      <w:pPr>
        <w:pStyle w:val="ListParagraph"/>
        <w:spacing w:after="200" w:line="360" w:lineRule="auto"/>
        <w:ind w:left="360"/>
        <w:rPr>
          <w:u w:val="single"/>
        </w:rPr>
      </w:pPr>
    </w:p>
    <w:p w:rsidR="00D74607" w:rsidRDefault="00A0489F" w:rsidP="00D74607">
      <w:pPr>
        <w:pStyle w:val="ListParagraph"/>
        <w:spacing w:after="200" w:line="360" w:lineRule="auto"/>
        <w:ind w:left="360"/>
      </w:pPr>
      <m:oMathPara>
        <m:oMath>
          <m:r>
            <w:rPr>
              <w:rFonts w:ascii="Cambria Math" w:hAnsi="Cambria Math"/>
            </w:rPr>
            <m:t>R=40%</m:t>
          </m:r>
        </m:oMath>
      </m:oMathPara>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w:r>
        <w:t xml:space="preserve">and the forward default intensity is left constant at </w:t>
      </w:r>
      <m:oMath>
        <m:r>
          <w:rPr>
            <w:rFonts w:ascii="Cambria Math" w:hAnsi="Cambria Math"/>
          </w:rPr>
          <m:t>2.5%</m:t>
        </m:r>
      </m:oMath>
      <w:r>
        <w:t xml:space="preserve"> such that</w:t>
      </w:r>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-0.025t</m:t>
              </m:r>
            </m:sup>
          </m:sSup>
        </m:oMath>
      </m:oMathPara>
    </w:p>
    <w:p w:rsidR="00D74607" w:rsidRDefault="00D74607" w:rsidP="00D74607">
      <w:pPr>
        <w:pStyle w:val="ListParagraph"/>
        <w:spacing w:after="200" w:line="360" w:lineRule="auto"/>
        <w:ind w:left="360"/>
      </w:pPr>
    </w:p>
    <w:p w:rsidR="00A0489F" w:rsidRDefault="00A0489F" w:rsidP="00D74607">
      <w:pPr>
        <w:pStyle w:val="ListParagraph"/>
        <w:spacing w:after="200" w:line="360" w:lineRule="auto"/>
        <w:ind w:left="360"/>
      </w:pPr>
      <w:r>
        <w:t>For reference, the table also includes the results of the Classical method, with the MPoR length equal to both that of the Aggressive calibration (7</w:t>
      </w:r>
      <m:oMath>
        <m:r>
          <w:rPr>
            <w:rFonts w:ascii="Cambria Math" w:hAnsi="Cambria Math"/>
          </w:rPr>
          <m:t xml:space="preserve"> BD</m:t>
        </m:r>
      </m:oMath>
      <w:r>
        <w:t>) and the Conservative Calibration (</w:t>
      </w:r>
      <m:oMath>
        <m:r>
          <w:rPr>
            <w:rFonts w:ascii="Cambria Math" w:hAnsi="Cambria Math"/>
          </w:rPr>
          <m:t>15 BD</m:t>
        </m:r>
      </m:oMath>
      <w:r>
        <w:t>).</w:t>
      </w:r>
    </w:p>
    <w:p w:rsidR="00A0489F" w:rsidRDefault="00A0489F" w:rsidP="00A0489F">
      <w:pPr>
        <w:pStyle w:val="ListParagraph"/>
        <w:numPr>
          <w:ilvl w:val="0"/>
          <w:numId w:val="255"/>
        </w:numPr>
        <w:spacing w:after="200" w:line="360" w:lineRule="auto"/>
      </w:pPr>
      <w:r>
        <w:rPr>
          <w:u w:val="single"/>
        </w:rPr>
        <w:t>CVA Comparison - Classical/Conservative/Aggressive</w:t>
      </w:r>
      <w:r w:rsidRPr="00A0489F">
        <w:t>:</w:t>
      </w:r>
      <w:r>
        <w:t xml:space="preserve"> Their results confirm what was seen earlier. For instance, the CVA for the Aggressive calibration is </w:t>
      </w:r>
      <m:oMath>
        <m:r>
          <w:rPr>
            <w:rFonts w:ascii="Cambria Math" w:hAnsi="Cambria Math"/>
          </w:rPr>
          <m:t>50%</m:t>
        </m:r>
      </m:oMath>
      <w:r>
        <w:t xml:space="preserve"> to </w:t>
      </w:r>
      <m:oMath>
        <m:r>
          <w:rPr>
            <w:rFonts w:ascii="Cambria Math" w:hAnsi="Cambria Math"/>
          </w:rPr>
          <m:t>70%</m:t>
        </m:r>
      </m:oMath>
      <w:r>
        <w:t xml:space="preserve"> smaller than that for the Conservative calibration. </w:t>
      </w:r>
      <w:r w:rsidR="00D74607">
        <w:t>In Addition, the CVA of the Conservative calibration is between 50% and 100% larger than that of the Classical+ calibration – at similar MPoR – which in turn is larger than the CVA for the Classical- calibration by around 5% to 25%. Not surprisingly the CVA results for the XCCY portfolio are particularly high in the Conservative calibration due to the Herstatt risk.</w:t>
      </w:r>
    </w:p>
    <w:p w:rsidR="00D74607" w:rsidRDefault="00D74607" w:rsidP="00D74607">
      <w:pPr>
        <w:spacing w:after="200" w:line="360" w:lineRule="auto"/>
      </w:pPr>
    </w:p>
    <w:p w:rsidR="00D74607" w:rsidRDefault="00D74607" w:rsidP="00D74607">
      <w:pPr>
        <w:spacing w:after="200" w:line="360" w:lineRule="auto"/>
      </w:pPr>
    </w:p>
    <w:p w:rsidR="00D74607" w:rsidRPr="00D74607" w:rsidRDefault="00D74607" w:rsidP="00D74607">
      <w:pPr>
        <w:spacing w:after="200" w:line="360" w:lineRule="auto"/>
        <w:rPr>
          <w:b/>
          <w:sz w:val="28"/>
          <w:szCs w:val="28"/>
        </w:rPr>
      </w:pPr>
      <w:r w:rsidRPr="00D74607">
        <w:rPr>
          <w:b/>
          <w:sz w:val="28"/>
          <w:szCs w:val="28"/>
        </w:rPr>
        <w:t>Improvement of the Computation Times</w:t>
      </w:r>
    </w:p>
    <w:p w:rsidR="00D74607" w:rsidRDefault="00D74607" w:rsidP="00D74607">
      <w:pPr>
        <w:spacing w:after="200" w:line="360" w:lineRule="auto"/>
      </w:pPr>
    </w:p>
    <w:p w:rsidR="00D74607" w:rsidRDefault="00D74607" w:rsidP="00D74607">
      <w:pPr>
        <w:pStyle w:val="ListParagraph"/>
        <w:numPr>
          <w:ilvl w:val="0"/>
          <w:numId w:val="256"/>
        </w:numPr>
        <w:spacing w:after="200" w:line="360" w:lineRule="auto"/>
      </w:pPr>
      <w:r w:rsidRPr="00D74607">
        <w:rPr>
          <w:u w:val="single"/>
        </w:rPr>
        <w:t>Computation Speed-Up using Coarse Grids</w:t>
      </w:r>
      <w:r>
        <w:t xml:space="preserve">: In exposure calculations for realistic portfolios, horizons can be very long, often exceeding 30 years. For such lengthy horizons, brute-force Monte-Carlo exposures on a daily, or even weekly, time grid will often be prohibitively slow. It is therefore common to use daily simulation steps only for the earliest parts of the exposure profile (e.g., the first month), and then gradually increase the step-length over time to monthly or quarterly, in order to keep the total number of simulation dates manageable. Unfortunately, such a coarsening of the time-grid will inevitably fail to capture both the </w:t>
      </w:r>
      <w:r w:rsidRPr="00D74607">
        <w:rPr>
          <w:i/>
        </w:rPr>
        <w:t>worst case</w:t>
      </w:r>
      <w:r>
        <w:t xml:space="preserve"> margin effect and the trade spikes that are key to the exposure model.</w:t>
      </w:r>
    </w:p>
    <w:p w:rsidR="00503BEC" w:rsidRDefault="00503BEC" w:rsidP="00D74607">
      <w:pPr>
        <w:pStyle w:val="ListParagraph"/>
        <w:numPr>
          <w:ilvl w:val="0"/>
          <w:numId w:val="256"/>
        </w:numPr>
        <w:spacing w:after="200" w:line="360" w:lineRule="auto"/>
      </w:pPr>
      <w:r>
        <w:rPr>
          <w:u w:val="single"/>
        </w:rPr>
        <w:t>Coarse Grid Lookback Analysis</w:t>
      </w:r>
      <w:r w:rsidRPr="00503BEC">
        <w:t>:</w:t>
      </w:r>
      <w:r>
        <w:t xml:space="preserve"> The next two sections look at ways to capture exposure without having to resort to brute-force daily simulation. A common speed-up technique for the Classical model – the Coarse Grid Look-back Model – is first reviewed, and its </w:t>
      </w:r>
      <w:r>
        <w:lastRenderedPageBreak/>
        <w:t>shortcomings and pitfalls are highlighted. An improved practical technique based on Brownian Bridge is the proposed.</w:t>
      </w:r>
    </w:p>
    <w:p w:rsidR="00503BEC" w:rsidRDefault="00503BEC" w:rsidP="00503BEC">
      <w:pPr>
        <w:spacing w:after="200" w:line="360" w:lineRule="auto"/>
      </w:pPr>
    </w:p>
    <w:p w:rsidR="00503BEC" w:rsidRDefault="00503BEC" w:rsidP="00503BEC">
      <w:pPr>
        <w:spacing w:after="200" w:line="360" w:lineRule="auto"/>
      </w:pPr>
    </w:p>
    <w:p w:rsidR="00503BEC" w:rsidRPr="00503BEC" w:rsidRDefault="00503BEC" w:rsidP="00503BEC">
      <w:pPr>
        <w:spacing w:after="200" w:line="360" w:lineRule="auto"/>
        <w:rPr>
          <w:b/>
          <w:sz w:val="28"/>
          <w:szCs w:val="28"/>
        </w:rPr>
      </w:pPr>
      <w:r w:rsidRPr="00503BEC">
        <w:rPr>
          <w:b/>
          <w:sz w:val="28"/>
          <w:szCs w:val="28"/>
        </w:rPr>
        <w:t>The Coarse Grid Lookback Method and its Shortcomings</w:t>
      </w:r>
    </w:p>
    <w:p w:rsidR="00503BEC" w:rsidRDefault="00503BEC" w:rsidP="00503BEC">
      <w:pPr>
        <w:spacing w:after="200" w:line="360" w:lineRule="auto"/>
      </w:pPr>
    </w:p>
    <w:p w:rsidR="00503BEC" w:rsidRDefault="00503BEC" w:rsidP="00503BEC">
      <w:pPr>
        <w:pStyle w:val="ListParagraph"/>
        <w:numPr>
          <w:ilvl w:val="0"/>
          <w:numId w:val="257"/>
        </w:numPr>
        <w:spacing w:after="200" w:line="360" w:lineRule="auto"/>
      </w:pPr>
      <w:r w:rsidRPr="00503BEC">
        <w:rPr>
          <w:u w:val="single"/>
        </w:rPr>
        <w:t>Layout of the Coarse Grid</w:t>
      </w:r>
      <w:r>
        <w:t xml:space="preserve">: Assume that the portfolio is not computed daily, but instead on a coarse grid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where </w:t>
      </w:r>
      <m:oMath>
        <m:r>
          <w:rPr>
            <w:rFonts w:ascii="Cambria Math" w:hAnsi="Cambria Math"/>
          </w:rPr>
          <m:t>j</m:t>
        </m:r>
      </m:oMath>
      <w:r>
        <w:t xml:space="preserve"> runs from </w:t>
      </w:r>
      <m:oMath>
        <m:r>
          <w:rPr>
            <w:rFonts w:ascii="Cambria Math" w:hAnsi="Cambria Math"/>
          </w:rPr>
          <m:t>1</m:t>
        </m:r>
      </m:oMath>
      <w:r>
        <w:t xml:space="preserve"> to </w:t>
      </w:r>
      <m:oMath>
        <m:r>
          <w:rPr>
            <w:rFonts w:ascii="Cambria Math" w:hAnsi="Cambria Math"/>
          </w:rPr>
          <m:t>J</m:t>
        </m:r>
      </m:oMath>
      <w:r>
        <w:t xml:space="preserve">. This section uses </w:t>
      </w:r>
      <m:oMath>
        <m:r>
          <w:rPr>
            <w:rFonts w:ascii="Cambria Math" w:hAnsi="Cambria Math"/>
          </w:rPr>
          <m:t>s</m:t>
        </m:r>
      </m:oMath>
      <w:r>
        <w:t xml:space="preserve"> rather than </w:t>
      </w:r>
      <m:oMath>
        <m:r>
          <w:rPr>
            <w:rFonts w:ascii="Cambria Math" w:hAnsi="Cambria Math"/>
          </w:rPr>
          <m:t>t</m:t>
        </m:r>
      </m:oMath>
      <w:r>
        <w:t xml:space="preserve"> to distinguish the model grid from the daily margin calculation grid.</w:t>
      </w:r>
    </w:p>
    <w:p w:rsidR="00746DAC" w:rsidRDefault="00503BEC" w:rsidP="00503BEC">
      <w:pPr>
        <w:pStyle w:val="ListParagraph"/>
        <w:spacing w:after="200" w:line="360" w:lineRule="auto"/>
        <w:ind w:left="360"/>
      </w:pPr>
      <w:r>
        <w:rPr>
          <w:u w:val="single"/>
        </w:rPr>
        <w:t>Points on the Coarse Grid</w:t>
      </w:r>
      <w:r w:rsidRPr="00503BEC">
        <w:t>:</w:t>
      </w:r>
      <w:r>
        <w:t xml:space="preserve"> In the classical model, the collateral depends only on the portfolio value at the start and at the end of the MPoR, i.e.,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as is seen from</w:t>
      </w:r>
    </w:p>
    <w:p w:rsidR="00746DAC" w:rsidRDefault="00746DAC" w:rsidP="00746DAC">
      <w:pPr>
        <w:spacing w:after="200" w:line="360" w:lineRule="auto"/>
      </w:pPr>
    </w:p>
    <w:p w:rsidR="00746DAC" w:rsidRDefault="00503BEC" w:rsidP="00746DAC">
      <w:pPr>
        <w:spacing w:after="200" w:line="360" w:lineRule="auto"/>
        <w:ind w:firstLine="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746DAC" w:rsidRDefault="00746DAC" w:rsidP="00746DAC">
      <w:pPr>
        <w:spacing w:after="200" w:line="360" w:lineRule="auto"/>
        <w:ind w:firstLine="360"/>
      </w:pPr>
    </w:p>
    <w:p w:rsidR="00746DAC" w:rsidRPr="00746DAC" w:rsidRDefault="00503BE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746DAC" w:rsidP="00746DAC">
      <w:pPr>
        <w:spacing w:after="200" w:line="360" w:lineRule="auto"/>
        <w:ind w:firstLine="360"/>
      </w:pPr>
      <w:r>
        <w:t>where MPoR is usually around</w:t>
      </w:r>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δ=10 BD</m:t>
          </m:r>
        </m:oMath>
      </m:oMathPara>
    </w:p>
    <w:p w:rsidR="00746DAC" w:rsidRDefault="00746DAC" w:rsidP="00746DAC">
      <w:pPr>
        <w:spacing w:after="200" w:line="360" w:lineRule="auto"/>
        <w:ind w:firstLine="360"/>
      </w:pPr>
    </w:p>
    <w:p w:rsidR="00503BEC" w:rsidRDefault="00503BEC" w:rsidP="00746DAC">
      <w:pPr>
        <w:spacing w:after="200" w:line="360" w:lineRule="auto"/>
        <w:ind w:left="360"/>
      </w:pPr>
      <w:r>
        <w:lastRenderedPageBreak/>
        <w:t>for CSA’s with daily margining.</w:t>
      </w:r>
      <w:r w:rsidR="000648BC">
        <w:t xml:space="preserve"> To achieve acceptable computational performance, the time step of the coarse model grid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0648BC">
        <w:t xml:space="preserve"> must be significantly greater than the length of the MPoR. This, however, would preclude one from establishing a portfolio value at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rsidR="000648BC">
        <w:t>.</w:t>
      </w:r>
    </w:p>
    <w:p w:rsidR="000648BC" w:rsidRDefault="000648BC" w:rsidP="000648BC">
      <w:pPr>
        <w:pStyle w:val="ListParagraph"/>
        <w:numPr>
          <w:ilvl w:val="0"/>
          <w:numId w:val="257"/>
        </w:numPr>
        <w:spacing w:after="200" w:line="360" w:lineRule="auto"/>
      </w:pPr>
      <w:r>
        <w:rPr>
          <w:u w:val="single"/>
        </w:rPr>
        <w:t>Introducing a Lookback Node</w:t>
      </w:r>
      <w:r w:rsidRPr="000648BC">
        <w:t>:</w:t>
      </w:r>
      <w:r>
        <w:t xml:space="preserve"> The coarse grid lookback method deals with this issue by simply adding a second </w:t>
      </w:r>
      <w:r w:rsidRPr="000648BC">
        <w:rPr>
          <w:i/>
        </w:rPr>
        <w:t>lookback</w:t>
      </w:r>
      <w:r>
        <w:t xml:space="preserve">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to all </w:t>
      </w:r>
      <w:r>
        <w:rPr>
          <w:i/>
        </w:rPr>
        <w:t>primary</w:t>
      </w:r>
      <w:r>
        <w:t xml:space="preserve"> measurement times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in effect replacing each node on the coarse model grid by a pair of closely spaced nodes. For each simulated portfolio path, the portfolio value at the lookback point is then used to determine the collateral available at the corresponding primary time point.</w:t>
      </w:r>
    </w:p>
    <w:p w:rsidR="00374FF0" w:rsidRDefault="00374FF0" w:rsidP="000648BC">
      <w:pPr>
        <w:pStyle w:val="ListParagraph"/>
        <w:numPr>
          <w:ilvl w:val="0"/>
          <w:numId w:val="257"/>
        </w:numPr>
        <w:spacing w:after="200" w:line="360" w:lineRule="auto"/>
      </w:pPr>
      <w:r>
        <w:rPr>
          <w:u w:val="single"/>
        </w:rPr>
        <w:t>Slowdown due to the Lookback</w:t>
      </w:r>
      <w:r w:rsidRPr="00374FF0">
        <w:t>:</w:t>
      </w:r>
      <w:r>
        <w:t xml:space="preserve"> The Coarse Grid Lookback Scheme causes, at worst, a factor of </w:t>
      </w:r>
      <m:oMath>
        <m:r>
          <w:rPr>
            <w:rFonts w:ascii="Cambria Math" w:hAnsi="Cambria Math"/>
          </w:rPr>
          <m:t>×2</m:t>
        </m:r>
      </m:oMath>
      <w:r>
        <w:t xml:space="preserve"> slowdown relative to valuing the portfolio once per node of the Coarse model grid. If even a </w:t>
      </w:r>
      <m:oMath>
        <m:r>
          <w:rPr>
            <w:rFonts w:ascii="Cambria Math" w:hAnsi="Cambria Math"/>
          </w:rPr>
          <m:t>×2</m:t>
        </m:r>
      </m:oMath>
      <w:r>
        <w:t xml:space="preserve"> performance loss is not acceptable, a Brownian Bridge constructed between the primary coarse grid nodes can be used to interpolate the value of the portfolio at each lookback point, see, for example, Pykhtin (2009). Notice that the use of the Brownian Bridge for this purpose should not be confused with its use in the next section.</w:t>
      </w:r>
    </w:p>
    <w:p w:rsidR="00374FF0" w:rsidRDefault="00374FF0" w:rsidP="000648BC">
      <w:pPr>
        <w:pStyle w:val="ListParagraph"/>
        <w:numPr>
          <w:ilvl w:val="0"/>
          <w:numId w:val="257"/>
        </w:numPr>
        <w:spacing w:after="200" w:line="360" w:lineRule="auto"/>
      </w:pPr>
      <w:r>
        <w:rPr>
          <w:u w:val="single"/>
        </w:rPr>
        <w:t>Shortcoming of the Model</w:t>
      </w:r>
      <w:r>
        <w:t>: The Coarse Grid Lookback method is a common way of addressing the mismatch between the long time-step of the coarse model grid and the much shorter MPoR. Similar to the commonly used models of uncollateralized exposure, the method produces accurate – with respect to the underlying assumptions of the Classical model – exposure numbers at the coarse grid time points, but provides no information on the exposure between the grid points.</w:t>
      </w:r>
    </w:p>
    <w:p w:rsidR="00374FF0" w:rsidRDefault="00374FF0" w:rsidP="000648BC">
      <w:pPr>
        <w:pStyle w:val="ListParagraph"/>
        <w:numPr>
          <w:ilvl w:val="0"/>
          <w:numId w:val="257"/>
        </w:numPr>
        <w:spacing w:after="200" w:line="360" w:lineRule="auto"/>
      </w:pPr>
      <w:r>
        <w:rPr>
          <w:u w:val="single"/>
        </w:rPr>
        <w:t>Collateralized vs. Uncollateralized Grid Exposures</w:t>
      </w:r>
      <w:r w:rsidRPr="00374FF0">
        <w:t>:</w:t>
      </w:r>
      <w:r>
        <w:t xml:space="preserve"> For uncollateralized positions, the exposure profiles are reasonably smooth, so one can safely interpolate between the grid points for calculating integral quantities, such as the CVA. In collateralized case, however, one cannot rely on such interpolations because the true exposures, as has been seen above, is likely to have spikes and jumps between the grid points. </w:t>
      </w:r>
      <w:r w:rsidR="008F57B9">
        <w:t>The Coarse Grid Lookback method has no means to determining the position or the magnitude of the irregularities between the grid points, and thus, is not suitable for CVA or capital calculations.</w:t>
      </w:r>
    </w:p>
    <w:p w:rsidR="008F57B9" w:rsidRDefault="008F57B9" w:rsidP="000648BC">
      <w:pPr>
        <w:pStyle w:val="ListParagraph"/>
        <w:numPr>
          <w:ilvl w:val="0"/>
          <w:numId w:val="257"/>
        </w:numPr>
        <w:spacing w:after="200" w:line="360" w:lineRule="auto"/>
      </w:pPr>
      <w:r>
        <w:rPr>
          <w:u w:val="single"/>
        </w:rPr>
        <w:t>Classical+ Model - Coarse Grid Impact</w:t>
      </w:r>
      <w:r w:rsidRPr="008F57B9">
        <w:t>:</w:t>
      </w:r>
      <w:r>
        <w:t xml:space="preserve"> To briefly expand on this, consider the Classical+ version of the classical model. Here it is assumed that all trade flows are paid within the </w:t>
      </w:r>
      <w:r>
        <w:lastRenderedPageBreak/>
        <w:t>MPoR, where, as shown before, trade flows often result in exposure spikes. Exposure profiles computed from daily time steps would consequently show spikes from all trade flows until the maturity of the portfolio.</w:t>
      </w:r>
    </w:p>
    <w:p w:rsidR="006C49F1" w:rsidRDefault="006C49F1" w:rsidP="000648BC">
      <w:pPr>
        <w:pStyle w:val="ListParagraph"/>
        <w:numPr>
          <w:ilvl w:val="0"/>
          <w:numId w:val="257"/>
        </w:numPr>
        <w:spacing w:after="200" w:line="360" w:lineRule="auto"/>
      </w:pPr>
      <w:r>
        <w:rPr>
          <w:u w:val="single"/>
        </w:rPr>
        <w:t>Trade Flows outside the Simulated MPoR’s</w:t>
      </w:r>
      <w:r w:rsidRPr="006C49F1">
        <w:t>:</w:t>
      </w:r>
      <w:r>
        <w:t xml:space="preserve"> In contrast, in a typical implementation with sparsely spaced MPoR’s, only trade flows that happen to be within a sparsely simulated MPoR’s may result in spikes; the exposure profile would then miss all other flows.</w:t>
      </w:r>
    </w:p>
    <w:p w:rsidR="006C49F1" w:rsidRDefault="006C49F1" w:rsidP="000648BC">
      <w:pPr>
        <w:pStyle w:val="ListParagraph"/>
        <w:numPr>
          <w:ilvl w:val="0"/>
          <w:numId w:val="257"/>
        </w:numPr>
        <w:spacing w:after="200" w:line="360" w:lineRule="auto"/>
      </w:pPr>
      <w:r>
        <w:rPr>
          <w:u w:val="single"/>
        </w:rPr>
        <w:t>Simulation Calendar Impact on Exposure</w:t>
      </w:r>
      <w:r w:rsidRPr="006C49F1">
        <w:t>:</w:t>
      </w:r>
      <w:r>
        <w:t xml:space="preserve"> Furthermore, as the location of the simulation point will likely change with the advancement in the calendar time, trade flows would move in and out of the simulated MPoR’s, and the exposure profile one report on any given day may very well differ significantly from those that were reported the day before. This in turn causes CVA or risk capital to exhibit significant, and entirely spurious, oscillations.</w:t>
      </w:r>
    </w:p>
    <w:p w:rsidR="006C49F1" w:rsidRDefault="006C49F1" w:rsidP="000648BC">
      <w:pPr>
        <w:pStyle w:val="ListParagraph"/>
        <w:numPr>
          <w:ilvl w:val="0"/>
          <w:numId w:val="257"/>
        </w:numPr>
        <w:spacing w:after="200" w:line="360" w:lineRule="auto"/>
      </w:pPr>
      <w:r>
        <w:rPr>
          <w:u w:val="single"/>
        </w:rPr>
        <w:t>Classical- Model - Coarse Grid Impact</w:t>
      </w:r>
      <w:r w:rsidRPr="006C49F1">
        <w:t>:</w:t>
      </w:r>
      <w:r>
        <w:t xml:space="preserve"> While the Classical- exposure model does not exhibit outright spikes, its exposure profiles still exhibit jumps around significant trade flows. The classical coarse grained implementation would not be able to resolve the position of these jumps, instead only showing the conservative jumps between two exposure measurement points often separated by many months. This creates another source of instability, present in both the Classical- and the Classical+ versions of the classical model.</w:t>
      </w:r>
    </w:p>
    <w:p w:rsidR="006C49F1" w:rsidRDefault="006C49F1" w:rsidP="000648BC">
      <w:pPr>
        <w:pStyle w:val="ListParagraph"/>
        <w:numPr>
          <w:ilvl w:val="0"/>
          <w:numId w:val="257"/>
        </w:numPr>
        <w:spacing w:after="200" w:line="360" w:lineRule="auto"/>
      </w:pPr>
      <w:r>
        <w:rPr>
          <w:u w:val="single"/>
        </w:rPr>
        <w:t>Illustration using the Forward CVA</w:t>
      </w:r>
      <w:r w:rsidRPr="006C49F1">
        <w:t>:</w:t>
      </w:r>
      <w:r>
        <w:t xml:space="preserve"> To illustrate the effects described above, Andersen, Pykhtin, and Sokol (2017) define the concept of time </w:t>
      </w:r>
      <m:oMath>
        <m:r>
          <w:rPr>
            <w:rFonts w:ascii="Cambria Math" w:hAnsi="Cambria Math"/>
          </w:rPr>
          <m:t>t</m:t>
        </m:r>
      </m:oMath>
      <w:r>
        <w:t xml:space="preserve"> forward CVA, denoted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rsidR="003D1791">
        <w:t>, obtained by</w:t>
      </w:r>
    </w:p>
    <w:p w:rsidR="00746DAC" w:rsidRDefault="003D1791" w:rsidP="003D1791">
      <w:pPr>
        <w:pStyle w:val="ListParagraph"/>
        <w:numPr>
          <w:ilvl w:val="1"/>
          <w:numId w:val="257"/>
        </w:numPr>
        <w:spacing w:after="200" w:line="360" w:lineRule="auto"/>
      </w:pPr>
      <w:r>
        <w:t>Changing the lower integration limit in</w:t>
      </w:r>
    </w:p>
    <w:p w:rsidR="00746DAC" w:rsidRDefault="00746DAC" w:rsidP="00746DAC">
      <w:pPr>
        <w:pStyle w:val="ListParagraph"/>
        <w:spacing w:after="200" w:line="360" w:lineRule="auto"/>
        <w:ind w:left="1080"/>
      </w:pPr>
    </w:p>
    <w:p w:rsidR="00746DAC" w:rsidRDefault="003D1791" w:rsidP="00746DAC">
      <w:pPr>
        <w:pStyle w:val="ListParagraph"/>
        <w:spacing w:after="200" w:line="360" w:lineRule="auto"/>
        <w:ind w:left="108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746DAC" w:rsidRDefault="00746DAC" w:rsidP="00746DAC">
      <w:pPr>
        <w:pStyle w:val="ListParagraph"/>
        <w:spacing w:after="200" w:line="360" w:lineRule="auto"/>
        <w:ind w:left="1080"/>
      </w:pPr>
    </w:p>
    <w:p w:rsidR="003D1791" w:rsidRDefault="003D1791" w:rsidP="00746DAC">
      <w:pPr>
        <w:pStyle w:val="ListParagraph"/>
        <w:spacing w:after="200" w:line="360" w:lineRule="auto"/>
        <w:ind w:left="1080"/>
      </w:pPr>
      <w:r>
        <w:t xml:space="preserve">from </w:t>
      </w:r>
      <m:oMath>
        <m:r>
          <w:rPr>
            <w:rFonts w:ascii="Cambria Math" w:hAnsi="Cambria Math"/>
          </w:rPr>
          <m:t>0</m:t>
        </m:r>
      </m:oMath>
      <w:r>
        <w:t xml:space="preserve"> to </w:t>
      </w:r>
      <m:oMath>
        <m:r>
          <w:rPr>
            <w:rFonts w:ascii="Cambria Math" w:hAnsi="Cambria Math"/>
          </w:rPr>
          <m:t>t</m:t>
        </m:r>
      </m:oMath>
      <w:r>
        <w:t>, and</w:t>
      </w:r>
    </w:p>
    <w:p w:rsidR="003D1791" w:rsidRDefault="003D1791" w:rsidP="003D1791">
      <w:pPr>
        <w:pStyle w:val="ListParagraph"/>
        <w:numPr>
          <w:ilvl w:val="1"/>
          <w:numId w:val="257"/>
        </w:numPr>
        <w:spacing w:after="200" w:line="360" w:lineRule="auto"/>
      </w:pPr>
      <w:r>
        <w:t xml:space="preserve">Dividing the result by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w:t>
      </w:r>
    </w:p>
    <w:p w:rsidR="003D1791" w:rsidRDefault="003D1791" w:rsidP="003D1791">
      <w:pPr>
        <w:pStyle w:val="ListParagraph"/>
        <w:spacing w:after="200" w:line="360" w:lineRule="auto"/>
        <w:ind w:left="360"/>
      </w:pPr>
      <w:r>
        <w:t xml:space="preserve">Using the same portfolio of 50 EUR-USD cross-currency swaps, they show the </w:t>
      </w:r>
      <m:oMath>
        <m:r>
          <w:rPr>
            <w:rFonts w:ascii="Cambria Math" w:hAnsi="Cambria Math"/>
          </w:rPr>
          <m:t>t</m:t>
        </m:r>
      </m:oMath>
      <w:r>
        <w:t xml:space="preserve">-dependence of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on a daily grid to portfolio maturity.</w:t>
      </w:r>
    </w:p>
    <w:p w:rsidR="00E6336B" w:rsidRDefault="00E6336B" w:rsidP="00E6336B">
      <w:pPr>
        <w:pStyle w:val="ListParagraph"/>
        <w:numPr>
          <w:ilvl w:val="0"/>
          <w:numId w:val="257"/>
        </w:numPr>
        <w:spacing w:after="200" w:line="360" w:lineRule="auto"/>
      </w:pPr>
      <w:r w:rsidRPr="00E6336B">
        <w:rPr>
          <w:u w:val="single"/>
        </w:rPr>
        <w:lastRenderedPageBreak/>
        <w:t>Spurious Oscillations from Moving Windows</w:t>
      </w:r>
      <w:r>
        <w:t xml:space="preserve">: As CVA is an integral of exposures, spikes in exposure profile profiles should result in jumps rather than oscillations in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However, when one of the Coarse Grid Lookback method’s sparsely located </w:t>
      </w:r>
      <w:r w:rsidRPr="00E6336B">
        <w:rPr>
          <w:i/>
        </w:rPr>
        <w:t>MPoR window</w:t>
      </w:r>
      <w:r>
        <w:t xml:space="preserve"> moves past a large trade flow, the contribution to the CVA temporarily increases only to drop back when the window moves past the large trade flow. As illustrated by Andersen, Pykhtin, and Sokol (2017), such oscillations are spurious and their presence is highly unattractive when CVA is computed and reported as part of daily P&amp;L.</w:t>
      </w:r>
    </w:p>
    <w:p w:rsidR="00E6336B" w:rsidRDefault="00E6336B" w:rsidP="00E6336B">
      <w:pPr>
        <w:spacing w:after="200" w:line="360" w:lineRule="auto"/>
      </w:pPr>
    </w:p>
    <w:p w:rsidR="00E6336B" w:rsidRDefault="00E6336B" w:rsidP="00E6336B">
      <w:pPr>
        <w:spacing w:after="200" w:line="360" w:lineRule="auto"/>
      </w:pPr>
    </w:p>
    <w:p w:rsidR="00E6336B" w:rsidRPr="00746DAC" w:rsidRDefault="00E6336B" w:rsidP="00E6336B">
      <w:pPr>
        <w:spacing w:after="200" w:line="360" w:lineRule="auto"/>
        <w:rPr>
          <w:b/>
          <w:sz w:val="28"/>
          <w:szCs w:val="28"/>
        </w:rPr>
      </w:pPr>
      <w:r w:rsidRPr="00746DAC">
        <w:rPr>
          <w:b/>
          <w:sz w:val="28"/>
          <w:szCs w:val="28"/>
        </w:rPr>
        <w:t>Brownian Bridge Method</w:t>
      </w:r>
    </w:p>
    <w:p w:rsidR="00E6336B" w:rsidRDefault="00E6336B" w:rsidP="00E6336B">
      <w:pPr>
        <w:spacing w:after="200" w:line="360" w:lineRule="auto"/>
      </w:pPr>
    </w:p>
    <w:p w:rsidR="00E6336B" w:rsidRDefault="00E6336B" w:rsidP="00746DAC">
      <w:pPr>
        <w:pStyle w:val="ListParagraph"/>
        <w:numPr>
          <w:ilvl w:val="0"/>
          <w:numId w:val="258"/>
        </w:numPr>
        <w:spacing w:after="200" w:line="360" w:lineRule="auto"/>
      </w:pPr>
      <w:r w:rsidRPr="00746DAC">
        <w:rPr>
          <w:u w:val="single"/>
        </w:rPr>
        <w:t>Brute Force Portfolio Value Simulation</w:t>
      </w:r>
      <w:r>
        <w:t xml:space="preserve">: </w:t>
      </w:r>
      <w:r w:rsidR="00746DAC">
        <w:t>Overcoming the deficiencies outlined in the previous section is, unfortunately, prohibitively expensive for large portfolios, mostly due to the expense of repricing the entire portfolio at each simulation path and each observation date.</w:t>
      </w:r>
    </w:p>
    <w:p w:rsidR="00746DAC" w:rsidRDefault="00746DAC" w:rsidP="00746DAC">
      <w:pPr>
        <w:pStyle w:val="ListParagraph"/>
        <w:numPr>
          <w:ilvl w:val="0"/>
          <w:numId w:val="258"/>
        </w:numPr>
        <w:spacing w:after="200" w:line="360" w:lineRule="auto"/>
      </w:pPr>
      <w:r>
        <w:rPr>
          <w:u w:val="single"/>
        </w:rPr>
        <w:t>Daily Simulation of Risk Factors</w:t>
      </w:r>
      <w:r w:rsidRPr="00746DAC">
        <w:t>:</w:t>
      </w:r>
      <w:r>
        <w:t xml:space="preserve"> On the other hand, merely simulating the risk factors at a daily resolution is generally feasible, as the number of the simulated risk factors is typically relatively small (i.e., several hundred) and the equations driving the risk factor dynamics are usually simple.</w:t>
      </w:r>
    </w:p>
    <w:p w:rsidR="00746DAC" w:rsidRDefault="00746DAC" w:rsidP="00746DAC">
      <w:pPr>
        <w:pStyle w:val="ListParagraph"/>
        <w:numPr>
          <w:ilvl w:val="0"/>
          <w:numId w:val="258"/>
        </w:numPr>
        <w:spacing w:after="200" w:line="360" w:lineRule="auto"/>
      </w:pPr>
      <w:r>
        <w:rPr>
          <w:u w:val="single"/>
        </w:rPr>
        <w:t>Generation of Daily Trade Flows</w:t>
      </w:r>
      <w:r w:rsidRPr="00746DAC">
        <w:t>:</w:t>
      </w:r>
      <w:r>
        <w:t xml:space="preserve"> Furthermore, having produced risk factors on a daily grid, one can normally also produce all realized trade flows along each path because trade flows, unlike trade prices, are usually simple functions of the realized risk factors.</w:t>
      </w:r>
    </w:p>
    <w:p w:rsidR="00802407" w:rsidRDefault="00802407" w:rsidP="00746DAC">
      <w:pPr>
        <w:pStyle w:val="ListParagraph"/>
        <w:numPr>
          <w:ilvl w:val="0"/>
          <w:numId w:val="258"/>
        </w:numPr>
        <w:spacing w:after="200" w:line="360" w:lineRule="auto"/>
      </w:pPr>
      <w:r>
        <w:rPr>
          <w:u w:val="single"/>
        </w:rPr>
        <w:t>Risk Factors under Daily Resolution</w:t>
      </w:r>
      <w:r w:rsidRPr="00802407">
        <w:t>:</w:t>
      </w:r>
      <w:r>
        <w:t xml:space="preserve"> Based on these observations, Andersen, Pykhtin, and Sokol (2017) propose the following algorithm for generating paths of portfolio values and trade flows on a daily time grid. First, simulate paths of market risk factors with daily resolution.</w:t>
      </w:r>
    </w:p>
    <w:p w:rsidR="00802407" w:rsidRDefault="00802407" w:rsidP="00746DAC">
      <w:pPr>
        <w:pStyle w:val="ListParagraph"/>
        <w:numPr>
          <w:ilvl w:val="0"/>
          <w:numId w:val="258"/>
        </w:numPr>
        <w:spacing w:after="200" w:line="360" w:lineRule="auto"/>
      </w:pPr>
      <w:r>
        <w:rPr>
          <w:u w:val="single"/>
        </w:rPr>
        <w:t>Trade Flow under Daily Resolution</w:t>
      </w:r>
      <w:r w:rsidRPr="00802407">
        <w:t>:</w:t>
      </w:r>
      <w:r>
        <w:t xml:space="preserve"> For each path </w:t>
      </w:r>
      <m:oMath>
        <m:r>
          <w:rPr>
            <w:rFonts w:ascii="Cambria Math" w:hAnsi="Cambria Math"/>
          </w:rPr>
          <m:t>m</m:t>
        </m:r>
      </m:oMath>
      <w:r>
        <w:t>, use the simulated market risk factors to calculate trade flows on the path with daily resolution.</w:t>
      </w:r>
    </w:p>
    <w:p w:rsidR="00C860E1" w:rsidRDefault="00C860E1" w:rsidP="00746DAC">
      <w:pPr>
        <w:pStyle w:val="ListParagraph"/>
        <w:numPr>
          <w:ilvl w:val="0"/>
          <w:numId w:val="258"/>
        </w:numPr>
        <w:spacing w:after="200" w:line="360" w:lineRule="auto"/>
      </w:pPr>
      <w:r>
        <w:rPr>
          <w:u w:val="single"/>
        </w:rPr>
        <w:lastRenderedPageBreak/>
        <w:t>Coarse Grid Path Portfolio Valuation</w:t>
      </w:r>
      <w:r w:rsidRPr="00C860E1">
        <w:t>:</w:t>
      </w:r>
      <w:r>
        <w:t xml:space="preserve"> For each path </w:t>
      </w:r>
      <m:oMath>
        <m:r>
          <w:rPr>
            <w:rFonts w:ascii="Cambria Math" w:hAnsi="Cambria Math"/>
          </w:rPr>
          <m:t>m</m:t>
        </m:r>
      </m:oMath>
      <w:r>
        <w:t xml:space="preserve"> and each coarse portfolio valuation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j=1, ⋯, J</m:t>
            </m:r>
          </m:e>
        </m:d>
      </m:oMath>
      <w:r>
        <w:t xml:space="preserve"> use the simulated risk factors to calculate portfolio value on the path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p>
    <w:p w:rsidR="00F41805" w:rsidRDefault="00C860E1" w:rsidP="00746DAC">
      <w:pPr>
        <w:pStyle w:val="ListParagraph"/>
        <w:numPr>
          <w:ilvl w:val="0"/>
          <w:numId w:val="258"/>
        </w:numPr>
        <w:spacing w:after="200" w:line="360" w:lineRule="auto"/>
      </w:pPr>
      <w:r>
        <w:rPr>
          <w:u w:val="single"/>
        </w:rPr>
        <w:t>Trade Flow Adjusted Forward Value</w:t>
      </w:r>
      <w:r>
        <w:t xml:space="preserve">: For each path </w:t>
      </w:r>
      <m:oMath>
        <m:r>
          <w:rPr>
            <w:rFonts w:ascii="Cambria Math" w:hAnsi="Cambria Math"/>
          </w:rPr>
          <m:t>m</m:t>
        </m:r>
      </m:oMath>
      <w:r>
        <w:t xml:space="preserve"> and each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use the trade flows realized on the path between times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to calculate the </w:t>
      </w:r>
      <w:r>
        <w:rPr>
          <w:i/>
        </w:rPr>
        <w:t>forward</w:t>
      </w:r>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portfolio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p>
    <w:p w:rsidR="00F41805" w:rsidRDefault="00F41805" w:rsidP="00F41805">
      <w:pPr>
        <w:pStyle w:val="ListParagraph"/>
        <w:spacing w:after="200" w:line="360" w:lineRule="auto"/>
        <w:ind w:left="360"/>
        <w:rPr>
          <w:u w:val="single"/>
        </w:rPr>
      </w:pPr>
    </w:p>
    <w:p w:rsidR="00F41805" w:rsidRDefault="000F0838"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C860E1" w:rsidRDefault="00C36545" w:rsidP="00F41805">
      <w:pPr>
        <w:pStyle w:val="ListParagraph"/>
        <w:spacing w:after="200" w:line="360" w:lineRule="auto"/>
        <w:ind w:left="360"/>
      </w:pPr>
      <w:r>
        <w:t xml:space="preserve">Note that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is not a true forward value because the realized trade flows are subtracted from the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portfolio value rather than the true forward value being calculated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w:t>
      </w:r>
    </w:p>
    <w:p w:rsidR="00C36545" w:rsidRDefault="00C36545" w:rsidP="00746DAC">
      <w:pPr>
        <w:pStyle w:val="ListParagraph"/>
        <w:numPr>
          <w:ilvl w:val="0"/>
          <w:numId w:val="258"/>
        </w:numPr>
        <w:spacing w:after="200" w:line="360" w:lineRule="auto"/>
      </w:pPr>
      <w:r>
        <w:rPr>
          <w:u w:val="single"/>
        </w:rPr>
        <w:t>Portfolio Value Local Variance Estimation</w:t>
      </w:r>
      <w:r w:rsidRPr="00C36545">
        <w:t>:</w:t>
      </w:r>
      <w:r>
        <w:t xml:space="preserve"> For each path </w:t>
      </w:r>
      <m:oMath>
        <m:r>
          <w:rPr>
            <w:rFonts w:ascii="Cambria Math" w:hAnsi="Cambria Math"/>
          </w:rPr>
          <m:t>m</m:t>
        </m:r>
      </m:oMath>
      <w:r>
        <w:t xml:space="preserve"> and each portfolio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compute the local variance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for the portfolio value </w:t>
      </w:r>
      <w:r>
        <w:rPr>
          <w:i/>
        </w:rPr>
        <w:t>diffusion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via a kernel regression estimator – e.g., the Nadaraya-Watson Gaussian kernel estimator (Nadaraya (1964), Watson (1964)) conditional on the realized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r w:rsidR="00843570">
        <w:t xml:space="preserve"> The selection of bandwidth for the kernels </w:t>
      </w:r>
      <w:r w:rsidR="00A33473">
        <w:t>is covered in, e.g., Jones, Marr</w:t>
      </w:r>
      <w:r w:rsidR="00843570">
        <w:t xml:space="preserve">on, and Sheather (1996). In their numerical results, Andersen, Pykhtin, and Sokol (2017) use the </w:t>
      </w:r>
      <w:r w:rsidR="00843570">
        <w:rPr>
          <w:i/>
        </w:rPr>
        <w:t>Silverman’s Rule of Thumb</w:t>
      </w:r>
      <w:r w:rsidR="00843570">
        <w:t xml:space="preserve"> (Silverman (1986)).The term </w:t>
      </w:r>
      <w:r w:rsidR="00843570">
        <w:rPr>
          <w:i/>
        </w:rPr>
        <w:t>diffusion</w:t>
      </w:r>
      <w:r w:rsidR="00843570">
        <w:t xml:space="preserve"> is used to indicate that the portfolio value change has been defined to avoid any discontinuities resulting from trade flows.</w:t>
      </w:r>
    </w:p>
    <w:p w:rsidR="00BB7774" w:rsidRDefault="00BB7774" w:rsidP="00746DAC">
      <w:pPr>
        <w:pStyle w:val="ListParagraph"/>
        <w:numPr>
          <w:ilvl w:val="0"/>
          <w:numId w:val="258"/>
        </w:numPr>
        <w:spacing w:after="200" w:line="360" w:lineRule="auto"/>
      </w:pPr>
      <w:r>
        <w:rPr>
          <w:u w:val="single"/>
        </w:rPr>
        <w:t>Brownian Bridge Local Interpolation Scheme</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simulate an independent, daily sampled, Brownian Bridge process (see, for instance, Glasserman (2004)) that starts from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ends at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volatility of the underlying Brownian motion should be set to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oMath>
      <w:r>
        <w:t>.</w:t>
      </w:r>
    </w:p>
    <w:p w:rsidR="00F41805" w:rsidRDefault="00BB7774" w:rsidP="00746DAC">
      <w:pPr>
        <w:pStyle w:val="ListParagraph"/>
        <w:numPr>
          <w:ilvl w:val="0"/>
          <w:numId w:val="258"/>
        </w:numPr>
        <w:spacing w:after="200" w:line="360" w:lineRule="auto"/>
      </w:pPr>
      <w:r>
        <w:rPr>
          <w:u w:val="single"/>
        </w:rPr>
        <w:t>Brownian Bridge Portfolio Value Approximation</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portfolio values for each time </w:t>
      </w:r>
      <m:oMath>
        <m:r>
          <w:rPr>
            <w:rFonts w:ascii="Cambria Math" w:hAnsi="Cambria Math"/>
          </w:rPr>
          <m:t>u</m:t>
        </m:r>
      </m:oMath>
      <w:r>
        <w:t xml:space="preserve"> of the daily grid in the </w:t>
      </w:r>
      <w:r>
        <w:lastRenderedPageBreak/>
        <w:t xml:space="preserve">interval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are approximated from the simulated Brownian bridge </w:t>
      </w:r>
      <m:oMath>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oMath>
      <w:r>
        <w:t xml:space="preserve"> by adding the trade flows realized along the path </w:t>
      </w:r>
      <m:oMath>
        <m:r>
          <w:rPr>
            <w:rFonts w:ascii="Cambria Math" w:hAnsi="Cambria Math"/>
          </w:rPr>
          <m:t>m</m:t>
        </m:r>
      </m:oMath>
      <w:r>
        <w:t xml:space="preserve"> between the times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w:t>
      </w:r>
    </w:p>
    <w:p w:rsidR="00F41805" w:rsidRDefault="00F41805" w:rsidP="00F41805">
      <w:pPr>
        <w:pStyle w:val="ListParagraph"/>
        <w:spacing w:after="200" w:line="360" w:lineRule="auto"/>
        <w:ind w:left="360"/>
        <w:rPr>
          <w:u w:val="single"/>
        </w:rPr>
      </w:pPr>
    </w:p>
    <w:p w:rsidR="00BB7774" w:rsidRPr="00F41805" w:rsidRDefault="000F0838"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 APPROX</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r>
                    <w:rPr>
                      <w:rFonts w:ascii="Cambria Math" w:hAnsi="Cambria Math"/>
                    </w:rPr>
                    <m:t>u</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1E0401" w:rsidRDefault="001E0401" w:rsidP="00746DAC">
      <w:pPr>
        <w:pStyle w:val="ListParagraph"/>
        <w:numPr>
          <w:ilvl w:val="0"/>
          <w:numId w:val="258"/>
        </w:numPr>
        <w:spacing w:after="200" w:line="360" w:lineRule="auto"/>
      </w:pPr>
      <w:r>
        <w:rPr>
          <w:u w:val="single"/>
        </w:rPr>
        <w:t>Rational behind Brownian Bridge Methodology</w:t>
      </w:r>
      <w:r>
        <w:t>: In a nutshell, the algorithm above uses a Brownian bridge process to interpolate portfolio values from a coarse grid in a manner that ensures that intermediate trade flow events are handled accurately. The algorithm produces paths of portfolio values and trade flows in a daily time grid, wherefore exposure can be calculated as described earlier with daily resolution and overlapping MPoR’s. Furthermore, daily sampling allows for further refinements of the proposed model by consistently incorporating thresholds, minimum transfer amount, and rounding.</w:t>
      </w:r>
    </w:p>
    <w:p w:rsidR="00FD640B" w:rsidRDefault="00FD640B" w:rsidP="00746DAC">
      <w:pPr>
        <w:pStyle w:val="ListParagraph"/>
        <w:numPr>
          <w:ilvl w:val="0"/>
          <w:numId w:val="258"/>
        </w:numPr>
        <w:spacing w:after="200" w:line="360" w:lineRule="auto"/>
      </w:pPr>
      <w:r>
        <w:rPr>
          <w:u w:val="single"/>
        </w:rPr>
        <w:t>Brownian Bridge Portfolio Weiner Increment</w:t>
      </w:r>
      <w:r w:rsidRPr="00FD640B">
        <w:t>:</w:t>
      </w:r>
      <w:r>
        <w:t xml:space="preserve"> A key assumption made by the Brownian Bridge algorithm is that the portfolio value process within the interpolation interval is a combination of an approximately normal </w:t>
      </w:r>
      <w:r>
        <w:rPr>
          <w:i/>
        </w:rPr>
        <w:t>diffusion</w:t>
      </w:r>
      <w:r>
        <w:t xml:space="preserve"> overlaid by trade flows. For Weiner process models without risk factor jumps, this approximation is accurate in the limit of infinitesimal interpolation interval, and is often a satisfactory approximation for monthly or even quarterly interpolation steps.</w:t>
      </w:r>
    </w:p>
    <w:p w:rsidR="00FD640B" w:rsidRDefault="00FD640B" w:rsidP="00746DAC">
      <w:pPr>
        <w:pStyle w:val="ListParagraph"/>
        <w:numPr>
          <w:ilvl w:val="0"/>
          <w:numId w:val="258"/>
        </w:numPr>
        <w:spacing w:after="200" w:line="360" w:lineRule="auto"/>
      </w:pPr>
      <w:r>
        <w:rPr>
          <w:u w:val="single"/>
        </w:rPr>
        <w:t>Brownian Bridge Approximation Error #1</w:t>
      </w:r>
      <w:r w:rsidRPr="00FD640B">
        <w:t>:</w:t>
      </w:r>
      <w:r>
        <w:t xml:space="preserve"> Nevertheless, the presence of trade flows that depend on the values of the risk factors between the end points introduces two types of errors. Suppose that there is a trade flow at an end point that depends on the risk factor value at the date when it is paid. The independence of the Brownian Bridge process from the risk factor processes that drive that trade flow would result in an error in the expected exposure profile around the trade flow date. This error is largest for trade flows in the middle of the interpolation interval and disappears for trade flows near the ends of the interval.</w:t>
      </w:r>
    </w:p>
    <w:p w:rsidR="00FD640B" w:rsidRDefault="00FD640B" w:rsidP="00746DAC">
      <w:pPr>
        <w:pStyle w:val="ListParagraph"/>
        <w:numPr>
          <w:ilvl w:val="0"/>
          <w:numId w:val="258"/>
        </w:numPr>
        <w:spacing w:after="200" w:line="360" w:lineRule="auto"/>
      </w:pPr>
      <w:r>
        <w:rPr>
          <w:u w:val="single"/>
        </w:rPr>
        <w:t>Brownian Bridge Approximation Error #2</w:t>
      </w:r>
      <w:r w:rsidRPr="00FD640B">
        <w:t>:</w:t>
      </w:r>
      <w:r>
        <w:t xml:space="preserve"> Suppose that there is a trade flow that occurs at the end point of an interpolation interval, but whose values depend entirely on the realization of the risk factor within the interpolation interval. A typical example would be a vanilla interest rate swap where the floating leg payment being paid at the end of the interpolation interval depends on the interest rate </w:t>
      </w:r>
      <w:r w:rsidR="00212756">
        <w:t xml:space="preserve">on a date within the interval. Even in the absence of a </w:t>
      </w:r>
      <w:r w:rsidR="00212756">
        <w:lastRenderedPageBreak/>
        <w:t xml:space="preserve">trade flow within the interpolation interval, the volatility of the swap value drops at the floating rate fixing date as some of the uncertainty is resolved. Thus the </w:t>
      </w:r>
      <w:r w:rsidR="00212756">
        <w:rPr>
          <w:i/>
        </w:rPr>
        <w:t>true</w:t>
      </w:r>
      <w:r w:rsidR="00212756">
        <w:t xml:space="preserve"> swap value process has two volatility values; a higher value before the rate fixing date and a lower value after the rate fixing date. In contrast the approximation algorithm assumes a single value of volatility obtained via kernel regression between the end points. Similar to the de-correlation error discussed above, the error resulting from this volatility mismatch is largest for fixing dates in the middle of the interpolation interval and disappears for fixing dates near the end points.</w:t>
      </w:r>
    </w:p>
    <w:p w:rsidR="00B56971" w:rsidRDefault="00B56971" w:rsidP="00746DAC">
      <w:pPr>
        <w:pStyle w:val="ListParagraph"/>
        <w:numPr>
          <w:ilvl w:val="0"/>
          <w:numId w:val="258"/>
        </w:numPr>
        <w:spacing w:after="200" w:line="360" w:lineRule="auto"/>
      </w:pPr>
      <w:r>
        <w:rPr>
          <w:u w:val="single"/>
        </w:rPr>
        <w:t>Trade Flow at Mid-Interval</w:t>
      </w:r>
      <w:r w:rsidRPr="00B56971">
        <w:t>:</w:t>
      </w:r>
      <w:r>
        <w:t xml:space="preserve"> To illustrate the two errors above, Andersen, Pykhtin, and Sokol (2017) compute the expected exposure profile for a one year interest rate swap when a monthly grid for full valuation is situated so that the payments/fixing dates sit roughly in the middle of the interpolation interval, thus maximizing the error of the Brownian Bridge algorithm.</w:t>
      </w:r>
    </w:p>
    <w:p w:rsidR="00B56971" w:rsidRDefault="00B56971" w:rsidP="00746DAC">
      <w:pPr>
        <w:pStyle w:val="ListParagraph"/>
        <w:numPr>
          <w:ilvl w:val="0"/>
          <w:numId w:val="258"/>
        </w:numPr>
        <w:spacing w:after="200" w:line="360" w:lineRule="auto"/>
      </w:pPr>
      <w:r>
        <w:rPr>
          <w:u w:val="single"/>
        </w:rPr>
        <w:t>Unbiased Nature of the Error</w:t>
      </w:r>
      <w:r w:rsidRPr="00B56971">
        <w:t>:</w:t>
      </w:r>
      <w:r>
        <w:t xml:space="preserve"> While there are, as expected, some error around the trade flow dates, they are acceptable in magnitude and overall unbiased, in the sense that the over-estimation of the exposure is about as frequent as the under-estimation of the exposure. For, say, CVA purposes, the Brownian Bridge results would therefore be quite accurate.</w:t>
      </w:r>
    </w:p>
    <w:p w:rsidR="00B56971" w:rsidRDefault="00B56971" w:rsidP="00746DAC">
      <w:pPr>
        <w:pStyle w:val="ListParagraph"/>
        <w:numPr>
          <w:ilvl w:val="0"/>
          <w:numId w:val="258"/>
        </w:numPr>
        <w:spacing w:after="200" w:line="360" w:lineRule="auto"/>
      </w:pPr>
      <w:r>
        <w:rPr>
          <w:u w:val="single"/>
        </w:rPr>
        <w:t>Trade Flows at Interval End</w:t>
      </w:r>
      <w:r w:rsidRPr="00B56971">
        <w:t>:</w:t>
      </w:r>
      <w:r>
        <w:t xml:space="preserve"> Andersen, Pykhtin, and Sokol (2017) also compute the expected exposure profiles when the monthly valuation points are aligned with the rate fixing/payment dates. In this case, Brownian Bridge approximation is nearly exact.</w:t>
      </w:r>
    </w:p>
    <w:p w:rsidR="00B56971" w:rsidRDefault="00B56971" w:rsidP="00746DAC">
      <w:pPr>
        <w:pStyle w:val="ListParagraph"/>
        <w:numPr>
          <w:ilvl w:val="0"/>
          <w:numId w:val="258"/>
        </w:numPr>
        <w:spacing w:after="200" w:line="360" w:lineRule="auto"/>
      </w:pPr>
      <w:r>
        <w:rPr>
          <w:u w:val="single"/>
        </w:rPr>
        <w:t>Choice of Valuation Grid Location</w:t>
      </w:r>
      <w:r w:rsidRPr="00B56971">
        <w:t>:</w:t>
      </w:r>
      <w:r>
        <w:t xml:space="preserve"> Of course, in practice such alignment is only possible for a single trade or a small netting set, and not for large portfolios where trade flows will occur daily. Yet, even for large netting sets the calculation accuracy will improve if the interpolation pillars are aligned with the largest trade flows (e.g., principal exchange dates for the largest notional amounts). In practice, errors can be typically expected to be somewhere between the two extremes discussed above.</w:t>
      </w:r>
    </w:p>
    <w:p w:rsidR="00F41805" w:rsidRDefault="00F41805" w:rsidP="00746DAC">
      <w:pPr>
        <w:pStyle w:val="ListParagraph"/>
        <w:numPr>
          <w:ilvl w:val="0"/>
          <w:numId w:val="258"/>
        </w:numPr>
        <w:spacing w:after="200" w:line="360" w:lineRule="auto"/>
      </w:pPr>
      <w:r>
        <w:rPr>
          <w:u w:val="single"/>
        </w:rPr>
        <w:t>Performance Gains from Brownian Bridge</w:t>
      </w:r>
      <w:r w:rsidRPr="00F41805">
        <w:t>:</w:t>
      </w:r>
      <w:r>
        <w:t xml:space="preserve"> While the exact speed up provided by the Brownian Bridge method depends on the implementation, for most portfolios the overhead of building the Brownian Bridge at a daily resolution is negligible compared to computing the exposure on the model’s coarse grid.</w:t>
      </w:r>
    </w:p>
    <w:p w:rsidR="00F41805" w:rsidRPr="00D74607" w:rsidRDefault="00F41805" w:rsidP="00746DAC">
      <w:pPr>
        <w:pStyle w:val="ListParagraph"/>
        <w:numPr>
          <w:ilvl w:val="0"/>
          <w:numId w:val="258"/>
        </w:numPr>
        <w:spacing w:after="200" w:line="360" w:lineRule="auto"/>
      </w:pPr>
      <w:r>
        <w:rPr>
          <w:u w:val="single"/>
        </w:rPr>
        <w:lastRenderedPageBreak/>
        <w:t>Comparison with Coarse Grid Lookback</w:t>
      </w:r>
      <w:r w:rsidRPr="00F41805">
        <w:t>:</w:t>
      </w:r>
      <w:r>
        <w:t xml:space="preserve"> In this case, the computational effort of the daily Brownian Bridge method is about half the computational effort of the Coarse Grid Lookback method, as the former does not require adding a </w:t>
      </w:r>
      <w:r>
        <w:rPr>
          <w:i/>
        </w:rPr>
        <w:t>lookback</w:t>
      </w:r>
      <w:r>
        <w:t xml:space="preserve"> point to each of the primary coarse grids. Thus the Brownian Bridge is both faster and significantly more accurate than the Standard Coarse Grid Lookback method.</w:t>
      </w:r>
    </w:p>
    <w:p w:rsidR="00E5585D" w:rsidRDefault="00E5585D" w:rsidP="00E5585D">
      <w:pPr>
        <w:spacing w:after="200" w:line="360" w:lineRule="auto"/>
      </w:pPr>
    </w:p>
    <w:p w:rsidR="008E3C22" w:rsidRDefault="008E3C22"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8" w:history="1">
        <w:r>
          <w:rPr>
            <w:rStyle w:val="Hyperlink"/>
          </w:rPr>
          <w:t>Re-thinking Margin Period of Risk</w:t>
        </w:r>
      </w:hyperlink>
      <w:r>
        <w:t xml:space="preserve"> </w:t>
      </w:r>
      <w:r>
        <w:rPr>
          <w:b/>
        </w:rPr>
        <w:t>eSSRN</w:t>
      </w:r>
      <w:r>
        <w:t>.</w:t>
      </w:r>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39"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1E0401" w:rsidRDefault="001E0401" w:rsidP="001E0401">
      <w:pPr>
        <w:pStyle w:val="ListParagraph"/>
        <w:numPr>
          <w:ilvl w:val="0"/>
          <w:numId w:val="167"/>
        </w:numPr>
        <w:spacing w:after="200" w:line="360" w:lineRule="auto"/>
      </w:pPr>
      <w:r>
        <w:t xml:space="preserve">Glasserman, P. (2004): </w:t>
      </w:r>
      <w:r>
        <w:rPr>
          <w:i/>
        </w:rPr>
        <w:t>Monte Carlo Methods in Financial Engineering</w:t>
      </w:r>
      <w:r>
        <w:t xml:space="preserve"> </w:t>
      </w:r>
      <w:r>
        <w:rPr>
          <w:b/>
        </w:rPr>
        <w:t>Springer Verlag</w:t>
      </w:r>
      <w:r>
        <w:t>.</w:t>
      </w:r>
    </w:p>
    <w:p w:rsidR="00843570" w:rsidRDefault="00843570" w:rsidP="00843570">
      <w:pPr>
        <w:pStyle w:val="ListParagraph"/>
        <w:numPr>
          <w:ilvl w:val="0"/>
          <w:numId w:val="167"/>
        </w:numPr>
        <w:spacing w:after="200" w:line="360" w:lineRule="auto"/>
      </w:pPr>
      <w:r>
        <w:t xml:space="preserve">Jones, M., J. Marron, and S. Sheather (1996): </w:t>
      </w:r>
      <w:r w:rsidR="00A33473">
        <w:t>A Brief Survey of Bandwidth Selection for Density Estimation</w:t>
      </w:r>
      <w:r>
        <w:t xml:space="preserve"> </w:t>
      </w:r>
      <w:r>
        <w:rPr>
          <w:i/>
        </w:rPr>
        <w:t xml:space="preserve">Journal of </w:t>
      </w:r>
      <w:r w:rsidR="00A33473">
        <w:rPr>
          <w:i/>
        </w:rPr>
        <w:t>the American Statistical Association</w:t>
      </w:r>
      <w:r>
        <w:t xml:space="preserve"> </w:t>
      </w:r>
      <w:r w:rsidR="00A33473">
        <w:rPr>
          <w:b/>
        </w:rPr>
        <w:t>91</w:t>
      </w:r>
      <w:r>
        <w:rPr>
          <w:b/>
        </w:rPr>
        <w:t xml:space="preserve"> (4</w:t>
      </w:r>
      <w:r w:rsidR="00A33473">
        <w:rPr>
          <w:b/>
        </w:rPr>
        <w:t>33</w:t>
      </w:r>
      <w:r>
        <w:rPr>
          <w:b/>
        </w:rPr>
        <w:t>)</w:t>
      </w:r>
      <w:r>
        <w:t xml:space="preserve"> </w:t>
      </w:r>
      <w:r w:rsidR="00A33473">
        <w:t>401</w:t>
      </w:r>
      <w:r>
        <w:t>-</w:t>
      </w:r>
      <w:r w:rsidR="00A33473">
        <w:t>40</w:t>
      </w:r>
      <w:r>
        <w:t>7.</w:t>
      </w:r>
    </w:p>
    <w:p w:rsidR="00843570" w:rsidRDefault="00843570" w:rsidP="00843570">
      <w:pPr>
        <w:pStyle w:val="ListParagraph"/>
        <w:numPr>
          <w:ilvl w:val="0"/>
          <w:numId w:val="167"/>
        </w:numPr>
        <w:spacing w:after="200" w:line="360" w:lineRule="auto"/>
      </w:pPr>
      <w:r>
        <w:t xml:space="preserve">Nadaraya, E. A. (1964): On Estimating Regression </w:t>
      </w:r>
      <w:r>
        <w:rPr>
          <w:i/>
        </w:rPr>
        <w:t>Theory of Probability and its Applications</w:t>
      </w:r>
      <w:r>
        <w:t xml:space="preserve"> </w:t>
      </w:r>
      <w:r>
        <w:rPr>
          <w:b/>
        </w:rPr>
        <w:t>9 (1)</w:t>
      </w:r>
      <w:r>
        <w:t xml:space="preserve"> 141-142.</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A33473" w:rsidRDefault="00A33473" w:rsidP="00A33473">
      <w:pPr>
        <w:pStyle w:val="ListParagraph"/>
        <w:numPr>
          <w:ilvl w:val="0"/>
          <w:numId w:val="167"/>
        </w:numPr>
        <w:spacing w:after="200" w:line="360" w:lineRule="auto"/>
      </w:pPr>
      <w:r>
        <w:lastRenderedPageBreak/>
        <w:t xml:space="preserve">Silverman, B. (1986): </w:t>
      </w:r>
      <w:r>
        <w:rPr>
          <w:i/>
        </w:rPr>
        <w:t>Density Estimation for Statistics and Data Analysis</w:t>
      </w:r>
      <w:r>
        <w:t xml:space="preserve"> </w:t>
      </w:r>
      <w:r>
        <w:rPr>
          <w:b/>
        </w:rPr>
        <w:t>Chapman and Hall</w:t>
      </w:r>
      <w:r>
        <w:t xml:space="preserve"> London.</w:t>
      </w:r>
    </w:p>
    <w:p w:rsidR="00843570" w:rsidRDefault="00843570" w:rsidP="00843570">
      <w:pPr>
        <w:pStyle w:val="ListParagraph"/>
        <w:numPr>
          <w:ilvl w:val="0"/>
          <w:numId w:val="167"/>
        </w:numPr>
        <w:spacing w:after="200" w:line="360" w:lineRule="auto"/>
      </w:pPr>
      <w:r>
        <w:t xml:space="preserve">Watson, G. S. (1964): Smooth Regression Analysis </w:t>
      </w:r>
      <w:r>
        <w:rPr>
          <w:i/>
        </w:rPr>
        <w:t>Sankhya: The Indian Journal of Statistics Series A</w:t>
      </w:r>
      <w:r>
        <w:t xml:space="preserve"> </w:t>
      </w:r>
      <w:r>
        <w:rPr>
          <w:b/>
        </w:rPr>
        <w:t>26 (4)</w:t>
      </w:r>
      <w:r>
        <w:t xml:space="preserve"> 359-372.</w:t>
      </w:r>
    </w:p>
    <w:p w:rsidR="00BD2713" w:rsidRDefault="00BD2713">
      <w:pPr>
        <w:spacing w:after="200" w:line="276" w:lineRule="auto"/>
      </w:pPr>
      <w:r>
        <w:br w:type="page"/>
      </w:r>
    </w:p>
    <w:p w:rsidR="00BD2713" w:rsidRDefault="00BD2713" w:rsidP="00BD2713">
      <w:pPr>
        <w:spacing w:after="200" w:line="360" w:lineRule="auto"/>
      </w:pPr>
    </w:p>
    <w:p w:rsidR="00BD2713" w:rsidRPr="00BD2713" w:rsidRDefault="00BD2713" w:rsidP="00BD2713">
      <w:pPr>
        <w:spacing w:after="200" w:line="360" w:lineRule="auto"/>
        <w:jc w:val="center"/>
        <w:rPr>
          <w:b/>
          <w:sz w:val="32"/>
          <w:szCs w:val="32"/>
        </w:rPr>
      </w:pPr>
      <w:r w:rsidRPr="00BD2713">
        <w:rPr>
          <w:b/>
          <w:sz w:val="32"/>
          <w:szCs w:val="32"/>
        </w:rPr>
        <w:t>A Sound Modeling and Back Testing Framework for Forecasting Initial Margin</w:t>
      </w:r>
    </w:p>
    <w:p w:rsidR="00BD2713" w:rsidRDefault="00BD2713" w:rsidP="00BD2713">
      <w:pPr>
        <w:spacing w:after="200" w:line="360" w:lineRule="auto"/>
      </w:pPr>
    </w:p>
    <w:p w:rsidR="00BD2713" w:rsidRDefault="00BD2713" w:rsidP="00BD2713">
      <w:pPr>
        <w:spacing w:after="200" w:line="360" w:lineRule="auto"/>
      </w:pPr>
    </w:p>
    <w:p w:rsidR="00BD2713" w:rsidRPr="00BD2713" w:rsidRDefault="00BD2713" w:rsidP="00BD2713">
      <w:pPr>
        <w:spacing w:after="200" w:line="360" w:lineRule="auto"/>
        <w:rPr>
          <w:b/>
          <w:sz w:val="28"/>
          <w:szCs w:val="28"/>
        </w:rPr>
      </w:pPr>
      <w:r w:rsidRPr="00BD2713">
        <w:rPr>
          <w:b/>
          <w:sz w:val="28"/>
          <w:szCs w:val="28"/>
        </w:rPr>
        <w:t>Abstract</w:t>
      </w:r>
    </w:p>
    <w:p w:rsidR="00BD2713" w:rsidRDefault="00BD2713" w:rsidP="00BD2713">
      <w:pPr>
        <w:spacing w:after="200" w:line="360" w:lineRule="auto"/>
      </w:pPr>
    </w:p>
    <w:p w:rsidR="00BD2713" w:rsidRDefault="00BD2713" w:rsidP="00BD2713">
      <w:pPr>
        <w:pStyle w:val="ListParagraph"/>
        <w:numPr>
          <w:ilvl w:val="0"/>
          <w:numId w:val="259"/>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rsidR="00BD2713" w:rsidRDefault="00BD2713" w:rsidP="00BD2713">
      <w:pPr>
        <w:pStyle w:val="ListParagraph"/>
        <w:numPr>
          <w:ilvl w:val="0"/>
          <w:numId w:val="259"/>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r w:rsidR="00B96643">
        <w:t>.</w:t>
      </w:r>
    </w:p>
    <w:p w:rsidR="00B96643" w:rsidRDefault="00B96643" w:rsidP="00B96643">
      <w:pPr>
        <w:spacing w:after="200" w:line="360" w:lineRule="auto"/>
      </w:pPr>
    </w:p>
    <w:p w:rsidR="00B96643" w:rsidRDefault="00B96643" w:rsidP="00B96643">
      <w:pPr>
        <w:spacing w:after="200" w:line="360" w:lineRule="auto"/>
      </w:pPr>
    </w:p>
    <w:p w:rsidR="00B96643" w:rsidRPr="00B96643" w:rsidRDefault="00B96643" w:rsidP="00B96643">
      <w:pPr>
        <w:spacing w:after="200" w:line="360" w:lineRule="auto"/>
        <w:rPr>
          <w:b/>
          <w:sz w:val="28"/>
          <w:szCs w:val="28"/>
        </w:rPr>
      </w:pPr>
      <w:r w:rsidRPr="00B96643">
        <w:rPr>
          <w:b/>
          <w:sz w:val="28"/>
          <w:szCs w:val="28"/>
        </w:rPr>
        <w:t>Introduction</w:t>
      </w:r>
    </w:p>
    <w:p w:rsidR="00B96643" w:rsidRDefault="00B96643" w:rsidP="00B96643">
      <w:pPr>
        <w:spacing w:after="200" w:line="360" w:lineRule="auto"/>
      </w:pPr>
    </w:p>
    <w:p w:rsidR="00B96643" w:rsidRDefault="00B96643" w:rsidP="00B96643">
      <w:pPr>
        <w:pStyle w:val="ListParagraph"/>
        <w:numPr>
          <w:ilvl w:val="0"/>
          <w:numId w:val="260"/>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 xml:space="preserve">DIM </w:t>
      </w:r>
      <w:r w:rsidRPr="00B96643">
        <w:rPr>
          <w:i/>
        </w:rPr>
        <w:lastRenderedPageBreak/>
        <w:t>model</w:t>
      </w:r>
      <w:r>
        <w:t xml:space="preserve"> this chapter refers to any model that can be used to forecast portfolio initial margin requirements.</w:t>
      </w:r>
    </w:p>
    <w:p w:rsidR="009554AA" w:rsidRDefault="009554AA" w:rsidP="00B96643">
      <w:pPr>
        <w:pStyle w:val="ListParagraph"/>
        <w:numPr>
          <w:ilvl w:val="0"/>
          <w:numId w:val="260"/>
        </w:numPr>
        <w:spacing w:after="200" w:line="360" w:lineRule="auto"/>
      </w:pPr>
      <w:r>
        <w:rPr>
          <w:u w:val="single"/>
        </w:rPr>
        <w:t>Protection Afforded by BCBS-IOSCO</w:t>
      </w:r>
      <w:r w:rsidRPr="009554AA">
        <w:t>:</w:t>
      </w:r>
      <w:r>
        <w:t xml:space="preserve"> The business case for such a development is at least two fold. First, the BCBS-IOSCO IMR (B-IMR) rules are expected to protect against potential future exposure at a high-level of confidence (99%) and will substantially affect funding costs, XVA, and capital.</w:t>
      </w:r>
    </w:p>
    <w:p w:rsidR="009554AA" w:rsidRDefault="009554AA" w:rsidP="00B96643">
      <w:pPr>
        <w:pStyle w:val="ListParagraph"/>
        <w:numPr>
          <w:ilvl w:val="0"/>
          <w:numId w:val="260"/>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rsidR="009554AA" w:rsidRDefault="009554AA" w:rsidP="00B96643">
      <w:pPr>
        <w:pStyle w:val="ListParagraph"/>
        <w:numPr>
          <w:ilvl w:val="0"/>
          <w:numId w:val="260"/>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rsidR="000F0838" w:rsidRDefault="000F0838" w:rsidP="00B96643">
      <w:pPr>
        <w:pStyle w:val="ListParagraph"/>
        <w:numPr>
          <w:ilvl w:val="0"/>
          <w:numId w:val="260"/>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rsidR="000F0838" w:rsidRDefault="000F0838" w:rsidP="00B96643">
      <w:pPr>
        <w:pStyle w:val="ListParagraph"/>
        <w:numPr>
          <w:ilvl w:val="0"/>
          <w:numId w:val="260"/>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rsidR="000F0838" w:rsidRDefault="000F0838" w:rsidP="000F0838">
      <w:pPr>
        <w:spacing w:after="200" w:line="360" w:lineRule="auto"/>
      </w:pPr>
    </w:p>
    <w:p w:rsidR="000F0838" w:rsidRDefault="000F0838" w:rsidP="000F0838">
      <w:pPr>
        <w:spacing w:after="200" w:line="360" w:lineRule="auto"/>
      </w:pPr>
    </w:p>
    <w:p w:rsidR="000F0838" w:rsidRPr="000F0838" w:rsidRDefault="000F0838" w:rsidP="000F0838">
      <w:pPr>
        <w:spacing w:after="200" w:line="360" w:lineRule="auto"/>
        <w:rPr>
          <w:b/>
          <w:sz w:val="28"/>
          <w:szCs w:val="28"/>
        </w:rPr>
      </w:pPr>
      <w:r w:rsidRPr="000F0838">
        <w:rPr>
          <w:b/>
          <w:sz w:val="28"/>
          <w:szCs w:val="28"/>
        </w:rPr>
        <w:t>How to Construct a DIM Model</w:t>
      </w:r>
    </w:p>
    <w:p w:rsidR="000F0838" w:rsidRDefault="000F0838" w:rsidP="000F0838">
      <w:pPr>
        <w:spacing w:after="200" w:line="360" w:lineRule="auto"/>
      </w:pPr>
    </w:p>
    <w:p w:rsidR="000F0838" w:rsidRDefault="000F0838" w:rsidP="000F0838">
      <w:pPr>
        <w:pStyle w:val="ListParagraph"/>
        <w:numPr>
          <w:ilvl w:val="0"/>
          <w:numId w:val="261"/>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rsidR="000F0838" w:rsidRDefault="000F0838" w:rsidP="000F0838">
      <w:pPr>
        <w:pStyle w:val="ListParagraph"/>
        <w:numPr>
          <w:ilvl w:val="0"/>
          <w:numId w:val="261"/>
        </w:numPr>
        <w:spacing w:after="200" w:line="360" w:lineRule="auto"/>
      </w:pPr>
      <w:r>
        <w:rPr>
          <w:u w:val="single"/>
        </w:rPr>
        <w:lastRenderedPageBreak/>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rsidR="002B24ED" w:rsidRDefault="002B24ED" w:rsidP="000F0838">
      <w:pPr>
        <w:pStyle w:val="ListParagraph"/>
        <w:numPr>
          <w:ilvl w:val="0"/>
          <w:numId w:val="261"/>
        </w:numPr>
        <w:spacing w:after="200" w:line="360" w:lineRule="auto"/>
      </w:pPr>
      <w:r>
        <w:rPr>
          <w:u w:val="single"/>
        </w:rPr>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rsidR="002B24ED" w:rsidRDefault="002B24ED" w:rsidP="000F0838">
      <w:pPr>
        <w:pStyle w:val="ListParagraph"/>
        <w:numPr>
          <w:ilvl w:val="0"/>
          <w:numId w:val="261"/>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rsidR="00247628" w:rsidRDefault="00247628" w:rsidP="00247628">
      <w:pPr>
        <w:pStyle w:val="ListParagraph"/>
        <w:numPr>
          <w:ilvl w:val="0"/>
          <w:numId w:val="261"/>
        </w:numPr>
        <w:spacing w:after="200" w:line="360" w:lineRule="auto"/>
      </w:pPr>
      <w:r>
        <w:rPr>
          <w:u w:val="single"/>
        </w:rPr>
        <w:t>IMRD Dependence on the RFE</w:t>
      </w:r>
      <w:r w:rsidRPr="00247628">
        <w:t>:</w:t>
      </w:r>
      <w:r>
        <w:t xml:space="preserve"> In this context, the key feature of the model is to associate the right probability</w:t>
      </w:r>
      <w:bookmarkStart w:id="0" w:name="_GoBack"/>
      <w:bookmarkEnd w:id="0"/>
      <w:r>
        <w:t xml:space="preserve"> weight with a given IMR scenario; hence the forecast IMRD also becomes a measure of the accuracy if the IMRD models (which ultimately determine the likelihood of different market scenarios).</w:t>
      </w:r>
    </w:p>
    <w:p w:rsidR="00247628" w:rsidRDefault="00247628" w:rsidP="00247628">
      <w:pPr>
        <w:pStyle w:val="ListParagraph"/>
        <w:numPr>
          <w:ilvl w:val="0"/>
          <w:numId w:val="261"/>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rsidR="00247628" w:rsidRDefault="00247628" w:rsidP="00247628">
      <w:pPr>
        <w:pStyle w:val="ListParagraph"/>
        <w:numPr>
          <w:ilvl w:val="0"/>
          <w:numId w:val="261"/>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rsidR="00247628" w:rsidRDefault="00247628" w:rsidP="00247628">
      <w:pPr>
        <w:pStyle w:val="ListParagraph"/>
        <w:numPr>
          <w:ilvl w:val="0"/>
          <w:numId w:val="261"/>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rsidR="00330072" w:rsidRDefault="00330072" w:rsidP="00247628">
      <w:pPr>
        <w:pStyle w:val="ListParagraph"/>
        <w:numPr>
          <w:ilvl w:val="0"/>
          <w:numId w:val="261"/>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rsidR="00A832AA" w:rsidRDefault="00330072" w:rsidP="00247628">
      <w:pPr>
        <w:pStyle w:val="ListParagraph"/>
        <w:numPr>
          <w:ilvl w:val="0"/>
          <w:numId w:val="261"/>
        </w:numPr>
        <w:spacing w:after="200" w:line="360" w:lineRule="auto"/>
      </w:pPr>
      <w:r>
        <w:rPr>
          <w:u w:val="single"/>
        </w:rPr>
        <w:lastRenderedPageBreak/>
        <w:t>Andersen-Pykhtin-Sokol Proposal Assumptions</w:t>
      </w:r>
      <w:r w:rsidRPr="00330072">
        <w:t>:</w:t>
      </w:r>
      <w:r>
        <w:t xml:space="preserve"> The</w:t>
      </w:r>
    </w:p>
    <w:p w:rsidR="00A832AA" w:rsidRDefault="00A832AA" w:rsidP="00A832AA">
      <w:pPr>
        <w:pStyle w:val="ListParagraph"/>
        <w:spacing w:after="200" w:line="360" w:lineRule="auto"/>
        <w:ind w:left="360"/>
        <w:rPr>
          <w:u w:val="single"/>
        </w:rPr>
      </w:pPr>
    </w:p>
    <w:p w:rsidR="00A832AA" w:rsidRDefault="00330072" w:rsidP="00A832AA">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rsidR="00A832AA" w:rsidRDefault="00A832AA" w:rsidP="00A832AA">
      <w:pPr>
        <w:pStyle w:val="ListParagraph"/>
        <w:spacing w:after="200" w:line="360" w:lineRule="auto"/>
        <w:ind w:left="360"/>
      </w:pPr>
    </w:p>
    <w:p w:rsidR="00330072" w:rsidRDefault="00330072" w:rsidP="00A832AA">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rsidR="00330072" w:rsidRDefault="00330072" w:rsidP="00247628">
      <w:pPr>
        <w:pStyle w:val="ListParagraph"/>
        <w:numPr>
          <w:ilvl w:val="0"/>
          <w:numId w:val="261"/>
        </w:numPr>
        <w:spacing w:after="200" w:line="360" w:lineRule="auto"/>
      </w:pPr>
      <w:r>
        <w:rPr>
          <w:u w:val="single"/>
        </w:rPr>
        <w:t>Enhancing the Andersen-Pykhtin-Sokol Model</w:t>
      </w:r>
      <w:r w:rsidRPr="00330072">
        <w:t>:</w:t>
      </w:r>
      <w:r>
        <w:t xml:space="preserve"> </w:t>
      </w:r>
      <w:r w:rsidR="00805DB6">
        <w:t>This model can be further improved by adding more descriptive variables to the regression, e.g., values at the default time of the selected risk factors of the portfolio.</w:t>
      </w:r>
    </w:p>
    <w:p w:rsidR="00805DB6" w:rsidRDefault="00805DB6" w:rsidP="00247628">
      <w:pPr>
        <w:pStyle w:val="ListParagraph"/>
        <w:numPr>
          <w:ilvl w:val="0"/>
          <w:numId w:val="261"/>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rsidR="00A832AA" w:rsidRDefault="000A7F34" w:rsidP="00247628">
      <w:pPr>
        <w:pStyle w:val="ListParagraph"/>
        <w:numPr>
          <w:ilvl w:val="0"/>
          <w:numId w:val="261"/>
        </w:numPr>
        <w:spacing w:after="200" w:line="360" w:lineRule="auto"/>
      </w:pPr>
      <w:r>
        <w:rPr>
          <w:u w:val="single"/>
        </w:rPr>
        <w:t>DIM Optimization – B-IMR SIMM Reconciliation</w:t>
      </w:r>
      <w:r w:rsidRPr="000A7F34">
        <w:t>:</w:t>
      </w:r>
      <w:r>
        <w:t xml:space="preserve"> Second, the output of the DIM model should reconcile with the known IMR value for</w:t>
      </w:r>
    </w:p>
    <w:p w:rsidR="00A832AA" w:rsidRDefault="00A832AA" w:rsidP="00A832AA">
      <w:pPr>
        <w:pStyle w:val="ListParagraph"/>
        <w:spacing w:after="200" w:line="360" w:lineRule="auto"/>
        <w:ind w:left="360"/>
        <w:rPr>
          <w:u w:val="single"/>
        </w:rPr>
      </w:pPr>
    </w:p>
    <w:p w:rsidR="00A832AA" w:rsidRDefault="000A7F34"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A832AA" w:rsidRDefault="000A7F34" w:rsidP="00A832AA">
      <w:pPr>
        <w:pStyle w:val="ListParagraph"/>
        <w:spacing w:after="200" w:line="360" w:lineRule="auto"/>
        <w:ind w:left="360"/>
      </w:pPr>
      <w:r>
        <w:t>i.e.</w:t>
      </w:r>
    </w:p>
    <w:p w:rsidR="00A832AA" w:rsidRDefault="00A832AA" w:rsidP="00A832AA">
      <w:pPr>
        <w:pStyle w:val="ListParagraph"/>
        <w:spacing w:after="200" w:line="360" w:lineRule="auto"/>
        <w:ind w:left="360"/>
      </w:pPr>
    </w:p>
    <w:p w:rsidR="00A832AA" w:rsidRDefault="000A7F34" w:rsidP="00A832AA">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rsidR="00A832AA" w:rsidRDefault="00A832AA" w:rsidP="00A832AA">
      <w:pPr>
        <w:pStyle w:val="ListParagraph"/>
        <w:spacing w:after="200" w:line="360" w:lineRule="auto"/>
        <w:ind w:left="360"/>
      </w:pPr>
    </w:p>
    <w:p w:rsidR="000A7F34" w:rsidRDefault="000A7F34" w:rsidP="00A832AA">
      <w:pPr>
        <w:pStyle w:val="ListParagraph"/>
        <w:spacing w:after="200" w:line="360" w:lineRule="auto"/>
        <w:ind w:left="360"/>
      </w:pPr>
      <w:r>
        <w:t xml:space="preserve">for all </w:t>
      </w:r>
      <m:oMath>
        <m:r>
          <w:rPr>
            <w:rFonts w:ascii="Cambria Math" w:hAnsi="Cambria Math"/>
          </w:rPr>
          <m:t>i</m:t>
        </m:r>
      </m:oMath>
      <w:r>
        <w:t>.</w:t>
      </w:r>
    </w:p>
    <w:p w:rsidR="000A7F34" w:rsidRDefault="000A7F34" w:rsidP="00247628">
      <w:pPr>
        <w:pStyle w:val="ListParagraph"/>
        <w:numPr>
          <w:ilvl w:val="0"/>
          <w:numId w:val="261"/>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rsidR="00A832AA" w:rsidRDefault="009714B9" w:rsidP="00247628">
      <w:pPr>
        <w:pStyle w:val="ListParagraph"/>
        <w:numPr>
          <w:ilvl w:val="0"/>
          <w:numId w:val="261"/>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rsidR="00A832AA" w:rsidRDefault="00A832AA" w:rsidP="00A832AA">
      <w:pPr>
        <w:pStyle w:val="ListParagraph"/>
        <w:spacing w:after="200" w:line="360" w:lineRule="auto"/>
        <w:ind w:left="360"/>
        <w:rPr>
          <w:u w:val="single"/>
        </w:rPr>
      </w:pPr>
    </w:p>
    <w:p w:rsidR="00A832AA" w:rsidRDefault="009714B9" w:rsidP="00A832AA">
      <w:pPr>
        <w:pStyle w:val="ListParagraph"/>
        <w:spacing w:after="200" w:line="360" w:lineRule="auto"/>
        <w:ind w:left="360"/>
      </w:pPr>
      <m:oMathPara>
        <m:oMath>
          <m:r>
            <w:rPr>
              <w:rFonts w:ascii="Cambria Math" w:hAnsi="Cambria Math"/>
            </w:rPr>
            <m:t>MPoR=20 BD</m:t>
          </m:r>
        </m:oMath>
      </m:oMathPara>
    </w:p>
    <w:p w:rsidR="00A832AA" w:rsidRDefault="00A832AA" w:rsidP="00A832AA">
      <w:pPr>
        <w:pStyle w:val="ListParagraph"/>
        <w:spacing w:after="200" w:line="360" w:lineRule="auto"/>
        <w:ind w:left="360"/>
      </w:pPr>
    </w:p>
    <w:p w:rsidR="000A7F34" w:rsidRDefault="009714B9" w:rsidP="00A832AA">
      <w:pPr>
        <w:pStyle w:val="ListParagraph"/>
        <w:spacing w:after="200" w:line="360" w:lineRule="auto"/>
        <w:ind w:left="360"/>
      </w:pPr>
      <w:r>
        <w:t xml:space="preserve">if the number of trades in the portfolio exceeds </w:t>
      </w:r>
      <m:oMath>
        <m:r>
          <w:rPr>
            <w:rFonts w:ascii="Cambria Math" w:hAnsi="Cambria Math"/>
          </w:rPr>
          <m:t>5,000</m:t>
        </m:r>
      </m:oMath>
      <w:r>
        <w:t>.</w:t>
      </w:r>
    </w:p>
    <w:p w:rsidR="009714B9" w:rsidRDefault="009714B9" w:rsidP="00247628">
      <w:pPr>
        <w:pStyle w:val="ListParagraph"/>
        <w:numPr>
          <w:ilvl w:val="0"/>
          <w:numId w:val="261"/>
        </w:numPr>
        <w:spacing w:after="200" w:line="360" w:lineRule="auto"/>
      </w:pPr>
      <w:r>
        <w:rPr>
          <w:u w:val="single"/>
        </w:rPr>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rsidR="009714B9" w:rsidRDefault="009714B9" w:rsidP="00247628">
      <w:pPr>
        <w:pStyle w:val="ListParagraph"/>
        <w:numPr>
          <w:ilvl w:val="0"/>
          <w:numId w:val="261"/>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rsidR="00C3652B" w:rsidRDefault="00C3652B" w:rsidP="00247628">
      <w:pPr>
        <w:pStyle w:val="ListParagraph"/>
        <w:numPr>
          <w:ilvl w:val="0"/>
          <w:numId w:val="261"/>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rsidR="00C3652B" w:rsidRDefault="00C3652B" w:rsidP="00C3652B">
      <w:pPr>
        <w:pStyle w:val="ListParagraph"/>
        <w:numPr>
          <w:ilvl w:val="1"/>
          <w:numId w:val="261"/>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w:t>
      </w:r>
      <w:r w:rsidR="00811A46">
        <w:t xml:space="preserve">is used </w:t>
      </w:r>
      <w:r>
        <w:t>to</w:t>
      </w:r>
      <w:r w:rsidR="00811A46">
        <w:t xml:space="preserve"> </w:t>
      </w:r>
      <w:r>
        <w:t>compute the</w:t>
      </w:r>
      <w:r w:rsidR="00811A46">
        <w:t xml:space="preserve"> moments of the </w:t>
      </w:r>
      <w:r>
        <w:t>local</w:t>
      </w:r>
      <w:r w:rsidR="00811A46">
        <w:t xml:space="preserve">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811A46">
        <w:t xml:space="preserve"> distribution, and</w:t>
      </w:r>
    </w:p>
    <w:p w:rsidR="00811A46" w:rsidRDefault="00A30C48" w:rsidP="00C3652B">
      <w:pPr>
        <w:pStyle w:val="ListParagraph"/>
        <w:numPr>
          <w:ilvl w:val="1"/>
          <w:numId w:val="261"/>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811A46">
        <w:t xml:space="preserve"> is </w:t>
      </w:r>
      <w:r>
        <w:t xml:space="preserve">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rsidR="00A832AA" w:rsidRDefault="00A30C48" w:rsidP="00A30C48">
      <w:pPr>
        <w:pStyle w:val="ListParagraph"/>
        <w:numPr>
          <w:ilvl w:val="0"/>
          <w:numId w:val="261"/>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 squares method (LSM) with a polynomial basis:</w:t>
      </w:r>
    </w:p>
    <w:p w:rsidR="00A832AA" w:rsidRDefault="00A832AA" w:rsidP="00A832AA">
      <w:pPr>
        <w:pStyle w:val="ListParagraph"/>
        <w:spacing w:after="200" w:line="360" w:lineRule="auto"/>
        <w:ind w:left="360"/>
        <w:rPr>
          <w:u w:val="single"/>
        </w:rPr>
      </w:pPr>
    </w:p>
    <w:p w:rsidR="00A832AA" w:rsidRDefault="00BC4114"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832AA" w:rsidRDefault="00BC4114"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A832AA" w:rsidRDefault="00A832AA" w:rsidP="00A832AA">
      <w:pPr>
        <w:pStyle w:val="ListParagraph"/>
        <w:spacing w:after="200" w:line="360" w:lineRule="auto"/>
        <w:ind w:left="360"/>
      </w:pPr>
    </w:p>
    <w:p w:rsidR="00A832AA" w:rsidRDefault="00BC4114" w:rsidP="00A832AA">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rsidR="00A832AA" w:rsidRDefault="00A832AA" w:rsidP="00A832AA">
      <w:pPr>
        <w:pStyle w:val="ListParagraph"/>
        <w:spacing w:after="200" w:line="360" w:lineRule="auto"/>
        <w:ind w:left="360"/>
      </w:pPr>
    </w:p>
    <w:p w:rsidR="00A832AA" w:rsidRDefault="00BC4114"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30C48" w:rsidRDefault="00BC4114" w:rsidP="00A832AA">
      <w:pPr>
        <w:pStyle w:val="ListParagraph"/>
        <w:spacing w:after="200" w:line="360" w:lineRule="auto"/>
        <w:ind w:left="360"/>
      </w:pPr>
      <w:r>
        <w:t>is set equal to 2, i.e., a polynomial regression of order 2 is used.</w:t>
      </w:r>
    </w:p>
    <w:p w:rsidR="00A832AA" w:rsidRDefault="00BC4114" w:rsidP="00A30C48">
      <w:pPr>
        <w:pStyle w:val="ListParagraph"/>
        <w:numPr>
          <w:ilvl w:val="0"/>
          <w:numId w:val="261"/>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rsidR="00A832AA" w:rsidRDefault="00A832AA" w:rsidP="00A832AA">
      <w:pPr>
        <w:pStyle w:val="ListParagraph"/>
        <w:spacing w:after="200" w:line="360" w:lineRule="auto"/>
        <w:ind w:left="360"/>
        <w:rPr>
          <w:u w:val="single"/>
        </w:rPr>
      </w:pPr>
    </w:p>
    <w:p w:rsidR="00A832AA" w:rsidRDefault="00B9453B" w:rsidP="00A832A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A832AA" w:rsidRDefault="00A832AA" w:rsidP="00A832AA">
      <w:pPr>
        <w:pStyle w:val="ListParagraph"/>
        <w:spacing w:after="200" w:line="360" w:lineRule="auto"/>
        <w:ind w:left="360"/>
      </w:pPr>
    </w:p>
    <w:p w:rsidR="00A832AA" w:rsidRDefault="00B9453B"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A832AA" w:rsidRDefault="00A832AA" w:rsidP="00A832AA">
      <w:pPr>
        <w:pStyle w:val="ListParagraph"/>
        <w:spacing w:after="200" w:line="360" w:lineRule="auto"/>
        <w:ind w:left="360"/>
      </w:pPr>
    </w:p>
    <w:p w:rsidR="00BC4114" w:rsidRDefault="00BC4114" w:rsidP="00A832AA">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w:t>
      </w:r>
      <w:r w:rsidR="00B9453B">
        <w:t xml:space="preserve">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rsidR="00B9453B">
        <w:t>.</w:t>
      </w:r>
    </w:p>
    <w:p w:rsidR="008643C6" w:rsidRDefault="008643C6" w:rsidP="00A30C48">
      <w:pPr>
        <w:pStyle w:val="ListParagraph"/>
        <w:numPr>
          <w:ilvl w:val="0"/>
          <w:numId w:val="261"/>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rsidR="008643C6" w:rsidRDefault="008643C6" w:rsidP="00A30C48">
      <w:pPr>
        <w:pStyle w:val="ListParagraph"/>
        <w:numPr>
          <w:ilvl w:val="0"/>
          <w:numId w:val="261"/>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rsidR="00A832AA" w:rsidRDefault="008643C6" w:rsidP="00A30C48">
      <w:pPr>
        <w:pStyle w:val="ListParagraph"/>
        <w:numPr>
          <w:ilvl w:val="0"/>
          <w:numId w:val="261"/>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w:t>
      </w:r>
      <w:r w:rsidR="00E37D07">
        <w:t>The next step accounts for the</w:t>
      </w:r>
    </w:p>
    <w:p w:rsidR="00A832AA" w:rsidRDefault="00A832AA" w:rsidP="00A832AA">
      <w:pPr>
        <w:pStyle w:val="ListParagraph"/>
        <w:spacing w:after="200" w:line="360" w:lineRule="auto"/>
        <w:ind w:left="360"/>
        <w:rPr>
          <w:u w:val="single"/>
        </w:rPr>
      </w:pPr>
    </w:p>
    <w:p w:rsidR="00A832AA" w:rsidRDefault="00E37D07"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8643C6" w:rsidRDefault="00E37D07" w:rsidP="00A832AA">
      <w:pPr>
        <w:pStyle w:val="ListParagraph"/>
        <w:spacing w:after="200" w:line="360" w:lineRule="auto"/>
        <w:ind w:left="360"/>
      </w:pPr>
      <w:r>
        <w:t>reconciliation as well as the mismatch between SIMM and the exposure model calibrations – see the corresponding items above.</w:t>
      </w:r>
    </w:p>
    <w:p w:rsidR="00A832AA" w:rsidRDefault="0023621C" w:rsidP="00A30C48">
      <w:pPr>
        <w:pStyle w:val="ListParagraph"/>
        <w:numPr>
          <w:ilvl w:val="0"/>
          <w:numId w:val="261"/>
        </w:numPr>
        <w:spacing w:after="200" w:line="360" w:lineRule="auto"/>
      </w:pPr>
      <w:r>
        <w:rPr>
          <w:u w:val="single"/>
        </w:rPr>
        <w:lastRenderedPageBreak/>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rsidR="00A832AA" w:rsidRDefault="00A832AA" w:rsidP="00A832AA">
      <w:pPr>
        <w:pStyle w:val="ListParagraph"/>
        <w:spacing w:after="200" w:line="360" w:lineRule="auto"/>
        <w:ind w:left="360"/>
        <w:rPr>
          <w:u w:val="single"/>
        </w:rPr>
      </w:pPr>
    </w:p>
    <w:p w:rsidR="00A832AA" w:rsidRDefault="0023621C"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A832AA" w:rsidRDefault="00A832AA" w:rsidP="00A832AA">
      <w:pPr>
        <w:pStyle w:val="ListParagraph"/>
        <w:spacing w:after="200" w:line="360" w:lineRule="auto"/>
        <w:ind w:left="360"/>
      </w:pPr>
    </w:p>
    <w:p w:rsidR="00A832AA" w:rsidRDefault="0023621C"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23621C" w:rsidRPr="00A832AA" w:rsidRDefault="0023621C"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A832AA" w:rsidRDefault="00A832AA" w:rsidP="00A832AA">
      <w:pPr>
        <w:pStyle w:val="ListParagraph"/>
        <w:spacing w:after="200" w:line="360" w:lineRule="auto"/>
        <w:ind w:left="360"/>
      </w:pPr>
    </w:p>
    <w:p w:rsidR="00A832AA" w:rsidRDefault="00E42DFD" w:rsidP="00A30C48">
      <w:pPr>
        <w:pStyle w:val="ListParagraph"/>
        <w:numPr>
          <w:ilvl w:val="0"/>
          <w:numId w:val="261"/>
        </w:numPr>
        <w:spacing w:after="200" w:line="360" w:lineRule="auto"/>
      </w:pPr>
      <w:r>
        <w:rPr>
          <w:u w:val="single"/>
        </w:rPr>
        <w:t>Differential Calibration for  Posted/Received IM</w:t>
      </w:r>
      <w:r w:rsidR="00A832AA">
        <w:t>: In</w:t>
      </w:r>
    </w:p>
    <w:p w:rsidR="00A832AA" w:rsidRDefault="00A832AA" w:rsidP="00A832AA">
      <w:pPr>
        <w:pStyle w:val="ListParagraph"/>
        <w:spacing w:after="200" w:line="360" w:lineRule="auto"/>
        <w:ind w:left="360"/>
        <w:rPr>
          <w:u w:val="single"/>
        </w:rPr>
      </w:pPr>
    </w:p>
    <w:p w:rsidR="00A832AA" w:rsidRDefault="00E42DFD"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w:r>
        <w:t>and</w:t>
      </w:r>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w:r>
        <w:t>with</w:t>
      </w:r>
    </w:p>
    <w:p w:rsidR="00A832AA" w:rsidRDefault="00A832AA" w:rsidP="00A832AA">
      <w:pPr>
        <w:pStyle w:val="ListParagraph"/>
        <w:spacing w:after="200" w:line="360" w:lineRule="auto"/>
        <w:ind w:left="360"/>
      </w:pPr>
    </w:p>
    <w:p w:rsidR="00A832AA" w:rsidRPr="00A832AA" w:rsidRDefault="00E42DFD"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rsidR="00A832AA" w:rsidRDefault="00A832AA" w:rsidP="00A832AA">
      <w:pPr>
        <w:pStyle w:val="ListParagraph"/>
        <w:spacing w:after="200" w:line="360" w:lineRule="auto"/>
        <w:ind w:left="360"/>
      </w:pPr>
    </w:p>
    <w:p w:rsidR="00E42DFD" w:rsidRPr="00A832AA" w:rsidRDefault="00E42DFD" w:rsidP="00A832AA">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rsidR="00A832AA" w:rsidRDefault="00E42DFD" w:rsidP="00A30C48">
      <w:pPr>
        <w:pStyle w:val="ListParagraph"/>
        <w:numPr>
          <w:ilvl w:val="0"/>
          <w:numId w:val="261"/>
        </w:numPr>
        <w:spacing w:after="200" w:line="360" w:lineRule="auto"/>
      </w:pPr>
      <w:r>
        <w:rPr>
          <w:u w:val="single"/>
        </w:rPr>
        <w:lastRenderedPageBreak/>
        <w:t>Scaling IM using RFE MPoR</w:t>
      </w:r>
      <w:r w:rsidRPr="00E42DFD">
        <w:t>:</w:t>
      </w:r>
      <w:r>
        <w:t xml:space="preserve"> In</w:t>
      </w:r>
    </w:p>
    <w:p w:rsidR="00A832AA" w:rsidRDefault="00A832AA" w:rsidP="00A832AA">
      <w:pPr>
        <w:pStyle w:val="ListParagraph"/>
        <w:spacing w:after="200" w:line="360" w:lineRule="auto"/>
        <w:ind w:left="360"/>
        <w:rPr>
          <w:u w:val="single"/>
        </w:rPr>
      </w:pPr>
    </w:p>
    <w:p w:rsidR="00A832AA" w:rsidRDefault="00E42DFD" w:rsidP="00A832AA">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A832AA" w:rsidRDefault="00A832AA" w:rsidP="00A832AA">
      <w:pPr>
        <w:pStyle w:val="ListParagraph"/>
        <w:spacing w:after="200" w:line="360" w:lineRule="auto"/>
        <w:ind w:left="360"/>
      </w:pPr>
    </w:p>
    <w:p w:rsidR="00E42DFD" w:rsidRDefault="00E42DFD" w:rsidP="00A832AA">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rsidR="00A832AA" w:rsidRDefault="00E42DFD" w:rsidP="00A30C48">
      <w:pPr>
        <w:pStyle w:val="ListParagraph"/>
        <w:numPr>
          <w:ilvl w:val="0"/>
          <w:numId w:val="261"/>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rsidR="00A832AA" w:rsidRDefault="00A832AA" w:rsidP="00A832AA">
      <w:pPr>
        <w:pStyle w:val="ListParagraph"/>
        <w:spacing w:after="200" w:line="360" w:lineRule="auto"/>
        <w:ind w:left="360"/>
        <w:rPr>
          <w:u w:val="single"/>
        </w:rPr>
      </w:pPr>
    </w:p>
    <w:p w:rsidR="00A832AA" w:rsidRDefault="00E42DFD" w:rsidP="00A832AA">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computed at</w:t>
      </w:r>
    </w:p>
    <w:p w:rsidR="00A832AA" w:rsidRDefault="00A832AA" w:rsidP="00A832AA">
      <w:pPr>
        <w:pStyle w:val="ListParagraph"/>
        <w:spacing w:after="200" w:line="360" w:lineRule="auto"/>
        <w:ind w:left="360"/>
      </w:pPr>
    </w:p>
    <w:p w:rsidR="00A832AA" w:rsidRDefault="00E42DFD"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E42DFD" w:rsidRDefault="00E42DFD" w:rsidP="00A832AA">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w:t>
      </w:r>
      <w:r w:rsidR="004A3416">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rsidR="004A3416">
        <w:t xml:space="preserve"> is a function that gives quantile </w:t>
      </w:r>
      <m:oMath>
        <m:r>
          <w:rPr>
            <w:rFonts w:ascii="Cambria Math" w:hAnsi="Cambria Math"/>
          </w:rPr>
          <m:t>x</m:t>
        </m:r>
      </m:oMath>
      <w:r w:rsidR="004A3416">
        <w:t xml:space="preserve"> for the distribution </w:t>
      </w:r>
      <m:oMath>
        <m:r>
          <w:rPr>
            <w:rFonts w:ascii="Cambria Math" w:hAnsi="Cambria Math"/>
          </w:rPr>
          <m:t>y</m:t>
        </m:r>
      </m:oMath>
      <w:r w:rsidR="004A3416">
        <w:t>.</w:t>
      </w:r>
    </w:p>
    <w:p w:rsidR="00A832AA" w:rsidRDefault="004A3416" w:rsidP="00A30C48">
      <w:pPr>
        <w:pStyle w:val="ListParagraph"/>
        <w:numPr>
          <w:ilvl w:val="0"/>
          <w:numId w:val="261"/>
        </w:numPr>
        <w:spacing w:after="200" w:line="360" w:lineRule="auto"/>
      </w:pPr>
      <w:r>
        <w:rPr>
          <w:u w:val="single"/>
        </w:rPr>
        <w:t xml:space="preserve"> </w:t>
      </w:r>
      <m:oMath>
        <m:r>
          <w:rPr>
            <w:rFonts w:ascii="Cambria Math" w:hAnsi="Cambria Math"/>
            <w:u w:val="single"/>
          </w:rPr>
          <m:t>t</m:t>
        </m:r>
        <m:r>
          <w:rPr>
            <w:rFonts w:ascii="Cambria Math" w:hAnsi="Cambria Math"/>
            <w:u w:val="single"/>
          </w:rPr>
          <m: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rsidR="00A832AA" w:rsidRDefault="00A832AA" w:rsidP="00A832AA">
      <w:pPr>
        <w:pStyle w:val="ListParagraph"/>
        <w:spacing w:after="200" w:line="360" w:lineRule="auto"/>
        <w:ind w:left="360"/>
        <w:rPr>
          <w:u w:val="single"/>
        </w:rPr>
      </w:pPr>
    </w:p>
    <w:p w:rsidR="00A832AA" w:rsidRDefault="004A3416" w:rsidP="00A832AA">
      <w:pPr>
        <w:pStyle w:val="ListParagraph"/>
        <w:spacing w:after="200" w:line="360" w:lineRule="auto"/>
        <w:ind w:left="360"/>
      </w:pPr>
      <m:oMathPara>
        <m:oMath>
          <m:r>
            <w:rPr>
              <w:rFonts w:ascii="Cambria Math" w:hAnsi="Cambria Math"/>
            </w:rPr>
            <m:t>t=0</m:t>
          </m:r>
        </m:oMath>
      </m:oMathPara>
    </w:p>
    <w:p w:rsidR="00A832AA" w:rsidRDefault="00A832AA" w:rsidP="00A832AA">
      <w:pPr>
        <w:pStyle w:val="ListParagraph"/>
        <w:spacing w:after="200" w:line="360" w:lineRule="auto"/>
        <w:ind w:left="360"/>
      </w:pPr>
    </w:p>
    <w:p w:rsidR="004A3416" w:rsidRDefault="004A3416" w:rsidP="00A832AA">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rsidR="00A832AA" w:rsidRDefault="00B6001A" w:rsidP="00A30C48">
      <w:pPr>
        <w:pStyle w:val="ListParagraph"/>
        <w:numPr>
          <w:ilvl w:val="0"/>
          <w:numId w:val="261"/>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rsidR="00A832AA" w:rsidRDefault="00A832AA" w:rsidP="00A832AA">
      <w:pPr>
        <w:pStyle w:val="ListParagraph"/>
        <w:spacing w:after="200" w:line="360" w:lineRule="auto"/>
        <w:ind w:left="360"/>
        <w:rPr>
          <w:u w:val="single"/>
        </w:rPr>
      </w:pPr>
    </w:p>
    <w:p w:rsidR="00A832AA" w:rsidRDefault="00B6001A" w:rsidP="00A832AA">
      <w:pPr>
        <w:pStyle w:val="ListParagraph"/>
        <w:spacing w:after="200" w:line="360" w:lineRule="auto"/>
        <w:ind w:left="360"/>
      </w:pPr>
      <m:oMathPara>
        <m:oMath>
          <m:r>
            <w:rPr>
              <w:rFonts w:ascii="Cambria Math" w:hAnsi="Cambria Math"/>
            </w:rPr>
            <m:t>t</m:t>
          </m:r>
          <m:r>
            <w:rPr>
              <w:rFonts w:ascii="Cambria Math" w:hAnsi="Cambria Math"/>
            </w:rPr>
            <m:t>&gt;</m:t>
          </m:r>
          <m:r>
            <w:rPr>
              <w:rFonts w:ascii="Cambria Math" w:hAnsi="Cambria Math"/>
            </w:rPr>
            <m:t>0</m:t>
          </m:r>
        </m:oMath>
      </m:oMathPara>
    </w:p>
    <w:p w:rsidR="00A832AA" w:rsidRDefault="00A832AA" w:rsidP="00A832AA">
      <w:pPr>
        <w:pStyle w:val="ListParagraph"/>
        <w:spacing w:after="200" w:line="360" w:lineRule="auto"/>
        <w:ind w:left="360"/>
      </w:pPr>
    </w:p>
    <w:p w:rsidR="00B6001A" w:rsidRDefault="00B6001A" w:rsidP="00A832AA">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term structure or an underlying stochastic volatility process that accounts for the mean-reverting behavior to the normal market conditions generally observed from extremely low or high volatility.</w:t>
      </w:r>
    </w:p>
    <w:p w:rsidR="00BA5C30" w:rsidRDefault="00B6001A" w:rsidP="00A30C48">
      <w:pPr>
        <w:pStyle w:val="ListParagraph"/>
        <w:numPr>
          <w:ilvl w:val="0"/>
          <w:numId w:val="261"/>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rsidR="00BA5C30" w:rsidRDefault="00BA5C30" w:rsidP="00BA5C30">
      <w:pPr>
        <w:pStyle w:val="ListParagraph"/>
        <w:spacing w:after="200" w:line="360" w:lineRule="auto"/>
        <w:ind w:left="360"/>
        <w:rPr>
          <w:u w:val="single"/>
        </w:rPr>
      </w:pPr>
    </w:p>
    <w:p w:rsidR="00BA5C30" w:rsidRDefault="00B6001A" w:rsidP="00BA5C30">
      <w:pPr>
        <w:pStyle w:val="ListParagraph"/>
        <w:spacing w:after="200" w:line="360" w:lineRule="auto"/>
        <w:ind w:left="360"/>
      </w:pPr>
      <m:oMathPara>
        <m:oMath>
          <m:r>
            <w:rPr>
              <w:rFonts w:ascii="Cambria Math" w:hAnsi="Cambria Math"/>
            </w:rPr>
            <m:t>t=</m:t>
          </m:r>
          <m:r>
            <w:rPr>
              <w:rFonts w:ascii="Cambria Math" w:hAnsi="Cambria Math"/>
            </w:rPr>
            <m:t>0</m:t>
          </m:r>
        </m:oMath>
      </m:oMathPara>
    </w:p>
    <w:p w:rsidR="00BA5C30" w:rsidRDefault="00BA5C30" w:rsidP="00BA5C30">
      <w:pPr>
        <w:pStyle w:val="ListParagraph"/>
        <w:spacing w:after="200" w:line="360" w:lineRule="auto"/>
        <w:ind w:left="360"/>
      </w:pPr>
    </w:p>
    <w:p w:rsidR="00B6001A" w:rsidRDefault="00B6001A" w:rsidP="00BA5C30">
      <w:pPr>
        <w:pStyle w:val="ListParagraph"/>
        <w:spacing w:after="200" w:line="360" w:lineRule="auto"/>
        <w:ind w:left="360"/>
      </w:pPr>
      <w:r>
        <w:t>reconciliation factor is not independent of the market volatility, and thus not necessarily adequate for the long-term mean level.</w:t>
      </w:r>
    </w:p>
    <w:p w:rsidR="00BA5C30" w:rsidRDefault="00B6001A" w:rsidP="00A30C48">
      <w:pPr>
        <w:pStyle w:val="ListParagraph"/>
        <w:numPr>
          <w:ilvl w:val="0"/>
          <w:numId w:val="261"/>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rsidR="00BA5C30" w:rsidRDefault="00BA5C30" w:rsidP="00BA5C30">
      <w:pPr>
        <w:pStyle w:val="ListParagraph"/>
        <w:spacing w:after="200" w:line="360" w:lineRule="auto"/>
        <w:ind w:left="360"/>
        <w:rPr>
          <w:u w:val="single"/>
        </w:rPr>
      </w:pPr>
    </w:p>
    <w:p w:rsidR="00BA5C30" w:rsidRDefault="00B6001A" w:rsidP="00BA5C30">
      <w:pPr>
        <w:pStyle w:val="ListParagraph"/>
        <w:spacing w:after="200" w:line="360" w:lineRule="auto"/>
        <w:ind w:left="360"/>
      </w:pPr>
      <m:oMathPara>
        <m:oMath>
          <m:r>
            <w:rPr>
              <w:rFonts w:ascii="Cambria Math" w:hAnsi="Cambria Math"/>
            </w:rPr>
            <m:t>t=</m:t>
          </m:r>
          <m:r>
            <w:rPr>
              <w:rFonts w:ascii="Cambria Math" w:hAnsi="Cambria Math"/>
            </w:rPr>
            <m:t>0</m:t>
          </m:r>
        </m:oMath>
      </m:oMathPara>
    </w:p>
    <w:p w:rsidR="00BA5C30" w:rsidRDefault="00BA5C30" w:rsidP="00BA5C30">
      <w:pPr>
        <w:pStyle w:val="ListParagraph"/>
        <w:spacing w:after="200" w:line="360" w:lineRule="auto"/>
        <w:ind w:left="360"/>
      </w:pPr>
    </w:p>
    <w:p w:rsidR="00B6001A" w:rsidRDefault="00B6001A" w:rsidP="00BA5C30">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rsidR="00BA5C30" w:rsidRDefault="00B6001A" w:rsidP="00A30C48">
      <w:pPr>
        <w:pStyle w:val="ListParagraph"/>
        <w:numPr>
          <w:ilvl w:val="0"/>
          <w:numId w:val="261"/>
        </w:numPr>
        <w:spacing w:after="200" w:line="360" w:lineRule="auto"/>
      </w:pPr>
      <w:r>
        <w:rPr>
          <w:u w:val="single"/>
        </w:rPr>
        <w:t>Estimating  from the Long-End</w:t>
      </w:r>
      <w:r w:rsidRPr="00B6001A">
        <w:t>:</w:t>
      </w:r>
      <w:r>
        <w:t xml:space="preserve"> The value</w:t>
      </w:r>
      <w:r w:rsidR="006C1023">
        <w:t>s</w:t>
      </w:r>
      <w:r>
        <w:t xml:space="preserv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w:t>
      </w:r>
      <w:r w:rsidR="006C1023">
        <w:t xml:space="preserve">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rsidR="006C1023">
        <w:t xml:space="preserve"> distribution in</w:t>
      </w:r>
    </w:p>
    <w:p w:rsidR="00BA5C30" w:rsidRDefault="00BA5C30" w:rsidP="00BA5C30">
      <w:pPr>
        <w:pStyle w:val="ListParagraph"/>
        <w:spacing w:after="200" w:line="360" w:lineRule="auto"/>
        <w:ind w:left="360"/>
        <w:rPr>
          <w:u w:val="single"/>
        </w:rPr>
      </w:pPr>
    </w:p>
    <w:p w:rsidR="00BA5C30" w:rsidRDefault="006C1023"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BA5C30" w:rsidRDefault="00BA5C30" w:rsidP="00BA5C30">
      <w:pPr>
        <w:pStyle w:val="ListParagraph"/>
        <w:spacing w:after="200" w:line="360" w:lineRule="auto"/>
        <w:ind w:left="360"/>
      </w:pPr>
    </w:p>
    <w:p w:rsidR="00B6001A" w:rsidRDefault="006C1023" w:rsidP="00BA5C30">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rsidR="009464A6" w:rsidRDefault="009464A6" w:rsidP="00A30C48">
      <w:pPr>
        <w:pStyle w:val="ListParagraph"/>
        <w:numPr>
          <w:ilvl w:val="0"/>
          <w:numId w:val="261"/>
        </w:numPr>
        <w:spacing w:after="200" w:line="360" w:lineRule="auto"/>
      </w:pPr>
      <w:r>
        <w:rPr>
          <w:u w:val="single"/>
        </w:rPr>
        <w:lastRenderedPageBreak/>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rsidR="009464A6" w:rsidRDefault="009464A6" w:rsidP="00A30C48">
      <w:pPr>
        <w:pStyle w:val="ListParagraph"/>
        <w:numPr>
          <w:ilvl w:val="0"/>
          <w:numId w:val="261"/>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Pr="009464A6">
        <w:rPr>
          <w:u w:val="single"/>
        </w:rPr>
        <w:t xml:space="preserve"> for Capital/Risk Models</w:t>
      </w:r>
      <w:r>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two capital and risk functions that can be used to reduce the number of back-testing exceptions (see below) and ensure that the DIM model is conservatively calibrated.</w:t>
      </w:r>
    </w:p>
    <w:p w:rsidR="009464A6" w:rsidRDefault="009464A6" w:rsidP="00A30C48">
      <w:pPr>
        <w:pStyle w:val="ListParagraph"/>
        <w:numPr>
          <w:ilvl w:val="0"/>
          <w:numId w:val="261"/>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Pr="009464A6">
        <w:rPr>
          <w:u w:val="single"/>
        </w:rPr>
        <w:t xml:space="preserve"> for the XVA Models</w:t>
      </w:r>
      <w:r>
        <w:t xml:space="preserve">: </w:t>
      </w:r>
      <w:r w:rsidR="00DF7DD1">
        <w:t xml:space="preserve">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DF7DD1">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DF7DD1">
        <w:t xml:space="preserve"> - to maximize the accuracy of the forecast based on historical performance.</w:t>
      </w:r>
    </w:p>
    <w:p w:rsidR="00DF7DD1" w:rsidRDefault="00DF7DD1" w:rsidP="00A30C48">
      <w:pPr>
        <w:pStyle w:val="ListParagraph"/>
        <w:numPr>
          <w:ilvl w:val="0"/>
          <w:numId w:val="261"/>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rsidR="00BA5C30" w:rsidRDefault="00DF7DD1" w:rsidP="00A30C48">
      <w:pPr>
        <w:pStyle w:val="ListParagraph"/>
        <w:numPr>
          <w:ilvl w:val="0"/>
          <w:numId w:val="261"/>
        </w:numPr>
        <w:spacing w:after="200" w:line="360" w:lineRule="auto"/>
      </w:pPr>
      <w:r>
        <w:rPr>
          <w:u w:val="single"/>
        </w:rPr>
        <w:t>Historical vs. Computed IM Calibrations</w:t>
      </w:r>
      <w:r w:rsidRPr="00DF7DD1">
        <w:t>:</w:t>
      </w:r>
      <w:r>
        <w:t xml:space="preserve"> A comparison between the forecasts of the DIM model defined in</w:t>
      </w:r>
    </w:p>
    <w:p w:rsidR="00BA5C30" w:rsidRDefault="00BA5C30" w:rsidP="00BA5C30">
      <w:pPr>
        <w:pStyle w:val="ListParagraph"/>
        <w:spacing w:after="200" w:line="360" w:lineRule="auto"/>
        <w:ind w:left="360"/>
        <w:rPr>
          <w:u w:val="single"/>
        </w:rPr>
      </w:pPr>
    </w:p>
    <w:p w:rsidR="00BA5C30" w:rsidRDefault="00DF7DD1" w:rsidP="00BA5C30">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rsidR="00BA5C30" w:rsidRDefault="00BA5C30" w:rsidP="00BA5C30">
      <w:pPr>
        <w:pStyle w:val="ListParagraph"/>
        <w:spacing w:after="200" w:line="360" w:lineRule="auto"/>
        <w:ind w:left="360"/>
      </w:pPr>
    </w:p>
    <w:p w:rsidR="00BA5C30" w:rsidRDefault="00DF7DD1" w:rsidP="00BA5C3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rsidR="00BA5C30" w:rsidRDefault="00BA5C30" w:rsidP="00BA5C30">
      <w:pPr>
        <w:pStyle w:val="ListParagraph"/>
        <w:spacing w:after="200" w:line="360" w:lineRule="auto"/>
        <w:ind w:left="360"/>
      </w:pPr>
    </w:p>
    <w:p w:rsidR="00BA5C30" w:rsidRDefault="00DF7DD1" w:rsidP="00BA5C3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rsidR="00BA5C30" w:rsidRDefault="00BA5C30" w:rsidP="00BA5C30">
      <w:pPr>
        <w:pStyle w:val="ListParagraph"/>
        <w:spacing w:after="200" w:line="360" w:lineRule="auto"/>
        <w:ind w:left="360"/>
      </w:pPr>
    </w:p>
    <w:p w:rsidR="00BA5C30" w:rsidRDefault="00DF7DD1"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rsidR="00BA5C30" w:rsidRDefault="00BA5C30" w:rsidP="00BA5C30">
      <w:pPr>
        <w:pStyle w:val="ListParagraph"/>
        <w:spacing w:after="200" w:line="360" w:lineRule="auto"/>
        <w:ind w:left="360"/>
      </w:pPr>
    </w:p>
    <w:p w:rsidR="00BA5C30" w:rsidRDefault="00DF7DD1" w:rsidP="00BA5C30">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rsidR="00BA5C30" w:rsidRDefault="00BA5C30" w:rsidP="00BA5C30">
      <w:pPr>
        <w:pStyle w:val="ListParagraph"/>
        <w:spacing w:after="200" w:line="360" w:lineRule="auto"/>
        <w:ind w:left="360"/>
      </w:pPr>
    </w:p>
    <w:p w:rsidR="00DF7DD1" w:rsidRDefault="00DF7DD1" w:rsidP="00BA5C30">
      <w:pPr>
        <w:pStyle w:val="ListParagraph"/>
        <w:spacing w:after="200" w:line="360" w:lineRule="auto"/>
        <w:ind w:left="360"/>
      </w:pPr>
      <w:r>
        <w:lastRenderedPageBreak/>
        <w:t>and the historical IMR realizations computed with the SIMM methodology is shown in Anfuso, Aziz, Loukopoulos, and Giltinan (2017) where alternative scaling approaches are considered.</w:t>
      </w:r>
    </w:p>
    <w:p w:rsidR="00356577" w:rsidRDefault="00356577" w:rsidP="00A30C48">
      <w:pPr>
        <w:pStyle w:val="ListParagraph"/>
        <w:numPr>
          <w:ilvl w:val="0"/>
          <w:numId w:val="261"/>
        </w:numPr>
        <w:spacing w:after="200" w:line="360" w:lineRule="auto"/>
      </w:pPr>
      <w:r>
        <w:rPr>
          <w:u w:val="single"/>
        </w:rPr>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rsidR="00356577" w:rsidRDefault="00356577" w:rsidP="00A30C48">
      <w:pPr>
        <w:pStyle w:val="ListParagraph"/>
        <w:numPr>
          <w:ilvl w:val="0"/>
          <w:numId w:val="261"/>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Pr="00356577">
        <w:rPr>
          <w:u w:val="single"/>
        </w:rPr>
        <w:t xml:space="preserve"> Error Metric Choice</w:t>
      </w:r>
      <w:r>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 in place of </w:t>
      </w:r>
      <m:oMath>
        <m:r>
          <w:rPr>
            <w:rFonts w:ascii="Cambria Math" w:hAnsi="Cambria Math"/>
          </w:rPr>
          <m:t>t</m:t>
        </m:r>
      </m:oMath>
      <w:r>
        <w:t xml:space="preserve"> whenever the same quantity is computed at multiple sampling dates.</w:t>
      </w:r>
    </w:p>
    <w:p w:rsidR="00BA5C30" w:rsidRDefault="00356577" w:rsidP="00A30C48">
      <w:pPr>
        <w:pStyle w:val="ListParagraph"/>
        <w:numPr>
          <w:ilvl w:val="0"/>
          <w:numId w:val="261"/>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w:t>
      </w:r>
      <w:r w:rsidR="00337424">
        <w:t xml:space="preserve">and FX forwards – approximately </w:t>
      </w:r>
      <m:oMath>
        <m:r>
          <w:rPr>
            <w:rFonts w:ascii="Cambria Math" w:hAnsi="Cambria Math"/>
          </w:rPr>
          <m:t>75%</m:t>
        </m:r>
      </m:oMath>
      <w:r w:rsidR="00337424">
        <w:t xml:space="preserve"> of the population is made up of</w:t>
      </w:r>
    </w:p>
    <w:p w:rsidR="00BA5C30" w:rsidRDefault="00BA5C30" w:rsidP="00BA5C30">
      <w:pPr>
        <w:pStyle w:val="ListParagraph"/>
        <w:spacing w:after="200" w:line="360" w:lineRule="auto"/>
        <w:ind w:left="360"/>
        <w:rPr>
          <w:u w:val="single"/>
        </w:rPr>
      </w:pPr>
    </w:p>
    <w:p w:rsidR="00BA5C30" w:rsidRDefault="00337424" w:rsidP="00BA5C30">
      <w:pPr>
        <w:pStyle w:val="ListParagraph"/>
        <w:spacing w:after="200" w:line="360" w:lineRule="auto"/>
        <w:ind w:left="360"/>
      </w:pPr>
      <m:oMathPara>
        <m:oMath>
          <m:r>
            <w:rPr>
              <w:rFonts w:ascii="Cambria Math" w:hAnsi="Cambria Math"/>
            </w:rPr>
            <m:t>∆=1</m:t>
          </m:r>
        </m:oMath>
      </m:oMathPara>
    </w:p>
    <w:p w:rsidR="00BA5C30" w:rsidRDefault="00BA5C30" w:rsidP="00BA5C30">
      <w:pPr>
        <w:pStyle w:val="ListParagraph"/>
        <w:spacing w:after="200" w:line="360" w:lineRule="auto"/>
        <w:ind w:left="360"/>
      </w:pPr>
    </w:p>
    <w:p w:rsidR="00356577" w:rsidRDefault="00337424" w:rsidP="00BA5C30">
      <w:pPr>
        <w:pStyle w:val="ListParagraph"/>
        <w:spacing w:after="200" w:line="360" w:lineRule="auto"/>
        <w:ind w:left="360"/>
      </w:pPr>
      <w:r>
        <w:t>trades.</w:t>
      </w:r>
    </w:p>
    <w:p w:rsidR="00337424" w:rsidRDefault="00337424" w:rsidP="00A30C48">
      <w:pPr>
        <w:pStyle w:val="ListParagraph"/>
        <w:numPr>
          <w:ilvl w:val="0"/>
          <w:numId w:val="261"/>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rsidR="00337424" w:rsidRDefault="00337424" w:rsidP="00A30C48">
      <w:pPr>
        <w:pStyle w:val="ListParagraph"/>
        <w:numPr>
          <w:ilvl w:val="0"/>
          <w:numId w:val="261"/>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w:t>
      </w:r>
      <w:r w:rsidR="005877BF">
        <w:t xml:space="preserve"> </w:t>
      </w:r>
      <w:r>
        <w:t>to be used for regulatory exposure.</w:t>
      </w:r>
    </w:p>
    <w:p w:rsidR="005877BF" w:rsidRDefault="005877BF" w:rsidP="00A30C48">
      <w:pPr>
        <w:pStyle w:val="ListParagraph"/>
        <w:numPr>
          <w:ilvl w:val="0"/>
          <w:numId w:val="261"/>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w:t>
      </w:r>
      <w:r>
        <w:lastRenderedPageBreak/>
        <w:t>compared against the Portfolio Approaches to Interest Rate Scenarios (Pairs: LCH.ClearNet) and historical value-at-risk (HVaR; Chicago Mercantile Exchange) realizations.</w:t>
      </w:r>
    </w:p>
    <w:p w:rsidR="005877BF" w:rsidRDefault="005877BF" w:rsidP="00A30C48">
      <w:pPr>
        <w:pStyle w:val="ListParagraph"/>
        <w:numPr>
          <w:ilvl w:val="0"/>
          <w:numId w:val="261"/>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rsidR="005877BF" w:rsidRDefault="005877BF" w:rsidP="00A30C48">
      <w:pPr>
        <w:pStyle w:val="ListParagraph"/>
        <w:numPr>
          <w:ilvl w:val="0"/>
          <w:numId w:val="261"/>
        </w:numPr>
        <w:spacing w:after="200" w:line="360" w:lineRule="auto"/>
      </w:pPr>
      <w:r>
        <w:rPr>
          <w:u w:val="single"/>
        </w:rPr>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rsidR="005877BF" w:rsidRDefault="005877BF" w:rsidP="00A30C48">
      <w:pPr>
        <w:pStyle w:val="ListParagraph"/>
        <w:numPr>
          <w:ilvl w:val="0"/>
          <w:numId w:val="261"/>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rsidR="005877BF" w:rsidRDefault="005877BF" w:rsidP="005877BF">
      <w:pPr>
        <w:spacing w:after="200" w:line="360" w:lineRule="auto"/>
      </w:pPr>
    </w:p>
    <w:p w:rsidR="005877BF" w:rsidRDefault="005877BF" w:rsidP="005877BF">
      <w:pPr>
        <w:spacing w:after="200" w:line="360" w:lineRule="auto"/>
      </w:pPr>
    </w:p>
    <w:p w:rsidR="005877BF" w:rsidRPr="005877BF" w:rsidRDefault="005877BF" w:rsidP="005877BF">
      <w:pPr>
        <w:spacing w:after="200" w:line="360" w:lineRule="auto"/>
        <w:rPr>
          <w:b/>
          <w:sz w:val="28"/>
          <w:szCs w:val="28"/>
        </w:rPr>
      </w:pPr>
      <w:r w:rsidRPr="005877BF">
        <w:rPr>
          <w:b/>
          <w:sz w:val="28"/>
          <w:szCs w:val="28"/>
        </w:rPr>
        <w:t>How to Backtest a DIM Model</w:t>
      </w:r>
    </w:p>
    <w:p w:rsidR="005877BF" w:rsidRDefault="005877BF" w:rsidP="005877BF">
      <w:pPr>
        <w:spacing w:after="200" w:line="360" w:lineRule="auto"/>
      </w:pPr>
    </w:p>
    <w:p w:rsidR="005877BF" w:rsidRDefault="005877BF" w:rsidP="005877BF">
      <w:pPr>
        <w:pStyle w:val="ListParagraph"/>
        <w:numPr>
          <w:ilvl w:val="0"/>
          <w:numId w:val="262"/>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rsidR="00B96643" w:rsidRDefault="00B96643" w:rsidP="00B96643">
      <w:pPr>
        <w:spacing w:after="200" w:line="360" w:lineRule="auto"/>
      </w:pPr>
    </w:p>
    <w:p w:rsidR="00B96643" w:rsidRDefault="00B96643" w:rsidP="00B96643">
      <w:pPr>
        <w:spacing w:after="200" w:line="360" w:lineRule="auto"/>
      </w:pPr>
    </w:p>
    <w:p w:rsidR="00B96643" w:rsidRPr="00C83F45" w:rsidRDefault="00B96643" w:rsidP="00B96643">
      <w:pPr>
        <w:spacing w:after="200" w:line="360" w:lineRule="auto"/>
        <w:rPr>
          <w:b/>
          <w:sz w:val="28"/>
        </w:rPr>
      </w:pPr>
      <w:r w:rsidRPr="00C83F45">
        <w:rPr>
          <w:b/>
          <w:sz w:val="28"/>
        </w:rPr>
        <w:t>References</w:t>
      </w:r>
    </w:p>
    <w:p w:rsidR="00B96643" w:rsidRDefault="00B96643" w:rsidP="00B96643">
      <w:pPr>
        <w:spacing w:after="200" w:line="360" w:lineRule="auto"/>
      </w:pPr>
    </w:p>
    <w:p w:rsidR="00B96643" w:rsidRDefault="00B96643" w:rsidP="00B96643">
      <w:pPr>
        <w:pStyle w:val="ListParagraph"/>
        <w:numPr>
          <w:ilvl w:val="0"/>
          <w:numId w:val="167"/>
        </w:numPr>
        <w:spacing w:after="200" w:line="360" w:lineRule="auto"/>
      </w:pPr>
      <w:r>
        <w:t xml:space="preserve">Andersen, L., M. Pykhtin, and A. Sokol (2017a): </w:t>
      </w:r>
      <w:hyperlink r:id="rId40" w:history="1">
        <w:r>
          <w:rPr>
            <w:rStyle w:val="Hyperlink"/>
          </w:rPr>
          <w:t>Re-thinking Margin Period of Risk</w:t>
        </w:r>
      </w:hyperlink>
      <w:r>
        <w:t xml:space="preserve"> </w:t>
      </w:r>
      <w:r>
        <w:rPr>
          <w:b/>
        </w:rPr>
        <w:t>eSSRN</w:t>
      </w:r>
      <w:r>
        <w:t>.</w:t>
      </w:r>
    </w:p>
    <w:p w:rsidR="00B96643" w:rsidRDefault="00B96643" w:rsidP="00B96643">
      <w:pPr>
        <w:pStyle w:val="ListParagraph"/>
        <w:numPr>
          <w:ilvl w:val="0"/>
          <w:numId w:val="167"/>
        </w:numPr>
        <w:spacing w:after="200" w:line="360" w:lineRule="auto"/>
      </w:pPr>
      <w:r>
        <w:lastRenderedPageBreak/>
        <w:t xml:space="preserve">Andersen, L., M. Pykhtin, and A. Sokol (2017b): </w:t>
      </w:r>
      <w:hyperlink r:id="rId41" w:history="1">
        <w:r w:rsidR="006C1023" w:rsidRPr="006C1023">
          <w:rPr>
            <w:rStyle w:val="Hyperlink"/>
          </w:rPr>
          <w:t>Credit Exposure in the Presence of Initial Margin</w:t>
        </w:r>
      </w:hyperlink>
      <w:r w:rsidR="006C1023">
        <w:t xml:space="preserve"> </w:t>
      </w:r>
      <w:r w:rsidR="006C1023" w:rsidRPr="006C1023">
        <w:rPr>
          <w:b/>
        </w:rPr>
        <w:t>eSSRN</w:t>
      </w:r>
      <w:r w:rsidR="006C1023">
        <w:t>.</w:t>
      </w:r>
    </w:p>
    <w:p w:rsidR="00B96643" w:rsidRDefault="00B96643" w:rsidP="00B96643">
      <w:pPr>
        <w:pStyle w:val="ListParagraph"/>
        <w:numPr>
          <w:ilvl w:val="0"/>
          <w:numId w:val="167"/>
        </w:numPr>
        <w:spacing w:after="200" w:line="360" w:lineRule="auto"/>
      </w:pPr>
      <w:r>
        <w:t xml:space="preserve">Anfuso, C., D. Aziz, K. Loukopoulos, and P. Giltinan (2017): </w:t>
      </w:r>
      <w:hyperlink r:id="rId42" w:history="1">
        <w:r w:rsidRPr="006C1023">
          <w:rPr>
            <w:rStyle w:val="Hyperlink"/>
          </w:rPr>
          <w:t>A Sound Modeling and Backtesting Framework for Forecasting Initial Margin</w:t>
        </w:r>
      </w:hyperlink>
      <w:r>
        <w:t xml:space="preserve"> </w:t>
      </w:r>
      <w:r w:rsidRPr="00B96643">
        <w:rPr>
          <w:b/>
        </w:rPr>
        <w:t>eSSRN</w:t>
      </w:r>
      <w:r>
        <w:t>.</w:t>
      </w:r>
    </w:p>
    <w:p w:rsidR="00B96643" w:rsidRDefault="00B96643" w:rsidP="00B96643">
      <w:pPr>
        <w:pStyle w:val="ListParagraph"/>
        <w:numPr>
          <w:ilvl w:val="0"/>
          <w:numId w:val="167"/>
        </w:numPr>
        <w:spacing w:after="200" w:line="360" w:lineRule="auto"/>
      </w:pPr>
      <w:r>
        <w:t>Basel Commit</w:t>
      </w:r>
      <w:r w:rsidR="00A832AA">
        <w:t>tee on Banking Supervision (2013</w:t>
      </w:r>
      <w:r>
        <w:t xml:space="preserve">): </w:t>
      </w:r>
      <w:hyperlink r:id="rId43" w:history="1">
        <w:r w:rsidR="00A832AA">
          <w:rPr>
            <w:rStyle w:val="Hyperlink"/>
          </w:rPr>
          <w:t>Basel III: The Liquidity Coverage Ratio and Liquidity Risk Monitoring Tools</w:t>
        </w:r>
      </w:hyperlink>
    </w:p>
    <w:p w:rsidR="00A832AA" w:rsidRDefault="00A832AA" w:rsidP="00A832AA">
      <w:pPr>
        <w:pStyle w:val="ListParagraph"/>
        <w:numPr>
          <w:ilvl w:val="0"/>
          <w:numId w:val="167"/>
        </w:numPr>
        <w:spacing w:after="200" w:line="360" w:lineRule="auto"/>
      </w:pPr>
      <w:r>
        <w:t xml:space="preserve">Basel Committee on Banking Supervision (2015): </w:t>
      </w:r>
      <w:hyperlink r:id="rId44" w:history="1">
        <w:r w:rsidRPr="006C1023">
          <w:rPr>
            <w:rStyle w:val="Hyperlink"/>
          </w:rPr>
          <w:t>Margin Requirements for Non-centrally Cleared Derivatives</w:t>
        </w:r>
      </w:hyperlink>
    </w:p>
    <w:p w:rsidR="00B96643" w:rsidRDefault="006C1023" w:rsidP="00B96643">
      <w:pPr>
        <w:pStyle w:val="ListParagraph"/>
        <w:numPr>
          <w:ilvl w:val="0"/>
          <w:numId w:val="167"/>
        </w:numPr>
        <w:spacing w:after="200" w:line="360" w:lineRule="auto"/>
      </w:pPr>
      <w:r>
        <w:t>Green</w:t>
      </w:r>
      <w:r w:rsidR="00B96643">
        <w:t xml:space="preserve">, </w:t>
      </w:r>
      <w:r>
        <w:t>A. D</w:t>
      </w:r>
      <w:r w:rsidR="00B96643">
        <w:t xml:space="preserve">., and </w:t>
      </w:r>
      <w:r>
        <w:t>C</w:t>
      </w:r>
      <w:r w:rsidR="00B96643">
        <w:t xml:space="preserve">. </w:t>
      </w:r>
      <w:r>
        <w:t xml:space="preserve">Kenyon </w:t>
      </w:r>
      <w:r w:rsidR="00B96643">
        <w:t xml:space="preserve">(2015): </w:t>
      </w:r>
      <w:hyperlink r:id="rId45" w:history="1">
        <w:r w:rsidRPr="006C1023">
          <w:rPr>
            <w:rStyle w:val="Hyperlink"/>
          </w:rPr>
          <w:t>MVA by Replication and Regression</w:t>
        </w:r>
      </w:hyperlink>
      <w:r w:rsidR="008027BC">
        <w:t xml:space="preserve"> </w:t>
      </w:r>
      <w:r w:rsidR="008027BC" w:rsidRPr="008027BC">
        <w:rPr>
          <w:b/>
        </w:rPr>
        <w:t>ar</w:t>
      </w:r>
      <w:r w:rsidR="008027BC">
        <w:rPr>
          <w:b/>
        </w:rPr>
        <w:t>X</w:t>
      </w:r>
      <w:r w:rsidR="008027BC" w:rsidRPr="008027BC">
        <w:rPr>
          <w:b/>
        </w:rPr>
        <w:t>i</w:t>
      </w:r>
      <w:r w:rsidR="008027BC">
        <w:rPr>
          <w:b/>
        </w:rPr>
        <w:t>V</w:t>
      </w:r>
    </w:p>
    <w:p w:rsidR="00247628" w:rsidRDefault="00247628" w:rsidP="00B96643">
      <w:pPr>
        <w:pStyle w:val="ListParagraph"/>
        <w:numPr>
          <w:ilvl w:val="0"/>
          <w:numId w:val="167"/>
        </w:numPr>
        <w:spacing w:after="200" w:line="360" w:lineRule="auto"/>
      </w:pPr>
      <w:r>
        <w:t xml:space="preserve">International Swaps and Derivatives Association (2016): </w:t>
      </w:r>
      <w:hyperlink r:id="rId46" w:history="1">
        <w:r w:rsidR="008027BC" w:rsidRPr="008027BC">
          <w:rPr>
            <w:rStyle w:val="Hyperlink"/>
          </w:rPr>
          <w:t>ISDA SIMM Methodology</w:t>
        </w:r>
      </w:hyperlink>
    </w:p>
    <w:p w:rsidR="00FB15FF" w:rsidRDefault="00FB15FF" w:rsidP="00B96643">
      <w:pPr>
        <w:pStyle w:val="ListParagraph"/>
        <w:numPr>
          <w:ilvl w:val="0"/>
          <w:numId w:val="167"/>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rsidR="00B15944" w:rsidRDefault="00B15944" w:rsidP="00B96643">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0F083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0F083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0F083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0F083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0F083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0F083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0F083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0F0838"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0F0838"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0F0838"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47"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48"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49"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50"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0F083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0F083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0F083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0F083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0F083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0F083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0F083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0F0838"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0F0838"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0F0838"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0F0838"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0F0838"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0F0838"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0F0838"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0F0838"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0F0838"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F083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F083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F083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F083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0F083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0F0838"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F083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F083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F083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0F083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0F0838"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0F0838"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0F0838"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0F0838"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0F083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F083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F083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F083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0F0838"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0F0838"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0F0838"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0F0838"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0F0838"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0F0838"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0F0838"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m:t>
        </m:r>
        <m:r>
          <w:rPr>
            <w:rFonts w:ascii="Cambria Math" w:hAnsi="Cambria Math"/>
          </w:rPr>
          <m:t>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0F083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0F0838"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0F0838"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F0838"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0F0838"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m:t>
            </m:r>
            <m:r>
              <w:rPr>
                <w:rFonts w:ascii="Cambria Math" w:hAnsi="Cambria Math"/>
              </w:rPr>
              <m:t>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m:t>
              </m:r>
              <m:r>
                <w:rPr>
                  <w:rFonts w:ascii="Cambria Math" w:hAnsi="Cambria Math"/>
                </w:rPr>
                <m:t>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5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52"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5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5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5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5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5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5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5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6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0F0838"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6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6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6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6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6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7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7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7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0F0838"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0F0838"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r>
                <w:rPr>
                  <w:rFonts w:ascii="Cambria Math" w:hAnsi="Cambria Math"/>
                </w:rPr>
                <m:t>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0F0838"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0F0838"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0F0838"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0F083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0F0838"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0F0838"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0F083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0F083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0F083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0F0838"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7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0F0838"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0F0838"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0F0838"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m:t>
            </m:r>
            <m:r>
              <w:rPr>
                <w:rFonts w:ascii="Cambria Math" w:hAnsi="Cambria Math"/>
              </w:rPr>
              <m:t>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8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83"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84"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0F0838"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0F0838"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m:t>
        </m:r>
        <m:r>
          <w:rPr>
            <w:rFonts w:ascii="Cambria Math" w:hAnsi="Cambria Math"/>
          </w:rPr>
          <m:t>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0F0838"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m:t>
        </m:r>
        <m:r>
          <w:rPr>
            <w:rFonts w:ascii="Cambria Math" w:hAnsi="Cambria Math"/>
            <w:u w:val="single"/>
          </w:rPr>
          <m:t>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85"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86"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87"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0F0838"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0F0838"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0F0838"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0F0838"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0F0838"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0F0838"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0F0838"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0F0838"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0F0838"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0F0838"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0F0838"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0F0838"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0F0838"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0F0838"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0F0838"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0F0838"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0F0838"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0F0838"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0F0838"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0F0838"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0F0838"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0F0838"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0F0838"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0F0838"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0F0838"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0F0838"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0F0838"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0F0838"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0F0838"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0F0838"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0F0838"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0F0838"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0F0838"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0F0838"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0F0838"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0F0838"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0F0838"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0F0838"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0F0838"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0F0838"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0F0838"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0F0838"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0F0838"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0F0838"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0F0838"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0F0838"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0F0838"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0F0838"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0F0838"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F0838"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0F0838"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0F0838"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0F0838"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0F0838"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0F0838"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0F0838"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0F0838"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0F0838"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0F0838"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0F0838"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0F0838"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0F0838"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0F0838"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0F0838"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0F0838"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0F083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F083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F083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0F083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F083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F0838"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0F0838"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0F0838"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0F0838"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0F0838"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0F0838"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0F0838"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0F0838"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0F0838"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0F0838"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0F0838"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0F0838"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0F0838"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0F0838"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0F0838"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0F0838"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0F0838"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0F0838"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0F0838"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0F083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0F083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0F083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0F083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0F083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0F0838"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0F083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F083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F083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0F083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F083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F0838"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0F0838"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0F0838"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0F0838"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0F0838"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0F0838"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0F0838"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0F083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0F083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0F083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0F083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0F083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0F0838"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0F0838"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0F0838"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0F0838"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0F0838"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m:t>
                          </m:r>
                          <m:r>
                            <w:rPr>
                              <w:rFonts w:ascii="Cambria Math" w:hAnsi="Cambria Math"/>
                              <w:vanish/>
                            </w:rPr>
                            <m:t>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0F0838"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0F0838"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0F0838"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0F0838"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0F0838"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0F0838"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0F0838"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0F0838"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0F0838"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0F0838"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0F0838"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0F0838"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0F0838"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0F0838"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0F0838"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0F0838"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0F0838"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0F083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0F083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0F083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0F083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0F083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0F0838"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0F0838"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0F0838"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0F0838"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0F0838"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0F0838"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0F0838"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0F0838"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0F0838"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0F0838"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0F0838"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0F0838"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0F0838"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0F0838"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0F0838"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0F0838"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0F0838"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0F0838"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0F0838"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0F0838"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0F0838"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88"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89"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90"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91"/>
      <w:footerReference w:type="default" r:id="rI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2E7" w:rsidRDefault="008F62E7" w:rsidP="008F462D">
      <w:r>
        <w:separator/>
      </w:r>
    </w:p>
  </w:endnote>
  <w:endnote w:type="continuationSeparator" w:id="0">
    <w:p w:rsidR="008F62E7" w:rsidRDefault="008F62E7"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A832AA" w:rsidRDefault="00A832AA">
        <w:pPr>
          <w:pStyle w:val="Footer"/>
          <w:jc w:val="center"/>
        </w:pPr>
        <w:r>
          <w:fldChar w:fldCharType="begin"/>
        </w:r>
        <w:r>
          <w:instrText xml:space="preserve"> PAGE   \* MERGEFORMAT </w:instrText>
        </w:r>
        <w:r>
          <w:fldChar w:fldCharType="separate"/>
        </w:r>
        <w:r w:rsidR="00BA5C30">
          <w:rPr>
            <w:noProof/>
          </w:rPr>
          <w:t>292</w:t>
        </w:r>
        <w:r>
          <w:rPr>
            <w:noProof/>
          </w:rPr>
          <w:fldChar w:fldCharType="end"/>
        </w:r>
      </w:p>
    </w:sdtContent>
  </w:sdt>
  <w:p w:rsidR="00A832AA" w:rsidRDefault="00A83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2E7" w:rsidRDefault="008F62E7" w:rsidP="008F462D">
      <w:r>
        <w:separator/>
      </w:r>
    </w:p>
  </w:footnote>
  <w:footnote w:type="continuationSeparator" w:id="0">
    <w:p w:rsidR="008F62E7" w:rsidRDefault="008F62E7"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2AA" w:rsidRDefault="00A832AA">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A832AA" w:rsidRDefault="00A832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03F6B78"/>
    <w:multiLevelType w:val="hybridMultilevel"/>
    <w:tmpl w:val="4154B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1">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4">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9">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8">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2">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3"/>
  </w:num>
  <w:num w:numId="2">
    <w:abstractNumId w:val="102"/>
  </w:num>
  <w:num w:numId="3">
    <w:abstractNumId w:val="217"/>
  </w:num>
  <w:num w:numId="4">
    <w:abstractNumId w:val="75"/>
  </w:num>
  <w:num w:numId="5">
    <w:abstractNumId w:val="72"/>
  </w:num>
  <w:num w:numId="6">
    <w:abstractNumId w:val="170"/>
  </w:num>
  <w:num w:numId="7">
    <w:abstractNumId w:val="251"/>
  </w:num>
  <w:num w:numId="8">
    <w:abstractNumId w:val="198"/>
  </w:num>
  <w:num w:numId="9">
    <w:abstractNumId w:val="196"/>
  </w:num>
  <w:num w:numId="10">
    <w:abstractNumId w:val="82"/>
  </w:num>
  <w:num w:numId="11">
    <w:abstractNumId w:val="107"/>
  </w:num>
  <w:num w:numId="12">
    <w:abstractNumId w:val="5"/>
  </w:num>
  <w:num w:numId="13">
    <w:abstractNumId w:val="14"/>
  </w:num>
  <w:num w:numId="14">
    <w:abstractNumId w:val="208"/>
  </w:num>
  <w:num w:numId="15">
    <w:abstractNumId w:val="116"/>
  </w:num>
  <w:num w:numId="16">
    <w:abstractNumId w:val="214"/>
  </w:num>
  <w:num w:numId="17">
    <w:abstractNumId w:val="38"/>
  </w:num>
  <w:num w:numId="18">
    <w:abstractNumId w:val="238"/>
  </w:num>
  <w:num w:numId="19">
    <w:abstractNumId w:val="223"/>
  </w:num>
  <w:num w:numId="20">
    <w:abstractNumId w:val="71"/>
  </w:num>
  <w:num w:numId="21">
    <w:abstractNumId w:val="20"/>
  </w:num>
  <w:num w:numId="22">
    <w:abstractNumId w:val="167"/>
  </w:num>
  <w:num w:numId="23">
    <w:abstractNumId w:val="241"/>
  </w:num>
  <w:num w:numId="24">
    <w:abstractNumId w:val="37"/>
  </w:num>
  <w:num w:numId="25">
    <w:abstractNumId w:val="195"/>
  </w:num>
  <w:num w:numId="26">
    <w:abstractNumId w:val="183"/>
  </w:num>
  <w:num w:numId="27">
    <w:abstractNumId w:val="163"/>
  </w:num>
  <w:num w:numId="28">
    <w:abstractNumId w:val="53"/>
  </w:num>
  <w:num w:numId="29">
    <w:abstractNumId w:val="161"/>
  </w:num>
  <w:num w:numId="30">
    <w:abstractNumId w:val="29"/>
  </w:num>
  <w:num w:numId="31">
    <w:abstractNumId w:val="232"/>
  </w:num>
  <w:num w:numId="32">
    <w:abstractNumId w:val="68"/>
  </w:num>
  <w:num w:numId="33">
    <w:abstractNumId w:val="240"/>
  </w:num>
  <w:num w:numId="34">
    <w:abstractNumId w:val="22"/>
  </w:num>
  <w:num w:numId="35">
    <w:abstractNumId w:val="8"/>
  </w:num>
  <w:num w:numId="36">
    <w:abstractNumId w:val="153"/>
  </w:num>
  <w:num w:numId="37">
    <w:abstractNumId w:val="180"/>
  </w:num>
  <w:num w:numId="38">
    <w:abstractNumId w:val="73"/>
  </w:num>
  <w:num w:numId="39">
    <w:abstractNumId w:val="237"/>
  </w:num>
  <w:num w:numId="40">
    <w:abstractNumId w:val="41"/>
  </w:num>
  <w:num w:numId="41">
    <w:abstractNumId w:val="39"/>
  </w:num>
  <w:num w:numId="42">
    <w:abstractNumId w:val="44"/>
  </w:num>
  <w:num w:numId="43">
    <w:abstractNumId w:val="166"/>
  </w:num>
  <w:num w:numId="44">
    <w:abstractNumId w:val="175"/>
  </w:num>
  <w:num w:numId="45">
    <w:abstractNumId w:val="79"/>
  </w:num>
  <w:num w:numId="46">
    <w:abstractNumId w:val="83"/>
  </w:num>
  <w:num w:numId="47">
    <w:abstractNumId w:val="176"/>
  </w:num>
  <w:num w:numId="48">
    <w:abstractNumId w:val="215"/>
  </w:num>
  <w:num w:numId="49">
    <w:abstractNumId w:val="81"/>
  </w:num>
  <w:num w:numId="50">
    <w:abstractNumId w:val="206"/>
  </w:num>
  <w:num w:numId="51">
    <w:abstractNumId w:val="137"/>
  </w:num>
  <w:num w:numId="52">
    <w:abstractNumId w:val="257"/>
  </w:num>
  <w:num w:numId="53">
    <w:abstractNumId w:val="207"/>
  </w:num>
  <w:num w:numId="54">
    <w:abstractNumId w:val="135"/>
  </w:num>
  <w:num w:numId="55">
    <w:abstractNumId w:val="127"/>
  </w:num>
  <w:num w:numId="56">
    <w:abstractNumId w:val="219"/>
  </w:num>
  <w:num w:numId="57">
    <w:abstractNumId w:val="48"/>
  </w:num>
  <w:num w:numId="58">
    <w:abstractNumId w:val="171"/>
  </w:num>
  <w:num w:numId="59">
    <w:abstractNumId w:val="121"/>
  </w:num>
  <w:num w:numId="60">
    <w:abstractNumId w:val="115"/>
  </w:num>
  <w:num w:numId="61">
    <w:abstractNumId w:val="123"/>
  </w:num>
  <w:num w:numId="62">
    <w:abstractNumId w:val="156"/>
  </w:num>
  <w:num w:numId="63">
    <w:abstractNumId w:val="34"/>
  </w:num>
  <w:num w:numId="64">
    <w:abstractNumId w:val="181"/>
  </w:num>
  <w:num w:numId="65">
    <w:abstractNumId w:val="149"/>
  </w:num>
  <w:num w:numId="66">
    <w:abstractNumId w:val="233"/>
  </w:num>
  <w:num w:numId="67">
    <w:abstractNumId w:val="23"/>
  </w:num>
  <w:num w:numId="68">
    <w:abstractNumId w:val="97"/>
  </w:num>
  <w:num w:numId="69">
    <w:abstractNumId w:val="7"/>
  </w:num>
  <w:num w:numId="70">
    <w:abstractNumId w:val="105"/>
  </w:num>
  <w:num w:numId="71">
    <w:abstractNumId w:val="57"/>
  </w:num>
  <w:num w:numId="72">
    <w:abstractNumId w:val="43"/>
  </w:num>
  <w:num w:numId="73">
    <w:abstractNumId w:val="84"/>
  </w:num>
  <w:num w:numId="74">
    <w:abstractNumId w:val="144"/>
  </w:num>
  <w:num w:numId="75">
    <w:abstractNumId w:val="236"/>
  </w:num>
  <w:num w:numId="76">
    <w:abstractNumId w:val="78"/>
  </w:num>
  <w:num w:numId="77">
    <w:abstractNumId w:val="25"/>
  </w:num>
  <w:num w:numId="78">
    <w:abstractNumId w:val="130"/>
  </w:num>
  <w:num w:numId="79">
    <w:abstractNumId w:val="69"/>
  </w:num>
  <w:num w:numId="80">
    <w:abstractNumId w:val="168"/>
  </w:num>
  <w:num w:numId="81">
    <w:abstractNumId w:val="104"/>
  </w:num>
  <w:num w:numId="82">
    <w:abstractNumId w:val="106"/>
  </w:num>
  <w:num w:numId="83">
    <w:abstractNumId w:val="74"/>
  </w:num>
  <w:num w:numId="84">
    <w:abstractNumId w:val="58"/>
  </w:num>
  <w:num w:numId="85">
    <w:abstractNumId w:val="122"/>
  </w:num>
  <w:num w:numId="86">
    <w:abstractNumId w:val="40"/>
  </w:num>
  <w:num w:numId="87">
    <w:abstractNumId w:val="186"/>
  </w:num>
  <w:num w:numId="88">
    <w:abstractNumId w:val="132"/>
  </w:num>
  <w:num w:numId="89">
    <w:abstractNumId w:val="234"/>
  </w:num>
  <w:num w:numId="90">
    <w:abstractNumId w:val="197"/>
  </w:num>
  <w:num w:numId="91">
    <w:abstractNumId w:val="46"/>
  </w:num>
  <w:num w:numId="92">
    <w:abstractNumId w:val="27"/>
  </w:num>
  <w:num w:numId="93">
    <w:abstractNumId w:val="76"/>
  </w:num>
  <w:num w:numId="94">
    <w:abstractNumId w:val="174"/>
  </w:num>
  <w:num w:numId="95">
    <w:abstractNumId w:val="229"/>
  </w:num>
  <w:num w:numId="96">
    <w:abstractNumId w:val="33"/>
  </w:num>
  <w:num w:numId="97">
    <w:abstractNumId w:val="182"/>
  </w:num>
  <w:num w:numId="98">
    <w:abstractNumId w:val="26"/>
  </w:num>
  <w:num w:numId="99">
    <w:abstractNumId w:val="187"/>
  </w:num>
  <w:num w:numId="100">
    <w:abstractNumId w:val="172"/>
  </w:num>
  <w:num w:numId="101">
    <w:abstractNumId w:val="191"/>
  </w:num>
  <w:num w:numId="102">
    <w:abstractNumId w:val="244"/>
  </w:num>
  <w:num w:numId="103">
    <w:abstractNumId w:val="51"/>
  </w:num>
  <w:num w:numId="104">
    <w:abstractNumId w:val="211"/>
  </w:num>
  <w:num w:numId="105">
    <w:abstractNumId w:val="94"/>
  </w:num>
  <w:num w:numId="106">
    <w:abstractNumId w:val="0"/>
  </w:num>
  <w:num w:numId="107">
    <w:abstractNumId w:val="19"/>
  </w:num>
  <w:num w:numId="108">
    <w:abstractNumId w:val="185"/>
  </w:num>
  <w:num w:numId="109">
    <w:abstractNumId w:val="103"/>
  </w:num>
  <w:num w:numId="110">
    <w:abstractNumId w:val="112"/>
  </w:num>
  <w:num w:numId="111">
    <w:abstractNumId w:val="95"/>
  </w:num>
  <w:num w:numId="112">
    <w:abstractNumId w:val="184"/>
  </w:num>
  <w:num w:numId="113">
    <w:abstractNumId w:val="30"/>
  </w:num>
  <w:num w:numId="114">
    <w:abstractNumId w:val="227"/>
  </w:num>
  <w:num w:numId="115">
    <w:abstractNumId w:val="118"/>
  </w:num>
  <w:num w:numId="116">
    <w:abstractNumId w:val="189"/>
  </w:num>
  <w:num w:numId="117">
    <w:abstractNumId w:val="250"/>
  </w:num>
  <w:num w:numId="118">
    <w:abstractNumId w:val="150"/>
  </w:num>
  <w:num w:numId="119">
    <w:abstractNumId w:val="64"/>
  </w:num>
  <w:num w:numId="120">
    <w:abstractNumId w:val="111"/>
  </w:num>
  <w:num w:numId="121">
    <w:abstractNumId w:val="169"/>
  </w:num>
  <w:num w:numId="122">
    <w:abstractNumId w:val="131"/>
  </w:num>
  <w:num w:numId="123">
    <w:abstractNumId w:val="253"/>
  </w:num>
  <w:num w:numId="124">
    <w:abstractNumId w:val="120"/>
  </w:num>
  <w:num w:numId="125">
    <w:abstractNumId w:val="126"/>
  </w:num>
  <w:num w:numId="126">
    <w:abstractNumId w:val="1"/>
  </w:num>
  <w:num w:numId="127">
    <w:abstractNumId w:val="124"/>
  </w:num>
  <w:num w:numId="128">
    <w:abstractNumId w:val="89"/>
  </w:num>
  <w:num w:numId="129">
    <w:abstractNumId w:val="165"/>
  </w:num>
  <w:num w:numId="130">
    <w:abstractNumId w:val="158"/>
  </w:num>
  <w:num w:numId="131">
    <w:abstractNumId w:val="45"/>
  </w:num>
  <w:num w:numId="132">
    <w:abstractNumId w:val="99"/>
  </w:num>
  <w:num w:numId="133">
    <w:abstractNumId w:val="230"/>
  </w:num>
  <w:num w:numId="134">
    <w:abstractNumId w:val="254"/>
  </w:num>
  <w:num w:numId="135">
    <w:abstractNumId w:val="140"/>
  </w:num>
  <w:num w:numId="136">
    <w:abstractNumId w:val="142"/>
  </w:num>
  <w:num w:numId="137">
    <w:abstractNumId w:val="24"/>
  </w:num>
  <w:num w:numId="138">
    <w:abstractNumId w:val="65"/>
  </w:num>
  <w:num w:numId="139">
    <w:abstractNumId w:val="192"/>
  </w:num>
  <w:num w:numId="140">
    <w:abstractNumId w:val="255"/>
  </w:num>
  <w:num w:numId="141">
    <w:abstractNumId w:val="154"/>
  </w:num>
  <w:num w:numId="142">
    <w:abstractNumId w:val="200"/>
  </w:num>
  <w:num w:numId="143">
    <w:abstractNumId w:val="260"/>
  </w:num>
  <w:num w:numId="144">
    <w:abstractNumId w:val="109"/>
  </w:num>
  <w:num w:numId="145">
    <w:abstractNumId w:val="193"/>
  </w:num>
  <w:num w:numId="146">
    <w:abstractNumId w:val="36"/>
  </w:num>
  <w:num w:numId="147">
    <w:abstractNumId w:val="15"/>
  </w:num>
  <w:num w:numId="148">
    <w:abstractNumId w:val="201"/>
  </w:num>
  <w:num w:numId="149">
    <w:abstractNumId w:val="247"/>
  </w:num>
  <w:num w:numId="150">
    <w:abstractNumId w:val="225"/>
  </w:num>
  <w:num w:numId="151">
    <w:abstractNumId w:val="66"/>
  </w:num>
  <w:num w:numId="152">
    <w:abstractNumId w:val="91"/>
  </w:num>
  <w:num w:numId="153">
    <w:abstractNumId w:val="224"/>
  </w:num>
  <w:num w:numId="154">
    <w:abstractNumId w:val="13"/>
  </w:num>
  <w:num w:numId="155">
    <w:abstractNumId w:val="4"/>
  </w:num>
  <w:num w:numId="156">
    <w:abstractNumId w:val="114"/>
  </w:num>
  <w:num w:numId="157">
    <w:abstractNumId w:val="179"/>
  </w:num>
  <w:num w:numId="158">
    <w:abstractNumId w:val="178"/>
  </w:num>
  <w:num w:numId="159">
    <w:abstractNumId w:val="56"/>
  </w:num>
  <w:num w:numId="160">
    <w:abstractNumId w:val="90"/>
  </w:num>
  <w:num w:numId="161">
    <w:abstractNumId w:val="218"/>
  </w:num>
  <w:num w:numId="162">
    <w:abstractNumId w:val="86"/>
  </w:num>
  <w:num w:numId="163">
    <w:abstractNumId w:val="125"/>
  </w:num>
  <w:num w:numId="164">
    <w:abstractNumId w:val="190"/>
  </w:num>
  <w:num w:numId="165">
    <w:abstractNumId w:val="6"/>
  </w:num>
  <w:num w:numId="166">
    <w:abstractNumId w:val="10"/>
  </w:num>
  <w:num w:numId="167">
    <w:abstractNumId w:val="146"/>
  </w:num>
  <w:num w:numId="168">
    <w:abstractNumId w:val="221"/>
  </w:num>
  <w:num w:numId="169">
    <w:abstractNumId w:val="205"/>
  </w:num>
  <w:num w:numId="170">
    <w:abstractNumId w:val="252"/>
  </w:num>
  <w:num w:numId="171">
    <w:abstractNumId w:val="136"/>
  </w:num>
  <w:num w:numId="172">
    <w:abstractNumId w:val="59"/>
  </w:num>
  <w:num w:numId="173">
    <w:abstractNumId w:val="32"/>
  </w:num>
  <w:num w:numId="174">
    <w:abstractNumId w:val="160"/>
  </w:num>
  <w:num w:numId="175">
    <w:abstractNumId w:val="261"/>
  </w:num>
  <w:num w:numId="176">
    <w:abstractNumId w:val="129"/>
  </w:num>
  <w:num w:numId="177">
    <w:abstractNumId w:val="226"/>
  </w:num>
  <w:num w:numId="178">
    <w:abstractNumId w:val="147"/>
  </w:num>
  <w:num w:numId="179">
    <w:abstractNumId w:val="228"/>
  </w:num>
  <w:num w:numId="180">
    <w:abstractNumId w:val="80"/>
  </w:num>
  <w:num w:numId="181">
    <w:abstractNumId w:val="212"/>
  </w:num>
  <w:num w:numId="182">
    <w:abstractNumId w:val="67"/>
  </w:num>
  <w:num w:numId="183">
    <w:abstractNumId w:val="100"/>
  </w:num>
  <w:num w:numId="184">
    <w:abstractNumId w:val="151"/>
  </w:num>
  <w:num w:numId="185">
    <w:abstractNumId w:val="209"/>
  </w:num>
  <w:num w:numId="186">
    <w:abstractNumId w:val="50"/>
  </w:num>
  <w:num w:numId="187">
    <w:abstractNumId w:val="88"/>
  </w:num>
  <w:num w:numId="188">
    <w:abstractNumId w:val="222"/>
  </w:num>
  <w:num w:numId="189">
    <w:abstractNumId w:val="152"/>
  </w:num>
  <w:num w:numId="190">
    <w:abstractNumId w:val="52"/>
  </w:num>
  <w:num w:numId="191">
    <w:abstractNumId w:val="18"/>
  </w:num>
  <w:num w:numId="192">
    <w:abstractNumId w:val="85"/>
  </w:num>
  <w:num w:numId="193">
    <w:abstractNumId w:val="101"/>
  </w:num>
  <w:num w:numId="194">
    <w:abstractNumId w:val="248"/>
  </w:num>
  <w:num w:numId="195">
    <w:abstractNumId w:val="55"/>
  </w:num>
  <w:num w:numId="196">
    <w:abstractNumId w:val="242"/>
  </w:num>
  <w:num w:numId="197">
    <w:abstractNumId w:val="92"/>
  </w:num>
  <w:num w:numId="198">
    <w:abstractNumId w:val="63"/>
  </w:num>
  <w:num w:numId="199">
    <w:abstractNumId w:val="249"/>
  </w:num>
  <w:num w:numId="200">
    <w:abstractNumId w:val="54"/>
  </w:num>
  <w:num w:numId="201">
    <w:abstractNumId w:val="61"/>
  </w:num>
  <w:num w:numId="202">
    <w:abstractNumId w:val="148"/>
  </w:num>
  <w:num w:numId="203">
    <w:abstractNumId w:val="139"/>
  </w:num>
  <w:num w:numId="204">
    <w:abstractNumId w:val="93"/>
  </w:num>
  <w:num w:numId="205">
    <w:abstractNumId w:val="245"/>
  </w:num>
  <w:num w:numId="206">
    <w:abstractNumId w:val="42"/>
  </w:num>
  <w:num w:numId="207">
    <w:abstractNumId w:val="138"/>
  </w:num>
  <w:num w:numId="208">
    <w:abstractNumId w:val="145"/>
  </w:num>
  <w:num w:numId="209">
    <w:abstractNumId w:val="155"/>
  </w:num>
  <w:num w:numId="210">
    <w:abstractNumId w:val="199"/>
  </w:num>
  <w:num w:numId="211">
    <w:abstractNumId w:val="210"/>
  </w:num>
  <w:num w:numId="212">
    <w:abstractNumId w:val="259"/>
  </w:num>
  <w:num w:numId="213">
    <w:abstractNumId w:val="194"/>
  </w:num>
  <w:num w:numId="214">
    <w:abstractNumId w:val="11"/>
  </w:num>
  <w:num w:numId="215">
    <w:abstractNumId w:val="49"/>
  </w:num>
  <w:num w:numId="216">
    <w:abstractNumId w:val="70"/>
  </w:num>
  <w:num w:numId="217">
    <w:abstractNumId w:val="258"/>
  </w:num>
  <w:num w:numId="218">
    <w:abstractNumId w:val="47"/>
  </w:num>
  <w:num w:numId="219">
    <w:abstractNumId w:val="220"/>
  </w:num>
  <w:num w:numId="220">
    <w:abstractNumId w:val="188"/>
  </w:num>
  <w:num w:numId="221">
    <w:abstractNumId w:val="28"/>
  </w:num>
  <w:num w:numId="222">
    <w:abstractNumId w:val="117"/>
  </w:num>
  <w:num w:numId="223">
    <w:abstractNumId w:val="143"/>
  </w:num>
  <w:num w:numId="224">
    <w:abstractNumId w:val="243"/>
  </w:num>
  <w:num w:numId="225">
    <w:abstractNumId w:val="159"/>
  </w:num>
  <w:num w:numId="226">
    <w:abstractNumId w:val="21"/>
  </w:num>
  <w:num w:numId="227">
    <w:abstractNumId w:val="119"/>
  </w:num>
  <w:num w:numId="228">
    <w:abstractNumId w:val="3"/>
  </w:num>
  <w:num w:numId="229">
    <w:abstractNumId w:val="113"/>
  </w:num>
  <w:num w:numId="230">
    <w:abstractNumId w:val="235"/>
  </w:num>
  <w:num w:numId="231">
    <w:abstractNumId w:val="203"/>
  </w:num>
  <w:num w:numId="232">
    <w:abstractNumId w:val="31"/>
  </w:num>
  <w:num w:numId="233">
    <w:abstractNumId w:val="134"/>
  </w:num>
  <w:num w:numId="234">
    <w:abstractNumId w:val="164"/>
  </w:num>
  <w:num w:numId="235">
    <w:abstractNumId w:val="12"/>
  </w:num>
  <w:num w:numId="236">
    <w:abstractNumId w:val="87"/>
  </w:num>
  <w:num w:numId="237">
    <w:abstractNumId w:val="216"/>
  </w:num>
  <w:num w:numId="238">
    <w:abstractNumId w:val="2"/>
  </w:num>
  <w:num w:numId="239">
    <w:abstractNumId w:val="77"/>
  </w:num>
  <w:num w:numId="240">
    <w:abstractNumId w:val="177"/>
  </w:num>
  <w:num w:numId="241">
    <w:abstractNumId w:val="162"/>
  </w:num>
  <w:num w:numId="242">
    <w:abstractNumId w:val="239"/>
  </w:num>
  <w:num w:numId="243">
    <w:abstractNumId w:val="202"/>
  </w:num>
  <w:num w:numId="244">
    <w:abstractNumId w:val="35"/>
  </w:num>
  <w:num w:numId="245">
    <w:abstractNumId w:val="9"/>
  </w:num>
  <w:num w:numId="246">
    <w:abstractNumId w:val="246"/>
  </w:num>
  <w:num w:numId="247">
    <w:abstractNumId w:val="108"/>
  </w:num>
  <w:num w:numId="248">
    <w:abstractNumId w:val="62"/>
  </w:num>
  <w:num w:numId="249">
    <w:abstractNumId w:val="16"/>
  </w:num>
  <w:num w:numId="250">
    <w:abstractNumId w:val="17"/>
  </w:num>
  <w:num w:numId="251">
    <w:abstractNumId w:val="256"/>
  </w:num>
  <w:num w:numId="252">
    <w:abstractNumId w:val="133"/>
  </w:num>
  <w:num w:numId="253">
    <w:abstractNumId w:val="231"/>
  </w:num>
  <w:num w:numId="254">
    <w:abstractNumId w:val="60"/>
  </w:num>
  <w:num w:numId="255">
    <w:abstractNumId w:val="213"/>
  </w:num>
  <w:num w:numId="256">
    <w:abstractNumId w:val="128"/>
  </w:num>
  <w:num w:numId="257">
    <w:abstractNumId w:val="157"/>
  </w:num>
  <w:num w:numId="258">
    <w:abstractNumId w:val="110"/>
  </w:num>
  <w:num w:numId="259">
    <w:abstractNumId w:val="96"/>
  </w:num>
  <w:num w:numId="260">
    <w:abstractNumId w:val="204"/>
  </w:num>
  <w:num w:numId="261">
    <w:abstractNumId w:val="98"/>
  </w:num>
  <w:num w:numId="262">
    <w:abstractNumId w:val="141"/>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4A7"/>
    <w:rsid w:val="000058DF"/>
    <w:rsid w:val="00006FEA"/>
    <w:rsid w:val="0001446A"/>
    <w:rsid w:val="00014F1D"/>
    <w:rsid w:val="00016001"/>
    <w:rsid w:val="00020B11"/>
    <w:rsid w:val="000248F3"/>
    <w:rsid w:val="000258B5"/>
    <w:rsid w:val="000321F9"/>
    <w:rsid w:val="0003412A"/>
    <w:rsid w:val="00035C7B"/>
    <w:rsid w:val="00040E92"/>
    <w:rsid w:val="00042400"/>
    <w:rsid w:val="00042BF8"/>
    <w:rsid w:val="00045182"/>
    <w:rsid w:val="00047FC8"/>
    <w:rsid w:val="000524F8"/>
    <w:rsid w:val="000600B2"/>
    <w:rsid w:val="000648BC"/>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0D55"/>
    <w:rsid w:val="000A4432"/>
    <w:rsid w:val="000A4FAE"/>
    <w:rsid w:val="000A6E38"/>
    <w:rsid w:val="000A7F34"/>
    <w:rsid w:val="000B0074"/>
    <w:rsid w:val="000B1BA5"/>
    <w:rsid w:val="000B5DA3"/>
    <w:rsid w:val="000B6828"/>
    <w:rsid w:val="000C1B8F"/>
    <w:rsid w:val="000C371B"/>
    <w:rsid w:val="000C49C5"/>
    <w:rsid w:val="000D5C53"/>
    <w:rsid w:val="000D70CB"/>
    <w:rsid w:val="000E50E7"/>
    <w:rsid w:val="000E717D"/>
    <w:rsid w:val="000F0838"/>
    <w:rsid w:val="000F128B"/>
    <w:rsid w:val="000F3195"/>
    <w:rsid w:val="000F6C8E"/>
    <w:rsid w:val="00100D36"/>
    <w:rsid w:val="00103E3C"/>
    <w:rsid w:val="0010438C"/>
    <w:rsid w:val="00105A96"/>
    <w:rsid w:val="00105B19"/>
    <w:rsid w:val="00106F7D"/>
    <w:rsid w:val="0010713C"/>
    <w:rsid w:val="001101CE"/>
    <w:rsid w:val="00113670"/>
    <w:rsid w:val="00113BC5"/>
    <w:rsid w:val="00116CA9"/>
    <w:rsid w:val="00127616"/>
    <w:rsid w:val="0013585E"/>
    <w:rsid w:val="001369F0"/>
    <w:rsid w:val="00137AC6"/>
    <w:rsid w:val="00140884"/>
    <w:rsid w:val="001415B7"/>
    <w:rsid w:val="00142744"/>
    <w:rsid w:val="00151220"/>
    <w:rsid w:val="00153307"/>
    <w:rsid w:val="0015343A"/>
    <w:rsid w:val="0015515C"/>
    <w:rsid w:val="001613BA"/>
    <w:rsid w:val="00161EA3"/>
    <w:rsid w:val="00163625"/>
    <w:rsid w:val="00165270"/>
    <w:rsid w:val="00166D89"/>
    <w:rsid w:val="00167872"/>
    <w:rsid w:val="00167B52"/>
    <w:rsid w:val="00170607"/>
    <w:rsid w:val="001722D7"/>
    <w:rsid w:val="00176A5A"/>
    <w:rsid w:val="001862BC"/>
    <w:rsid w:val="00190ABD"/>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C74DA"/>
    <w:rsid w:val="001D0C27"/>
    <w:rsid w:val="001D53F0"/>
    <w:rsid w:val="001D6E76"/>
    <w:rsid w:val="001D7576"/>
    <w:rsid w:val="001E0401"/>
    <w:rsid w:val="001E3150"/>
    <w:rsid w:val="001E562F"/>
    <w:rsid w:val="001F03C3"/>
    <w:rsid w:val="001F1086"/>
    <w:rsid w:val="001F2F4D"/>
    <w:rsid w:val="001F3658"/>
    <w:rsid w:val="001F470A"/>
    <w:rsid w:val="002020E8"/>
    <w:rsid w:val="00202BF1"/>
    <w:rsid w:val="00206443"/>
    <w:rsid w:val="00212756"/>
    <w:rsid w:val="00215B22"/>
    <w:rsid w:val="002207E3"/>
    <w:rsid w:val="00224487"/>
    <w:rsid w:val="00224CFB"/>
    <w:rsid w:val="00232FC5"/>
    <w:rsid w:val="00233604"/>
    <w:rsid w:val="0023621C"/>
    <w:rsid w:val="00236EBD"/>
    <w:rsid w:val="00241F2B"/>
    <w:rsid w:val="00241F92"/>
    <w:rsid w:val="002426A3"/>
    <w:rsid w:val="00242EA4"/>
    <w:rsid w:val="00244832"/>
    <w:rsid w:val="00245BBE"/>
    <w:rsid w:val="00247591"/>
    <w:rsid w:val="00247628"/>
    <w:rsid w:val="00250EDF"/>
    <w:rsid w:val="00252E6B"/>
    <w:rsid w:val="00253C48"/>
    <w:rsid w:val="00254082"/>
    <w:rsid w:val="00254EE5"/>
    <w:rsid w:val="002567C9"/>
    <w:rsid w:val="002571C1"/>
    <w:rsid w:val="002670A7"/>
    <w:rsid w:val="00270475"/>
    <w:rsid w:val="002728BD"/>
    <w:rsid w:val="00273E45"/>
    <w:rsid w:val="00274D37"/>
    <w:rsid w:val="002775D7"/>
    <w:rsid w:val="0028009E"/>
    <w:rsid w:val="0028210D"/>
    <w:rsid w:val="002835A7"/>
    <w:rsid w:val="0029169A"/>
    <w:rsid w:val="00296C4B"/>
    <w:rsid w:val="0029706F"/>
    <w:rsid w:val="00297902"/>
    <w:rsid w:val="002A2A9B"/>
    <w:rsid w:val="002A6CDC"/>
    <w:rsid w:val="002A73AD"/>
    <w:rsid w:val="002B2074"/>
    <w:rsid w:val="002B24ED"/>
    <w:rsid w:val="002B48A0"/>
    <w:rsid w:val="002B7998"/>
    <w:rsid w:val="002B7FDF"/>
    <w:rsid w:val="002C08AB"/>
    <w:rsid w:val="002C0A59"/>
    <w:rsid w:val="002C0F71"/>
    <w:rsid w:val="002C178E"/>
    <w:rsid w:val="002C64E8"/>
    <w:rsid w:val="002C7FA2"/>
    <w:rsid w:val="002D3CF4"/>
    <w:rsid w:val="002D4DD0"/>
    <w:rsid w:val="002E1E6F"/>
    <w:rsid w:val="002E43DD"/>
    <w:rsid w:val="002E5B03"/>
    <w:rsid w:val="002E6E28"/>
    <w:rsid w:val="002E6F56"/>
    <w:rsid w:val="002E7F8B"/>
    <w:rsid w:val="002F0602"/>
    <w:rsid w:val="002F2B08"/>
    <w:rsid w:val="00300ABD"/>
    <w:rsid w:val="00302262"/>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0072"/>
    <w:rsid w:val="00331358"/>
    <w:rsid w:val="003314C8"/>
    <w:rsid w:val="003319AF"/>
    <w:rsid w:val="00331C14"/>
    <w:rsid w:val="00331F68"/>
    <w:rsid w:val="00332335"/>
    <w:rsid w:val="00333B3E"/>
    <w:rsid w:val="00337424"/>
    <w:rsid w:val="00337B9B"/>
    <w:rsid w:val="00337FA0"/>
    <w:rsid w:val="0034393C"/>
    <w:rsid w:val="00345A7B"/>
    <w:rsid w:val="00350497"/>
    <w:rsid w:val="00350904"/>
    <w:rsid w:val="003509F2"/>
    <w:rsid w:val="00351301"/>
    <w:rsid w:val="00354F45"/>
    <w:rsid w:val="00356577"/>
    <w:rsid w:val="003568B0"/>
    <w:rsid w:val="00356FDD"/>
    <w:rsid w:val="003579EF"/>
    <w:rsid w:val="00357AE4"/>
    <w:rsid w:val="00360D40"/>
    <w:rsid w:val="0036177D"/>
    <w:rsid w:val="00364216"/>
    <w:rsid w:val="00365C6C"/>
    <w:rsid w:val="00366C39"/>
    <w:rsid w:val="003705EC"/>
    <w:rsid w:val="00373D86"/>
    <w:rsid w:val="00374FF0"/>
    <w:rsid w:val="00375834"/>
    <w:rsid w:val="003779D2"/>
    <w:rsid w:val="00380B97"/>
    <w:rsid w:val="003843EC"/>
    <w:rsid w:val="00385075"/>
    <w:rsid w:val="003855A2"/>
    <w:rsid w:val="00385939"/>
    <w:rsid w:val="003906AB"/>
    <w:rsid w:val="00392585"/>
    <w:rsid w:val="0039544A"/>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1791"/>
    <w:rsid w:val="003D1D20"/>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2A5E"/>
    <w:rsid w:val="004A3416"/>
    <w:rsid w:val="004A6001"/>
    <w:rsid w:val="004A61A2"/>
    <w:rsid w:val="004A71AA"/>
    <w:rsid w:val="004A7573"/>
    <w:rsid w:val="004A7582"/>
    <w:rsid w:val="004B1046"/>
    <w:rsid w:val="004B1053"/>
    <w:rsid w:val="004B2FFB"/>
    <w:rsid w:val="004B46C1"/>
    <w:rsid w:val="004B4C61"/>
    <w:rsid w:val="004C2D27"/>
    <w:rsid w:val="004C43A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3BEC"/>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13DB"/>
    <w:rsid w:val="00563B24"/>
    <w:rsid w:val="00564D99"/>
    <w:rsid w:val="00566250"/>
    <w:rsid w:val="00566A00"/>
    <w:rsid w:val="005728DE"/>
    <w:rsid w:val="005742E6"/>
    <w:rsid w:val="0057464A"/>
    <w:rsid w:val="00575305"/>
    <w:rsid w:val="00575B62"/>
    <w:rsid w:val="00576DB5"/>
    <w:rsid w:val="005772F3"/>
    <w:rsid w:val="005802A3"/>
    <w:rsid w:val="00580D81"/>
    <w:rsid w:val="00583D55"/>
    <w:rsid w:val="0058540F"/>
    <w:rsid w:val="005877BF"/>
    <w:rsid w:val="00587D97"/>
    <w:rsid w:val="005907CC"/>
    <w:rsid w:val="00593760"/>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E5CE4"/>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3085"/>
    <w:rsid w:val="0063410C"/>
    <w:rsid w:val="0063634F"/>
    <w:rsid w:val="006414B8"/>
    <w:rsid w:val="006435BE"/>
    <w:rsid w:val="00651276"/>
    <w:rsid w:val="00654F9D"/>
    <w:rsid w:val="0066414A"/>
    <w:rsid w:val="006703B2"/>
    <w:rsid w:val="00673D82"/>
    <w:rsid w:val="00674CBA"/>
    <w:rsid w:val="00676437"/>
    <w:rsid w:val="0067757C"/>
    <w:rsid w:val="0068381A"/>
    <w:rsid w:val="006842C6"/>
    <w:rsid w:val="0068502A"/>
    <w:rsid w:val="00685B0C"/>
    <w:rsid w:val="00686D79"/>
    <w:rsid w:val="006931FB"/>
    <w:rsid w:val="00694662"/>
    <w:rsid w:val="006955B9"/>
    <w:rsid w:val="00695BC9"/>
    <w:rsid w:val="006A2924"/>
    <w:rsid w:val="006A37DC"/>
    <w:rsid w:val="006A4FE6"/>
    <w:rsid w:val="006B0528"/>
    <w:rsid w:val="006B3E9E"/>
    <w:rsid w:val="006B44A4"/>
    <w:rsid w:val="006C1023"/>
    <w:rsid w:val="006C1FA8"/>
    <w:rsid w:val="006C391C"/>
    <w:rsid w:val="006C49F1"/>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E9A"/>
    <w:rsid w:val="007116AB"/>
    <w:rsid w:val="00715EE1"/>
    <w:rsid w:val="00720ADD"/>
    <w:rsid w:val="00721408"/>
    <w:rsid w:val="00722DFA"/>
    <w:rsid w:val="0073023B"/>
    <w:rsid w:val="00732B8B"/>
    <w:rsid w:val="00736B33"/>
    <w:rsid w:val="00736E65"/>
    <w:rsid w:val="0074006C"/>
    <w:rsid w:val="00740C10"/>
    <w:rsid w:val="007415B2"/>
    <w:rsid w:val="00741F1A"/>
    <w:rsid w:val="00744041"/>
    <w:rsid w:val="00744527"/>
    <w:rsid w:val="00746DAC"/>
    <w:rsid w:val="00750BD8"/>
    <w:rsid w:val="007551C1"/>
    <w:rsid w:val="00756E1B"/>
    <w:rsid w:val="007573D0"/>
    <w:rsid w:val="00763763"/>
    <w:rsid w:val="007640E7"/>
    <w:rsid w:val="00764192"/>
    <w:rsid w:val="00766F2E"/>
    <w:rsid w:val="007725CB"/>
    <w:rsid w:val="007741E8"/>
    <w:rsid w:val="007769DD"/>
    <w:rsid w:val="00786407"/>
    <w:rsid w:val="007910A3"/>
    <w:rsid w:val="0079129B"/>
    <w:rsid w:val="00792306"/>
    <w:rsid w:val="00793420"/>
    <w:rsid w:val="00794BAA"/>
    <w:rsid w:val="00795C38"/>
    <w:rsid w:val="007A045A"/>
    <w:rsid w:val="007A0843"/>
    <w:rsid w:val="007A09A2"/>
    <w:rsid w:val="007A1F3D"/>
    <w:rsid w:val="007A2302"/>
    <w:rsid w:val="007A2AF3"/>
    <w:rsid w:val="007A354A"/>
    <w:rsid w:val="007A746D"/>
    <w:rsid w:val="007A7631"/>
    <w:rsid w:val="007B124D"/>
    <w:rsid w:val="007B4B06"/>
    <w:rsid w:val="007B4E1A"/>
    <w:rsid w:val="007C472E"/>
    <w:rsid w:val="007C4ECC"/>
    <w:rsid w:val="007C63E0"/>
    <w:rsid w:val="007C640D"/>
    <w:rsid w:val="007C7370"/>
    <w:rsid w:val="007D0349"/>
    <w:rsid w:val="007D0B5A"/>
    <w:rsid w:val="007D47F9"/>
    <w:rsid w:val="007D6420"/>
    <w:rsid w:val="007D6C8F"/>
    <w:rsid w:val="007E11DC"/>
    <w:rsid w:val="007E15A6"/>
    <w:rsid w:val="007E1F82"/>
    <w:rsid w:val="007F0360"/>
    <w:rsid w:val="007F0F75"/>
    <w:rsid w:val="00802407"/>
    <w:rsid w:val="008027BC"/>
    <w:rsid w:val="008048E9"/>
    <w:rsid w:val="00805DB6"/>
    <w:rsid w:val="008070FF"/>
    <w:rsid w:val="008111AA"/>
    <w:rsid w:val="00811A46"/>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40C6"/>
    <w:rsid w:val="00835121"/>
    <w:rsid w:val="00835955"/>
    <w:rsid w:val="00843570"/>
    <w:rsid w:val="00845343"/>
    <w:rsid w:val="00847AEA"/>
    <w:rsid w:val="0085172B"/>
    <w:rsid w:val="008525AE"/>
    <w:rsid w:val="00854440"/>
    <w:rsid w:val="008558AD"/>
    <w:rsid w:val="00855955"/>
    <w:rsid w:val="008618EB"/>
    <w:rsid w:val="00861C22"/>
    <w:rsid w:val="008643C6"/>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C6E"/>
    <w:rsid w:val="00896876"/>
    <w:rsid w:val="008A0E18"/>
    <w:rsid w:val="008A18B1"/>
    <w:rsid w:val="008A4130"/>
    <w:rsid w:val="008A5505"/>
    <w:rsid w:val="008A7C9B"/>
    <w:rsid w:val="008A7E84"/>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57B9"/>
    <w:rsid w:val="008F62E7"/>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7162"/>
    <w:rsid w:val="009464A6"/>
    <w:rsid w:val="00951331"/>
    <w:rsid w:val="0095261B"/>
    <w:rsid w:val="009554AA"/>
    <w:rsid w:val="00960915"/>
    <w:rsid w:val="00961523"/>
    <w:rsid w:val="00962BD0"/>
    <w:rsid w:val="0096452D"/>
    <w:rsid w:val="009662D7"/>
    <w:rsid w:val="009714B9"/>
    <w:rsid w:val="009718D4"/>
    <w:rsid w:val="00971E8E"/>
    <w:rsid w:val="0097265C"/>
    <w:rsid w:val="00973F94"/>
    <w:rsid w:val="009757C1"/>
    <w:rsid w:val="00975F05"/>
    <w:rsid w:val="00976605"/>
    <w:rsid w:val="00977118"/>
    <w:rsid w:val="009802FB"/>
    <w:rsid w:val="00980BB2"/>
    <w:rsid w:val="00981184"/>
    <w:rsid w:val="00987ADC"/>
    <w:rsid w:val="00987B89"/>
    <w:rsid w:val="00987D62"/>
    <w:rsid w:val="00992C9C"/>
    <w:rsid w:val="009940B9"/>
    <w:rsid w:val="00995BA8"/>
    <w:rsid w:val="009961CB"/>
    <w:rsid w:val="009A0282"/>
    <w:rsid w:val="009A1A31"/>
    <w:rsid w:val="009A4019"/>
    <w:rsid w:val="009A4F80"/>
    <w:rsid w:val="009A755B"/>
    <w:rsid w:val="009B1191"/>
    <w:rsid w:val="009B1C13"/>
    <w:rsid w:val="009B350D"/>
    <w:rsid w:val="009B40E8"/>
    <w:rsid w:val="009B4E7B"/>
    <w:rsid w:val="009C1179"/>
    <w:rsid w:val="009C274C"/>
    <w:rsid w:val="009C31EA"/>
    <w:rsid w:val="009C380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0489F"/>
    <w:rsid w:val="00A06DD6"/>
    <w:rsid w:val="00A110A1"/>
    <w:rsid w:val="00A11701"/>
    <w:rsid w:val="00A15876"/>
    <w:rsid w:val="00A21CE0"/>
    <w:rsid w:val="00A243B5"/>
    <w:rsid w:val="00A25D37"/>
    <w:rsid w:val="00A26F19"/>
    <w:rsid w:val="00A30628"/>
    <w:rsid w:val="00A30C48"/>
    <w:rsid w:val="00A320F3"/>
    <w:rsid w:val="00A33473"/>
    <w:rsid w:val="00A35BA7"/>
    <w:rsid w:val="00A37BDE"/>
    <w:rsid w:val="00A406B0"/>
    <w:rsid w:val="00A50E95"/>
    <w:rsid w:val="00A51480"/>
    <w:rsid w:val="00A52E02"/>
    <w:rsid w:val="00A57A13"/>
    <w:rsid w:val="00A611B3"/>
    <w:rsid w:val="00A64EAB"/>
    <w:rsid w:val="00A6563B"/>
    <w:rsid w:val="00A6688C"/>
    <w:rsid w:val="00A76589"/>
    <w:rsid w:val="00A8044A"/>
    <w:rsid w:val="00A832AA"/>
    <w:rsid w:val="00A8354E"/>
    <w:rsid w:val="00A867A3"/>
    <w:rsid w:val="00A90A15"/>
    <w:rsid w:val="00A93A83"/>
    <w:rsid w:val="00A958DE"/>
    <w:rsid w:val="00AA126B"/>
    <w:rsid w:val="00AA23CC"/>
    <w:rsid w:val="00AA4046"/>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5B80"/>
    <w:rsid w:val="00B06AA0"/>
    <w:rsid w:val="00B139FC"/>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6971"/>
    <w:rsid w:val="00B57288"/>
    <w:rsid w:val="00B57F4A"/>
    <w:rsid w:val="00B6001A"/>
    <w:rsid w:val="00B61C4B"/>
    <w:rsid w:val="00B65779"/>
    <w:rsid w:val="00B66769"/>
    <w:rsid w:val="00B676E3"/>
    <w:rsid w:val="00B7179A"/>
    <w:rsid w:val="00B73030"/>
    <w:rsid w:val="00B7496E"/>
    <w:rsid w:val="00B7598E"/>
    <w:rsid w:val="00B77BC3"/>
    <w:rsid w:val="00B81908"/>
    <w:rsid w:val="00B82F71"/>
    <w:rsid w:val="00B83D9A"/>
    <w:rsid w:val="00B85A8C"/>
    <w:rsid w:val="00B8619A"/>
    <w:rsid w:val="00B86917"/>
    <w:rsid w:val="00B909FF"/>
    <w:rsid w:val="00B93F10"/>
    <w:rsid w:val="00B9453B"/>
    <w:rsid w:val="00B94B67"/>
    <w:rsid w:val="00B96643"/>
    <w:rsid w:val="00B975E6"/>
    <w:rsid w:val="00B97DD9"/>
    <w:rsid w:val="00BA04DE"/>
    <w:rsid w:val="00BA3747"/>
    <w:rsid w:val="00BA5C30"/>
    <w:rsid w:val="00BA6CE1"/>
    <w:rsid w:val="00BA7B37"/>
    <w:rsid w:val="00BB19AC"/>
    <w:rsid w:val="00BB226A"/>
    <w:rsid w:val="00BB28E3"/>
    <w:rsid w:val="00BB4566"/>
    <w:rsid w:val="00BB4F04"/>
    <w:rsid w:val="00BB6FB4"/>
    <w:rsid w:val="00BB7774"/>
    <w:rsid w:val="00BC2EF5"/>
    <w:rsid w:val="00BC350B"/>
    <w:rsid w:val="00BC4114"/>
    <w:rsid w:val="00BC5970"/>
    <w:rsid w:val="00BC675F"/>
    <w:rsid w:val="00BD2713"/>
    <w:rsid w:val="00BD2955"/>
    <w:rsid w:val="00BD2F0C"/>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4B38"/>
    <w:rsid w:val="00C06963"/>
    <w:rsid w:val="00C15CDA"/>
    <w:rsid w:val="00C165F7"/>
    <w:rsid w:val="00C214DA"/>
    <w:rsid w:val="00C23B32"/>
    <w:rsid w:val="00C24948"/>
    <w:rsid w:val="00C2577C"/>
    <w:rsid w:val="00C270B3"/>
    <w:rsid w:val="00C27AE4"/>
    <w:rsid w:val="00C27C92"/>
    <w:rsid w:val="00C32F38"/>
    <w:rsid w:val="00C359B4"/>
    <w:rsid w:val="00C35B7A"/>
    <w:rsid w:val="00C3652B"/>
    <w:rsid w:val="00C36545"/>
    <w:rsid w:val="00C36F45"/>
    <w:rsid w:val="00C4315C"/>
    <w:rsid w:val="00C473D6"/>
    <w:rsid w:val="00C513C4"/>
    <w:rsid w:val="00C534D1"/>
    <w:rsid w:val="00C56535"/>
    <w:rsid w:val="00C60973"/>
    <w:rsid w:val="00C6242C"/>
    <w:rsid w:val="00C62CF2"/>
    <w:rsid w:val="00C6710E"/>
    <w:rsid w:val="00C70159"/>
    <w:rsid w:val="00C72E29"/>
    <w:rsid w:val="00C74348"/>
    <w:rsid w:val="00C75602"/>
    <w:rsid w:val="00C7625C"/>
    <w:rsid w:val="00C81FF6"/>
    <w:rsid w:val="00C83F45"/>
    <w:rsid w:val="00C846D0"/>
    <w:rsid w:val="00C84E86"/>
    <w:rsid w:val="00C84EEF"/>
    <w:rsid w:val="00C860E1"/>
    <w:rsid w:val="00C91088"/>
    <w:rsid w:val="00C947AF"/>
    <w:rsid w:val="00C96934"/>
    <w:rsid w:val="00CA12B3"/>
    <w:rsid w:val="00CA2685"/>
    <w:rsid w:val="00CA5F70"/>
    <w:rsid w:val="00CA6A95"/>
    <w:rsid w:val="00CA761C"/>
    <w:rsid w:val="00CB102F"/>
    <w:rsid w:val="00CB178E"/>
    <w:rsid w:val="00CB17FA"/>
    <w:rsid w:val="00CB2EC4"/>
    <w:rsid w:val="00CB6000"/>
    <w:rsid w:val="00CC2A5B"/>
    <w:rsid w:val="00CC314B"/>
    <w:rsid w:val="00CC454E"/>
    <w:rsid w:val="00CC5138"/>
    <w:rsid w:val="00CC765E"/>
    <w:rsid w:val="00CD207A"/>
    <w:rsid w:val="00CD34EB"/>
    <w:rsid w:val="00CD728E"/>
    <w:rsid w:val="00CE235F"/>
    <w:rsid w:val="00CE2F0F"/>
    <w:rsid w:val="00CE2F8F"/>
    <w:rsid w:val="00CE38D4"/>
    <w:rsid w:val="00CE4683"/>
    <w:rsid w:val="00CE6D36"/>
    <w:rsid w:val="00CF1B90"/>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BA1"/>
    <w:rsid w:val="00D40F8B"/>
    <w:rsid w:val="00D41D6F"/>
    <w:rsid w:val="00D47AE2"/>
    <w:rsid w:val="00D52B86"/>
    <w:rsid w:val="00D53040"/>
    <w:rsid w:val="00D5355E"/>
    <w:rsid w:val="00D53C2D"/>
    <w:rsid w:val="00D53C9E"/>
    <w:rsid w:val="00D55F13"/>
    <w:rsid w:val="00D57545"/>
    <w:rsid w:val="00D633E0"/>
    <w:rsid w:val="00D651CA"/>
    <w:rsid w:val="00D74607"/>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5D89"/>
    <w:rsid w:val="00DF66FB"/>
    <w:rsid w:val="00DF7DD1"/>
    <w:rsid w:val="00E0176D"/>
    <w:rsid w:val="00E03781"/>
    <w:rsid w:val="00E0582C"/>
    <w:rsid w:val="00E1147C"/>
    <w:rsid w:val="00E11BC1"/>
    <w:rsid w:val="00E144EB"/>
    <w:rsid w:val="00E156A4"/>
    <w:rsid w:val="00E176E4"/>
    <w:rsid w:val="00E225D7"/>
    <w:rsid w:val="00E30E62"/>
    <w:rsid w:val="00E31F92"/>
    <w:rsid w:val="00E32219"/>
    <w:rsid w:val="00E32CFE"/>
    <w:rsid w:val="00E36319"/>
    <w:rsid w:val="00E36BEB"/>
    <w:rsid w:val="00E37D07"/>
    <w:rsid w:val="00E37E86"/>
    <w:rsid w:val="00E41E8E"/>
    <w:rsid w:val="00E42DFD"/>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336B"/>
    <w:rsid w:val="00E666E6"/>
    <w:rsid w:val="00E72945"/>
    <w:rsid w:val="00E72F24"/>
    <w:rsid w:val="00E7469E"/>
    <w:rsid w:val="00E75557"/>
    <w:rsid w:val="00E75DDE"/>
    <w:rsid w:val="00E77C1B"/>
    <w:rsid w:val="00E80E6A"/>
    <w:rsid w:val="00E81F7E"/>
    <w:rsid w:val="00E865A4"/>
    <w:rsid w:val="00E92592"/>
    <w:rsid w:val="00E9418F"/>
    <w:rsid w:val="00E94950"/>
    <w:rsid w:val="00E96182"/>
    <w:rsid w:val="00E97C89"/>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E62C9"/>
    <w:rsid w:val="00EF1586"/>
    <w:rsid w:val="00F0580F"/>
    <w:rsid w:val="00F05E0D"/>
    <w:rsid w:val="00F07B95"/>
    <w:rsid w:val="00F11809"/>
    <w:rsid w:val="00F15E81"/>
    <w:rsid w:val="00F1608D"/>
    <w:rsid w:val="00F16ECC"/>
    <w:rsid w:val="00F21CDA"/>
    <w:rsid w:val="00F21CDE"/>
    <w:rsid w:val="00F21D87"/>
    <w:rsid w:val="00F24DCF"/>
    <w:rsid w:val="00F272A0"/>
    <w:rsid w:val="00F3200E"/>
    <w:rsid w:val="00F342EE"/>
    <w:rsid w:val="00F35FE4"/>
    <w:rsid w:val="00F41805"/>
    <w:rsid w:val="00F41861"/>
    <w:rsid w:val="00F419BD"/>
    <w:rsid w:val="00F45145"/>
    <w:rsid w:val="00F465F9"/>
    <w:rsid w:val="00F51434"/>
    <w:rsid w:val="00F51E54"/>
    <w:rsid w:val="00F522DA"/>
    <w:rsid w:val="00F55C37"/>
    <w:rsid w:val="00F57C91"/>
    <w:rsid w:val="00F57FF4"/>
    <w:rsid w:val="00F616E3"/>
    <w:rsid w:val="00F62A09"/>
    <w:rsid w:val="00F63024"/>
    <w:rsid w:val="00F65500"/>
    <w:rsid w:val="00F66BDC"/>
    <w:rsid w:val="00F6761B"/>
    <w:rsid w:val="00F73DE0"/>
    <w:rsid w:val="00F81EB1"/>
    <w:rsid w:val="00F83992"/>
    <w:rsid w:val="00F84771"/>
    <w:rsid w:val="00F84EF9"/>
    <w:rsid w:val="00F917A6"/>
    <w:rsid w:val="00F93A6F"/>
    <w:rsid w:val="00FA089C"/>
    <w:rsid w:val="00FB1549"/>
    <w:rsid w:val="00FB15FF"/>
    <w:rsid w:val="00FB53F5"/>
    <w:rsid w:val="00FB5734"/>
    <w:rsid w:val="00FB7284"/>
    <w:rsid w:val="00FC2653"/>
    <w:rsid w:val="00FC2C16"/>
    <w:rsid w:val="00FC4728"/>
    <w:rsid w:val="00FC77BE"/>
    <w:rsid w:val="00FD1694"/>
    <w:rsid w:val="00FD3BDB"/>
    <w:rsid w:val="00FD466B"/>
    <w:rsid w:val="00FD640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s://papers.ssrn.com/sol3/papers.cfm?abstract_id=2716279" TargetMode="External"/><Relationship Id="rId47" Type="http://schemas.openxmlformats.org/officeDocument/2006/relationships/hyperlink" Target="http://papers.ssrn.com/sol3/papers.cfm?abstract_id=2517301"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245821" TargetMode="External"/><Relationship Id="rId84" Type="http://schemas.openxmlformats.org/officeDocument/2006/relationships/hyperlink" Target="http://papers.ssrn.com/sol3/papers.cfm?abstract_id=2400324" TargetMode="External"/><Relationship Id="rId89" Type="http://schemas.openxmlformats.org/officeDocument/2006/relationships/hyperlink" Target="http://papers.ssrn.com/sol3/papers.cfm?abstract_id=1785262" TargetMode="Externa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en.wikipedia.org/wiki/Settlement_risk" TargetMode="External"/><Relationship Id="rId53" Type="http://schemas.openxmlformats.org/officeDocument/2006/relationships/hyperlink" Target="http://arxiv.org/pdf/1210.3811.pdf" TargetMode="External"/><Relationship Id="rId58" Type="http://schemas.openxmlformats.org/officeDocument/2006/relationships/hyperlink" Target="http://www.maths.univ-evry.fr/prepubli/366.pdf" TargetMode="External"/><Relationship Id="rId74" Type="http://schemas.openxmlformats.org/officeDocument/2006/relationships/hyperlink" Target="http://papers.ssrn.com/sol3/papers.cfm?abstract_id=2482955" TargetMode="External"/><Relationship Id="rId79"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90" Type="http://schemas.openxmlformats.org/officeDocument/2006/relationships/hyperlink" Target="https://papers.ssrn.com/sol3/papers.cfm?abstract_id=2534011" TargetMode="External"/><Relationship Id="rId95" Type="http://schemas.openxmlformats.org/officeDocument/2006/relationships/theme" Target="theme/theme1.xm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43" Type="http://schemas.openxmlformats.org/officeDocument/2006/relationships/hyperlink" Target="https://www.bis.org/publ/bcbs238.htm" TargetMode="External"/><Relationship Id="rId48" Type="http://schemas.openxmlformats.org/officeDocument/2006/relationships/hyperlink" Target="http://papers.ssrn.com/sol3/papers.cfm?abstract_id=2745909" TargetMode="External"/><Relationship Id="rId64" Type="http://schemas.openxmlformats.org/officeDocument/2006/relationships/hyperlink" Target="http://www.leeds-faculty.colorado.edu"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1310226" TargetMode="External"/><Relationship Id="rId72" Type="http://schemas.openxmlformats.org/officeDocument/2006/relationships/hyperlink" Target="http://www.kpmg.com" TargetMode="External"/><Relationship Id="rId80" Type="http://schemas.openxmlformats.org/officeDocument/2006/relationships/hyperlink" Target="http://papers.ssrn.com/sol3/papers.cfm?abstract_id=2482955" TargetMode="External"/><Relationship Id="rId85" Type="http://schemas.openxmlformats.org/officeDocument/2006/relationships/hyperlink" Target="http://papers.ssrn.com/sol3/papers.cfm?abstract_id=2482955"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2719964" TargetMode="External"/><Relationship Id="rId46" Type="http://schemas.openxmlformats.org/officeDocument/2006/relationships/hyperlink" Target="https://www.isda.org/a/IAiDE/ISDA-SIMM-Methodology-version-R1.0.pdf" TargetMode="External"/><Relationship Id="rId59" Type="http://schemas.openxmlformats.org/officeDocument/2006/relationships/hyperlink" Target="http://www.maths.univ-evry.fr/prepubli/367.pdf"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s://papers.ssrn.com/sol3/papers.cfm?abstract_id=2806156" TargetMode="External"/><Relationship Id="rId54" Type="http://schemas.openxmlformats.org/officeDocument/2006/relationships/hyperlink" Target="http://papers.ssrn.com/sol3/papers.cfm?abstract_id=1605307" TargetMode="External"/><Relationship Id="rId62" Type="http://schemas.openxmlformats.org/officeDocument/2006/relationships/hyperlink" Target="http://www.albanese.co.uk" TargetMode="External"/><Relationship Id="rId70" Type="http://schemas.openxmlformats.org/officeDocument/2006/relationships/hyperlink" Target="http://papers.ssrn.com/sol3/papers.cfm?abstract_id=2482955" TargetMode="External"/><Relationship Id="rId75" Type="http://schemas.openxmlformats.org/officeDocument/2006/relationships/hyperlink" Target="http://papers.ssrn.com/sol3/papers.cfm?abstract_id=6143" TargetMode="External"/><Relationship Id="rId83" Type="http://schemas.openxmlformats.org/officeDocument/2006/relationships/hyperlink" Target="http://papers.ssrn.com/sol3/papers.cfm?abstract_id=2482955" TargetMode="External"/><Relationship Id="rId88" Type="http://schemas.openxmlformats.org/officeDocument/2006/relationships/hyperlink" Target="http://papers.ssrn.com/sol3/papers.cfm?abstract_id=2482955" TargetMode="External"/><Relationship Id="rId9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www.isda.org" TargetMode="External"/><Relationship Id="rId49" Type="http://schemas.openxmlformats.org/officeDocument/2006/relationships/hyperlink" Target="http://papers.ssrn.com/sol3/papers.cfm?abstract_id=2784289" TargetMode="External"/><Relationship Id="rId57" Type="http://schemas.openxmlformats.org/officeDocument/2006/relationships/hyperlink" Target="http://papers.ssrn.com/sol3/papers.cfm?abstract_id=2027195"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s://www.bis.org/bcbs/publ/d317.pdf" TargetMode="External"/><Relationship Id="rId52" Type="http://schemas.openxmlformats.org/officeDocument/2006/relationships/hyperlink" Target="http://papers.ssrn.com/sol3/papers.cfm?abstract_id=2103121" TargetMode="External"/><Relationship Id="rId60" Type="http://schemas.openxmlformats.org/officeDocument/2006/relationships/hyperlink" Target="http://papers.ssrn.com/sol3/papers.cfm?abstract_id=2157631" TargetMode="External"/><Relationship Id="rId65" Type="http://schemas.openxmlformats.org/officeDocument/2006/relationships/hyperlink" Target="http://papers.ssrn.com/sol3/papers.cfm?abstract_id=1855028" TargetMode="External"/><Relationship Id="rId73" Type="http://schemas.openxmlformats.org/officeDocument/2006/relationships/hyperlink" Target="http://inform.pwc.com/" TargetMode="External"/><Relationship Id="rId78" Type="http://schemas.openxmlformats.org/officeDocument/2006/relationships/hyperlink" Target="http://papers.ssrn.com/sol3/papers.cfm?abstract_id=6143" TargetMode="External"/><Relationship Id="rId81" Type="http://schemas.openxmlformats.org/officeDocument/2006/relationships/hyperlink" Target="http://papers.ssrn.com/sol3/papers.cfm?abstract_id=2482955" TargetMode="External"/><Relationship Id="rId86" Type="http://schemas.openxmlformats.org/officeDocument/2006/relationships/hyperlink" Target="https://papers.ssrn.com/sol3/papers.cfm?abstract_id=2517301" TargetMode="External"/><Relationship Id="rId9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s://papers.ssrn.com/sol3/papers.cfm?abstract_id=1744101"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papers.ssrn.com/sol3/papers.cfm?abstract_id=2746010" TargetMode="External"/><Relationship Id="rId55" Type="http://schemas.openxmlformats.org/officeDocument/2006/relationships/hyperlink" Target="http://papers.ssrn.com/sol3/papers.cfm?abstract_id=1785262" TargetMode="External"/><Relationship Id="rId76" Type="http://schemas.openxmlformats.org/officeDocument/2006/relationships/hyperlink" Target="http://papers.ssrn.com/sol3/papers.cfm?abstract_id=2482955" TargetMode="External"/><Relationship Id="rId7" Type="http://schemas.openxmlformats.org/officeDocument/2006/relationships/endnotes" Target="endnotes.xml"/><Relationship Id="rId71" Type="http://schemas.openxmlformats.org/officeDocument/2006/relationships/hyperlink" Target="http://papers.ssrn.com/sol3/papers.cfm?abstract_id=1785262"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s://papers.ssrn.com/sol3/papers.cfm?abstract_id=2719964" TargetMode="External"/><Relationship Id="rId45" Type="http://schemas.openxmlformats.org/officeDocument/2006/relationships/hyperlink" Target="https://arxiv.org/pdf/1405.0508.pdf" TargetMode="External"/><Relationship Id="rId66" Type="http://schemas.openxmlformats.org/officeDocument/2006/relationships/hyperlink" Target="http://investor.shareholder.com" TargetMode="External"/><Relationship Id="rId87" Type="http://schemas.openxmlformats.org/officeDocument/2006/relationships/hyperlink" Target="http://papers.ssrn.com/sol3/papers.cfm?abstract_id=1969344" TargetMode="External"/><Relationship Id="rId61" Type="http://schemas.openxmlformats.org/officeDocument/2006/relationships/hyperlink" Target="http://papers.ssrn.com/sol3/papers.cfm?abstract_id=2482955" TargetMode="External"/><Relationship Id="rId82"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30" Type="http://schemas.openxmlformats.org/officeDocument/2006/relationships/hyperlink" Target="http://arxiv.org/abs/1006.4767" TargetMode="External"/><Relationship Id="rId35" Type="http://schemas.openxmlformats.org/officeDocument/2006/relationships/hyperlink" Target="http://www.risk-europe.com/protected/michael-pykhtin.pdf" TargetMode="External"/><Relationship Id="rId56" Type="http://schemas.openxmlformats.org/officeDocument/2006/relationships/hyperlink" Target="http://papers.ssrn.com/sol3/papers.cfm?abstract_id=2157631" TargetMode="External"/><Relationship Id="rId77" Type="http://schemas.openxmlformats.org/officeDocument/2006/relationships/hyperlink" Target="http://papers.ssrn.com/sol3/papers.cfm?abstract_id=17852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315E47"/>
    <w:rsid w:val="00433D71"/>
    <w:rsid w:val="005F68C8"/>
    <w:rsid w:val="0070669F"/>
    <w:rsid w:val="009F318E"/>
    <w:rsid w:val="00CD1EFE"/>
    <w:rsid w:val="00EA1F08"/>
    <w:rsid w:val="00F0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8C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8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582</Pages>
  <Words>117939</Words>
  <Characters>672256</Characters>
  <Application>Microsoft Office Word</Application>
  <DocSecurity>0</DocSecurity>
  <Lines>5602</Lines>
  <Paragraphs>1577</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788618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18</cp:revision>
  <cp:lastPrinted>2018-03-17T15:56:00Z</cp:lastPrinted>
  <dcterms:created xsi:type="dcterms:W3CDTF">2018-05-30T19:45:00Z</dcterms:created>
  <dcterms:modified xsi:type="dcterms:W3CDTF">2018-05-31T02:08:00Z</dcterms:modified>
</cp:coreProperties>
</file>