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t>Lakshmi Krishnamurthy</w:t>
      </w:r>
    </w:p>
    <w:p w:rsidR="00816933" w:rsidRDefault="00816933" w:rsidP="00816933">
      <w:pPr>
        <w:spacing w:line="360" w:lineRule="auto"/>
        <w:ind w:left="360"/>
        <w:jc w:val="center"/>
      </w:pPr>
      <w:proofErr w:type="gramStart"/>
      <w:r>
        <w:rPr>
          <w:b/>
          <w:bCs/>
        </w:rPr>
        <w:t>v2.5</w:t>
      </w:r>
      <w:r>
        <w:rPr>
          <w:b/>
          <w:bCs/>
        </w:rPr>
        <w:t>9</w:t>
      </w:r>
      <w:proofErr w:type="gramEnd"/>
      <w:r w:rsidR="00451A26">
        <w:rPr>
          <w:b/>
          <w:bCs/>
        </w:rPr>
        <w:t xml:space="preserve"> </w:t>
      </w:r>
      <w:r>
        <w:t>22 February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253C48">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253C48">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253C48">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253C48">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253C48">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253C48">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253C48">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253C48">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253C48">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253C48">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253C48">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253C48">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253C48">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253C48">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97E5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253C48">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97E5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97E5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253C48">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253C48">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253C48">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253C48">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253C48">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253C48">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253C48">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253C48">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253C48">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253C48">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253C48">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253C48">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253C48">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253C48">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253C48">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253C48">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253C48">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253C48">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253C48">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253C48">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253C48">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253C48">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397E59"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253C48">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253C48">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253C48">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253C48">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253C48">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253C48">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253C48">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253C48">
      <w:pPr>
        <w:pStyle w:val="ListParagraph"/>
        <w:numPr>
          <w:ilvl w:val="0"/>
          <w:numId w:val="68"/>
        </w:numPr>
        <w:spacing w:line="360" w:lineRule="auto"/>
      </w:pPr>
      <w:r>
        <w:rPr>
          <w:u w:val="single"/>
        </w:rPr>
        <w:t>No-CSA Forwards Valuation</w:t>
      </w:r>
      <w:r>
        <w:t>:</w:t>
      </w:r>
    </w:p>
    <w:p w:rsidR="00397E59" w:rsidRDefault="00397E59" w:rsidP="00253C48">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253C48">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253C48">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253C48">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253C48">
      <w:pPr>
        <w:pStyle w:val="ListParagraph"/>
        <w:numPr>
          <w:ilvl w:val="0"/>
          <w:numId w:val="68"/>
        </w:numPr>
        <w:spacing w:line="360" w:lineRule="auto"/>
      </w:pPr>
      <w:r>
        <w:rPr>
          <w:u w:val="single"/>
        </w:rPr>
        <w:t>Forwards Contract with CSA</w:t>
      </w:r>
      <w:r>
        <w:t>:</w:t>
      </w:r>
    </w:p>
    <w:p w:rsidR="00397E59" w:rsidRDefault="00397E59" w:rsidP="00253C48">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253C48">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253C48">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253C48">
      <w:pPr>
        <w:pStyle w:val="ListParagraph"/>
        <w:numPr>
          <w:ilvl w:val="0"/>
          <w:numId w:val="68"/>
        </w:numPr>
        <w:spacing w:line="360" w:lineRule="auto"/>
      </w:pPr>
      <w:r>
        <w:rPr>
          <w:u w:val="single"/>
        </w:rPr>
        <w:t>Calculating CSA Convexity Adjustment</w:t>
      </w:r>
      <w:r>
        <w:t>:</w:t>
      </w:r>
    </w:p>
    <w:p w:rsidR="00397E59" w:rsidRDefault="00397E59" w:rsidP="00253C48">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253C48">
      <w:pPr>
        <w:pStyle w:val="ListParagraph"/>
        <w:numPr>
          <w:ilvl w:val="0"/>
          <w:numId w:val="68"/>
        </w:numPr>
        <w:spacing w:line="360" w:lineRule="auto"/>
      </w:pPr>
      <w:r>
        <w:rPr>
          <w:u w:val="single"/>
        </w:rPr>
        <w:t>Futures vs. CSA Forward Contracts</w:t>
      </w:r>
      <w:r>
        <w:t>:</w:t>
      </w:r>
    </w:p>
    <w:p w:rsidR="00397E59" w:rsidRDefault="00397E59" w:rsidP="00253C48">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253C48">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253C48">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253C48">
      <w:pPr>
        <w:pStyle w:val="ListParagraph"/>
        <w:numPr>
          <w:ilvl w:val="0"/>
          <w:numId w:val="69"/>
        </w:numPr>
        <w:spacing w:line="360" w:lineRule="auto"/>
      </w:pPr>
      <w:r w:rsidRPr="00BE45B9">
        <w:rPr>
          <w:u w:val="single"/>
        </w:rPr>
        <w:t>CSA vs. non-CSA Pricing</w:t>
      </w:r>
      <w:r>
        <w:t>:</w:t>
      </w:r>
    </w:p>
    <w:p w:rsidR="00397E59" w:rsidRDefault="00397E59" w:rsidP="00253C48">
      <w:pPr>
        <w:pStyle w:val="ListParagraph"/>
        <w:numPr>
          <w:ilvl w:val="1"/>
          <w:numId w:val="69"/>
        </w:numPr>
        <w:spacing w:line="360" w:lineRule="auto"/>
      </w:pPr>
      <w:r>
        <w:lastRenderedPageBreak/>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253C48">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253C48">
      <w:pPr>
        <w:pStyle w:val="ListParagraph"/>
        <w:numPr>
          <w:ilvl w:val="0"/>
          <w:numId w:val="69"/>
        </w:numPr>
        <w:spacing w:line="360" w:lineRule="auto"/>
      </w:pPr>
      <w:r>
        <w:rPr>
          <w:u w:val="single"/>
        </w:rPr>
        <w:t>Distribution Impact of Convexity Adjustment</w:t>
      </w:r>
      <w:r>
        <w:t>:</w:t>
      </w:r>
    </w:p>
    <w:p w:rsidR="00397E59" w:rsidRDefault="00397E59" w:rsidP="00253C48">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253C48">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253C48">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253C48">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253C48">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253C48">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253C48">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253C48">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w:t>
      </w:r>
      <w:r>
        <w:lastRenderedPageBreak/>
        <w:t xml:space="preserve">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253C48">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253C48">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97E59"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253C48">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97E59"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97E59" w:rsidP="00253C48">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Pr>
          <w:u w:val="single"/>
        </w:rPr>
        <w:t xml:space="preserve"> </w:t>
      </w:r>
      <w:proofErr w:type="gramStart"/>
      <w:r>
        <w:rPr>
          <w:u w:val="single"/>
        </w:rPr>
        <w:t>and</w:t>
      </w:r>
      <w:proofErr w:type="gramEnd"/>
      <w:r>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Pr>
          <w:u w:val="single"/>
        </w:rPr>
        <w:t xml:space="preserve"> Numeraires</w:t>
      </w:r>
      <w:r>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253C48">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253C48">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253C48">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397E5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7" o:title=""/>
          </v:shape>
          <o:OLEObject Type="Embed" ProgID="Equation.3" ShapeID="_x0000_i1025" DrawAspect="Content" ObjectID="_1549243693" r:id="rId8"/>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253C48">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7" o:title=""/>
          </v:shape>
          <o:OLEObject Type="Embed" ProgID="Equation.3" ShapeID="_x0000_i1026" DrawAspect="Content" ObjectID="_1549243694" r:id="rId9"/>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253C48">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253C48">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253C48">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253C48">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253C48">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253C48">
      <w:pPr>
        <w:numPr>
          <w:ilvl w:val="0"/>
          <w:numId w:val="4"/>
        </w:numPr>
        <w:spacing w:line="360" w:lineRule="auto"/>
      </w:pPr>
      <w:r>
        <w:t>Using</w:t>
      </w:r>
    </w:p>
    <w:p w:rsidR="00397E59" w:rsidRDefault="00397E59" w:rsidP="00397E59">
      <w:pPr>
        <w:spacing w:line="360" w:lineRule="auto"/>
        <w:ind w:left="720"/>
      </w:pPr>
    </w:p>
    <w:p w:rsidR="00397E59" w:rsidRPr="00B314D2" w:rsidRDefault="00397E59"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397E59"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397E59"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253C48">
      <w:pPr>
        <w:numPr>
          <w:ilvl w:val="0"/>
          <w:numId w:val="3"/>
        </w:numPr>
        <w:spacing w:line="360" w:lineRule="auto"/>
      </w:pPr>
      <w:r>
        <w:rPr>
          <w:u w:val="single"/>
        </w:rPr>
        <w:lastRenderedPageBreak/>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253C48">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253C48">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253C48">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253C48">
      <w:pPr>
        <w:numPr>
          <w:ilvl w:val="1"/>
          <w:numId w:val="4"/>
        </w:numPr>
        <w:spacing w:line="360" w:lineRule="auto"/>
      </w:pPr>
      <w:r>
        <w:t>More than one collateral currency may be used, thus optimizing over the multiple collateral choices (USD, GBP, EUR, JPY, etc.)</w:t>
      </w:r>
    </w:p>
    <w:p w:rsidR="00397E59" w:rsidRDefault="00397E59" w:rsidP="00253C48">
      <w:pPr>
        <w:numPr>
          <w:ilvl w:val="1"/>
          <w:numId w:val="4"/>
        </w:numPr>
        <w:spacing w:line="360" w:lineRule="auto"/>
      </w:pPr>
      <w:r>
        <w:t>Empirical Curve Representations using splining techniques may be usable</w:t>
      </w:r>
    </w:p>
    <w:p w:rsidR="00397E59" w:rsidRDefault="00397E59" w:rsidP="00253C48">
      <w:pPr>
        <w:numPr>
          <w:ilvl w:val="0"/>
          <w:numId w:val="3"/>
        </w:numPr>
        <w:spacing w:line="360" w:lineRule="auto"/>
      </w:pPr>
      <w:r>
        <w:rPr>
          <w:u w:val="single"/>
        </w:rPr>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253C48">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97E5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97E5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253C48">
      <w:pPr>
        <w:pStyle w:val="Footer"/>
        <w:numPr>
          <w:ilvl w:val="0"/>
          <w:numId w:val="1"/>
        </w:numPr>
        <w:tabs>
          <w:tab w:val="clear" w:pos="4320"/>
          <w:tab w:val="clear" w:pos="8640"/>
        </w:tabs>
        <w:spacing w:line="360" w:lineRule="auto"/>
      </w:pPr>
      <w:r>
        <w:t xml:space="preserve">Ametrano, F., and M. Bianchetti (2013): </w:t>
      </w:r>
      <w:hyperlink r:id="rId10"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253C48">
      <w:pPr>
        <w:pStyle w:val="Footer"/>
        <w:numPr>
          <w:ilvl w:val="0"/>
          <w:numId w:val="1"/>
        </w:numPr>
        <w:tabs>
          <w:tab w:val="clear" w:pos="4320"/>
          <w:tab w:val="clear" w:pos="8640"/>
        </w:tabs>
        <w:spacing w:line="360" w:lineRule="auto"/>
      </w:pPr>
      <w:r>
        <w:lastRenderedPageBreak/>
        <w:t xml:space="preserve">Antonov, A., and M. Arneguy (2009): </w:t>
      </w:r>
      <w:hyperlink r:id="rId11"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253C48">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253C48">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2"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253C48">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253C48">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3"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4"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5"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6" w:history="1">
        <w:r>
          <w:rPr>
            <w:rStyle w:val="Hyperlink"/>
            <w:szCs w:val="36"/>
          </w:rPr>
          <w:t>Bilateral Counterparty Risk under Funding Constraints - Part I: Pricing.</w:t>
        </w:r>
      </w:hyperlink>
    </w:p>
    <w:p w:rsidR="00397E59" w:rsidRDefault="00397E59" w:rsidP="00253C48">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7" w:history="1">
        <w:r>
          <w:rPr>
            <w:rStyle w:val="Hyperlink"/>
            <w:szCs w:val="36"/>
          </w:rPr>
          <w:t>Bilateral Counterparty Risk under Funding Constraints - Part II: CVA.</w:t>
        </w:r>
      </w:hyperlink>
    </w:p>
    <w:p w:rsidR="00397E59" w:rsidRDefault="00397E59" w:rsidP="00253C48">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8"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9"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0"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1"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253C48">
      <w:pPr>
        <w:pStyle w:val="Footer"/>
        <w:numPr>
          <w:ilvl w:val="0"/>
          <w:numId w:val="1"/>
        </w:numPr>
        <w:tabs>
          <w:tab w:val="clear" w:pos="4320"/>
          <w:tab w:val="clear" w:pos="8640"/>
        </w:tabs>
        <w:spacing w:line="360" w:lineRule="auto"/>
        <w:rPr>
          <w:szCs w:val="36"/>
        </w:rPr>
      </w:pPr>
      <w:r>
        <w:rPr>
          <w:szCs w:val="36"/>
        </w:rPr>
        <w:lastRenderedPageBreak/>
        <w:t xml:space="preserve">Han, M., Y. </w:t>
      </w:r>
      <w:proofErr w:type="gramStart"/>
      <w:r>
        <w:rPr>
          <w:szCs w:val="36"/>
        </w:rPr>
        <w:t xml:space="preserve">He, and H. Zhang (2013): </w:t>
      </w:r>
      <w:hyperlink r:id="rId22"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253C48">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253C48">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Henrard, M. (2012): </w:t>
      </w:r>
      <w:hyperlink r:id="rId23"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253C48">
      <w:pPr>
        <w:pStyle w:val="Footer"/>
        <w:numPr>
          <w:ilvl w:val="0"/>
          <w:numId w:val="1"/>
        </w:numPr>
        <w:tabs>
          <w:tab w:val="clear" w:pos="4320"/>
          <w:tab w:val="clear" w:pos="8640"/>
        </w:tabs>
        <w:spacing w:line="360" w:lineRule="auto"/>
      </w:pPr>
      <w:r>
        <w:t xml:space="preserve">ISDA (2009): </w:t>
      </w:r>
      <w:hyperlink r:id="rId24" w:history="1">
        <w:r>
          <w:rPr>
            <w:rStyle w:val="Hyperlink"/>
            <w:i/>
            <w:iCs/>
          </w:rPr>
          <w:t>ISDA Margin Survey</w:t>
        </w:r>
      </w:hyperlink>
      <w:r>
        <w:t>.</w:t>
      </w:r>
    </w:p>
    <w:p w:rsidR="00397E59" w:rsidRDefault="00397E59" w:rsidP="00253C48">
      <w:pPr>
        <w:pStyle w:val="Footer"/>
        <w:numPr>
          <w:ilvl w:val="0"/>
          <w:numId w:val="1"/>
        </w:numPr>
        <w:tabs>
          <w:tab w:val="clear" w:pos="4320"/>
          <w:tab w:val="clear" w:pos="8640"/>
        </w:tabs>
        <w:spacing w:line="360" w:lineRule="auto"/>
      </w:pPr>
      <w:r>
        <w:t xml:space="preserve">ISDA (2011): </w:t>
      </w:r>
      <w:hyperlink r:id="rId25" w:history="1">
        <w:r>
          <w:rPr>
            <w:rStyle w:val="Hyperlink"/>
            <w:i/>
            <w:iCs/>
          </w:rPr>
          <w:t>The Standard CSA: A Proposal for Standard Bilateral Collateralization of OTC Derivatives</w:t>
        </w:r>
      </w:hyperlink>
      <w:r>
        <w:t>.</w:t>
      </w:r>
    </w:p>
    <w:p w:rsidR="00397E59" w:rsidRDefault="00397E59" w:rsidP="00253C48">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253C48">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Macey, G. (2011): </w:t>
      </w:r>
      <w:hyperlink r:id="rId26"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Morini, M. (2009): </w:t>
      </w:r>
      <w:hyperlink r:id="rId27"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28"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253C48">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253C48">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253C48">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397E59" w:rsidRDefault="00397E59" w:rsidP="00397E59">
      <w:pPr>
        <w:spacing w:after="160" w:line="259" w:lineRule="auto"/>
        <w:rPr>
          <w:sz w:val="32"/>
        </w:rPr>
      </w:pPr>
      <w:r>
        <w:rPr>
          <w:sz w:val="32"/>
        </w:rPr>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253C48">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253C48">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253C48">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253C48">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253C48">
      <w:pPr>
        <w:pStyle w:val="ListParagraph"/>
        <w:numPr>
          <w:ilvl w:val="0"/>
          <w:numId w:val="72"/>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 xml:space="preserve">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253C48">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253C48">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253C48">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253C48">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253C48">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397E59" w:rsidRDefault="00397E59" w:rsidP="00253C48">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253C48">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253C48">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253C48">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253C48">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253C48">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397E59" w:rsidRPr="00847E12" w:rsidRDefault="00397E59" w:rsidP="00253C48">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253C48">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253C48">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253C48">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253C48">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F7337F">
        <w:rPr>
          <w:rFonts w:eastAsiaTheme="minorEastAsia"/>
        </w:rPr>
        <w:t xml:space="preserve"> =&gt; Yield on a Recovery-less Bond of Seller </w:t>
      </w:r>
      <m:oMath>
        <m:r>
          <w:rPr>
            <w:rFonts w:ascii="Cambria Math" w:hAnsi="Cambria Math"/>
          </w:rPr>
          <m:t>B</m:t>
        </m:r>
      </m:oMath>
    </w:p>
    <w:p w:rsidR="00397E59" w:rsidRPr="00F7337F"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=&gt; Yield on a Recovery-less Bond of Counterparty </w:t>
      </w:r>
      <m:oMath>
        <m:r>
          <w:rPr>
            <w:rFonts w:ascii="Cambria Math" w:hAnsi="Cambria Math"/>
          </w:rPr>
          <m:t>C</m:t>
        </m:r>
      </m:oMath>
    </w:p>
    <w:p w:rsidR="00397E59" w:rsidRPr="00F96D23"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=&gt; Recovery on the derivative MTM value in case the seller </w:t>
      </w:r>
      <m:oMath>
        <m:r>
          <w:rPr>
            <w:rFonts w:ascii="Cambria Math" w:hAnsi="Cambria Math"/>
          </w:rPr>
          <m:t>B</m:t>
        </m:r>
      </m:oMath>
      <w:r>
        <w:rPr>
          <w:rFonts w:eastAsiaTheme="minorEastAsia"/>
        </w:rPr>
        <w:t xml:space="preserve"> defaults</w:t>
      </w:r>
    </w:p>
    <w:p w:rsidR="00397E59" w:rsidRPr="00F7337F" w:rsidRDefault="00397E59" w:rsidP="00253C48">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=&gt; Recovery on the derivative MTM value in case the counterparty </w:t>
      </w:r>
      <m:oMath>
        <m:r>
          <w:rPr>
            <w:rFonts w:ascii="Cambria Math" w:hAnsi="Cambria Math"/>
          </w:rPr>
          <m:t>C</m:t>
        </m:r>
      </m:oMath>
      <w:r>
        <w:rPr>
          <w:rFonts w:eastAsiaTheme="minorEastAsia"/>
        </w:rPr>
        <w:t xml:space="preserve"> defaults</w:t>
      </w:r>
    </w:p>
    <w:p w:rsidR="00397E59" w:rsidRPr="00F96D23" w:rsidRDefault="00397E59" w:rsidP="00253C48">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253C48">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253C48">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253C48">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253C48">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97E59" w:rsidP="00253C48">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=&gt; Default-risk free zero-coupon bond</w:t>
      </w:r>
    </w:p>
    <w:p w:rsidR="00397E59" w:rsidRPr="004A5650" w:rsidRDefault="00397E59" w:rsidP="00253C48">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=&gt; Default-risky, zero-recovery, zero-coupon bond of party </w:t>
      </w:r>
      <m:oMath>
        <m:r>
          <w:rPr>
            <w:rFonts w:ascii="Cambria Math" w:hAnsi="Cambria Math"/>
          </w:rPr>
          <m:t>B</m:t>
        </m:r>
      </m:oMath>
    </w:p>
    <w:p w:rsidR="00397E59" w:rsidRPr="004A5650" w:rsidRDefault="00397E59" w:rsidP="00253C48">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253C48">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253C48">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253C48">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253C48">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253C48">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253C48">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253C48">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253C48">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253C48">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253C48">
      <w:pPr>
        <w:pStyle w:val="ListParagraph"/>
        <w:numPr>
          <w:ilvl w:val="0"/>
          <w:numId w:val="74"/>
        </w:numPr>
        <w:spacing w:after="160" w:line="360" w:lineRule="auto"/>
      </w:pPr>
      <w:r>
        <w:rPr>
          <w:u w:val="single"/>
        </w:rPr>
        <w:lastRenderedPageBreak/>
        <w:t>Default Close-out Boundary Conditions</w:t>
      </w:r>
      <w: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253C48">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253C48">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253C48">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lastRenderedPageBreak/>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253C48">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253C48">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253C48">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253C48">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253C48">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253C48">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253C48">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253C48">
      <w:pPr>
        <w:pStyle w:val="ListParagraph"/>
        <w:numPr>
          <w:ilvl w:val="0"/>
          <w:numId w:val="74"/>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253C48">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253C48">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253C48">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253C48">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253C48">
      <w:pPr>
        <w:pStyle w:val="ListParagraph"/>
        <w:numPr>
          <w:ilvl w:val="0"/>
          <w:numId w:val="74"/>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253C48">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253C48">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253C48">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253C48">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253C48">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253C48">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253C48">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253C48">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253C48">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253C48">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253C48">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253C48">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253C48">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253C48">
      <w:pPr>
        <w:pStyle w:val="ListParagraph"/>
        <w:numPr>
          <w:ilvl w:val="0"/>
          <w:numId w:val="75"/>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253C48">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253C48">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253C48">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253C48">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253C48">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253C48">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253C48">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253C48">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253C48">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253C48">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253C48">
      <w:pPr>
        <w:pStyle w:val="ListParagraph"/>
        <w:numPr>
          <w:ilvl w:val="1"/>
          <w:numId w:val="75"/>
        </w:numPr>
        <w:spacing w:after="160" w:line="360" w:lineRule="auto"/>
        <w:rPr>
          <w:rFonts w:eastAsiaTheme="minorEastAsia"/>
        </w:rPr>
      </w:pPr>
      <w:r>
        <w:rPr>
          <w:rFonts w:eastAsiaTheme="minorEastAsia"/>
        </w:rPr>
        <w:lastRenderedPageBreak/>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253C48">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253C48">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253C48">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253C48">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253C48">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253C48">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253C48">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Funding and Default Payoff Examples</w:t>
      </w:r>
    </w:p>
    <w:p w:rsidR="00397E59" w:rsidRDefault="00397E59" w:rsidP="00397E59">
      <w:pPr>
        <w:tabs>
          <w:tab w:val="left" w:pos="7800"/>
        </w:tabs>
        <w:spacing w:line="360" w:lineRule="auto"/>
      </w:pPr>
    </w:p>
    <w:p w:rsidR="00397E59" w:rsidRPr="006C2174" w:rsidRDefault="00397E59" w:rsidP="00253C48">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253C48">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253C48">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253C48">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253C48">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253C48">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253C48">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253C48">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253C48">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253C48">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253C48">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253C48">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253C48">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253C48">
      <w:pPr>
        <w:pStyle w:val="ListParagraph"/>
        <w:numPr>
          <w:ilvl w:val="0"/>
          <w:numId w:val="78"/>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253C48">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253C48">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253C48">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253C48">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253C48">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253C48">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253C48">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253C48">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253C48">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253C48">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253C48">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253C48">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253C48">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253C48">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253C48">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253C48">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253C48">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253C48">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253C48">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253C48">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253C48">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253C48">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253C48">
      <w:pPr>
        <w:pStyle w:val="ListParagraph"/>
        <w:numPr>
          <w:ilvl w:val="0"/>
          <w:numId w:val="82"/>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253C48">
      <w:pPr>
        <w:pStyle w:val="ListParagraph"/>
        <w:numPr>
          <w:ilvl w:val="0"/>
          <w:numId w:val="82"/>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253C48">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253C48">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253C48">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253C48">
      <w:pPr>
        <w:pStyle w:val="ListParagraph"/>
        <w:numPr>
          <w:ilvl w:val="0"/>
          <w:numId w:val="82"/>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253C48">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253C48">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253C48">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253C48">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397E59"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97E5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253C48">
      <w:pPr>
        <w:pStyle w:val="ListParagraph"/>
        <w:numPr>
          <w:ilvl w:val="0"/>
          <w:numId w:val="82"/>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253C48">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253C48">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253C48">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253C48">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253C48">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397E59" w:rsidRDefault="00397E59" w:rsidP="00253C48">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253C48">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253C48">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253C48">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253C48">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253C48">
      <w:pPr>
        <w:pStyle w:val="ListParagraph"/>
        <w:numPr>
          <w:ilvl w:val="0"/>
          <w:numId w:val="84"/>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253C48">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253C48">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253C48">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253C48">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253C48">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253C48">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253C48">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253C48">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253C48">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253C48">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253C48">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253C48">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253C48">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253C48">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253C48">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253C48">
      <w:pPr>
        <w:pStyle w:val="ListParagraph"/>
        <w:numPr>
          <w:ilvl w:val="0"/>
          <w:numId w:val="85"/>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253C48">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253C48">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253C48">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253C48">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253C48">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lastRenderedPageBreak/>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253C48">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253C48">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253C48">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253C48">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253C48">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253C48">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253C48">
      <w:pPr>
        <w:pStyle w:val="ListParagraph"/>
        <w:numPr>
          <w:ilvl w:val="0"/>
          <w:numId w:val="85"/>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253C48">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253C48">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253C48">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253C48">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253C48">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253C48">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253C48">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253C48">
      <w:pPr>
        <w:pStyle w:val="ListParagraph"/>
        <w:numPr>
          <w:ilvl w:val="0"/>
          <w:numId w:val="87"/>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253C48">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253C48">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253C48">
      <w:pPr>
        <w:pStyle w:val="ListParagraph"/>
        <w:numPr>
          <w:ilvl w:val="0"/>
          <w:numId w:val="88"/>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253C48">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253C48">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97E59" w:rsidP="00253C48">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AD25B8">
        <w:rPr>
          <w:rFonts w:eastAsiaTheme="minorEastAsia"/>
          <w:u w:val="single"/>
        </w:rPr>
        <w:t xml:space="preserve"> Buy-Sell Strategy</w:t>
      </w:r>
      <w:r>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253C48">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253C48">
      <w:pPr>
        <w:pStyle w:val="ListParagraph"/>
        <w:numPr>
          <w:ilvl w:val="1"/>
          <w:numId w:val="88"/>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97E59"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253C48">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253C48">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253C48">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253C48">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97E59" w:rsidP="00253C48">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Pr>
          <w:rFonts w:eastAsiaTheme="minorEastAsia"/>
          <w:u w:val="single"/>
        </w:rPr>
        <w:t xml:space="preserve"> Recovery Own Bond Balance</w:t>
      </w:r>
      <w:r>
        <w:t xml:space="preserve">: The remainder, i.e., the difference between the close-out and the collateral is invested/funded using own </w:t>
      </w:r>
      <w:proofErr w:type="gramStart"/>
      <w:r>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.This part generates</w:t>
      </w:r>
      <w:proofErr w:type="gramEnd"/>
      <w:r>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to the issuer’s bondholders when </w:t>
      </w:r>
      <m:oMath>
        <m:r>
          <w:rPr>
            <w:rFonts w:ascii="Cambria Math" w:eastAsiaTheme="minorEastAsia" w:hAnsi="Cambria Math"/>
          </w:rPr>
          <m:t>V-X</m:t>
        </m:r>
      </m:oMath>
      <w:r>
        <w:rPr>
          <w:rFonts w:eastAsiaTheme="minorEastAsia"/>
        </w:rPr>
        <w:t xml:space="preserve"> is in the money and the issuer defaults.</w:t>
      </w:r>
    </w:p>
    <w:p w:rsidR="00397E59" w:rsidRPr="002D5569" w:rsidRDefault="00397E59" w:rsidP="00253C48">
      <w:pPr>
        <w:pStyle w:val="ListParagraph"/>
        <w:numPr>
          <w:ilvl w:val="0"/>
          <w:numId w:val="88"/>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253C48">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253C48">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lastRenderedPageBreak/>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253C48">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253C48">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253C48">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253C48">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253C48">
      <w:pPr>
        <w:pStyle w:val="ListParagraph"/>
        <w:numPr>
          <w:ilvl w:val="0"/>
          <w:numId w:val="89"/>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253C48">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253C48">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253C48">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253C48">
      <w:pPr>
        <w:pStyle w:val="ListParagraph"/>
        <w:numPr>
          <w:ilvl w:val="0"/>
          <w:numId w:val="90"/>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253C48">
      <w:pPr>
        <w:pStyle w:val="ListParagraph"/>
        <w:numPr>
          <w:ilvl w:val="0"/>
          <w:numId w:val="90"/>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253C48">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253C48">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253C48">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253C48">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253C48">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253C48">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253C48">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253C48">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253C48">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253C48">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253C48">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253C48">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253C48">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w:lastRenderedPageBreak/>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253C48">
      <w:pPr>
        <w:pStyle w:val="ListParagraph"/>
        <w:numPr>
          <w:ilvl w:val="0"/>
          <w:numId w:val="91"/>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253C48">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253C48">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253C48">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w:t>
      </w:r>
      <w:r>
        <w:lastRenderedPageBreak/>
        <w:t>the prices are close to being symmetric. Setoff close-outs are an attractive way of mitigating the need for funding cost adjustments.</w:t>
      </w:r>
    </w:p>
    <w:p w:rsidR="00397E59" w:rsidRDefault="00397E59" w:rsidP="00253C48">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253C48">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253C48">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253C48">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253C48">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253C48">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w:t>
      </w:r>
      <w:r>
        <w:lastRenderedPageBreak/>
        <w:t>trade using the issuer bond notional rather than cash, which reduces the post-default bond-holder windfall.</w:t>
      </w:r>
    </w:p>
    <w:p w:rsidR="00397E59" w:rsidRPr="00B81761" w:rsidRDefault="00397E59" w:rsidP="00253C48">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253C48">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29" w:history="1">
        <w:r>
          <w:rPr>
            <w:rStyle w:val="Hyperlink"/>
          </w:rPr>
          <w:t>Credit Valuation Adjustment (CVA)</w:t>
        </w:r>
      </w:hyperlink>
      <w:r w:rsidRPr="0084037E">
        <w:t xml:space="preserve"> </w:t>
      </w:r>
      <w:r w:rsidRPr="0084037E">
        <w:rPr>
          <w:b/>
        </w:rPr>
        <w:t>eSSRN</w:t>
      </w:r>
      <w:r w:rsidRPr="0084037E">
        <w:t>.</w:t>
      </w:r>
    </w:p>
    <w:p w:rsidR="00397E59" w:rsidRDefault="00397E59" w:rsidP="00253C48">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253C48">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253C48">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0"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253C48">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253C48">
      <w:pPr>
        <w:pStyle w:val="ListParagraph"/>
        <w:numPr>
          <w:ilvl w:val="0"/>
          <w:numId w:val="71"/>
        </w:numPr>
        <w:spacing w:after="160" w:line="360" w:lineRule="auto"/>
      </w:pPr>
      <w:r w:rsidRPr="0084037E">
        <w:t xml:space="preserve">Burgard, C., and M. Kjaer (2012a): </w:t>
      </w:r>
      <w:hyperlink r:id="rId3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253C48">
      <w:pPr>
        <w:pStyle w:val="ListParagraph"/>
        <w:numPr>
          <w:ilvl w:val="0"/>
          <w:numId w:val="71"/>
        </w:numPr>
        <w:spacing w:after="160" w:line="360" w:lineRule="auto"/>
      </w:pPr>
      <w:r w:rsidRPr="0084037E">
        <w:t>Burgard, C., and M. Kjaer (2012</w:t>
      </w:r>
      <w:r>
        <w:t>b</w:t>
      </w:r>
      <w:r w:rsidRPr="0084037E">
        <w:t xml:space="preserve">): </w:t>
      </w:r>
      <w:hyperlink r:id="rId33" w:history="1">
        <w:r>
          <w:rPr>
            <w:rStyle w:val="Hyperlink"/>
          </w:rPr>
          <w:t>In the Balance</w:t>
        </w:r>
      </w:hyperlink>
      <w:r w:rsidRPr="0084037E">
        <w:t xml:space="preserve"> </w:t>
      </w:r>
      <w:r w:rsidRPr="0084037E">
        <w:rPr>
          <w:b/>
        </w:rPr>
        <w:t>eSSRN</w:t>
      </w:r>
      <w:r w:rsidRPr="0084037E">
        <w:t>.</w:t>
      </w:r>
    </w:p>
    <w:p w:rsidR="00397E59" w:rsidRDefault="00397E59" w:rsidP="00253C48">
      <w:pPr>
        <w:pStyle w:val="ListParagraph"/>
        <w:numPr>
          <w:ilvl w:val="0"/>
          <w:numId w:val="71"/>
        </w:numPr>
        <w:spacing w:after="160" w:line="360" w:lineRule="auto"/>
      </w:pPr>
      <w:r w:rsidRPr="0084037E">
        <w:t>Burgard, C., and M. Kjaer (2012</w:t>
      </w:r>
      <w:r>
        <w:t>c</w:t>
      </w:r>
      <w:r w:rsidRPr="0084037E">
        <w:t xml:space="preserve">): </w:t>
      </w:r>
      <w:hyperlink r:id="rId34" w:history="1">
        <w:r>
          <w:rPr>
            <w:rStyle w:val="Hyperlink"/>
          </w:rPr>
          <w:t>CVA and FVA with Funding Aware Close-outs</w:t>
        </w:r>
      </w:hyperlink>
      <w:r w:rsidRPr="0084037E">
        <w:t xml:space="preserve"> </w:t>
      </w:r>
      <w:r w:rsidRPr="0084037E">
        <w:rPr>
          <w:b/>
        </w:rPr>
        <w:t>eSSRN</w:t>
      </w:r>
      <w:r w:rsidRPr="0084037E">
        <w:t>.</w:t>
      </w:r>
    </w:p>
    <w:p w:rsidR="00397E59" w:rsidRDefault="00397E59" w:rsidP="00253C48">
      <w:pPr>
        <w:pStyle w:val="ListParagraph"/>
        <w:numPr>
          <w:ilvl w:val="0"/>
          <w:numId w:val="71"/>
        </w:numPr>
        <w:spacing w:after="160" w:line="360" w:lineRule="auto"/>
      </w:pPr>
      <w:r w:rsidRPr="0084037E">
        <w:t>Burgard, C., and M. Kjaer (201</w:t>
      </w:r>
      <w:r>
        <w:t>3</w:t>
      </w:r>
      <w:r w:rsidRPr="0084037E">
        <w:t xml:space="preserve">): </w:t>
      </w:r>
      <w:hyperlink r:id="rId35" w:history="1">
        <w:r>
          <w:rPr>
            <w:rStyle w:val="Hyperlink"/>
          </w:rPr>
          <w:t>Funding Costs, Funding Strategies</w:t>
        </w:r>
      </w:hyperlink>
      <w:r w:rsidRPr="0084037E">
        <w:t xml:space="preserve"> </w:t>
      </w:r>
      <w:r w:rsidRPr="0084037E">
        <w:rPr>
          <w:b/>
        </w:rPr>
        <w:t>eSSRN</w:t>
      </w:r>
      <w:r w:rsidRPr="0084037E">
        <w:t>.</w:t>
      </w:r>
    </w:p>
    <w:p w:rsidR="00397E59" w:rsidRDefault="00397E59" w:rsidP="00253C48">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253C48">
      <w:pPr>
        <w:pStyle w:val="ListParagraph"/>
        <w:numPr>
          <w:ilvl w:val="0"/>
          <w:numId w:val="71"/>
        </w:numPr>
        <w:spacing w:after="160" w:line="360" w:lineRule="auto"/>
      </w:pPr>
      <w:r>
        <w:t xml:space="preserve">Crepey, S. (2013a): </w:t>
      </w:r>
      <w:hyperlink r:id="rId36" w:history="1">
        <w:r w:rsidRPr="003C7B1E">
          <w:rPr>
            <w:rStyle w:val="Hyperlink"/>
          </w:rPr>
          <w:t>Bilateral Counterparty Risk Under Funding Constraints – Part I: Pricing</w:t>
        </w:r>
      </w:hyperlink>
      <w:r>
        <w:t>.</w:t>
      </w:r>
    </w:p>
    <w:p w:rsidR="00397E59" w:rsidRDefault="00397E59" w:rsidP="00253C48">
      <w:pPr>
        <w:pStyle w:val="ListParagraph"/>
        <w:numPr>
          <w:ilvl w:val="0"/>
          <w:numId w:val="71"/>
        </w:numPr>
        <w:spacing w:after="160" w:line="360" w:lineRule="auto"/>
      </w:pPr>
      <w:r>
        <w:lastRenderedPageBreak/>
        <w:t xml:space="preserve">Crepey, S. (2013b): </w:t>
      </w:r>
      <w:hyperlink r:id="rId37" w:history="1">
        <w:r>
          <w:rPr>
            <w:rStyle w:val="Hyperlink"/>
          </w:rPr>
          <w:t>Bilateral Counterparty Risk Under Funding Constraints – Part II: CVA</w:t>
        </w:r>
      </w:hyperlink>
      <w:r>
        <w:t>.</w:t>
      </w:r>
    </w:p>
    <w:p w:rsidR="00397E59" w:rsidRDefault="00397E59" w:rsidP="00253C48">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253C48">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253C48">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253C48">
      <w:pPr>
        <w:pStyle w:val="ListParagraph"/>
        <w:numPr>
          <w:ilvl w:val="0"/>
          <w:numId w:val="71"/>
        </w:numPr>
        <w:spacing w:after="160" w:line="360" w:lineRule="auto"/>
      </w:pPr>
      <w:r>
        <w:t xml:space="preserve">Hull, J., and A. White (2012b): </w:t>
      </w:r>
      <w:hyperlink r:id="rId38" w:history="1">
        <w:r w:rsidRPr="000F6F13">
          <w:rPr>
            <w:rStyle w:val="Hyperlink"/>
          </w:rPr>
          <w:t>CVA, DVA, FVA, and Black-Scholes-Merton Arguments</w:t>
        </w:r>
      </w:hyperlink>
      <w:r>
        <w:t>.</w:t>
      </w:r>
    </w:p>
    <w:p w:rsidR="00397E59" w:rsidRDefault="00397E59" w:rsidP="00253C48">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253C48">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253C48">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253C48">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253C48">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253C48">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253C48">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253C48">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253C48">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253C48">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253C48">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253C48">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253C48">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253C48">
      <w:pPr>
        <w:pStyle w:val="ListParagraph"/>
        <w:numPr>
          <w:ilvl w:val="0"/>
          <w:numId w:val="10"/>
        </w:numPr>
        <w:spacing w:after="160" w:line="360" w:lineRule="auto"/>
        <w:rPr>
          <w:bCs/>
        </w:rPr>
      </w:pPr>
      <w:r w:rsidRPr="005A6502">
        <w:rPr>
          <w:bCs/>
          <w:u w:val="single"/>
        </w:rPr>
        <w:lastRenderedPageBreak/>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253C48">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253C48">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253C48">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97E59"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 xml:space="preserve">“X” Valuation Adjustment (short-hand for all valuation adjustments, </w:t>
            </w:r>
            <w:r>
              <w:rPr>
                <w:bCs/>
              </w:rPr>
              <w:lastRenderedPageBreak/>
              <w:t>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253C48">
      <w:pPr>
        <w:pStyle w:val="Footer"/>
        <w:numPr>
          <w:ilvl w:val="0"/>
          <w:numId w:val="1"/>
        </w:numPr>
        <w:tabs>
          <w:tab w:val="clear" w:pos="4320"/>
          <w:tab w:val="clear" w:pos="8640"/>
        </w:tabs>
        <w:spacing w:line="360" w:lineRule="auto"/>
      </w:pPr>
      <w:r>
        <w:t xml:space="preserve">Albanese, C., and L. Andersen (2014): </w:t>
      </w:r>
      <w:hyperlink r:id="rId3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253C48">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253C48">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253C48">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253C48">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253C48">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253C48">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397E59" w:rsidRDefault="00397E59" w:rsidP="00253C48">
      <w:pPr>
        <w:pStyle w:val="ListParagraph"/>
        <w:numPr>
          <w:ilvl w:val="0"/>
          <w:numId w:val="12"/>
        </w:numPr>
        <w:spacing w:after="160" w:line="360" w:lineRule="auto"/>
        <w:rPr>
          <w:bCs/>
        </w:rPr>
      </w:pPr>
      <w:r>
        <w:rPr>
          <w:bCs/>
          <w:u w:val="single"/>
        </w:rPr>
        <w:lastRenderedPageBreak/>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253C48">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253C48">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253C48">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253C48">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253C48">
      <w:pPr>
        <w:pStyle w:val="ListParagraph"/>
        <w:numPr>
          <w:ilvl w:val="0"/>
          <w:numId w:val="14"/>
        </w:numPr>
        <w:spacing w:line="360" w:lineRule="auto"/>
      </w:pPr>
      <w:r w:rsidRPr="00A56DC8">
        <w:rPr>
          <w:u w:val="single"/>
        </w:rPr>
        <w:t>Impact of Basel Committee Recommendations</w:t>
      </w:r>
      <w:r>
        <w:t xml:space="preserve">: The question of how and whether to include funding costs in accounts is complicated by the recent decision of the national regulators to accept the recommendation by the Basel Committee (Basel Committee On Banking </w:t>
      </w:r>
      <w:r>
        <w:lastRenderedPageBreak/>
        <w:t>Supervision (2012)) and mandate the exclusion of the DVA and other own-credit benefits from CET1.</w:t>
      </w:r>
    </w:p>
    <w:p w:rsidR="00397E59" w:rsidRDefault="00397E59" w:rsidP="00253C48">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253C48">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253C48">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253C48">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253C48">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Shortcomings of Traditional CVA Systems</w:t>
      </w:r>
    </w:p>
    <w:p w:rsidR="00397E59" w:rsidRDefault="00397E59" w:rsidP="00397E59">
      <w:pPr>
        <w:spacing w:line="360" w:lineRule="auto"/>
      </w:pPr>
    </w:p>
    <w:p w:rsidR="00397E59" w:rsidRDefault="00397E59" w:rsidP="00253C48">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253C48">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253C48">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253C48">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253C48">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253C48">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253C48">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97E59" w:rsidRDefault="00397E59" w:rsidP="00253C48">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253C48">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253C48">
      <w:pPr>
        <w:pStyle w:val="Footer"/>
        <w:numPr>
          <w:ilvl w:val="0"/>
          <w:numId w:val="1"/>
        </w:numPr>
        <w:tabs>
          <w:tab w:val="clear" w:pos="4320"/>
          <w:tab w:val="clear" w:pos="8640"/>
        </w:tabs>
        <w:spacing w:line="360" w:lineRule="auto"/>
      </w:pPr>
      <w:r>
        <w:t xml:space="preserve">Albanese, C., and S. Iabichino (2013): </w:t>
      </w:r>
      <w:hyperlink r:id="rId40" w:history="1">
        <w:r>
          <w:rPr>
            <w:rStyle w:val="Hyperlink"/>
          </w:rPr>
          <w:t>The FVA-DVA Puzzle: Risk Management and Collateral Trading Strategies</w:t>
        </w:r>
      </w:hyperlink>
      <w:r>
        <w:t>.</w:t>
      </w:r>
    </w:p>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253C48">
      <w:pPr>
        <w:pStyle w:val="Footer"/>
        <w:numPr>
          <w:ilvl w:val="0"/>
          <w:numId w:val="1"/>
        </w:numPr>
        <w:tabs>
          <w:tab w:val="clear" w:pos="4320"/>
          <w:tab w:val="clear" w:pos="8640"/>
        </w:tabs>
        <w:spacing w:line="360" w:lineRule="auto"/>
      </w:pPr>
      <w:r>
        <w:t xml:space="preserve">Caccia, R. (2013): </w:t>
      </w:r>
      <w:hyperlink r:id="rId4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253C48">
      <w:pPr>
        <w:pStyle w:val="Footer"/>
        <w:numPr>
          <w:ilvl w:val="0"/>
          <w:numId w:val="1"/>
        </w:numPr>
        <w:tabs>
          <w:tab w:val="clear" w:pos="4320"/>
          <w:tab w:val="clear" w:pos="8640"/>
        </w:tabs>
        <w:spacing w:line="360" w:lineRule="auto"/>
      </w:pPr>
      <w:r>
        <w:t xml:space="preserve">Castagna, A. (2011): </w:t>
      </w:r>
      <w:hyperlink r:id="rId43" w:history="1">
        <w:r>
          <w:rPr>
            <w:rStyle w:val="Hyperlink"/>
          </w:rPr>
          <w:t>Funding, Liquidity, Credit, and Counterparty Risk: Links and Implications</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JP Morgan Press Release (2013): </w:t>
      </w:r>
      <w:hyperlink r:id="rId4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253C48">
      <w:pPr>
        <w:pStyle w:val="Footer"/>
        <w:numPr>
          <w:ilvl w:val="0"/>
          <w:numId w:val="1"/>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253C48">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253C48">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253C48">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253C48">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253C48">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253C48">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253C48">
      <w:pPr>
        <w:pStyle w:val="ListParagraph"/>
        <w:numPr>
          <w:ilvl w:val="1"/>
          <w:numId w:val="19"/>
        </w:numPr>
        <w:spacing w:line="360" w:lineRule="auto"/>
      </w:pPr>
      <w:r>
        <w:t>HY1 =&gt; Re-hypothecation is possible only between hedges to trades in individual netting sets;</w:t>
      </w:r>
    </w:p>
    <w:p w:rsidR="00397E59" w:rsidRPr="00006B7D" w:rsidRDefault="00397E59" w:rsidP="00253C48">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253C48">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253C48">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253C48">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253C48">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253C48">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253C48">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253C48">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253C48">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253C48">
      <w:pPr>
        <w:pStyle w:val="ListParagraph"/>
        <w:numPr>
          <w:ilvl w:val="1"/>
          <w:numId w:val="20"/>
        </w:numPr>
        <w:spacing w:line="360" w:lineRule="auto"/>
      </w:pPr>
      <w:r>
        <w:t>Enter FCA and unilateral CVA (UCVA) as CET1 deductions.</w:t>
      </w:r>
    </w:p>
    <w:p w:rsidR="00397E59" w:rsidRDefault="00397E59" w:rsidP="00253C48">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253C48">
      <w:pPr>
        <w:pStyle w:val="ListParagraph"/>
        <w:numPr>
          <w:ilvl w:val="1"/>
          <w:numId w:val="20"/>
        </w:numPr>
        <w:spacing w:line="360" w:lineRule="auto"/>
      </w:pPr>
      <w:r>
        <w:t>Transfer UCVA and SFVA to clients.</w:t>
      </w:r>
    </w:p>
    <w:p w:rsidR="00397E59" w:rsidRDefault="00397E59" w:rsidP="00253C48">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253C48">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253C48">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253C48">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253C48">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253C48">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253C48">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253C48">
      <w:pPr>
        <w:pStyle w:val="ListParagraph"/>
        <w:numPr>
          <w:ilvl w:val="1"/>
          <w:numId w:val="21"/>
        </w:numPr>
        <w:spacing w:line="360" w:lineRule="auto"/>
      </w:pPr>
      <w:r>
        <w:t>Reflects and justifies Basel III regulatory requirements regarding counterparty credit risk;</w:t>
      </w:r>
    </w:p>
    <w:p w:rsidR="00397E59" w:rsidRDefault="00397E59" w:rsidP="00253C48">
      <w:pPr>
        <w:pStyle w:val="ListParagraph"/>
        <w:numPr>
          <w:ilvl w:val="1"/>
          <w:numId w:val="21"/>
        </w:numPr>
        <w:spacing w:line="360" w:lineRule="auto"/>
      </w:pPr>
      <w:r>
        <w:t>Is consistent with generally accepted accounting principles;</w:t>
      </w:r>
    </w:p>
    <w:p w:rsidR="00397E59" w:rsidRDefault="00397E59" w:rsidP="00253C48">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253C48">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253C48">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253C48">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253C48">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253C48">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253C48">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253C48">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253C48">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253C48">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253C48">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253C48">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253C48">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253C48">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253C48">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253C48">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253C48">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253C48">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253C48">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253C48">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253C48">
      <w:pPr>
        <w:pStyle w:val="Footer"/>
        <w:numPr>
          <w:ilvl w:val="0"/>
          <w:numId w:val="1"/>
        </w:numPr>
        <w:tabs>
          <w:tab w:val="clear" w:pos="4320"/>
          <w:tab w:val="clear" w:pos="8640"/>
        </w:tabs>
        <w:spacing w:line="360" w:lineRule="auto"/>
      </w:pPr>
      <w:r>
        <w:t xml:space="preserve">Hull, J., and A. White (2014): </w:t>
      </w:r>
      <w:hyperlink r:id="rId46"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253C48">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253C48">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253C48">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253C48">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253C48">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253C48">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253C48">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253C48">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253C48">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253C48">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253C48">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253C48">
      <w:pPr>
        <w:pStyle w:val="ListParagraph"/>
        <w:numPr>
          <w:ilvl w:val="0"/>
          <w:numId w:val="23"/>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253C48">
      <w:pPr>
        <w:pStyle w:val="ListParagraph"/>
        <w:numPr>
          <w:ilvl w:val="0"/>
          <w:numId w:val="23"/>
        </w:numPr>
        <w:spacing w:line="360" w:lineRule="auto"/>
      </w:pPr>
      <w:proofErr w:type="gramStart"/>
      <w:r>
        <w:rPr>
          <w:u w:val="single"/>
        </w:rPr>
        <w:lastRenderedPageBreak/>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253C48">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253C48">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253C48">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253C48">
      <w:pPr>
        <w:pStyle w:val="ListParagraph"/>
        <w:numPr>
          <w:ilvl w:val="1"/>
          <w:numId w:val="24"/>
        </w:numPr>
        <w:spacing w:line="360" w:lineRule="auto"/>
      </w:pPr>
      <w:r>
        <w:t>CF1 =&gt; Contractually promised cash flow streams excluding all bank and counterparty credit risk events;</w:t>
      </w:r>
    </w:p>
    <w:p w:rsidR="00397E59" w:rsidRDefault="00397E59" w:rsidP="00253C48">
      <w:pPr>
        <w:pStyle w:val="ListParagraph"/>
        <w:numPr>
          <w:ilvl w:val="1"/>
          <w:numId w:val="24"/>
        </w:numPr>
        <w:spacing w:line="360" w:lineRule="auto"/>
      </w:pPr>
      <w:r>
        <w:t>CF2 =&gt; Trade-related cash flows resulting from counter party defaults, but excluding bank default events;</w:t>
      </w:r>
    </w:p>
    <w:p w:rsidR="00397E59" w:rsidRDefault="00397E59" w:rsidP="00253C48">
      <w:pPr>
        <w:pStyle w:val="ListParagraph"/>
        <w:numPr>
          <w:ilvl w:val="1"/>
          <w:numId w:val="24"/>
        </w:numPr>
        <w:spacing w:line="360" w:lineRule="auto"/>
      </w:pPr>
      <w:r>
        <w:t>CF3 =&gt; Trade related cash flows resulting from the bank default;</w:t>
      </w:r>
    </w:p>
    <w:p w:rsidR="00397E59" w:rsidRDefault="00397E59" w:rsidP="00253C48">
      <w:pPr>
        <w:pStyle w:val="ListParagraph"/>
        <w:numPr>
          <w:ilvl w:val="1"/>
          <w:numId w:val="24"/>
        </w:numPr>
        <w:spacing w:line="360" w:lineRule="auto"/>
      </w:pPr>
      <w:r>
        <w:lastRenderedPageBreak/>
        <w:t>CF4 =&gt; Cash flows streams derived from dynamic trading strategies (such as funding strategies) implemented by the banks and taking place prior to the bank default;</w:t>
      </w:r>
    </w:p>
    <w:p w:rsidR="00397E59" w:rsidRDefault="00397E59" w:rsidP="00253C48">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253C48">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253C48">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253C48">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253C48">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253C48">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253C48">
      <w:pPr>
        <w:pStyle w:val="ListParagraph"/>
        <w:numPr>
          <w:ilvl w:val="0"/>
          <w:numId w:val="24"/>
        </w:numPr>
        <w:spacing w:line="360" w:lineRule="auto"/>
      </w:pPr>
      <w:r>
        <w:rPr>
          <w:u w:val="single"/>
        </w:rPr>
        <w:t>Cash Flow Streams</w:t>
      </w:r>
      <w:r w:rsidRPr="00522303">
        <w:t>:</w:t>
      </w:r>
    </w:p>
    <w:p w:rsidR="00397E59" w:rsidRDefault="00397E59" w:rsidP="00253C48">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253C48">
      <w:pPr>
        <w:pStyle w:val="ListParagraph"/>
        <w:numPr>
          <w:ilvl w:val="1"/>
          <w:numId w:val="24"/>
        </w:numPr>
        <w:spacing w:line="360" w:lineRule="auto"/>
      </w:pPr>
      <w:r>
        <w:lastRenderedPageBreak/>
        <w:t>UCVA =&gt; The UCVA refers to a cash flow stream of type CF2 and is, effectively, the price of a CVA protection contract promised by the bank, excluding the effects of bank default.</w:t>
      </w:r>
    </w:p>
    <w:p w:rsidR="00397E59" w:rsidRDefault="00397E59" w:rsidP="00253C48">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253C48">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253C48">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253C48">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253C48">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253C48">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253C48">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253C48">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253C48">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397E59" w:rsidRDefault="00397E59" w:rsidP="00253C48">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253C48">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253C48">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253C48">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253C48">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253C48">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253C48">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253C48">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253C48">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253C48">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253C48">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253C48">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253C48">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253C48">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253C48">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253C48">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253C48">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253C48">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253C48">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253C48">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253C48">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253C48">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253C48">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253C48">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253C48">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253C48">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253C48">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253C48">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253C48">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253C48">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253C48">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253C48">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253C48">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253C48">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253C48">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253C48">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253C48">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253C48">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253C48">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253C48">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253C48">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253C48">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253C48">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253C48">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253C48">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253C48">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253C48">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253C48">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253C48">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253C48">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253C48">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253C48">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48"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(1)</w:t>
      </w:r>
      <w:r>
        <w:t>.</w:t>
      </w:r>
    </w:p>
    <w:p w:rsidR="00397E59" w:rsidRDefault="00397E59" w:rsidP="00253C48">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253C48">
      <w:pPr>
        <w:pStyle w:val="Footer"/>
        <w:numPr>
          <w:ilvl w:val="0"/>
          <w:numId w:val="1"/>
        </w:numPr>
        <w:tabs>
          <w:tab w:val="clear" w:pos="4320"/>
          <w:tab w:val="clear" w:pos="8640"/>
        </w:tabs>
        <w:spacing w:line="360" w:lineRule="auto"/>
      </w:pPr>
      <w:r>
        <w:t xml:space="preserve">Burgard, C., and M. Kjaer (2011c): </w:t>
      </w:r>
      <w:hyperlink r:id="rId49" w:history="1">
        <w:r>
          <w:rPr>
            <w:rStyle w:val="Hyperlink"/>
          </w:rPr>
          <w:t>In the Balance</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253C48">
      <w:pPr>
        <w:pStyle w:val="Footer"/>
        <w:numPr>
          <w:ilvl w:val="0"/>
          <w:numId w:val="1"/>
        </w:numPr>
        <w:tabs>
          <w:tab w:val="clear" w:pos="4320"/>
          <w:tab w:val="clear" w:pos="8640"/>
        </w:tabs>
        <w:spacing w:line="360" w:lineRule="auto"/>
      </w:pPr>
      <w:r>
        <w:t xml:space="preserve">KPMG (2011): </w:t>
      </w:r>
      <w:hyperlink r:id="rId50" w:history="1">
        <w:r>
          <w:rPr>
            <w:rStyle w:val="Hyperlink"/>
          </w:rPr>
          <w:t>First Impressions: Fair Value Management</w:t>
        </w:r>
      </w:hyperlink>
      <w:r>
        <w:t xml:space="preserve"> </w:t>
      </w:r>
      <w:r>
        <w:rPr>
          <w:bCs/>
          <w:i/>
        </w:rPr>
        <w:t>KPMG Report</w:t>
      </w:r>
      <w:r>
        <w:t>.</w:t>
      </w:r>
    </w:p>
    <w:p w:rsidR="00397E59" w:rsidRDefault="00397E59" w:rsidP="00253C48">
      <w:pPr>
        <w:pStyle w:val="Footer"/>
        <w:numPr>
          <w:ilvl w:val="0"/>
          <w:numId w:val="1"/>
        </w:numPr>
        <w:tabs>
          <w:tab w:val="clear" w:pos="4320"/>
          <w:tab w:val="clear" w:pos="8640"/>
        </w:tabs>
        <w:spacing w:line="360" w:lineRule="auto"/>
      </w:pPr>
      <w:r>
        <w:t xml:space="preserve">PWC (2011): </w:t>
      </w:r>
      <w:hyperlink r:id="rId51"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253C48">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253C48">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253C48">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253C48">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253C48">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253C48">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253C48">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97E5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253C48">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253C48">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253C48">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253C48">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253C48">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253C48">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253C48">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253C48">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253C48">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253C48">
      <w:pPr>
        <w:pStyle w:val="ListParagraph"/>
        <w:numPr>
          <w:ilvl w:val="0"/>
          <w:numId w:val="29"/>
        </w:numPr>
        <w:spacing w:line="360" w:lineRule="auto"/>
      </w:pPr>
      <w:r w:rsidRPr="006B076C">
        <w:rPr>
          <w:u w:val="single"/>
        </w:rPr>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253C48">
      <w:pPr>
        <w:pStyle w:val="ListParagraph"/>
        <w:numPr>
          <w:ilvl w:val="0"/>
          <w:numId w:val="29"/>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253C48">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253C48">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253C48">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253C48">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253C48">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253C48">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253C48">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253C48">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253C48">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253C48">
      <w:pPr>
        <w:pStyle w:val="ListParagraph"/>
        <w:numPr>
          <w:ilvl w:val="0"/>
          <w:numId w:val="29"/>
        </w:numPr>
        <w:spacing w:line="360" w:lineRule="auto"/>
      </w:pPr>
      <w:r>
        <w:rPr>
          <w:u w:val="single"/>
        </w:rPr>
        <w:lastRenderedPageBreak/>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253C48">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253C48">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253C48">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253C48">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253C48">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253C48">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253C48">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253C48">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253C48">
      <w:pPr>
        <w:pStyle w:val="ListParagraph"/>
        <w:numPr>
          <w:ilvl w:val="0"/>
          <w:numId w:val="31"/>
        </w:numPr>
        <w:spacing w:line="360" w:lineRule="auto"/>
      </w:pPr>
      <w:r w:rsidRPr="00293339">
        <w:rPr>
          <w:u w:val="single"/>
        </w:rPr>
        <w:lastRenderedPageBreak/>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253C48">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253C48">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253C48">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253C48">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after="160" w:line="360" w:lineRule="auto"/>
        <w:rPr>
          <w:bCs/>
        </w:rPr>
      </w:pPr>
      <w:r>
        <w:t xml:space="preserve">Lando, D. (1998): </w:t>
      </w:r>
      <w:hyperlink r:id="rId53"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253C48">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253C48">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253C48">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253C48">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253C48">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253C48">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253C48">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253C48">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253C48">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253C48">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253C48">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253C48">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253C48">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253C48">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253C48">
      <w:pPr>
        <w:pStyle w:val="ListParagraph"/>
        <w:numPr>
          <w:ilvl w:val="0"/>
          <w:numId w:val="34"/>
        </w:numPr>
        <w:spacing w:line="360" w:lineRule="auto"/>
      </w:pPr>
      <w:r>
        <w:rPr>
          <w:u w:val="single"/>
        </w:rPr>
        <w:lastRenderedPageBreak/>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253C48">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253C48">
      <w:pPr>
        <w:pStyle w:val="ListParagraph"/>
        <w:numPr>
          <w:ilvl w:val="0"/>
          <w:numId w:val="35"/>
        </w:numPr>
        <w:spacing w:line="360" w:lineRule="auto"/>
      </w:pPr>
      <w:r w:rsidRPr="00B56BFA">
        <w:rPr>
          <w:u w:val="single"/>
        </w:rPr>
        <w:lastRenderedPageBreak/>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253C48">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253C48">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253C48">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253C48">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m:t>
                  </m:r>
                  <m:r>
                    <w:rPr>
                      <w:rFonts w:ascii="Cambria Math" w:hAnsi="Cambria Math"/>
                    </w:rPr>
                    <m:t>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 and CL Adjustments</w:t>
      </w:r>
    </w:p>
    <w:p w:rsidR="00397E59" w:rsidRDefault="00397E59" w:rsidP="00397E59">
      <w:pPr>
        <w:spacing w:line="360" w:lineRule="auto"/>
      </w:pPr>
    </w:p>
    <w:p w:rsidR="00397E59" w:rsidRDefault="00397E59" w:rsidP="00253C48">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m:t>
              </m:r>
              <m:r>
                <w:rPr>
                  <w:rFonts w:ascii="Cambria Math" w:hAnsi="Cambria Math"/>
                </w:rPr>
                <m:t>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253C48">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36"/>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253C48">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lastRenderedPageBreak/>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97E5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97E5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253C48">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253C48">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253C48">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253C48">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253C48">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or</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253C48">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253C48">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253C48">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253C48">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Burgard, C., and M. Kjaer (2011): </w:t>
      </w:r>
      <w:hyperlink r:id="rId55" w:history="1">
        <w:r>
          <w:rPr>
            <w:rStyle w:val="Hyperlink"/>
          </w:rPr>
          <w:t>In the Balance</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253C48">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253C48">
      <w:pPr>
        <w:pStyle w:val="Footer"/>
        <w:numPr>
          <w:ilvl w:val="0"/>
          <w:numId w:val="1"/>
        </w:numPr>
        <w:tabs>
          <w:tab w:val="clear" w:pos="4320"/>
          <w:tab w:val="clear" w:pos="8640"/>
        </w:tabs>
        <w:spacing w:after="160" w:line="360" w:lineRule="auto"/>
        <w:rPr>
          <w:bCs/>
        </w:rPr>
      </w:pPr>
      <w:r>
        <w:t xml:space="preserve">Lando, D. (1998): </w:t>
      </w:r>
      <w:hyperlink r:id="rId5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253C48">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253C48">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253C48">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97E5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253C48">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253C48">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253C48">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253C48">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253C48">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253C48">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253C48">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253C48">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253C48">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253C48">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253C48">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253C48">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m:t>
                      </m:r>
                      <m:r>
                        <w:rPr>
                          <w:rFonts w:ascii="Cambria Math" w:hAnsi="Cambria Math"/>
                          <w:u w:val="single"/>
                        </w:rPr>
                        <m:t>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253C48">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253C48">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253C48">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253C48">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253C48">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253C48">
      <w:pPr>
        <w:pStyle w:val="ListParagraph"/>
        <w:numPr>
          <w:ilvl w:val="0"/>
          <w:numId w:val="40"/>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253C48">
      <w:pPr>
        <w:pStyle w:val="ListParagraph"/>
        <w:numPr>
          <w:ilvl w:val="0"/>
          <w:numId w:val="40"/>
        </w:numPr>
        <w:spacing w:line="360" w:lineRule="auto"/>
      </w:pPr>
      <w:r>
        <w:rPr>
          <w:u w:val="single"/>
        </w:rPr>
        <w:lastRenderedPageBreak/>
        <w:t>Closeout Payments after the Default</w:t>
      </w:r>
      <w:r w:rsidRPr="00B72727">
        <w: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253C48">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253C48">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253C48">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253C48">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253C48">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253C48">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253C48">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253C48">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253C48">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253C48">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253C48">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m:t>
        </m:r>
        <m:r>
          <w:rPr>
            <w:rFonts w:ascii="Cambria Math" w:hAnsi="Cambria Math"/>
          </w:rPr>
          <m:t>A</m:t>
        </m:r>
      </m:oMath>
      <w:r>
        <w:t xml:space="preserve"> cover the counterparty credit risk and the funding charges respectively, and are paid by the business line trading desk to the CVA and CFD desks.</w:t>
      </w:r>
    </w:p>
    <w:p w:rsidR="00397E59" w:rsidRDefault="00397E59" w:rsidP="00253C48">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253C48">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253C48">
      <w:pPr>
        <w:pStyle w:val="ListParagraph"/>
        <w:numPr>
          <w:ilvl w:val="1"/>
          <w:numId w:val="44"/>
        </w:numPr>
        <w:spacing w:line="360" w:lineRule="auto"/>
      </w:pPr>
      <w:r>
        <w:t>The netting set associated with the counterparty to the trade in question.</w:t>
      </w:r>
    </w:p>
    <w:p w:rsidR="00397E59" w:rsidRDefault="00397E59" w:rsidP="00253C48">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253C48">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253C48">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253C48">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253C48">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253C48">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253C48">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253C48">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253C48">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253C48">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253C48">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253C48">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253C48">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253C48">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253C48">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253C48">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253C48">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m:t>
          </m:r>
          <m:r>
            <w:rPr>
              <w:rFonts w:ascii="Cambria Math" w:hAnsi="Cambria Math"/>
            </w:rPr>
            <m:t>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253C48">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253C48">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253C48">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253C48">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253C48">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253C48">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253C48">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253C48">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253C48">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253C48">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253C48">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253C48">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253C48">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253C48">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253C48">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253C48">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m:t>
          </m:r>
          <m:r>
            <w:rPr>
              <w:rFonts w:ascii="Cambria Math" w:hAnsi="Cambria Math"/>
            </w:rPr>
            <m: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253C48">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253C48">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253C48">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253C48">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253C48">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253C48">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253C48">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253C48">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253C48">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253C48">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253C48">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253C48">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253C48">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253C48">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253C48">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253C48">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253C48">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253C48">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253C48">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253C48">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253C48">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253C48">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253C48">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253C48">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253C48">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253C48">
      <w:pPr>
        <w:pStyle w:val="ListParagraph"/>
        <w:numPr>
          <w:ilvl w:val="1"/>
          <w:numId w:val="54"/>
        </w:numPr>
        <w:spacing w:line="360" w:lineRule="auto"/>
      </w:pPr>
      <w:r>
        <w:t>Only counterparty credit risk is accounted for</w:t>
      </w:r>
    </w:p>
    <w:p w:rsidR="00397E59" w:rsidRDefault="00397E59" w:rsidP="00253C48">
      <w:pPr>
        <w:pStyle w:val="ListParagraph"/>
        <w:numPr>
          <w:ilvl w:val="1"/>
          <w:numId w:val="54"/>
        </w:numPr>
        <w:spacing w:line="360" w:lineRule="auto"/>
      </w:pPr>
      <w:r>
        <w:t>Funding is accounted for using FCA/FBA accounting</w:t>
      </w:r>
    </w:p>
    <w:p w:rsidR="00397E59" w:rsidRDefault="00397E59" w:rsidP="00253C48">
      <w:pPr>
        <w:pStyle w:val="ListParagraph"/>
        <w:numPr>
          <w:ilvl w:val="1"/>
          <w:numId w:val="54"/>
        </w:numPr>
        <w:spacing w:line="360" w:lineRule="auto"/>
      </w:pPr>
      <w:r>
        <w:t>Funding is accounted for using FVA/FDA accounting</w:t>
      </w:r>
    </w:p>
    <w:p w:rsidR="00397E59" w:rsidRDefault="00397E59" w:rsidP="00253C48">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253C48">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253C48">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253C48">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253C48">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253C48">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253C48">
      <w:pPr>
        <w:pStyle w:val="ListParagraph"/>
        <w:numPr>
          <w:ilvl w:val="0"/>
          <w:numId w:val="55"/>
        </w:numPr>
        <w:spacing w:line="360" w:lineRule="auto"/>
      </w:pPr>
      <w:r>
        <w:rPr>
          <w:u w:val="single"/>
        </w:rPr>
        <w:t>Thresholded Scenario XVA Impact</w:t>
      </w:r>
      <w:r w:rsidRPr="00FD02EE">
        <w:t>:</w:t>
      </w:r>
    </w:p>
    <w:p w:rsidR="00397E59" w:rsidRDefault="00397E59" w:rsidP="00253C48">
      <w:pPr>
        <w:pStyle w:val="ListParagraph"/>
        <w:numPr>
          <w:ilvl w:val="1"/>
          <w:numId w:val="55"/>
        </w:numPr>
        <w:spacing w:line="360" w:lineRule="auto"/>
      </w:pPr>
      <w:r>
        <w:t>The swaps are added to a netting set with a finite collateral thresholds that already contains other trades</w:t>
      </w:r>
    </w:p>
    <w:p w:rsidR="00397E59" w:rsidRDefault="00397E59" w:rsidP="00253C48">
      <w:pPr>
        <w:pStyle w:val="ListParagraph"/>
        <w:numPr>
          <w:ilvl w:val="1"/>
          <w:numId w:val="55"/>
        </w:numPr>
        <w:spacing w:line="360" w:lineRule="auto"/>
      </w:pPr>
      <w:r>
        <w:t>The swaps are added to a netting set with a threshold at infinity</w:t>
      </w:r>
    </w:p>
    <w:p w:rsidR="00397E59" w:rsidRDefault="00397E59" w:rsidP="00253C48">
      <w:pPr>
        <w:pStyle w:val="ListParagraph"/>
        <w:numPr>
          <w:ilvl w:val="1"/>
          <w:numId w:val="55"/>
        </w:numPr>
        <w:spacing w:line="360" w:lineRule="auto"/>
      </w:pPr>
      <w:r>
        <w:t>The swaps are added to a netting set which is initially empty, thus neglecting the benefits of netting</w:t>
      </w:r>
    </w:p>
    <w:p w:rsidR="00397E59" w:rsidRDefault="00397E59" w:rsidP="00253C48">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253C48">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253C48">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253C48">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253C48">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253C48">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253C48">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253C48">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253C48">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253C48">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253C48">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253C48">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253C48">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253C48">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253C48">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253C48">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253C48">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253C48">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253C48">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253C48">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253C48">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253C48">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253C48">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253C48">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253C48">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253C48">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253C48">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253C48">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253C48">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253C48">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253C48">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253C48">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253C48">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253C48">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253C48">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253C48">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253C48">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w:t>
      </w:r>
      <w:bookmarkStart w:id="0" w:name="_GoBack"/>
      <w:bookmarkEnd w:id="0"/>
      <w:r>
        <w:t>tle feedback effects from investment decisions on firm-wide recovery rates (which they assume to be constant) and default probabilities.</w:t>
      </w:r>
    </w:p>
    <w:p w:rsidR="00397E59" w:rsidRDefault="00397E59" w:rsidP="00253C48">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253C48">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253C48">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253C48">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253C48">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253C48">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253C48">
      <w:pPr>
        <w:pStyle w:val="Footer"/>
        <w:numPr>
          <w:ilvl w:val="0"/>
          <w:numId w:val="1"/>
        </w:numPr>
        <w:tabs>
          <w:tab w:val="clear" w:pos="4320"/>
          <w:tab w:val="clear" w:pos="8640"/>
        </w:tabs>
        <w:spacing w:line="360" w:lineRule="auto"/>
      </w:pPr>
      <w:r>
        <w:t xml:space="preserve">Green, A. D., C. Kenyon, and C. R. Dennis (2014): </w:t>
      </w:r>
      <w:hyperlink r:id="rId62" w:history="1">
        <w:r>
          <w:rPr>
            <w:rStyle w:val="Hyperlink"/>
          </w:rPr>
          <w:t>KVA: Capital Valuation Adjustment</w:t>
        </w:r>
      </w:hyperlink>
      <w:r>
        <w:t xml:space="preserve"> </w:t>
      </w:r>
      <w:r>
        <w:rPr>
          <w:b/>
          <w:bCs/>
        </w:rPr>
        <w:t>eSSRN</w:t>
      </w:r>
      <w:r>
        <w:t>.</w:t>
      </w:r>
    </w:p>
    <w:p w:rsidR="00DA35A3" w:rsidRDefault="00DA35A3" w:rsidP="00397E59"/>
    <w:sectPr w:rsidR="00DA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2"/>
  </w:num>
  <w:num w:numId="2">
    <w:abstractNumId w:val="36"/>
  </w:num>
  <w:num w:numId="3">
    <w:abstractNumId w:val="78"/>
  </w:num>
  <w:num w:numId="4">
    <w:abstractNumId w:val="28"/>
  </w:num>
  <w:num w:numId="5">
    <w:abstractNumId w:val="25"/>
  </w:num>
  <w:num w:numId="6">
    <w:abstractNumId w:val="60"/>
  </w:num>
  <w:num w:numId="7">
    <w:abstractNumId w:val="89"/>
  </w:num>
  <w:num w:numId="8">
    <w:abstractNumId w:val="72"/>
  </w:num>
  <w:num w:numId="9">
    <w:abstractNumId w:val="70"/>
  </w:num>
  <w:num w:numId="10">
    <w:abstractNumId w:val="32"/>
  </w:num>
  <w:num w:numId="11">
    <w:abstractNumId w:val="40"/>
  </w:num>
  <w:num w:numId="12">
    <w:abstractNumId w:val="0"/>
  </w:num>
  <w:num w:numId="13">
    <w:abstractNumId w:val="3"/>
  </w:num>
  <w:num w:numId="14">
    <w:abstractNumId w:val="75"/>
  </w:num>
  <w:num w:numId="15">
    <w:abstractNumId w:val="42"/>
  </w:num>
  <w:num w:numId="16">
    <w:abstractNumId w:val="76"/>
  </w:num>
  <w:num w:numId="17">
    <w:abstractNumId w:val="11"/>
  </w:num>
  <w:num w:numId="18">
    <w:abstractNumId w:val="86"/>
  </w:num>
  <w:num w:numId="19">
    <w:abstractNumId w:val="80"/>
  </w:num>
  <w:num w:numId="20">
    <w:abstractNumId w:val="24"/>
  </w:num>
  <w:num w:numId="21">
    <w:abstractNumId w:val="4"/>
  </w:num>
  <w:num w:numId="22">
    <w:abstractNumId w:val="58"/>
  </w:num>
  <w:num w:numId="23">
    <w:abstractNumId w:val="88"/>
  </w:num>
  <w:num w:numId="24">
    <w:abstractNumId w:val="10"/>
  </w:num>
  <w:num w:numId="25">
    <w:abstractNumId w:val="69"/>
  </w:num>
  <w:num w:numId="26">
    <w:abstractNumId w:val="67"/>
  </w:num>
  <w:num w:numId="27">
    <w:abstractNumId w:val="56"/>
  </w:num>
  <w:num w:numId="28">
    <w:abstractNumId w:val="19"/>
  </w:num>
  <w:num w:numId="29">
    <w:abstractNumId w:val="55"/>
  </w:num>
  <w:num w:numId="30">
    <w:abstractNumId w:val="8"/>
  </w:num>
  <w:num w:numId="31">
    <w:abstractNumId w:val="81"/>
  </w:num>
  <w:num w:numId="32">
    <w:abstractNumId w:val="22"/>
  </w:num>
  <w:num w:numId="33">
    <w:abstractNumId w:val="87"/>
  </w:num>
  <w:num w:numId="34">
    <w:abstractNumId w:val="5"/>
  </w:num>
  <w:num w:numId="35">
    <w:abstractNumId w:val="2"/>
  </w:num>
  <w:num w:numId="36">
    <w:abstractNumId w:val="53"/>
  </w:num>
  <w:num w:numId="37">
    <w:abstractNumId w:val="65"/>
  </w:num>
  <w:num w:numId="38">
    <w:abstractNumId w:val="26"/>
  </w:num>
  <w:num w:numId="39">
    <w:abstractNumId w:val="85"/>
  </w:num>
  <w:num w:numId="40">
    <w:abstractNumId w:val="14"/>
  </w:num>
  <w:num w:numId="41">
    <w:abstractNumId w:val="12"/>
  </w:num>
  <w:num w:numId="42">
    <w:abstractNumId w:val="16"/>
  </w:num>
  <w:num w:numId="43">
    <w:abstractNumId w:val="57"/>
  </w:num>
  <w:num w:numId="44">
    <w:abstractNumId w:val="63"/>
  </w:num>
  <w:num w:numId="45">
    <w:abstractNumId w:val="30"/>
  </w:num>
  <w:num w:numId="46">
    <w:abstractNumId w:val="33"/>
  </w:num>
  <w:num w:numId="47">
    <w:abstractNumId w:val="64"/>
  </w:num>
  <w:num w:numId="48">
    <w:abstractNumId w:val="77"/>
  </w:num>
  <w:num w:numId="49">
    <w:abstractNumId w:val="31"/>
  </w:num>
  <w:num w:numId="50">
    <w:abstractNumId w:val="73"/>
  </w:num>
  <w:num w:numId="51">
    <w:abstractNumId w:val="50"/>
  </w:num>
  <w:num w:numId="52">
    <w:abstractNumId w:val="90"/>
  </w:num>
  <w:num w:numId="53">
    <w:abstractNumId w:val="74"/>
  </w:num>
  <w:num w:numId="54">
    <w:abstractNumId w:val="49"/>
  </w:num>
  <w:num w:numId="55">
    <w:abstractNumId w:val="46"/>
  </w:num>
  <w:num w:numId="56">
    <w:abstractNumId w:val="79"/>
  </w:num>
  <w:num w:numId="57">
    <w:abstractNumId w:val="17"/>
  </w:num>
  <w:num w:numId="58">
    <w:abstractNumId w:val="61"/>
  </w:num>
  <w:num w:numId="59">
    <w:abstractNumId w:val="43"/>
  </w:num>
  <w:num w:numId="60">
    <w:abstractNumId w:val="41"/>
  </w:num>
  <w:num w:numId="61">
    <w:abstractNumId w:val="45"/>
  </w:num>
  <w:num w:numId="62">
    <w:abstractNumId w:val="54"/>
  </w:num>
  <w:num w:numId="63">
    <w:abstractNumId w:val="9"/>
  </w:num>
  <w:num w:numId="64">
    <w:abstractNumId w:val="66"/>
  </w:num>
  <w:num w:numId="65">
    <w:abstractNumId w:val="52"/>
  </w:num>
  <w:num w:numId="66">
    <w:abstractNumId w:val="82"/>
  </w:num>
  <w:num w:numId="67">
    <w:abstractNumId w:val="6"/>
  </w:num>
  <w:num w:numId="68">
    <w:abstractNumId w:val="35"/>
  </w:num>
  <w:num w:numId="69">
    <w:abstractNumId w:val="1"/>
  </w:num>
  <w:num w:numId="70">
    <w:abstractNumId w:val="38"/>
  </w:num>
  <w:num w:numId="71">
    <w:abstractNumId w:val="20"/>
  </w:num>
  <w:num w:numId="72">
    <w:abstractNumId w:val="15"/>
  </w:num>
  <w:num w:numId="73">
    <w:abstractNumId w:val="34"/>
  </w:num>
  <w:num w:numId="74">
    <w:abstractNumId w:val="51"/>
  </w:num>
  <w:num w:numId="75">
    <w:abstractNumId w:val="84"/>
  </w:num>
  <w:num w:numId="76">
    <w:abstractNumId w:val="29"/>
  </w:num>
  <w:num w:numId="77">
    <w:abstractNumId w:val="7"/>
  </w:num>
  <w:num w:numId="78">
    <w:abstractNumId w:val="47"/>
  </w:num>
  <w:num w:numId="79">
    <w:abstractNumId w:val="23"/>
  </w:num>
  <w:num w:numId="80">
    <w:abstractNumId w:val="59"/>
  </w:num>
  <w:num w:numId="81">
    <w:abstractNumId w:val="37"/>
  </w:num>
  <w:num w:numId="82">
    <w:abstractNumId w:val="39"/>
  </w:num>
  <w:num w:numId="83">
    <w:abstractNumId w:val="27"/>
  </w:num>
  <w:num w:numId="84">
    <w:abstractNumId w:val="21"/>
  </w:num>
  <w:num w:numId="85">
    <w:abstractNumId w:val="44"/>
  </w:num>
  <w:num w:numId="86">
    <w:abstractNumId w:val="13"/>
  </w:num>
  <w:num w:numId="87">
    <w:abstractNumId w:val="18"/>
  </w:num>
  <w:num w:numId="88">
    <w:abstractNumId w:val="68"/>
  </w:num>
  <w:num w:numId="89">
    <w:abstractNumId w:val="48"/>
  </w:num>
  <w:num w:numId="90">
    <w:abstractNumId w:val="83"/>
  </w:num>
  <w:num w:numId="91">
    <w:abstractNumId w:val="7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253C48"/>
    <w:rsid w:val="00397E59"/>
    <w:rsid w:val="00451A26"/>
    <w:rsid w:val="00816933"/>
    <w:rsid w:val="00DA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2027195" TargetMode="External"/><Relationship Id="rId18" Type="http://schemas.openxmlformats.org/officeDocument/2006/relationships/hyperlink" Target="http://papers.ssrn.com/sol3/papers.cfm?abstract_id=1440633" TargetMode="External"/><Relationship Id="rId26" Type="http://schemas.openxmlformats.org/officeDocument/2006/relationships/hyperlink" Target="http://papers.ssrn.com/sol3/papers.cfm?abstract_id=1945769" TargetMode="External"/><Relationship Id="rId39" Type="http://schemas.openxmlformats.org/officeDocument/2006/relationships/hyperlink" Target="http://papers.ssrn.com/sol3/papers.cfm?abstract_id=2482955" TargetMode="External"/><Relationship Id="rId21" Type="http://schemas.openxmlformats.org/officeDocument/2006/relationships/hyperlink" Target="http://arxiv.org/abs/1112.1763" TargetMode="External"/><Relationship Id="rId34" Type="http://schemas.openxmlformats.org/officeDocument/2006/relationships/hyperlink" Target="http://papers.ssrn.com/sol3/papers.cfm?abstract_id=2157631" TargetMode="External"/><Relationship Id="rId42" Type="http://schemas.openxmlformats.org/officeDocument/2006/relationships/hyperlink" Target="http://www.leeds-faculty.colorado.edu" TargetMode="External"/><Relationship Id="rId47" Type="http://schemas.openxmlformats.org/officeDocument/2006/relationships/hyperlink" Target="http://papers.ssrn.com/sol3/papers.cfm?abstract_id=2482955" TargetMode="External"/><Relationship Id="rId50" Type="http://schemas.openxmlformats.org/officeDocument/2006/relationships/hyperlink" Target="http://www.kpmg.com" TargetMode="External"/><Relationship Id="rId55" Type="http://schemas.openxmlformats.org/officeDocument/2006/relationships/hyperlink" Target="http://papers.ssrn.com/sol3/papers.cfm?abstract_id=1785262" TargetMode="External"/><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www.maths.univ-evry.fr/prepubli/366.pdf" TargetMode="External"/><Relationship Id="rId29" Type="http://schemas.openxmlformats.org/officeDocument/2006/relationships/hyperlink" Target="http://papers.ssrn.com/sol3/papers.cfm?abstract_id=1310226" TargetMode="External"/><Relationship Id="rId11" Type="http://schemas.openxmlformats.org/officeDocument/2006/relationships/hyperlink" Target="http://papers.ssrn.com/sol3/papers.cfm?abstract_id=1352606" TargetMode="External"/><Relationship Id="rId24" Type="http://schemas.openxmlformats.org/officeDocument/2006/relationships/hyperlink" Target="http://www.isda.org/c_and_a/pdf/ISDA-Margin-Survey-2009.pdf" TargetMode="External"/><Relationship Id="rId32" Type="http://schemas.openxmlformats.org/officeDocument/2006/relationships/hyperlink" Target="http://papers.ssrn.com/sol3/papers.cfm?abstract_id=1605307" TargetMode="External"/><Relationship Id="rId37" Type="http://schemas.openxmlformats.org/officeDocument/2006/relationships/hyperlink" Target="http://www.maths.univ-evry.fr/prepubli/367.pdf" TargetMode="External"/><Relationship Id="rId40" Type="http://schemas.openxmlformats.org/officeDocument/2006/relationships/hyperlink" Target="http://www.albanese.co.uk"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6143" TargetMode="External"/><Relationship Id="rId58"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papers.ssrn.com/sol3/papers.cfm?abstract_id=1556487" TargetMode="External"/><Relationship Id="rId14" Type="http://schemas.openxmlformats.org/officeDocument/2006/relationships/hyperlink" Target="http://papers.ssrn.com/sol3/papers.cfm?abstract_id=1974479" TargetMode="External"/><Relationship Id="rId22" Type="http://schemas.openxmlformats.org/officeDocument/2006/relationships/hyperlink" Target="http://papers.ssrn.com/sol3/papers.cfm?abstract_id=2220371" TargetMode="External"/><Relationship Id="rId27" Type="http://schemas.openxmlformats.org/officeDocument/2006/relationships/hyperlink" Target="http://papers.ssrn.com/sol3/papers.cfm?abstract_id=1506046" TargetMode="External"/><Relationship Id="rId30" Type="http://schemas.openxmlformats.org/officeDocument/2006/relationships/hyperlink" Target="http://papers.ssrn.com/sol3/papers.cfm?abstract_id=2103121" TargetMode="External"/><Relationship Id="rId35" Type="http://schemas.openxmlformats.org/officeDocument/2006/relationships/hyperlink" Target="http://papers.ssrn.com/sol3/papers.cfm?abstract_id=2027195" TargetMode="External"/><Relationship Id="rId43" Type="http://schemas.openxmlformats.org/officeDocument/2006/relationships/hyperlink" Target="http://papers.ssrn.com/sol3/papers.cfm?abstract_id=1855028" TargetMode="External"/><Relationship Id="rId48" Type="http://schemas.openxmlformats.org/officeDocument/2006/relationships/hyperlink" Target="http://papers.ssrn.com/sol3/papers.cfm?abstract_id=2482955" TargetMode="External"/><Relationship Id="rId56" Type="http://schemas.openxmlformats.org/officeDocument/2006/relationships/hyperlink" Target="http://papers.ssrn.com/sol3/papers.cfm?abstract_id=6143"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inform.pwc.com/" TargetMode="External"/><Relationship Id="rId3" Type="http://schemas.microsoft.com/office/2007/relationships/stylesWithEffects" Target="stylesWithEffects.xml"/><Relationship Id="rId12" Type="http://schemas.openxmlformats.org/officeDocument/2006/relationships/hyperlink" Target="http://arxiv.org/abs/1207.2316" TargetMode="External"/><Relationship Id="rId17" Type="http://schemas.openxmlformats.org/officeDocument/2006/relationships/hyperlink" Target="http://grozny.maths.univ-evry.fr/pages_perso/crepey/papers/Reduced-Part%202.pdf" TargetMode="External"/><Relationship Id="rId25" Type="http://schemas.openxmlformats.org/officeDocument/2006/relationships/hyperlink" Target="http://www.isda.org/c_and_a/pdf/Collateral-Market-Review.pdf" TargetMode="External"/><Relationship Id="rId33" Type="http://schemas.openxmlformats.org/officeDocument/2006/relationships/hyperlink" Target="http://papers.ssrn.com/sol3/papers.cfm?abstract_id=1785262" TargetMode="External"/><Relationship Id="rId38" Type="http://schemas.openxmlformats.org/officeDocument/2006/relationships/hyperlink" Target="http://papers.ssrn.com/sol3/papers.cfm?abstract_id=2157631" TargetMode="External"/><Relationship Id="rId46" Type="http://schemas.openxmlformats.org/officeDocument/2006/relationships/hyperlink" Target="http://papers.ssrn.com/sol3/papers.cfm?abstract_id=2245821" TargetMode="External"/><Relationship Id="rId59"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601866"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0032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papers.ssrn.com/sol3/papers.cfm?abstract_id=2073300" TargetMode="External"/><Relationship Id="rId23" Type="http://schemas.openxmlformats.org/officeDocument/2006/relationships/hyperlink" Target="http://papers.ssrn.com/sol3/papers.cfm?abstract_id=2164331" TargetMode="External"/><Relationship Id="rId28" Type="http://schemas.openxmlformats.org/officeDocument/2006/relationships/hyperlink" Target="http://arxiv.org/abs/1006.4767" TargetMode="External"/><Relationship Id="rId36" Type="http://schemas.openxmlformats.org/officeDocument/2006/relationships/hyperlink" Target="http://www.maths.univ-evry.fr/prepubli/366.pdf" TargetMode="External"/><Relationship Id="rId49" Type="http://schemas.openxmlformats.org/officeDocument/2006/relationships/hyperlink" Target="http://papers.ssrn.com/sol3/papers.cfm?abstract_id=1785262" TargetMode="External"/><Relationship Id="rId57" Type="http://schemas.openxmlformats.org/officeDocument/2006/relationships/hyperlink" Target="http://papers.ssrn.com/sol3/papers.cfm?abstract_id=2482955" TargetMode="External"/><Relationship Id="rId10" Type="http://schemas.openxmlformats.org/officeDocument/2006/relationships/hyperlink" Target="http://papers.ssrn.com/sol3/papers.cfm?abstract_id=2219548" TargetMode="External"/><Relationship Id="rId31" Type="http://schemas.openxmlformats.org/officeDocument/2006/relationships/hyperlink" Target="http://arxiv.org/pdf/1210.3811.pdf" TargetMode="External"/><Relationship Id="rId44" Type="http://schemas.openxmlformats.org/officeDocument/2006/relationships/hyperlink" Target="http://investor.shareholder.com"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216</Pages>
  <Words>43064</Words>
  <Characters>245471</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Yapptop</dc:creator>
  <cp:lastModifiedBy>Yapptop</cp:lastModifiedBy>
  <cp:revision>2</cp:revision>
  <dcterms:created xsi:type="dcterms:W3CDTF">2017-02-22T08:37:00Z</dcterms:created>
  <dcterms:modified xsi:type="dcterms:W3CDTF">2017-02-22T09:41:00Z</dcterms:modified>
</cp:coreProperties>
</file>