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EB6CFC">
        <w:rPr>
          <w:b/>
          <w:bCs/>
        </w:rPr>
        <w:t>70</w:t>
      </w:r>
      <w:proofErr w:type="gramEnd"/>
      <w:r w:rsidR="00451A26">
        <w:rPr>
          <w:b/>
          <w:bCs/>
        </w:rPr>
        <w:t xml:space="preserve"> </w:t>
      </w:r>
      <w:r w:rsidR="007415B2">
        <w:t>2</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3B6BD7"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3B6BD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3B6BD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3B6BD7"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3B6BD7"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3B6BD7"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3B6BD7"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3B6BD7"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3B6BD7"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3B6BD7"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3B6BD7"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3B6BD7"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3B6BD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3B6BD7"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3B6BD7"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3B6BD7"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3B6BD7"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3B6BD7"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3B6BD7"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3B6BD7"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3B6BD7"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3B6BD7"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3B6BD7"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3B6BD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3B6BD7"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3B6BD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B6BD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3B6BD7"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3B6BD7"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3B6BD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B6BD7"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3B6BD7"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3B6BD7"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2689605"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3B6BD7"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2689606"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3B6BD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B6BD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3B6BD7"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3B6BD7"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3B6BD7"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3B6BD7"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3B6BD7"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3B6BD7"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3B6BD7"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3B6BD7"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3B6BD7"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3B6BD7"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3B6BD7"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3B6BD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3B6BD7"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3B6BD7"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3B6BD7"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3B6BD7"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3B6BD7"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3B6BD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8F462D" w:rsidRPr="00206443"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3B6BD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3B6BD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3B6BD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3B6BD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3B6BD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3B6BD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3B6BD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3B6BD7"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3B6BD7"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3B6BD7"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3B6BD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B6BD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B6BD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3B6BD7"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3B6BD7"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3B6BD7"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3B6BD7"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3B6BD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3B6BD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B6BD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B6BD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B6BD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3B6BD7"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3B6BD7"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3B6BD7"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B6BD7"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B6BD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3B6BD7"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3B6BD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3B6BD7"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3B6BD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3B6BD7"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B6BD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B6BD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B6BD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B6BD7"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3B6BD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3B6BD7"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3B6BD7"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3B6BD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3B6BD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3B6BD7"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3B6BD7"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3B6BD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3B6BD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3B6BD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3B6BD7"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3B6BD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3B6BD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3B6BD7"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3B6BD7"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3B6BD7"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3B6BD7"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3B6BD7"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3B6BD7"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3B6BD7"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3B6BD7"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3B6BD7"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3B6BD7"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3B6BD7"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3B6BD7"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3B6BD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3B6BD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r>
                        <w:rPr>
                          <w:rFonts w:ascii="Cambria Math" w:hAnsi="Cambria Math"/>
                        </w:rPr>
                        <m:t>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3B6BD7"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m:t>
              </m:r>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3B6BD7"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3B6BD7"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B6BD7"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3B6BD7"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3B6BD7"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B6BD7"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3B6BD7"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3B6BD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3B6BD7"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3B6BD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3B6BD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3B6BD7"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3B6BD7"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3B6BD7"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3B6BD7"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3B6BD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B6BD7"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3B6BD7"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3B6BD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B6BD7"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3B6BD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3B6BD7"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3B6BD7"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3B6BD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3B6BD7"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3B6BD7"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3B6BD7"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3B6BD7"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3B6BD7"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3B6BD7"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3B6BD7"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3B6BD7"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3B6BD7"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3B6BD7"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3B6BD7"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3B6BD7"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3B6BD7"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3B6BD7"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3B6BD7"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3B6BD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3B6BD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3B6BD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3B6BD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3B6BD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3B6BD7"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3B6BD7"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3B6BD7"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3B6BD7"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3B6BD7"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3B6BD7"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3B6BD7"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3B6BD7"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3B6BD7"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3B6BD7"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3B6BD7"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3B6BD7"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3B6BD7"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3B6BD7"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3B6BD7"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3B6BD7"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m:t>
        </m:r>
        <m:r>
          <w:rPr>
            <w:rFonts w:ascii="Cambria Math" w:hAnsi="Cambria Math"/>
          </w:rPr>
          <m:t>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3B6BD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3B6BD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3B6BD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3B6BD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3B6BD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3B6BD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3B6BD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B6BD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B6BD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3B6BD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B6BD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B6BD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3B6BD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3B6BD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3B6BD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3B6BD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3B6BD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3B6BD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3B6BD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3B6BD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t>
                          </m:r>
                          <m:r>
                            <w:rPr>
                              <w:rFonts w:ascii="Cambria Math" w:hAnsi="Cambria Math"/>
                              <w:vanish/>
                            </w:rPr>
                            <m:t>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3B6BD7"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3B6BD7"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B6BD7"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3B6BD7"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B6BD7"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3B6BD7"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3B6BD7"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3B6BD7"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3B6BD7"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3B6BD7"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3B6BD7"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3B6BD7"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3B6BD7"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3B6BD7"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3B6BD7"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3B6BD7"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3B6BD7"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3B6BD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3B6BD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B6BD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3B6BD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3B6BD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B6BD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3B6BD7"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3B6BD7"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3B6BD7"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3B6BD7"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3B6BD7"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3B6BD7"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3B6BD7"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2E6F56"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9002C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9002C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9002C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9002C2"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3B6BD7"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020B11"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020B11"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r>
              <w:rPr>
                <w:rFonts w:ascii="Cambria Math" w:hAnsi="Cambria Math"/>
                <w:u w:val="single"/>
              </w:rPr>
              <m:t>II</m:t>
            </m:r>
          </m:sub>
        </m:sSub>
      </m:oMath>
      <w:r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t>: By</w:t>
      </w:r>
    </w:p>
    <w:p w:rsidR="00D40F8B" w:rsidRPr="00D40F8B" w:rsidRDefault="00D40F8B" w:rsidP="00D40F8B">
      <w:pPr>
        <w:pStyle w:val="ListParagraph"/>
        <w:spacing w:line="360" w:lineRule="auto"/>
        <w:ind w:left="360"/>
        <w:rPr>
          <w:u w:val="single"/>
        </w:rPr>
      </w:pPr>
    </w:p>
    <w:p w:rsidR="00D40F8B" w:rsidRDefault="00020B1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020B1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E43176"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w:t>
      </w:r>
      <w:r>
        <w:t>accounting</w:t>
      </w:r>
      <w:r>
        <w:t xml:space="preserve">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bookmarkStart w:id="0" w:name="_GoBack"/>
      <w:bookmarkEnd w:id="0"/>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3C4" w:rsidRDefault="00C513C4" w:rsidP="008F462D">
      <w:r>
        <w:separator/>
      </w:r>
    </w:p>
  </w:endnote>
  <w:endnote w:type="continuationSeparator" w:id="0">
    <w:p w:rsidR="00C513C4" w:rsidRDefault="00C513C4"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3B6BD7" w:rsidRDefault="003B6BD7">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3B6BD7" w:rsidRDefault="003B6BD7">
        <w:pPr>
          <w:pStyle w:val="Footer"/>
          <w:jc w:val="center"/>
        </w:pPr>
        <w:r>
          <w:fldChar w:fldCharType="begin"/>
        </w:r>
        <w:r>
          <w:instrText xml:space="preserve"> PAGE    \* MERGEFORMAT </w:instrText>
        </w:r>
        <w:r>
          <w:fldChar w:fldCharType="separate"/>
        </w:r>
        <w:r w:rsidR="003705EC">
          <w:rPr>
            <w:noProof/>
          </w:rPr>
          <w:t>297</w:t>
        </w:r>
        <w:r>
          <w:rPr>
            <w:noProof/>
          </w:rPr>
          <w:fldChar w:fldCharType="end"/>
        </w:r>
      </w:p>
    </w:sdtContent>
  </w:sdt>
  <w:p w:rsidR="003B6BD7" w:rsidRDefault="003B6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3C4" w:rsidRDefault="00C513C4" w:rsidP="008F462D">
      <w:r>
        <w:separator/>
      </w:r>
    </w:p>
  </w:footnote>
  <w:footnote w:type="continuationSeparator" w:id="0">
    <w:p w:rsidR="00C513C4" w:rsidRDefault="00C513C4"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7"/>
  </w:num>
  <w:num w:numId="2">
    <w:abstractNumId w:val="47"/>
  </w:num>
  <w:num w:numId="3">
    <w:abstractNumId w:val="100"/>
  </w:num>
  <w:num w:numId="4">
    <w:abstractNumId w:val="36"/>
  </w:num>
  <w:num w:numId="5">
    <w:abstractNumId w:val="33"/>
  </w:num>
  <w:num w:numId="6">
    <w:abstractNumId w:val="74"/>
  </w:num>
  <w:num w:numId="7">
    <w:abstractNumId w:val="114"/>
  </w:num>
  <w:num w:numId="8">
    <w:abstractNumId w:val="93"/>
  </w:num>
  <w:num w:numId="9">
    <w:abstractNumId w:val="91"/>
  </w:num>
  <w:num w:numId="10">
    <w:abstractNumId w:val="41"/>
  </w:num>
  <w:num w:numId="11">
    <w:abstractNumId w:val="52"/>
  </w:num>
  <w:num w:numId="12">
    <w:abstractNumId w:val="1"/>
  </w:num>
  <w:num w:numId="13">
    <w:abstractNumId w:val="4"/>
  </w:num>
  <w:num w:numId="14">
    <w:abstractNumId w:val="96"/>
  </w:num>
  <w:num w:numId="15">
    <w:abstractNumId w:val="55"/>
  </w:num>
  <w:num w:numId="16">
    <w:abstractNumId w:val="98"/>
  </w:num>
  <w:num w:numId="17">
    <w:abstractNumId w:val="17"/>
  </w:num>
  <w:num w:numId="18">
    <w:abstractNumId w:val="110"/>
  </w:num>
  <w:num w:numId="19">
    <w:abstractNumId w:val="102"/>
  </w:num>
  <w:num w:numId="20">
    <w:abstractNumId w:val="32"/>
  </w:num>
  <w:num w:numId="21">
    <w:abstractNumId w:val="6"/>
  </w:num>
  <w:num w:numId="22">
    <w:abstractNumId w:val="72"/>
  </w:num>
  <w:num w:numId="23">
    <w:abstractNumId w:val="112"/>
  </w:num>
  <w:num w:numId="24">
    <w:abstractNumId w:val="16"/>
  </w:num>
  <w:num w:numId="25">
    <w:abstractNumId w:val="90"/>
  </w:num>
  <w:num w:numId="26">
    <w:abstractNumId w:val="84"/>
  </w:num>
  <w:num w:numId="27">
    <w:abstractNumId w:val="70"/>
  </w:num>
  <w:num w:numId="28">
    <w:abstractNumId w:val="27"/>
  </w:num>
  <w:num w:numId="29">
    <w:abstractNumId w:val="69"/>
  </w:num>
  <w:num w:numId="30">
    <w:abstractNumId w:val="12"/>
  </w:num>
  <w:num w:numId="31">
    <w:abstractNumId w:val="105"/>
  </w:num>
  <w:num w:numId="32">
    <w:abstractNumId w:val="30"/>
  </w:num>
  <w:num w:numId="33">
    <w:abstractNumId w:val="111"/>
  </w:num>
  <w:num w:numId="34">
    <w:abstractNumId w:val="7"/>
  </w:num>
  <w:num w:numId="35">
    <w:abstractNumId w:val="3"/>
  </w:num>
  <w:num w:numId="36">
    <w:abstractNumId w:val="67"/>
  </w:num>
  <w:num w:numId="37">
    <w:abstractNumId w:val="81"/>
  </w:num>
  <w:num w:numId="38">
    <w:abstractNumId w:val="34"/>
  </w:num>
  <w:num w:numId="39">
    <w:abstractNumId w:val="109"/>
  </w:num>
  <w:num w:numId="40">
    <w:abstractNumId w:val="20"/>
  </w:num>
  <w:num w:numId="41">
    <w:abstractNumId w:val="18"/>
  </w:num>
  <w:num w:numId="42">
    <w:abstractNumId w:val="22"/>
  </w:num>
  <w:num w:numId="43">
    <w:abstractNumId w:val="71"/>
  </w:num>
  <w:num w:numId="44">
    <w:abstractNumId w:val="79"/>
  </w:num>
  <w:num w:numId="45">
    <w:abstractNumId w:val="39"/>
  </w:num>
  <w:num w:numId="46">
    <w:abstractNumId w:val="42"/>
  </w:num>
  <w:num w:numId="47">
    <w:abstractNumId w:val="80"/>
  </w:num>
  <w:num w:numId="48">
    <w:abstractNumId w:val="99"/>
  </w:num>
  <w:num w:numId="49">
    <w:abstractNumId w:val="40"/>
  </w:num>
  <w:num w:numId="50">
    <w:abstractNumId w:val="94"/>
  </w:num>
  <w:num w:numId="51">
    <w:abstractNumId w:val="64"/>
  </w:num>
  <w:num w:numId="52">
    <w:abstractNumId w:val="115"/>
  </w:num>
  <w:num w:numId="53">
    <w:abstractNumId w:val="95"/>
  </w:num>
  <w:num w:numId="54">
    <w:abstractNumId w:val="63"/>
  </w:num>
  <w:num w:numId="55">
    <w:abstractNumId w:val="60"/>
  </w:num>
  <w:num w:numId="56">
    <w:abstractNumId w:val="101"/>
  </w:num>
  <w:num w:numId="57">
    <w:abstractNumId w:val="24"/>
  </w:num>
  <w:num w:numId="58">
    <w:abstractNumId w:val="75"/>
  </w:num>
  <w:num w:numId="59">
    <w:abstractNumId w:val="57"/>
  </w:num>
  <w:num w:numId="60">
    <w:abstractNumId w:val="54"/>
  </w:num>
  <w:num w:numId="61">
    <w:abstractNumId w:val="59"/>
  </w:num>
  <w:num w:numId="62">
    <w:abstractNumId w:val="68"/>
  </w:num>
  <w:num w:numId="63">
    <w:abstractNumId w:val="15"/>
  </w:num>
  <w:num w:numId="64">
    <w:abstractNumId w:val="82"/>
  </w:num>
  <w:num w:numId="65">
    <w:abstractNumId w:val="66"/>
  </w:num>
  <w:num w:numId="66">
    <w:abstractNumId w:val="106"/>
  </w:num>
  <w:num w:numId="67">
    <w:abstractNumId w:val="8"/>
  </w:num>
  <w:num w:numId="68">
    <w:abstractNumId w:val="46"/>
  </w:num>
  <w:num w:numId="69">
    <w:abstractNumId w:val="2"/>
  </w:num>
  <w:num w:numId="70">
    <w:abstractNumId w:val="50"/>
  </w:num>
  <w:num w:numId="71">
    <w:abstractNumId w:val="28"/>
  </w:num>
  <w:num w:numId="72">
    <w:abstractNumId w:val="21"/>
  </w:num>
  <w:num w:numId="73">
    <w:abstractNumId w:val="43"/>
  </w:num>
  <w:num w:numId="74">
    <w:abstractNumId w:val="65"/>
  </w:num>
  <w:num w:numId="75">
    <w:abstractNumId w:val="108"/>
  </w:num>
  <w:num w:numId="76">
    <w:abstractNumId w:val="38"/>
  </w:num>
  <w:num w:numId="77">
    <w:abstractNumId w:val="9"/>
  </w:num>
  <w:num w:numId="78">
    <w:abstractNumId w:val="61"/>
  </w:num>
  <w:num w:numId="79">
    <w:abstractNumId w:val="31"/>
  </w:num>
  <w:num w:numId="80">
    <w:abstractNumId w:val="73"/>
  </w:num>
  <w:num w:numId="81">
    <w:abstractNumId w:val="49"/>
  </w:num>
  <w:num w:numId="82">
    <w:abstractNumId w:val="51"/>
  </w:num>
  <w:num w:numId="83">
    <w:abstractNumId w:val="35"/>
  </w:num>
  <w:num w:numId="84">
    <w:abstractNumId w:val="29"/>
  </w:num>
  <w:num w:numId="85">
    <w:abstractNumId w:val="58"/>
  </w:num>
  <w:num w:numId="86">
    <w:abstractNumId w:val="19"/>
  </w:num>
  <w:num w:numId="87">
    <w:abstractNumId w:val="26"/>
  </w:num>
  <w:num w:numId="88">
    <w:abstractNumId w:val="87"/>
  </w:num>
  <w:num w:numId="89">
    <w:abstractNumId w:val="62"/>
  </w:num>
  <w:num w:numId="90">
    <w:abstractNumId w:val="107"/>
  </w:num>
  <w:num w:numId="91">
    <w:abstractNumId w:val="92"/>
  </w:num>
  <w:num w:numId="92">
    <w:abstractNumId w:val="23"/>
  </w:num>
  <w:num w:numId="93">
    <w:abstractNumId w:val="11"/>
  </w:num>
  <w:num w:numId="94">
    <w:abstractNumId w:val="37"/>
  </w:num>
  <w:num w:numId="95">
    <w:abstractNumId w:val="78"/>
  </w:num>
  <w:num w:numId="96">
    <w:abstractNumId w:val="104"/>
  </w:num>
  <w:num w:numId="97">
    <w:abstractNumId w:val="14"/>
  </w:num>
  <w:num w:numId="98">
    <w:abstractNumId w:val="83"/>
  </w:num>
  <w:num w:numId="99">
    <w:abstractNumId w:val="10"/>
  </w:num>
  <w:num w:numId="100">
    <w:abstractNumId w:val="88"/>
  </w:num>
  <w:num w:numId="101">
    <w:abstractNumId w:val="76"/>
  </w:num>
  <w:num w:numId="102">
    <w:abstractNumId w:val="89"/>
  </w:num>
  <w:num w:numId="103">
    <w:abstractNumId w:val="113"/>
  </w:num>
  <w:num w:numId="104">
    <w:abstractNumId w:val="25"/>
  </w:num>
  <w:num w:numId="105">
    <w:abstractNumId w:val="97"/>
  </w:num>
  <w:num w:numId="106">
    <w:abstractNumId w:val="44"/>
  </w:num>
  <w:num w:numId="107">
    <w:abstractNumId w:val="0"/>
  </w:num>
  <w:num w:numId="108">
    <w:abstractNumId w:val="5"/>
  </w:num>
  <w:num w:numId="109">
    <w:abstractNumId w:val="86"/>
  </w:num>
  <w:num w:numId="110">
    <w:abstractNumId w:val="48"/>
  </w:num>
  <w:num w:numId="111">
    <w:abstractNumId w:val="53"/>
  </w:num>
  <w:num w:numId="112">
    <w:abstractNumId w:val="45"/>
  </w:num>
  <w:num w:numId="113">
    <w:abstractNumId w:val="85"/>
  </w:num>
  <w:num w:numId="114">
    <w:abstractNumId w:val="13"/>
  </w:num>
  <w:num w:numId="115">
    <w:abstractNumId w:val="103"/>
  </w:num>
  <w:num w:numId="116">
    <w:abstractNumId w:val="56"/>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20B11"/>
    <w:rsid w:val="000321F9"/>
    <w:rsid w:val="00035C7B"/>
    <w:rsid w:val="00040E92"/>
    <w:rsid w:val="00042BF8"/>
    <w:rsid w:val="000524F8"/>
    <w:rsid w:val="00067878"/>
    <w:rsid w:val="00075039"/>
    <w:rsid w:val="00091F8B"/>
    <w:rsid w:val="000A4FAE"/>
    <w:rsid w:val="000C49C5"/>
    <w:rsid w:val="000F3195"/>
    <w:rsid w:val="00103E3C"/>
    <w:rsid w:val="001101CE"/>
    <w:rsid w:val="001369F0"/>
    <w:rsid w:val="00140884"/>
    <w:rsid w:val="00151220"/>
    <w:rsid w:val="001613BA"/>
    <w:rsid w:val="00167872"/>
    <w:rsid w:val="00167B52"/>
    <w:rsid w:val="001941C8"/>
    <w:rsid w:val="00194686"/>
    <w:rsid w:val="001976FD"/>
    <w:rsid w:val="001A0093"/>
    <w:rsid w:val="001A00F4"/>
    <w:rsid w:val="001A1390"/>
    <w:rsid w:val="001A67C5"/>
    <w:rsid w:val="001B0293"/>
    <w:rsid w:val="001B1B3D"/>
    <w:rsid w:val="001D6E76"/>
    <w:rsid w:val="001F03C3"/>
    <w:rsid w:val="001F1086"/>
    <w:rsid w:val="00206443"/>
    <w:rsid w:val="002426A3"/>
    <w:rsid w:val="00242EA4"/>
    <w:rsid w:val="00250EDF"/>
    <w:rsid w:val="00252E6B"/>
    <w:rsid w:val="00253C48"/>
    <w:rsid w:val="002567C9"/>
    <w:rsid w:val="002670A7"/>
    <w:rsid w:val="002835A7"/>
    <w:rsid w:val="0029169A"/>
    <w:rsid w:val="002C0A59"/>
    <w:rsid w:val="002C0F71"/>
    <w:rsid w:val="002C7FA2"/>
    <w:rsid w:val="002E43DD"/>
    <w:rsid w:val="002E5B03"/>
    <w:rsid w:val="002E6E28"/>
    <w:rsid w:val="002E6F56"/>
    <w:rsid w:val="002E7F8B"/>
    <w:rsid w:val="00322068"/>
    <w:rsid w:val="00333B3E"/>
    <w:rsid w:val="00337FA0"/>
    <w:rsid w:val="003705EC"/>
    <w:rsid w:val="00375834"/>
    <w:rsid w:val="00385939"/>
    <w:rsid w:val="00397E59"/>
    <w:rsid w:val="003B61EB"/>
    <w:rsid w:val="003B6BD7"/>
    <w:rsid w:val="003D71F9"/>
    <w:rsid w:val="003E08B2"/>
    <w:rsid w:val="003E10CD"/>
    <w:rsid w:val="00404AB0"/>
    <w:rsid w:val="00417086"/>
    <w:rsid w:val="00432C49"/>
    <w:rsid w:val="00440108"/>
    <w:rsid w:val="00451A26"/>
    <w:rsid w:val="004719DA"/>
    <w:rsid w:val="00486537"/>
    <w:rsid w:val="00493DE7"/>
    <w:rsid w:val="004B1053"/>
    <w:rsid w:val="004C777F"/>
    <w:rsid w:val="004D1639"/>
    <w:rsid w:val="004D1D90"/>
    <w:rsid w:val="004D3A9C"/>
    <w:rsid w:val="004D767E"/>
    <w:rsid w:val="004E14C0"/>
    <w:rsid w:val="004E1678"/>
    <w:rsid w:val="004E3431"/>
    <w:rsid w:val="004F0A0D"/>
    <w:rsid w:val="004F1450"/>
    <w:rsid w:val="0051040D"/>
    <w:rsid w:val="005107B5"/>
    <w:rsid w:val="00514A9C"/>
    <w:rsid w:val="00516F4F"/>
    <w:rsid w:val="00517652"/>
    <w:rsid w:val="0053128D"/>
    <w:rsid w:val="00541000"/>
    <w:rsid w:val="0054384C"/>
    <w:rsid w:val="00544737"/>
    <w:rsid w:val="00545B8A"/>
    <w:rsid w:val="00566250"/>
    <w:rsid w:val="00580D81"/>
    <w:rsid w:val="005A324B"/>
    <w:rsid w:val="005C206F"/>
    <w:rsid w:val="005D3AF6"/>
    <w:rsid w:val="005F1E57"/>
    <w:rsid w:val="005F5287"/>
    <w:rsid w:val="0060273C"/>
    <w:rsid w:val="006043D1"/>
    <w:rsid w:val="00606910"/>
    <w:rsid w:val="00625B3B"/>
    <w:rsid w:val="0063410C"/>
    <w:rsid w:val="0063634F"/>
    <w:rsid w:val="00651276"/>
    <w:rsid w:val="00673D82"/>
    <w:rsid w:val="00676437"/>
    <w:rsid w:val="006B3E9E"/>
    <w:rsid w:val="006F1D53"/>
    <w:rsid w:val="00700516"/>
    <w:rsid w:val="00722DFA"/>
    <w:rsid w:val="0074006C"/>
    <w:rsid w:val="007415B2"/>
    <w:rsid w:val="007551C1"/>
    <w:rsid w:val="007640E7"/>
    <w:rsid w:val="0079129B"/>
    <w:rsid w:val="00793420"/>
    <w:rsid w:val="00795C38"/>
    <w:rsid w:val="007A7631"/>
    <w:rsid w:val="007B4B06"/>
    <w:rsid w:val="007C472E"/>
    <w:rsid w:val="007D6420"/>
    <w:rsid w:val="007E15A6"/>
    <w:rsid w:val="007E1F82"/>
    <w:rsid w:val="008070FF"/>
    <w:rsid w:val="00812F6B"/>
    <w:rsid w:val="00816933"/>
    <w:rsid w:val="00821B54"/>
    <w:rsid w:val="008237E2"/>
    <w:rsid w:val="00854440"/>
    <w:rsid w:val="00866F93"/>
    <w:rsid w:val="0087633B"/>
    <w:rsid w:val="008800F8"/>
    <w:rsid w:val="008938F6"/>
    <w:rsid w:val="00895C6E"/>
    <w:rsid w:val="008A18B1"/>
    <w:rsid w:val="008A7C9B"/>
    <w:rsid w:val="008B580C"/>
    <w:rsid w:val="008C6064"/>
    <w:rsid w:val="008F175A"/>
    <w:rsid w:val="008F462D"/>
    <w:rsid w:val="009002C2"/>
    <w:rsid w:val="00920613"/>
    <w:rsid w:val="0095261B"/>
    <w:rsid w:val="0096452D"/>
    <w:rsid w:val="00976605"/>
    <w:rsid w:val="009802FB"/>
    <w:rsid w:val="00980BB2"/>
    <w:rsid w:val="009A0282"/>
    <w:rsid w:val="009B40E8"/>
    <w:rsid w:val="009B4E7B"/>
    <w:rsid w:val="009C274C"/>
    <w:rsid w:val="009D0A87"/>
    <w:rsid w:val="009D49F0"/>
    <w:rsid w:val="009D7797"/>
    <w:rsid w:val="009E5F68"/>
    <w:rsid w:val="00A15876"/>
    <w:rsid w:val="00A243B5"/>
    <w:rsid w:val="00A26F19"/>
    <w:rsid w:val="00A57A13"/>
    <w:rsid w:val="00A76589"/>
    <w:rsid w:val="00A90A15"/>
    <w:rsid w:val="00AA126B"/>
    <w:rsid w:val="00AA7A7B"/>
    <w:rsid w:val="00AB4F31"/>
    <w:rsid w:val="00AC5375"/>
    <w:rsid w:val="00AF1CE6"/>
    <w:rsid w:val="00B0240D"/>
    <w:rsid w:val="00B025B0"/>
    <w:rsid w:val="00B243A0"/>
    <w:rsid w:val="00B53ECF"/>
    <w:rsid w:val="00B57288"/>
    <w:rsid w:val="00B65779"/>
    <w:rsid w:val="00B7496E"/>
    <w:rsid w:val="00B94B67"/>
    <w:rsid w:val="00BB28E3"/>
    <w:rsid w:val="00BB4566"/>
    <w:rsid w:val="00BC2EF5"/>
    <w:rsid w:val="00BC350B"/>
    <w:rsid w:val="00BC675F"/>
    <w:rsid w:val="00BD458D"/>
    <w:rsid w:val="00BE36F7"/>
    <w:rsid w:val="00BE44F4"/>
    <w:rsid w:val="00BE63F3"/>
    <w:rsid w:val="00BF12C9"/>
    <w:rsid w:val="00BF58E5"/>
    <w:rsid w:val="00C165F7"/>
    <w:rsid w:val="00C24948"/>
    <w:rsid w:val="00C2577C"/>
    <w:rsid w:val="00C513C4"/>
    <w:rsid w:val="00C6242C"/>
    <w:rsid w:val="00C84E86"/>
    <w:rsid w:val="00C84EEF"/>
    <w:rsid w:val="00C947AF"/>
    <w:rsid w:val="00CA12B3"/>
    <w:rsid w:val="00CA5F70"/>
    <w:rsid w:val="00CB178E"/>
    <w:rsid w:val="00CB6000"/>
    <w:rsid w:val="00CC454E"/>
    <w:rsid w:val="00CD728E"/>
    <w:rsid w:val="00CE2F8F"/>
    <w:rsid w:val="00D302FA"/>
    <w:rsid w:val="00D40F8B"/>
    <w:rsid w:val="00D41D6F"/>
    <w:rsid w:val="00D47AE2"/>
    <w:rsid w:val="00D83A71"/>
    <w:rsid w:val="00D83A7E"/>
    <w:rsid w:val="00D85F42"/>
    <w:rsid w:val="00D862E5"/>
    <w:rsid w:val="00D94404"/>
    <w:rsid w:val="00DA35A3"/>
    <w:rsid w:val="00DB3082"/>
    <w:rsid w:val="00E176E4"/>
    <w:rsid w:val="00E37E86"/>
    <w:rsid w:val="00E43176"/>
    <w:rsid w:val="00E43204"/>
    <w:rsid w:val="00E44946"/>
    <w:rsid w:val="00E604F1"/>
    <w:rsid w:val="00E72945"/>
    <w:rsid w:val="00E92592"/>
    <w:rsid w:val="00E9418F"/>
    <w:rsid w:val="00EA73C3"/>
    <w:rsid w:val="00EB23AC"/>
    <w:rsid w:val="00EB6CFC"/>
    <w:rsid w:val="00EC7CE4"/>
    <w:rsid w:val="00ED114F"/>
    <w:rsid w:val="00ED51E8"/>
    <w:rsid w:val="00EE1AF1"/>
    <w:rsid w:val="00F21CDE"/>
    <w:rsid w:val="00F57C91"/>
    <w:rsid w:val="00F6761B"/>
    <w:rsid w:val="00F73DE0"/>
    <w:rsid w:val="00F83992"/>
    <w:rsid w:val="00FC4728"/>
    <w:rsid w:val="00FD466B"/>
    <w:rsid w:val="00FE3242"/>
    <w:rsid w:val="00FE4197"/>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83"/>
    <w:rsid w:val="00F9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68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6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298</Pages>
  <Words>56411</Words>
  <Characters>321544</Characters>
  <Application>Microsoft Office Word</Application>
  <DocSecurity>0</DocSecurity>
  <Lines>2679</Lines>
  <Paragraphs>754</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377201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20</cp:revision>
  <cp:lastPrinted>2017-02-28T11:24:00Z</cp:lastPrinted>
  <dcterms:created xsi:type="dcterms:W3CDTF">2017-04-02T22:46:00Z</dcterms:created>
  <dcterms:modified xsi:type="dcterms:W3CDTF">2017-04-03T05:53:00Z</dcterms:modified>
</cp:coreProperties>
</file>