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bookmarkStart w:id="0" w:name="_GoBack"/>
      <w:bookmarkEnd w:id="0"/>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proofErr w:type="gramStart"/>
      <w:r>
        <w:rPr>
          <w:b/>
          <w:bCs/>
        </w:rPr>
        <w:t>v2.</w:t>
      </w:r>
      <w:r w:rsidR="004C6F87">
        <w:rPr>
          <w:b/>
          <w:bCs/>
        </w:rPr>
        <w:t>8</w:t>
      </w:r>
      <w:r w:rsidR="0051475F">
        <w:rPr>
          <w:b/>
          <w:bCs/>
        </w:rPr>
        <w:t>1</w:t>
      </w:r>
      <w:proofErr w:type="gramEnd"/>
      <w:r w:rsidR="00451A26">
        <w:rPr>
          <w:b/>
          <w:bCs/>
        </w:rPr>
        <w:t xml:space="preserve"> </w:t>
      </w:r>
      <w:r w:rsidR="0051475F">
        <w:t>20</w:t>
      </w:r>
      <w:r>
        <w:t xml:space="preserve"> </w:t>
      </w:r>
      <w:r w:rsidR="00A611B3">
        <w:t>May</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xml:space="preserve">: Partial collateralization results in non-zero counter-party </w:t>
      </w:r>
      <w:proofErr w:type="gramStart"/>
      <w:r>
        <w:t>risk,</w:t>
      </w:r>
      <w:proofErr w:type="gramEnd"/>
      <w:r>
        <w:t xml:space="preserve">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w:t>
      </w:r>
      <w:proofErr w:type="gramStart"/>
      <w:r>
        <w:t xml:space="preserve">to </w:t>
      </w:r>
      <w:proofErr w:type="gramEnd"/>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w:t>
      </w:r>
      <w:proofErr w:type="gramStart"/>
      <w:r>
        <w:t>now</w:t>
      </w:r>
      <w:proofErr w:type="gramEnd"/>
      <w:r>
        <w:t xml:space="preserve">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for</w:t>
      </w:r>
      <w:proofErr w:type="gramEnd"/>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w:t>
      </w:r>
      <w:proofErr w:type="gramStart"/>
      <w:r>
        <w:t xml:space="preserve">asset </w:t>
      </w:r>
      <w:proofErr w:type="gramEnd"/>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w:t>
      </w:r>
      <w:proofErr w:type="gramStart"/>
      <w:r>
        <w:t xml:space="preserve">time </w:t>
      </w:r>
      <w:proofErr w:type="gramEnd"/>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51475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proofErr w:type="gramStart"/>
      <w:r>
        <w:t>using</w:t>
      </w:r>
      <w:proofErr w:type="gramEnd"/>
      <w:r>
        <w:t xml:space="preserve">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51475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51475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51475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51475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51475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51475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w:t>
      </w:r>
      <w:proofErr w:type="gramStart"/>
      <w:r>
        <w:t xml:space="preserve">vector </w:t>
      </w:r>
      <w:proofErr w:type="gramEnd"/>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proofErr w:type="gramStart"/>
      <w:r>
        <w:t>such</w:t>
      </w:r>
      <w:proofErr w:type="gramEnd"/>
      <w:r>
        <w:t xml:space="preserve">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proofErr w:type="gramStart"/>
      <w:r>
        <w:t>s</w:t>
      </w:r>
      <w:r w:rsidR="00397E59">
        <w:t>tandard</w:t>
      </w:r>
      <w:proofErr w:type="gramEnd"/>
      <w:r w:rsidR="00397E59">
        <w:t xml:space="preserve"> HJM theory applies with the following dynamics for the yield curve: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51475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can</w:t>
      </w:r>
      <w:proofErr w:type="gramEnd"/>
      <w:r>
        <w:t xml:space="preserve">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w:t>
      </w:r>
      <w:proofErr w:type="gramStart"/>
      <w:r>
        <w:t xml:space="preserve">from </w:t>
      </w:r>
      <w:proofErr w:type="gramEnd"/>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where</w:t>
      </w:r>
      <w:proofErr w:type="gramEnd"/>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using</w:t>
      </w:r>
      <w:proofErr w:type="gramEnd"/>
      <w:r>
        <w:t xml:space="preserve">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51475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after re-arrangement results in</w:t>
      </w:r>
    </w:p>
    <w:p w:rsidR="00397E59" w:rsidRDefault="00397E59" w:rsidP="00397E59">
      <w:pPr>
        <w:pStyle w:val="ListParagraph"/>
        <w:spacing w:line="360" w:lineRule="auto"/>
        <w:ind w:left="360"/>
      </w:pPr>
    </w:p>
    <w:p w:rsidR="00397E59" w:rsidRPr="0061255C"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r>
        <w:t xml:space="preserve">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w:t>
      </w:r>
      <w:proofErr w:type="gramStart"/>
      <w:r>
        <w:t xml:space="preserve">on </w:t>
      </w:r>
      <w:proofErr w:type="gramEnd"/>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51475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 xml:space="preserve">Derivative Value </w:t>
      </w:r>
      <w:proofErr w:type="gramStart"/>
      <w:r>
        <w:rPr>
          <w:u w:val="single"/>
        </w:rPr>
        <w:t>Under</w:t>
      </w:r>
      <w:proofErr w:type="gramEnd"/>
      <w:r>
        <w:rPr>
          <w:u w:val="single"/>
        </w:rPr>
        <w:t xml:space="preserve">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could</w:t>
      </w:r>
      <w:proofErr w:type="gramEnd"/>
      <w:r>
        <w:t xml:space="preserve"> be handled using the measure that corresponds to the risk free bond</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corresponds</w:t>
      </w:r>
      <w:proofErr w:type="gramEnd"/>
      <w:r>
        <w:t xml:space="preserve"> to the risky bond</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the</w:t>
      </w:r>
      <w:proofErr w:type="gramEnd"/>
      <w:r>
        <w:t xml:space="preserv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undergoes</w:t>
      </w:r>
      <w:proofErr w:type="gramEnd"/>
      <w:r>
        <w:t xml:space="preserve">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51475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to</w:t>
      </w:r>
      <w:proofErr w:type="gramEnd"/>
      <w:r>
        <w:t xml:space="preserve">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475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w:t>
      </w:r>
      <w:proofErr w:type="gramStart"/>
      <w:r>
        <w:t xml:space="preserve">for </w:t>
      </w:r>
      <w:proofErr w:type="gramEnd"/>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51475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(Harrison and Kreps (1979), Harrison and Pliska (1981), Harrison and Pliska (1983)).</w:t>
      </w:r>
      <w:proofErr w:type="gramEnd"/>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lastRenderedPageBreak/>
        <w:t>where</w:t>
      </w:r>
      <w:proofErr w:type="gramEnd"/>
      <w:r>
        <w:t xml:space="preserv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which</w:t>
      </w:r>
      <w:proofErr w:type="gramEnd"/>
      <w:r>
        <w:t xml:space="preserve">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roofErr w:type="gramStart"/>
      <w:r>
        <w:t>results</w:t>
      </w:r>
      <w:proofErr w:type="gramEnd"/>
      <w:r>
        <w:t xml:space="preserve">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proofErr w:type="gramStart"/>
      <w:r>
        <w:t>as</w:t>
      </w:r>
      <w:proofErr w:type="gramEnd"/>
      <w:r>
        <w:t xml:space="preserve">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proofErr w:type="gramStart"/>
      <w:r>
        <w:t>we</w:t>
      </w:r>
      <w:proofErr w:type="gramEnd"/>
      <w:r>
        <w:t xml:space="preserve"> get</w:t>
      </w:r>
    </w:p>
    <w:p w:rsidR="00397E59" w:rsidRDefault="00397E59" w:rsidP="00397E59">
      <w:pPr>
        <w:spacing w:line="360" w:lineRule="auto"/>
        <w:ind w:left="360"/>
      </w:pPr>
    </w:p>
    <w:p w:rsidR="00397E59" w:rsidRPr="00B54D1B" w:rsidRDefault="0051475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54D1B" w:rsidRDefault="0051475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w:t>
      </w:r>
      <w:proofErr w:type="gramStart"/>
      <w:r>
        <w:t xml:space="preserve">time </w:t>
      </w:r>
      <w:proofErr w:type="gramEnd"/>
      <m:oMath>
        <m:r>
          <w:rPr>
            <w:rFonts w:ascii="Cambria Math" w:hAnsi="Cambria Math"/>
          </w:rPr>
          <m:t>T</m:t>
        </m:r>
      </m:oMath>
      <w:r>
        <w:t xml:space="preserve">. The contract should be seen as a zero strike call option with </w:t>
      </w:r>
      <w:proofErr w:type="gramStart"/>
      <w:r>
        <w:t xml:space="preserve">expiry </w:t>
      </w:r>
      <w:proofErr w:type="gramEnd"/>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then</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follows from</w:t>
      </w:r>
    </w:p>
    <w:p w:rsidR="00397E59" w:rsidRDefault="00397E59" w:rsidP="00397E59">
      <w:pPr>
        <w:pStyle w:val="ListParagraph"/>
        <w:spacing w:line="360" w:lineRule="auto"/>
        <w:ind w:left="1080"/>
      </w:pPr>
    </w:p>
    <w:p w:rsidR="00397E59" w:rsidRPr="002E27F5" w:rsidRDefault="0051475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and</w:t>
      </w:r>
      <w:proofErr w:type="gramEnd"/>
      <w:r>
        <w:t xml:space="preserve"> clearly</w:t>
      </w:r>
    </w:p>
    <w:p w:rsidR="00397E59" w:rsidRDefault="00397E59" w:rsidP="00397E59">
      <w:pPr>
        <w:pStyle w:val="ListParagraph"/>
        <w:spacing w:line="360" w:lineRule="auto"/>
        <w:ind w:left="1080"/>
      </w:pPr>
    </w:p>
    <w:p w:rsidR="00397E59" w:rsidRPr="002E27F5"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w:t>
      </w:r>
      <w:proofErr w:type="gramStart"/>
      <w:r>
        <w:t xml:space="preserve">time </w:t>
      </w:r>
      <w:proofErr w:type="gramEnd"/>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w:t>
      </w:r>
      <w:proofErr w:type="gramStart"/>
      <w:r>
        <w:t xml:space="preserve">at </w:t>
      </w:r>
      <w:proofErr w:type="gramEnd"/>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Pr="005B17D0"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to</w:t>
      </w:r>
      <w:proofErr w:type="gramEnd"/>
      <w:r>
        <w:t xml:space="preserve">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we get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we</w:t>
      </w:r>
      <w:proofErr w:type="gramEnd"/>
      <w:r>
        <w:t xml:space="preserve"> see that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r>
        <w:t xml:space="preserve">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r>
        <w:t xml:space="preserve">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is</w:t>
      </w:r>
      <w:proofErr w:type="gramEnd"/>
      <w:r>
        <w:t xml:space="preserve">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51475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so</w:t>
      </w:r>
      <w:proofErr w:type="gramEnd"/>
    </w:p>
    <w:p w:rsidR="00397E59" w:rsidRDefault="00397E59" w:rsidP="00397E59">
      <w:pPr>
        <w:pStyle w:val="ListParagraph"/>
        <w:spacing w:line="360" w:lineRule="auto"/>
        <w:ind w:left="1080"/>
      </w:pPr>
    </w:p>
    <w:p w:rsidR="00397E59" w:rsidRPr="00381DBD"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w:t>
      </w:r>
      <w:proofErr w:type="gramStart"/>
      <w:r>
        <w:t>To</w:t>
      </w:r>
      <w:proofErr w:type="gramEnd"/>
      <w:r>
        <w:t xml:space="preserve">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 xml:space="preserve">Futures vs. CSA Forward – Similarity =&gt; </w:t>
      </w:r>
      <w:proofErr w:type="gramStart"/>
      <w:r>
        <w:t>At</w:t>
      </w:r>
      <w:proofErr w:type="gramEnd"/>
      <w:r>
        <w:t xml:space="preserve"> first sight the forward contract under CSA looks like a futures contract on the asset. With the futures contract, the daily price difference gets </w:t>
      </w:r>
      <w:proofErr w:type="gramStart"/>
      <w:r>
        <w:t>credited/debited</w:t>
      </w:r>
      <w:proofErr w:type="gramEnd"/>
      <w:r>
        <w:t xml:space="preserve">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51475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lastRenderedPageBreak/>
        <w:t>a</w:t>
      </w:r>
      <w:proofErr w:type="gramEnd"/>
      <w:r>
        <w:t xml:space="preserve">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proofErr w:type="gramStart"/>
      <w:r>
        <w:t>so</w:t>
      </w:r>
      <w:proofErr w:type="gramEnd"/>
      <w:r>
        <w:t xml:space="preserve">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w:t>
      </w:r>
      <w:proofErr w:type="gramStart"/>
      <w:r>
        <w:t xml:space="preserve">strike </w:t>
      </w:r>
      <w:proofErr w:type="gramEnd"/>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C4528B"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has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r>
        <w:t xml:space="preserv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as</w:t>
      </w:r>
      <w:proofErr w:type="gramEnd"/>
    </w:p>
    <w:p w:rsidR="00397E59" w:rsidRDefault="00397E59" w:rsidP="00397E59">
      <w:pPr>
        <w:pStyle w:val="ListParagraph"/>
        <w:spacing w:line="360" w:lineRule="auto"/>
        <w:ind w:left="1080"/>
      </w:pPr>
    </w:p>
    <w:p w:rsidR="00397E59" w:rsidRPr="00733926"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Pr="007D6003"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twice</w:t>
      </w:r>
      <w:proofErr w:type="gramEnd"/>
      <w:r>
        <w:t xml:space="preserv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w:t>
      </w:r>
      <w:proofErr w:type="gramStart"/>
      <w:r>
        <w:t xml:space="preserve">of </w:t>
      </w:r>
      <w:proofErr w:type="gramEnd"/>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with</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with</w:t>
      </w:r>
      <w:proofErr w:type="gramEnd"/>
      <w:r>
        <w:t xml:space="preserve">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51475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where</w:t>
      </w:r>
      <w:proofErr w:type="gramEnd"/>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that</w:t>
      </w:r>
      <w:proofErr w:type="gramEnd"/>
    </w:p>
    <w:p w:rsidR="00397E59" w:rsidRDefault="00397E59" w:rsidP="00397E59">
      <w:pPr>
        <w:pStyle w:val="ListParagraph"/>
        <w:spacing w:line="360" w:lineRule="auto"/>
        <w:ind w:left="1080"/>
      </w:pPr>
    </w:p>
    <w:p w:rsidR="00397E59" w:rsidRPr="00D16907" w:rsidRDefault="0051475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one</w:t>
      </w:r>
      <w:proofErr w:type="gramEnd"/>
      <w:r>
        <w:t xml:space="preserve"> gets</w:t>
      </w:r>
    </w:p>
    <w:p w:rsidR="00397E59" w:rsidRDefault="00397E59" w:rsidP="00397E59">
      <w:pPr>
        <w:pStyle w:val="ListParagraph"/>
        <w:spacing w:line="360" w:lineRule="auto"/>
        <w:ind w:left="1080"/>
      </w:pPr>
    </w:p>
    <w:p w:rsidR="00397E59"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proofErr w:type="gramStart"/>
      <w:r>
        <w:t>and</w:t>
      </w:r>
      <w:proofErr w:type="gramEnd"/>
      <w:r>
        <w:t xml:space="preserve"> in the case</w:t>
      </w:r>
    </w:p>
    <w:p w:rsidR="00397E59" w:rsidRDefault="00397E59" w:rsidP="00397E59">
      <w:pPr>
        <w:pStyle w:val="ListParagraph"/>
        <w:spacing w:line="360" w:lineRule="auto"/>
        <w:ind w:left="1080"/>
      </w:pPr>
    </w:p>
    <w:p w:rsidR="00397E59" w:rsidRPr="002B1DC5"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51475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w:t>
      </w:r>
      <w:proofErr w:type="gramStart"/>
      <w:r>
        <w:t xml:space="preserve">as </w:t>
      </w:r>
      <w:proofErr w:type="gramEnd"/>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w:t>
      </w:r>
      <w:proofErr w:type="gramStart"/>
      <w:r>
        <w:t xml:space="preserve">is </w:t>
      </w:r>
      <w:proofErr w:type="gramEnd"/>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w:t>
      </w:r>
      <w:proofErr w:type="gramStart"/>
      <w:r>
        <w:t xml:space="preserve">rates </w:t>
      </w:r>
      <w:proofErr w:type="gramEnd"/>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51475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51475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475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51475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51475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51475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51475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51475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w:t>
      </w:r>
      <w:proofErr w:type="gramStart"/>
      <w:r w:rsidR="00397E59">
        <w:rPr>
          <w:u w:val="single"/>
        </w:rPr>
        <w:t>and</w:t>
      </w:r>
      <w:proofErr w:type="gramEnd"/>
      <w:r w:rsidR="00397E59">
        <w:rPr>
          <w:u w:val="single"/>
        </w:rPr>
        <w:t xml:space="preserve">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proofErr w:type="gramStart"/>
      <w:r>
        <w:t>in</w:t>
      </w:r>
      <w:proofErr w:type="gramEnd"/>
      <w:r>
        <w:t xml:space="preserve"> the domestic currency, and is collateralized using the domestic collateral. Thus</w:t>
      </w:r>
    </w:p>
    <w:p w:rsidR="00397E59" w:rsidRDefault="00397E59" w:rsidP="00397E59">
      <w:pPr>
        <w:spacing w:line="360" w:lineRule="auto"/>
        <w:ind w:left="360"/>
      </w:pPr>
    </w:p>
    <w:p w:rsidR="00397E59" w:rsidRPr="00B54D1B" w:rsidRDefault="0051475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6806713"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51475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6806714"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51475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and</w:t>
      </w:r>
      <w:proofErr w:type="gramEnd"/>
    </w:p>
    <w:p w:rsidR="00397E59" w:rsidRDefault="00397E59" w:rsidP="00397E59">
      <w:pPr>
        <w:spacing w:line="360" w:lineRule="auto"/>
        <w:ind w:left="360"/>
      </w:pPr>
    </w:p>
    <w:p w:rsidR="00397E59" w:rsidRPr="00B54D1B" w:rsidRDefault="0051475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xml:space="preserve">: Here, </w:t>
      </w:r>
      <w:proofErr w:type="gramStart"/>
      <w:r>
        <w:t>an American</w:t>
      </w:r>
      <w:proofErr w:type="gramEnd"/>
      <w:r>
        <w:t xml:space="preserve">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w:t>
      </w:r>
      <w:proofErr w:type="gramStart"/>
      <w:r>
        <w:t xml:space="preserve">becomes </w:t>
      </w:r>
      <w:proofErr w:type="gramEnd"/>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51475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51475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51475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51475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w:t>
      </w:r>
      <w:proofErr w:type="gramStart"/>
      <w:r>
        <w:t xml:space="preserve">of </w:t>
      </w:r>
      <w:proofErr w:type="gramEnd"/>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51475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proofErr w:type="gramStart"/>
      <w:r>
        <w:t>it</w:t>
      </w:r>
      <w:proofErr w:type="gramEnd"/>
      <w:r>
        <w:t xml:space="preserve"> is fairly straightforward to show that</w:t>
      </w:r>
    </w:p>
    <w:p w:rsidR="00397E59" w:rsidRDefault="00397E59" w:rsidP="00397E59">
      <w:pPr>
        <w:spacing w:line="360" w:lineRule="auto"/>
        <w:ind w:left="720"/>
      </w:pPr>
    </w:p>
    <w:p w:rsidR="00397E59" w:rsidRPr="00B314D2" w:rsidRDefault="0051475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proofErr w:type="gramStart"/>
      <w:r>
        <w:t>where</w:t>
      </w:r>
      <w:proofErr w:type="gramEnd"/>
    </w:p>
    <w:p w:rsidR="00397E59" w:rsidRDefault="00397E59" w:rsidP="00397E59">
      <w:pPr>
        <w:spacing w:line="360" w:lineRule="auto"/>
        <w:ind w:left="720"/>
      </w:pPr>
    </w:p>
    <w:p w:rsidR="00397E59" w:rsidRPr="00B314D2" w:rsidRDefault="0051475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w:t>
      </w:r>
      <w:proofErr w:type="gramStart"/>
      <w:r>
        <w:rPr>
          <w:u w:val="single"/>
        </w:rPr>
        <w:t xml:space="preserve">for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w:t>
      </w:r>
      <w:proofErr w:type="gramStart"/>
      <w:r>
        <w:rPr>
          <w:u w:val="single"/>
        </w:rPr>
        <w:t xml:space="preserve">Deterministic </w:t>
      </w:r>
      <w:proofErr w:type="gramEnd"/>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51475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 xml:space="preserve">Advantages of using deterministic collateral choices =&gt; </w:t>
      </w:r>
      <w:proofErr w:type="gramStart"/>
      <w:r>
        <w:t>All</w:t>
      </w:r>
      <w:proofErr w:type="gramEnd"/>
      <w:r>
        <w:t xml:space="preserve">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51475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proofErr w:type="gramStart"/>
      <w:r>
        <w:t>where</w:t>
      </w:r>
      <w:proofErr w:type="gramEnd"/>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51475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proofErr w:type="gramStart"/>
      <w:r>
        <w:t>has</w:t>
      </w:r>
      <w:proofErr w:type="gramEnd"/>
      <w:r>
        <w:t xml:space="preserve">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51475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51475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 xml:space="preserve">Pricing of Collateralized Derivatives Contracts When More than One Currency are </w:t>
        </w:r>
        <w:proofErr w:type="gramStart"/>
        <w:r>
          <w:rPr>
            <w:rStyle w:val="Hyperlink"/>
            <w:szCs w:val="36"/>
          </w:rPr>
          <w:t>Involved</w:t>
        </w:r>
        <w:proofErr w:type="gramEnd"/>
        <w:r>
          <w:rPr>
            <w:rStyle w:val="Hyperlink"/>
            <w:szCs w:val="36"/>
          </w:rPr>
          <w:t>: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w:t>
      </w:r>
      <w:proofErr w:type="gramStart"/>
      <w:r>
        <w:rPr>
          <w:szCs w:val="36"/>
        </w:rPr>
        <w:t xml:space="preserve">He, and H. Zhang (2013): </w:t>
      </w:r>
      <w:hyperlink r:id="rId24" w:history="1">
        <w:r>
          <w:rPr>
            <w:rStyle w:val="Hyperlink"/>
            <w:i/>
            <w:iCs/>
            <w:szCs w:val="36"/>
          </w:rPr>
          <w:t>A Note on Discounting and Funding Value Adjustments for Derivatives</w:t>
        </w:r>
      </w:hyperlink>
      <w:proofErr w:type="gramEnd"/>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 xml:space="preserve">Journal of </w:t>
      </w:r>
      <w:proofErr w:type="gramStart"/>
      <w:r>
        <w:rPr>
          <w:i/>
        </w:rPr>
        <w:t>Finance</w:t>
      </w:r>
      <w:r>
        <w:t xml:space="preserve"> </w:t>
      </w:r>
      <w:r>
        <w:rPr>
          <w:b/>
        </w:rPr>
        <w:t xml:space="preserve"> 62</w:t>
      </w:r>
      <w:proofErr w:type="gramEnd"/>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w:t>
      </w:r>
      <w:proofErr w:type="gramStart"/>
      <w:r>
        <w:t>market</w:t>
      </w:r>
      <w:proofErr w:type="gramEnd"/>
      <w:r>
        <w:t xml:space="preserve">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w:t>
      </w:r>
      <w:proofErr w:type="gramStart"/>
      <w:r>
        <w:t xml:space="preserve">sequence </w:t>
      </w:r>
      <w:proofErr w:type="gramEnd"/>
      <m:oMath>
        <m:r>
          <w:rPr>
            <w:rFonts w:ascii="Cambria Math" w:hAnsi="Cambria Math"/>
          </w:rPr>
          <m:t>T</m:t>
        </m:r>
      </m:oMath>
      <w:r>
        <w:t xml:space="preserve">. If </w:t>
      </w:r>
      <m:oMath>
        <m:r>
          <w:rPr>
            <w:rFonts w:ascii="Cambria Math" w:hAnsi="Cambria Math"/>
          </w:rPr>
          <m:t>T</m:t>
        </m:r>
      </m:oMath>
      <w:r>
        <w:t xml:space="preserve"> is not a multiple </w:t>
      </w:r>
      <w:proofErr w:type="gramStart"/>
      <w:r>
        <w:t xml:space="preserve">of </w:t>
      </w:r>
      <w:proofErr w:type="gramEnd"/>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51475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proofErr w:type="gramStart"/>
      <w:r>
        <w:lastRenderedPageBreak/>
        <w:t>and</w:t>
      </w:r>
      <w:proofErr w:type="gramEnd"/>
      <w:r>
        <w:t xml:space="preserve">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proofErr w:type="gramStart"/>
      <w:r>
        <w:t>let</w:t>
      </w:r>
      <w:proofErr w:type="gramEnd"/>
    </w:p>
    <w:p w:rsidR="00514A9C" w:rsidRDefault="00514A9C" w:rsidP="00514A9C">
      <w:pPr>
        <w:pStyle w:val="ListParagraph"/>
        <w:spacing w:after="200" w:line="360" w:lineRule="auto"/>
        <w:ind w:left="360"/>
      </w:pPr>
    </w:p>
    <w:p w:rsidR="00514A9C" w:rsidRDefault="0051475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proofErr w:type="gramStart"/>
      <w:r>
        <w:t>denote</w:t>
      </w:r>
      <w:proofErr w:type="gramEnd"/>
      <w:r>
        <w:t xml:space="preserv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51475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51475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w:t>
      </w:r>
      <w:proofErr w:type="gramStart"/>
      <w:r>
        <w:t xml:space="preserve">length  </w:t>
      </w:r>
      <w:proofErr w:type="gramEnd"/>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proofErr w:type="gramStart"/>
      <w:r>
        <w:rPr>
          <w:u w:val="single"/>
        </w:rPr>
        <w:t>xM</w:t>
      </w:r>
      <w:proofErr w:type="gramEnd"/>
      <w:r>
        <w:rPr>
          <w:u w:val="single"/>
        </w:rPr>
        <w:t xml:space="preserve">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w:t>
      </w:r>
      <w:proofErr w:type="gramStart"/>
      <w:r>
        <w:t>factors in the equity space is</w:t>
      </w:r>
      <w:proofErr w:type="gramEnd"/>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w:t>
      </w:r>
      <w:proofErr w:type="gramStart"/>
      <w:r>
        <w:t>correlation with multiple years of historical data based on lognormal returns are</w:t>
      </w:r>
      <w:proofErr w:type="gramEnd"/>
      <w:r>
        <w:t xml:space="preserv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51475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proofErr w:type="gramStart"/>
      <w:r>
        <w:t>for</w:t>
      </w:r>
      <w:proofErr w:type="gramEnd"/>
      <w:r>
        <w:t xml:space="preserve">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w:t>
      </w:r>
      <w:proofErr w:type="gramStart"/>
      <w:r>
        <w:t>is</w:t>
      </w:r>
      <w:proofErr w:type="gramEnd"/>
      <w:r>
        <w:t xml:space="preserve">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w:t>
      </w:r>
      <w:proofErr w:type="gramStart"/>
      <w:r>
        <w:t xml:space="preserve">period </w:t>
      </w:r>
      <w:proofErr w:type="gramEnd"/>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for</w:t>
      </w:r>
      <w:proofErr w:type="gramEnd"/>
      <w:r>
        <w:t xml:space="preserve">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proofErr w:type="gramStart"/>
      <w:r>
        <w:t>where</w:t>
      </w:r>
      <w:proofErr w:type="gramEnd"/>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51475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proofErr w:type="gramStart"/>
      <w:r>
        <w:t>where</w:t>
      </w:r>
      <w:proofErr w:type="gramEnd"/>
      <w:r>
        <w:t xml:space="preserv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w:t>
      </w:r>
      <w:proofErr w:type="gramStart"/>
      <w:r>
        <w:t xml:space="preserve">to </w:t>
      </w:r>
      <w:proofErr w:type="gramEnd"/>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proofErr w:type="gramStart"/>
      <w:r>
        <w:t>at</w:t>
      </w:r>
      <w:proofErr w:type="gramEnd"/>
      <w:r>
        <w:t xml:space="preserve">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w:t>
      </w:r>
      <w:proofErr w:type="gramStart"/>
      <w:r>
        <w:t>is</w:t>
      </w:r>
      <w:proofErr w:type="gramEnd"/>
      <w:r>
        <w:t xml:space="preserve">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51475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51475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proofErr w:type="gramStart"/>
      <w:r>
        <w:t>where</w:t>
      </w:r>
      <w:proofErr w:type="gramEnd"/>
      <w:r>
        <w:t xml:space="preserv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proofErr w:type="gramStart"/>
      <w:r>
        <w:t>where</w:t>
      </w:r>
      <w:proofErr w:type="gramEnd"/>
    </w:p>
    <w:p w:rsidR="00317EF3" w:rsidRDefault="00317EF3" w:rsidP="00317EF3">
      <w:pPr>
        <w:pStyle w:val="ListParagraph"/>
        <w:spacing w:after="200" w:line="360" w:lineRule="auto"/>
        <w:ind w:left="360"/>
      </w:pPr>
    </w:p>
    <w:p w:rsidR="00317EF3" w:rsidRDefault="0051475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proofErr w:type="gramStart"/>
      <w:r>
        <w:t>is</w:t>
      </w:r>
      <w:proofErr w:type="gramEnd"/>
      <w:r>
        <w:t xml:space="preserve">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where</w:t>
      </w:r>
      <w:proofErr w:type="gramEnd"/>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proofErr w:type="gramStart"/>
      <w:r>
        <w:t>as</w:t>
      </w:r>
      <w:proofErr w:type="gramEnd"/>
      <w:r>
        <w:t xml:space="preserve">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w:t>
      </w:r>
      <w:proofErr w:type="gramStart"/>
      <w:r>
        <w:t>For</w:t>
      </w:r>
      <w:proofErr w:type="gramEnd"/>
      <w:r>
        <w:t xml:space="preserve">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51475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proofErr w:type="gramStart"/>
      <w:r>
        <w:t>where</w:t>
      </w:r>
      <w:proofErr w:type="gramEnd"/>
      <w:r>
        <w:t xml:space="preserv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proofErr w:type="gramStart"/>
      <w:r>
        <w:t>which</w:t>
      </w:r>
      <w:proofErr w:type="gramEnd"/>
      <w:r>
        <w:t xml:space="preserve">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proofErr w:type="gramStart"/>
      <w:r>
        <w:t>becomes</w:t>
      </w:r>
      <w:proofErr w:type="gramEnd"/>
      <w:r>
        <w:t xml:space="preserve">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w:t>
      </w:r>
      <w:proofErr w:type="gramStart"/>
      <w:r>
        <w:t xml:space="preserve">the </w:t>
      </w:r>
      <m:oMath>
        <m:r>
          <w:rPr>
            <w:rFonts w:ascii="Cambria Math" w:hAnsi="Cambria Math"/>
          </w:rPr>
          <m:t>MinimumSpacing</m:t>
        </m:r>
      </m:oMath>
      <w:r>
        <w:t xml:space="preserve"> is</w:t>
      </w:r>
      <w:proofErr w:type="gramEnd"/>
      <w:r>
        <w:t xml:space="preserve">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proofErr w:type="gramStart"/>
      <w:r>
        <w:t>the</w:t>
      </w:r>
      <w:proofErr w:type="gramEnd"/>
      <w:r>
        <w:t xml:space="preserv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w:t>
      </w:r>
      <w:proofErr w:type="gramStart"/>
      <w:r>
        <w:t xml:space="preserve">the </w:t>
      </w:r>
      <m:oMath>
        <m:r>
          <w:rPr>
            <w:rFonts w:ascii="Cambria Math" w:hAnsi="Cambria Math"/>
          </w:rPr>
          <m:t>MinimumSpacing</m:t>
        </m:r>
      </m:oMath>
      <w:r>
        <w:t xml:space="preserve"> is</w:t>
      </w:r>
      <w:proofErr w:type="gramEnd"/>
      <w:r>
        <w:t xml:space="preserve">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xml:space="preserve">: The dates are </w:t>
      </w:r>
      <w:proofErr w:type="gramStart"/>
      <w:r>
        <w:t>more dense</w:t>
      </w:r>
      <w:proofErr w:type="gramEnd"/>
      <w:r>
        <w:t xml:space="preserv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w:t>
      </w:r>
      <w:proofErr w:type="gramStart"/>
      <w:r>
        <w:t>model are</w:t>
      </w:r>
      <w:proofErr w:type="gramEnd"/>
      <w:r>
        <w:t xml:space="preserv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w:t>
      </w:r>
      <w:proofErr w:type="gramStart"/>
      <w:r>
        <w:t xml:space="preserve">time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w:t>
      </w:r>
      <w:proofErr w:type="gramStart"/>
      <w:r>
        <w:t xml:space="preserve">date </w:t>
      </w:r>
      <w:proofErr w:type="gramEnd"/>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roofErr w:type="gramStart"/>
      <w:r>
        <w:t>.,</w:t>
      </w:r>
      <w:proofErr w:type="gramEnd"/>
    </w:p>
    <w:p w:rsidR="002207E3" w:rsidRDefault="002207E3" w:rsidP="00C0077D">
      <w:pPr>
        <w:pStyle w:val="ListParagraph"/>
        <w:spacing w:after="200" w:line="360" w:lineRule="auto"/>
        <w:ind w:left="360"/>
      </w:pPr>
    </w:p>
    <w:p w:rsidR="002207E3" w:rsidRDefault="0051475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proofErr w:type="gramStart"/>
      <w:r>
        <w:t>is</w:t>
      </w:r>
      <w:proofErr w:type="gramEnd"/>
      <w:r>
        <w:t xml:space="preserve">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 xml:space="preserve">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w:t>
      </w:r>
      <w:proofErr w:type="gramStart"/>
      <w:r>
        <w:t>swap</w:t>
      </w:r>
      <w:proofErr w:type="gramEnd"/>
      <w:r>
        <w:t xml:space="preserve">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w:t>
      </w:r>
      <w:proofErr w:type="gramStart"/>
      <w:r>
        <w:t>output are</w:t>
      </w:r>
      <w:proofErr w:type="gramEnd"/>
      <w:r>
        <w:t xml:space="preserv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proofErr w:type="gramStart"/>
      <w:r>
        <w:t>respectively</w:t>
      </w:r>
      <w:proofErr w:type="gramEnd"/>
      <w:r>
        <w:t>.</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proofErr w:type="gramStart"/>
      <w:r>
        <w:t>and</w:t>
      </w:r>
      <w:proofErr w:type="gramEnd"/>
      <w:r>
        <w:t xml:space="preserve">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proofErr w:type="gramStart"/>
      <w:r>
        <w:t>it</w:t>
      </w:r>
      <w:proofErr w:type="gramEnd"/>
      <w:r>
        <w:t xml:space="preserve"> exceeds the effective threshold</w:t>
      </w:r>
    </w:p>
    <w:p w:rsidR="002207E3" w:rsidRDefault="002207E3" w:rsidP="002207E3">
      <w:pPr>
        <w:pStyle w:val="ListParagraph"/>
        <w:spacing w:after="200" w:line="360" w:lineRule="auto"/>
        <w:ind w:left="360"/>
      </w:pPr>
    </w:p>
    <w:p w:rsidR="004E466C" w:rsidRP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proofErr w:type="gramStart"/>
      <w:r>
        <w:t>in</w:t>
      </w:r>
      <w:proofErr w:type="gramEnd"/>
      <w:r>
        <w:t xml:space="preserve">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proofErr w:type="gramStart"/>
      <w:r>
        <w:t>where</w:t>
      </w:r>
      <w:proofErr w:type="gramEnd"/>
      <w:r>
        <w:t xml:space="preserv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proofErr w:type="gramStart"/>
      <w:r>
        <w:t>where</w:t>
      </w:r>
      <w:proofErr w:type="gramEnd"/>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proofErr w:type="gramStart"/>
      <w:r>
        <w:t>is</w:t>
      </w:r>
      <w:proofErr w:type="gramEnd"/>
      <w:r>
        <w:t xml:space="preserve">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w:t>
      </w:r>
      <w:proofErr w:type="gramStart"/>
      <w:r>
        <w:t xml:space="preserve">time </w:t>
      </w:r>
      <w:proofErr w:type="gramEnd"/>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w:t>
      </w:r>
      <w:proofErr w:type="gramStart"/>
      <w:r>
        <w:t xml:space="preserve">time </w:t>
      </w:r>
      <w:proofErr w:type="gramEnd"/>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w:t>
      </w:r>
      <w:proofErr w:type="gramStart"/>
      <w:r>
        <w:t>boolean</w:t>
      </w:r>
      <w:proofErr w:type="gramEnd"/>
      <w:r>
        <w:t xml:space="preserve">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proofErr w:type="gramStart"/>
      <w:r>
        <w:t>and</w:t>
      </w:r>
      <w:proofErr w:type="gramEnd"/>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proofErr w:type="gramStart"/>
      <w:r>
        <w:t>respectively</w:t>
      </w:r>
      <w:proofErr w:type="gramEnd"/>
      <w:r>
        <w:t>.</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w:t>
      </w:r>
      <w:proofErr w:type="gramStart"/>
      <w:r w:rsidR="00893AB0">
        <w:t xml:space="preserve">time </w:t>
      </w:r>
      <w:proofErr w:type="gramEnd"/>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w:t>
      </w:r>
      <w:proofErr w:type="gramStart"/>
      <w:r>
        <w:t xml:space="preserve">point </w:t>
      </w:r>
      <w:proofErr w:type="gramEnd"/>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w:t>
      </w:r>
      <w:proofErr w:type="gramStart"/>
      <w:r>
        <w:t xml:space="preserve">point </w:t>
      </w:r>
      <w:proofErr w:type="gramEnd"/>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proofErr w:type="gramStart"/>
      <w:r w:rsidR="00EB36AD">
        <w:t>.</w:t>
      </w:r>
      <w:r>
        <w:t xml:space="preserve"> </w:t>
      </w:r>
      <w:proofErr w:type="gramEnd"/>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51475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51475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51475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w:t>
      </w:r>
      <w:proofErr w:type="gramStart"/>
      <w:r>
        <w:t xml:space="preserve">date </w:t>
      </w:r>
      <w:proofErr w:type="gramEnd"/>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proofErr w:type="gramStart"/>
      <w:r>
        <w:t>the</w:t>
      </w:r>
      <w:proofErr w:type="gramEnd"/>
      <w:r>
        <w:t xml:space="preserve"> CSA parameters #2 are used for the time period</w:t>
      </w:r>
    </w:p>
    <w:p w:rsidR="002207E3" w:rsidRDefault="002207E3" w:rsidP="002207E3">
      <w:pPr>
        <w:pStyle w:val="ListParagraph"/>
        <w:spacing w:after="200" w:line="360" w:lineRule="auto"/>
        <w:ind w:left="360"/>
      </w:pPr>
    </w:p>
    <w:p w:rsidR="002207E3" w:rsidRDefault="0051475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proofErr w:type="gramStart"/>
      <w:r>
        <w:t>and</w:t>
      </w:r>
      <w:proofErr w:type="gramEnd"/>
      <w:r>
        <w:t xml:space="preserve">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w:t>
      </w:r>
      <w:proofErr w:type="gramStart"/>
      <w:r>
        <w:t xml:space="preserve">time </w:t>
      </w:r>
      <w:proofErr w:type="gramEnd"/>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such</w:t>
      </w:r>
      <w:proofErr w:type="gramEnd"/>
      <w:r>
        <w:t xml:space="preserve">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proofErr w:type="gramStart"/>
      <w:r>
        <w:t>and</w:t>
      </w:r>
      <w:proofErr w:type="gramEnd"/>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proofErr w:type="gramStart"/>
      <w:r>
        <w:t>which</w:t>
      </w:r>
      <w:proofErr w:type="gramEnd"/>
      <w:r>
        <w:t xml:space="preserve">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w:t>
      </w:r>
      <w:proofErr w:type="gramStart"/>
      <w:r w:rsidR="00951331">
        <w:t xml:space="preserve">interval </w:t>
      </w:r>
      <w:proofErr w:type="gramEnd"/>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proofErr w:type="gramStart"/>
      <w:r>
        <w:t>is</w:t>
      </w:r>
      <w:proofErr w:type="gramEnd"/>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51475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w:t>
      </w:r>
      <w:proofErr w:type="gramStart"/>
      <w:r>
        <w:t xml:space="preserve">period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w:t>
      </w:r>
      <w:proofErr w:type="gramStart"/>
      <w:r>
        <w:t xml:space="preserve">is </w:t>
      </w:r>
      <w:proofErr w:type="gramEnd"/>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51475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51475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proofErr w:type="gramStart"/>
      <w:r>
        <w:t>for</w:t>
      </w:r>
      <w:proofErr w:type="gramEnd"/>
      <w:r>
        <w:t xml:space="preserve"> the floating leg, </w:t>
      </w:r>
      <w:r w:rsidR="004F5384">
        <w:t>and</w:t>
      </w:r>
    </w:p>
    <w:p w:rsidR="001C1517" w:rsidRDefault="001C1517" w:rsidP="001C1517">
      <w:pPr>
        <w:pStyle w:val="ListParagraph"/>
        <w:spacing w:after="200" w:line="360" w:lineRule="auto"/>
        <w:ind w:left="360"/>
      </w:pPr>
    </w:p>
    <w:p w:rsidR="001C1517" w:rsidRDefault="0051475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proofErr w:type="gramStart"/>
      <w:r>
        <w:t>for</w:t>
      </w:r>
      <w:proofErr w:type="gramEnd"/>
      <w:r>
        <w:t xml:space="preserve">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proofErr w:type="gramStart"/>
      <w:r>
        <w:t>are</w:t>
      </w:r>
      <w:proofErr w:type="gramEnd"/>
      <w:r>
        <w:t xml:space="preserve"> correlated with each other. The correlation matrix</w:t>
      </w:r>
    </w:p>
    <w:p w:rsidR="00E11BC1" w:rsidRDefault="00E11BC1" w:rsidP="00E11BC1">
      <w:pPr>
        <w:pStyle w:val="ListParagraph"/>
        <w:spacing w:after="200" w:line="360" w:lineRule="auto"/>
        <w:ind w:left="360"/>
      </w:pPr>
    </w:p>
    <w:p w:rsidR="00E11BC1" w:rsidRDefault="0051475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proofErr w:type="gramStart"/>
      <w:r>
        <w:t>is</w:t>
      </w:r>
      <w:proofErr w:type="gramEnd"/>
      <w:r>
        <w:t xml:space="preserve">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w:t>
      </w:r>
      <w:proofErr w:type="gramStart"/>
      <w:r>
        <w:t xml:space="preserve">is </w:t>
      </w:r>
      <w:proofErr w:type="gramEnd"/>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proofErr w:type="gramStart"/>
      <w:r>
        <w:lastRenderedPageBreak/>
        <w:t>where</w:t>
      </w:r>
      <w:proofErr w:type="gramEnd"/>
      <w:r>
        <w:t xml:space="preserv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w:t>
      </w:r>
      <w:proofErr w:type="gramStart"/>
      <w:r>
        <w:t>date,</w:t>
      </w:r>
      <w:proofErr w:type="gramEnd"/>
      <w:r>
        <w:t xml:space="preserv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proofErr w:type="gramStart"/>
      <w:r>
        <w:t>or</w:t>
      </w:r>
      <w:proofErr w:type="gramEnd"/>
      <w:r>
        <w:t xml:space="preserve">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proofErr w:type="gramStart"/>
      <w:r>
        <w:t>of</w:t>
      </w:r>
      <w:proofErr w:type="gramEnd"/>
      <w:r>
        <w:t xml:space="preserve">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w:t>
      </w:r>
      <w:proofErr w:type="gramStart"/>
      <w:r>
        <w:t xml:space="preserve">be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w:t>
      </w:r>
      <w:proofErr w:type="gramStart"/>
      <w:r>
        <w:t xml:space="preserve">becomes </w:t>
      </w:r>
      <w:proofErr w:type="gramEnd"/>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3F78EE"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3A66D4"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w:t>
      </w:r>
      <w:proofErr w:type="gramStart"/>
      <w:r>
        <w:t xml:space="preserve">be </w:t>
      </w:r>
      <w:proofErr w:type="gramEnd"/>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one</w:t>
      </w:r>
      <w:proofErr w:type="gramEnd"/>
      <w:r>
        <w:t xml:space="preserve"> has</w:t>
      </w:r>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proofErr w:type="gramStart"/>
      <w:r>
        <w:t>and</w:t>
      </w:r>
      <w:proofErr w:type="gramEnd"/>
    </w:p>
    <w:p w:rsidR="0070274C" w:rsidRDefault="0070274C" w:rsidP="0070274C">
      <w:pPr>
        <w:pStyle w:val="ListParagraph"/>
        <w:spacing w:after="200" w:line="360" w:lineRule="auto"/>
        <w:ind w:left="360"/>
      </w:pPr>
    </w:p>
    <w:p w:rsidR="00F51434"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proofErr w:type="gramStart"/>
      <w:r>
        <w:t>is</w:t>
      </w:r>
      <w:proofErr w:type="gramEnd"/>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51475F"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w:t>
      </w:r>
      <w:proofErr w:type="gramStart"/>
      <w:r>
        <w:t>factor</w:t>
      </w:r>
      <w:proofErr w:type="gramEnd"/>
      <w:r>
        <w:t>)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proofErr w:type="gramStart"/>
      <w:r>
        <w:t>in</w:t>
      </w:r>
      <w:proofErr w:type="gramEnd"/>
      <w:r>
        <w:t xml:space="preserve">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where</w:t>
      </w:r>
      <w:proofErr w:type="gramEnd"/>
      <w:r>
        <w:t xml:space="preserv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proofErr w:type="gramStart"/>
      <w:r>
        <w:t>and</w:t>
      </w:r>
      <w:proofErr w:type="gramEnd"/>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proofErr w:type="gramStart"/>
      <w:r>
        <w:t>with</w:t>
      </w:r>
      <w:proofErr w:type="gramEnd"/>
      <w:r>
        <w:t xml:space="preserve">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proofErr w:type="gramStart"/>
      <w:r>
        <w:t>where</w:t>
      </w:r>
      <w:proofErr w:type="gramEnd"/>
      <w:r>
        <w:t xml:space="preserv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w:t>
      </w:r>
      <w:proofErr w:type="gramStart"/>
      <w:r>
        <w:t>two</w:t>
      </w:r>
      <w:proofErr w:type="gramEnd"/>
      <w:r>
        <w:t xml:space="preserve">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proofErr w:type="gramStart"/>
      <w:r>
        <w:t>and</w:t>
      </w:r>
      <w:proofErr w:type="gramEnd"/>
      <w:r>
        <w:t xml:space="preserve">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proofErr w:type="gramStart"/>
      <w:r>
        <w:t>then</w:t>
      </w:r>
      <w:proofErr w:type="gramEnd"/>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proofErr w:type="gramStart"/>
      <w:r>
        <w:lastRenderedPageBreak/>
        <w:t>so</w:t>
      </w:r>
      <w:proofErr w:type="gramEnd"/>
      <w:r>
        <w:t xml:space="preserve">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51475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51475F"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proofErr w:type="gramStart"/>
      <w:r>
        <w:t>with</w:t>
      </w:r>
      <w:proofErr w:type="gramEnd"/>
      <w:r>
        <w:t xml:space="preserve">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51475F"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proofErr w:type="gramStart"/>
      <w:r>
        <w:t>is</w:t>
      </w:r>
      <w:proofErr w:type="gramEnd"/>
      <w:r>
        <w:t xml:space="preserve">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w:t>
      </w:r>
      <w:proofErr w:type="gramStart"/>
      <w:r>
        <w:t>needs</w:t>
      </w:r>
      <w:proofErr w:type="gramEnd"/>
      <w:r>
        <w:t xml:space="preserve">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51475F"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proofErr w:type="gramStart"/>
      <w:r>
        <w:t>is</w:t>
      </w:r>
      <w:proofErr w:type="gramEnd"/>
      <w:r>
        <w:t xml:space="preserve">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proofErr w:type="gramStart"/>
      <w:r>
        <w:lastRenderedPageBreak/>
        <w:t>or</w:t>
      </w:r>
      <w:proofErr w:type="gramEnd"/>
    </w:p>
    <w:p w:rsidR="00B73030" w:rsidRDefault="00B73030" w:rsidP="00B73030">
      <w:pPr>
        <w:pStyle w:val="ListParagraph"/>
        <w:spacing w:after="200" w:line="360" w:lineRule="auto"/>
        <w:ind w:left="360"/>
      </w:pPr>
    </w:p>
    <w:p w:rsidR="00B73030"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proofErr w:type="gramStart"/>
      <w:r>
        <w:t>with</w:t>
      </w:r>
      <w:proofErr w:type="gramEnd"/>
    </w:p>
    <w:p w:rsidR="00B73030" w:rsidRDefault="00B73030" w:rsidP="00B73030">
      <w:pPr>
        <w:pStyle w:val="ListParagraph"/>
        <w:spacing w:after="200" w:line="360" w:lineRule="auto"/>
        <w:ind w:left="360"/>
      </w:pPr>
    </w:p>
    <w:p w:rsidR="007D0349" w:rsidRPr="00B73030" w:rsidRDefault="0051475F"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there is no CP default probability (or spread) correlation, can be further reduced to</w:t>
      </w:r>
    </w:p>
    <w:p w:rsidR="00E30E62" w:rsidRDefault="00E30E62" w:rsidP="00B73030">
      <w:pPr>
        <w:pStyle w:val="ListParagraph"/>
        <w:spacing w:after="200" w:line="360" w:lineRule="auto"/>
        <w:ind w:left="360"/>
      </w:pPr>
    </w:p>
    <w:p w:rsid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which</w:t>
      </w:r>
      <w:proofErr w:type="gramEnd"/>
      <w:r>
        <w:t>, if the CP default recovery is constant, can be even further reduced to</w:t>
      </w:r>
    </w:p>
    <w:p w:rsidR="00E30E62" w:rsidRDefault="00E30E62" w:rsidP="00B73030">
      <w:pPr>
        <w:pStyle w:val="ListParagraph"/>
        <w:spacing w:after="200" w:line="360" w:lineRule="auto"/>
        <w:ind w:left="360"/>
      </w:pPr>
    </w:p>
    <w:p w:rsid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with</w:t>
      </w:r>
      <w:proofErr w:type="gramEnd"/>
      <w:r>
        <w:t xml:space="preserve"> the discounted expected positive exposure (EPE) given by</w:t>
      </w:r>
    </w:p>
    <w:p w:rsidR="00E30E62" w:rsidRDefault="00E30E62" w:rsidP="00B73030">
      <w:pPr>
        <w:pStyle w:val="ListParagraph"/>
        <w:spacing w:after="200" w:line="360" w:lineRule="auto"/>
        <w:ind w:left="360"/>
      </w:pPr>
    </w:p>
    <w:p w:rsid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the</w:t>
      </w:r>
      <w:proofErr w:type="gramEnd"/>
      <w:r>
        <w:t xml:space="preserve"> discounted expected negative exposure (ENE) given by</w:t>
      </w:r>
    </w:p>
    <w:p w:rsidR="00E30E62" w:rsidRDefault="00E30E62" w:rsidP="00B73030">
      <w:pPr>
        <w:pStyle w:val="ListParagraph"/>
        <w:spacing w:after="200" w:line="360" w:lineRule="auto"/>
        <w:ind w:left="360"/>
      </w:pPr>
    </w:p>
    <w:p w:rsid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total discounted expected positive exposure (TEPE) given by</w:t>
      </w:r>
    </w:p>
    <w:p w:rsidR="00E30E62" w:rsidRDefault="00E30E62" w:rsidP="00B73030">
      <w:pPr>
        <w:pStyle w:val="ListParagraph"/>
        <w:spacing w:after="200" w:line="360" w:lineRule="auto"/>
        <w:ind w:left="360"/>
      </w:pPr>
    </w:p>
    <w:p w:rsid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proofErr w:type="gramStart"/>
      <w:r>
        <w:t>and</w:t>
      </w:r>
      <w:proofErr w:type="gramEnd"/>
      <w:r>
        <w:t xml:space="preserve"> the average discounted expected positive exposure (AEPE) given by</w:t>
      </w:r>
    </w:p>
    <w:p w:rsidR="00E30E62" w:rsidRDefault="00E30E62" w:rsidP="00B73030">
      <w:pPr>
        <w:pStyle w:val="ListParagraph"/>
        <w:spacing w:after="200" w:line="360" w:lineRule="auto"/>
        <w:ind w:left="360"/>
      </w:pPr>
    </w:p>
    <w:p w:rsidR="008E5A6F" w:rsidRPr="00E30E62" w:rsidRDefault="0051475F"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51475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proofErr w:type="gramStart"/>
      <w:r>
        <w:t>and</w:t>
      </w:r>
      <w:proofErr w:type="gramEnd"/>
      <w:r>
        <w:t xml:space="preserve"> the maximum PFE (MPFE) as</w:t>
      </w:r>
    </w:p>
    <w:p w:rsidR="00E30E62" w:rsidRDefault="00E30E62" w:rsidP="00E30E62">
      <w:pPr>
        <w:pStyle w:val="ListParagraph"/>
        <w:spacing w:after="200" w:line="360" w:lineRule="auto"/>
        <w:ind w:left="360"/>
      </w:pPr>
    </w:p>
    <w:p w:rsidR="00654F9D" w:rsidRDefault="0051475F"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w:t>
      </w:r>
      <w:proofErr w:type="gramStart"/>
      <w: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w:t>
      </w:r>
      <w:proofErr w:type="gramStart"/>
      <w:r>
        <w:t xml:space="preserve">time </w:t>
      </w:r>
      <w:proofErr w:type="gramEnd"/>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DB37ED"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or</w:t>
      </w:r>
      <w:proofErr w:type="gramEnd"/>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proofErr w:type="gramStart"/>
      <w:r>
        <w:t>which</w:t>
      </w:r>
      <w:proofErr w:type="gramEnd"/>
      <w:r>
        <w:t>,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there is no self-default probability (or spread) correlation, can be further reduced to</w:t>
      </w:r>
    </w:p>
    <w:p w:rsidR="00A02A9E" w:rsidRDefault="00A02A9E" w:rsidP="00A02A9E">
      <w:pPr>
        <w:pStyle w:val="ListParagraph"/>
        <w:spacing w:after="200" w:line="360" w:lineRule="auto"/>
        <w:ind w:left="360"/>
      </w:pPr>
    </w:p>
    <w:p w:rsidR="00A02A9E" w:rsidRDefault="00D633E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which</w:t>
      </w:r>
      <w:proofErr w:type="gramEnd"/>
      <w:r>
        <w:t>, if the self-default recovery is constant, can be even further reduced to</w:t>
      </w:r>
    </w:p>
    <w:p w:rsidR="00A02A9E" w:rsidRDefault="00A02A9E" w:rsidP="00A02A9E">
      <w:pPr>
        <w:pStyle w:val="ListParagraph"/>
        <w:spacing w:after="200" w:line="360" w:lineRule="auto"/>
        <w:ind w:left="360"/>
      </w:pPr>
    </w:p>
    <w:p w:rsidR="00A02A9E" w:rsidRDefault="00D633E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with</w:t>
      </w:r>
      <w:proofErr w:type="gramEnd"/>
      <w:r>
        <w:t xml:space="preserve"> the discounted expected negative exposure (ENE) given by</w:t>
      </w:r>
    </w:p>
    <w:p w:rsidR="00A02A9E" w:rsidRDefault="00A02A9E" w:rsidP="00A02A9E">
      <w:pPr>
        <w:pStyle w:val="ListParagraph"/>
        <w:spacing w:after="200" w:line="360" w:lineRule="auto"/>
        <w:ind w:left="360"/>
      </w:pPr>
    </w:p>
    <w:p w:rsidR="00A02A9E" w:rsidRDefault="00D633E0"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the</w:t>
      </w:r>
      <w:proofErr w:type="gramEnd"/>
      <w:r>
        <w:t xml:space="preserve"> discounted total expected negative exposure (TENE) given by</w:t>
      </w:r>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proofErr w:type="gramStart"/>
      <w:r>
        <w:t>and</w:t>
      </w:r>
      <w:proofErr w:type="gramEnd"/>
      <w:r>
        <w:t xml:space="preserve"> the discounted average expected negative exposure AENE given by</w:t>
      </w:r>
    </w:p>
    <w:p w:rsidR="00A02A9E" w:rsidRDefault="00A02A9E" w:rsidP="00A02A9E">
      <w:pPr>
        <w:pStyle w:val="ListParagraph"/>
        <w:spacing w:after="200" w:line="360" w:lineRule="auto"/>
        <w:ind w:left="360"/>
      </w:pPr>
    </w:p>
    <w:p w:rsidR="0051475F" w:rsidRPr="00A02A9E" w:rsidRDefault="00F57FF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F57FF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proofErr w:type="gramStart"/>
      <w:r>
        <w:t>and</w:t>
      </w:r>
      <w:proofErr w:type="gramEnd"/>
    </w:p>
    <w:p w:rsidR="00A02A9E" w:rsidRDefault="00A02A9E" w:rsidP="00A02A9E">
      <w:pPr>
        <w:pStyle w:val="ListParagraph"/>
        <w:spacing w:after="200" w:line="360" w:lineRule="auto"/>
        <w:ind w:left="360"/>
      </w:pPr>
    </w:p>
    <w:p w:rsidR="00F57FF4" w:rsidRPr="00A02A9E" w:rsidRDefault="000B0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0B0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proofErr w:type="gramStart"/>
      <w:r>
        <w:t>and</w:t>
      </w:r>
      <w:proofErr w:type="gramEnd"/>
      <w:r>
        <w:t xml:space="preserve"> minimum PFNE as</w:t>
      </w:r>
    </w:p>
    <w:p w:rsidR="008C63C0" w:rsidRDefault="008C63C0" w:rsidP="00A02A9E">
      <w:pPr>
        <w:pStyle w:val="ListParagraph"/>
        <w:spacing w:after="200" w:line="360" w:lineRule="auto"/>
        <w:ind w:left="360"/>
      </w:pPr>
    </w:p>
    <w:p w:rsidR="000B0074" w:rsidRDefault="000B0074"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w:t>
      </w:r>
      <w:proofErr w:type="gramStart"/>
      <w:r>
        <w:t>is</w:t>
      </w:r>
      <w:proofErr w:type="gramEnd"/>
      <w:r>
        <w:t xml:space="preserve">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proofErr w:type="gramStart"/>
      <w:r>
        <w:t>with</w:t>
      </w:r>
      <w:proofErr w:type="gramEnd"/>
      <w:r>
        <w:t xml:space="preserve">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proofErr w:type="gramStart"/>
      <w:r>
        <w:t>for</w:t>
      </w:r>
      <w:proofErr w:type="gramEnd"/>
      <w:r>
        <w:t xml:space="preserve">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9014E8"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 xml:space="preserve">R,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 xml:space="preserve">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proofErr w:type="gramStart"/>
      <w:r w:rsidRPr="00CB2EC4">
        <w:t>:</w:t>
      </w:r>
      <w:r>
        <w:t xml:space="preserve"> </w:t>
      </w:r>
      <w:proofErr w:type="gramEnd"/>
      <m:oMath>
        <m:sSub>
          <m:sSubPr>
            <m:ctrlPr>
              <w:rPr>
                <w:rFonts w:ascii="Cambria Math" w:hAnsi="Cambria Math"/>
                <w:i/>
              </w:rPr>
            </m:ctrlPr>
          </m:sSubPr>
          <m:e>
            <m:r>
              <w:rPr>
                <w:rFonts w:ascii="Cambria Math" w:hAnsi="Cambria Math"/>
              </w:rPr>
              <m:t>Collateral</m:t>
            </m:r>
          </m:e>
          <m:sub>
            <m:r>
              <w:rPr>
                <w:rFonts w:ascii="Cambria Math" w:hAnsi="Cambria Math"/>
              </w:rPr>
              <m:t>BALANC</m:t>
            </m:r>
            <m:r>
              <w:rPr>
                <w:rFonts w:ascii="Cambria Math" w:hAnsi="Cambria Math"/>
              </w:rPr>
              <m:t xml:space="preserve">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m:t>
            </m:r>
            <m:r>
              <w:rPr>
                <w:rFonts w:ascii="Cambria Math" w:hAnsi="Cambria Math"/>
              </w:rPr>
              <m:t xml:space="preserve">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 xml:space="preserve">BALANCE,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 xml:space="preserve">B, </m:t>
            </m:r>
            <m:r>
              <w:rPr>
                <w:rFonts w:ascii="Cambria Math" w:hAnsi="Cambria Math"/>
              </w:rPr>
              <m:t>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0C371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 xml:space="preserve">R,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 xml:space="preserve">R,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 xml:space="preserve">R,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r>
                <w:rPr>
                  <w:rFonts w:ascii="Cambria Math" w:hAnsi="Cambria Math"/>
                </w:rPr>
                <m:t xml:space="preserve">,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m:t>
          </m:r>
          <m:r>
            <w:rPr>
              <w:rFonts w:ascii="Cambria Math" w:hAnsi="Cambria Math"/>
            </w:rPr>
            <m: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proofErr w:type="gramStart"/>
      <w:r>
        <w:t>then</w:t>
      </w:r>
      <w:proofErr w:type="gramEnd"/>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 xml:space="preserve">B,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 xml:space="preserve">R, </m:t>
              </m:r>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m:t>
              </m:r>
              <m:r>
                <m:rPr>
                  <m:sty m:val="p"/>
                </m:rPr>
                <w:rPr>
                  <w:rFonts w:ascii="Cambria Math" w:hAnsi="Cambria Math"/>
                </w:rPr>
                <m:t>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3855A2"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505C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505CE"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 xml:space="preserve">BANK, </m:t>
              </m:r>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w:t>
      </w:r>
      <w:proofErr w:type="gramStart"/>
      <w:r>
        <w:t>balance,</w:t>
      </w:r>
      <w:proofErr w:type="gramEnd"/>
      <w:r>
        <w:t xml:space="preserv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Pr="00EA5C8F" w:rsidRDefault="00E72F24" w:rsidP="00E72F24">
      <w:pPr>
        <w:pStyle w:val="ListParagraph"/>
        <w:numPr>
          <w:ilvl w:val="1"/>
          <w:numId w:val="150"/>
        </w:numPr>
        <w:spacing w:after="200" w:line="360" w:lineRule="auto"/>
      </w:pPr>
      <w:r>
        <w:lastRenderedPageBreak/>
        <w:t>To be used by the proxy pricers.</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and</w:t>
      </w:r>
      <w:proofErr w:type="gramEnd"/>
    </w:p>
    <w:p w:rsidR="00AC5375" w:rsidRDefault="00AC5375" w:rsidP="00AC5375">
      <w:pPr>
        <w:pStyle w:val="ListParagraph"/>
        <w:spacing w:after="160" w:line="360" w:lineRule="auto"/>
        <w:ind w:left="360"/>
      </w:pPr>
    </w:p>
    <w:p w:rsid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proofErr w:type="gramStart"/>
      <w:r>
        <w:t>be</w:t>
      </w:r>
      <w:proofErr w:type="gramEnd"/>
      <w:r>
        <w:t xml:space="preserv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proofErr w:type="gramStart"/>
      <w:r>
        <w:t>and</w:t>
      </w:r>
      <w:proofErr w:type="gramEnd"/>
      <w:r>
        <w:t xml:space="preserve">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t>
      </w:r>
      <w:proofErr w:type="gramStart"/>
      <w:r>
        <w:t xml:space="preserve">window </w:t>
      </w:r>
      <w:proofErr w:type="gramEnd"/>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xml:space="preserve">: Finally, if </w:t>
      </w:r>
      <w:proofErr w:type="gramStart"/>
      <w:r>
        <w:t>a counter</w:t>
      </w:r>
      <w:proofErr w:type="gramEnd"/>
      <w:r>
        <w:t>-party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51475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w:t>
      </w:r>
      <w:proofErr w:type="gramStart"/>
      <w:r w:rsidRPr="00E176E4">
        <w:rPr>
          <w:b/>
          <w:sz w:val="28"/>
          <w:szCs w:val="28"/>
        </w:rPr>
        <w:t>Interpolation</w:t>
      </w:r>
      <w:proofErr w:type="gramEnd"/>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51475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51475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proofErr w:type="gramStart"/>
      <w:r>
        <w:t>where</w:t>
      </w:r>
      <w:proofErr w:type="gramEnd"/>
      <w:r>
        <w:t xml:space="preserv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w:t>
      </w:r>
      <w:proofErr w:type="gramStart"/>
      <w:r>
        <w:rPr>
          <w:u w:val="single"/>
        </w:rPr>
        <w:t xml:space="preserve">satisfy </w:t>
      </w:r>
      <w:proofErr w:type="gramEnd"/>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51475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w:t>
      </w:r>
      <w:proofErr w:type="gramStart"/>
      <w:r w:rsidR="00C947AF">
        <w:t>and</w:t>
      </w:r>
      <w:proofErr w:type="gramEnd"/>
      <w:r w:rsidR="00C947AF">
        <w:t xml:space="preserve">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w:t>
      </w:r>
      <w:proofErr w:type="gramStart"/>
      <w:r>
        <w:t xml:space="preserve">date </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w:t>
      </w:r>
      <w:proofErr w:type="gramStart"/>
      <w:r>
        <w:t>are the recovery</w:t>
      </w:r>
      <w:proofErr w:type="gramEnd"/>
      <w:r>
        <w:t xml:space="preserve">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w:t>
      </w:r>
      <w:proofErr w:type="gramStart"/>
      <w:r>
        <w:t xml:space="preserve">being </w:t>
      </w:r>
      <w:proofErr w:type="gramEnd"/>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xml:space="preserve">: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w:t>
      </w:r>
      <w:proofErr w:type="gramStart"/>
      <w:r w:rsidRPr="00847E12">
        <w:t>a counterparty</w:t>
      </w:r>
      <w:proofErr w:type="gramEnd"/>
      <w:r w:rsidRPr="00847E12">
        <w:t>.</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 xml:space="preserve">Counterparty Risk </w:t>
      </w:r>
      <w:proofErr w:type="gramStart"/>
      <w:r>
        <w:rPr>
          <w:u w:val="single"/>
        </w:rPr>
        <w:t>With</w:t>
      </w:r>
      <w:proofErr w:type="gramEnd"/>
      <w:r>
        <w:rPr>
          <w:u w:val="single"/>
        </w:rPr>
        <w:t xml:space="preserve">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w:t>
      </w:r>
      <w:proofErr w:type="gramStart"/>
      <w:r w:rsidRPr="0062507B">
        <w:rPr>
          <w:rFonts w:eastAsiaTheme="minorEastAsia"/>
        </w:rPr>
        <w:t xml:space="preserve">generator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w:t>
      </w:r>
      <w:proofErr w:type="gramStart"/>
      <w:r>
        <w:rPr>
          <w:rFonts w:eastAsiaTheme="minorEastAsia"/>
        </w:rPr>
        <w:t xml:space="preserve">or </w:t>
      </w:r>
      <w:proofErr w:type="gramEnd"/>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if</w:t>
      </w:r>
      <w:proofErr w:type="gramEnd"/>
      <w:r>
        <w:rPr>
          <w:rFonts w:eastAsiaTheme="minorEastAsia"/>
        </w:rPr>
        <w:t xml:space="preserve"> the derivative can be used as a collateral.</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proofErr w:type="gramStart"/>
      <w:r>
        <w:rPr>
          <w:rFonts w:eastAsiaTheme="minorEastAsia"/>
        </w:rPr>
        <w:t>if</w:t>
      </w:r>
      <w:proofErr w:type="gramEnd"/>
      <w:r>
        <w:rPr>
          <w:rFonts w:eastAsiaTheme="minorEastAsia"/>
        </w:rPr>
        <w:t xml:space="preserve"> the derivative cannot be used as a collateral.</w:t>
      </w:r>
    </w:p>
    <w:p w:rsidR="00397E59" w:rsidRPr="00F96D23"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51475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475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then</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51475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proofErr w:type="gramStart"/>
      <w:r>
        <w:rPr>
          <w:rFonts w:eastAsiaTheme="minorEastAsia"/>
        </w:rPr>
        <w:t>then</w:t>
      </w:r>
      <w:proofErr w:type="gramEnd"/>
      <w:r>
        <w:rPr>
          <w:rFonts w:eastAsiaTheme="minorEastAsia"/>
        </w:rPr>
        <w:t xml:space="preserve">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51475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51475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51475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are</w:t>
      </w:r>
      <w:proofErr w:type="gramEnd"/>
      <w:r>
        <w:rPr>
          <w:rFonts w:eastAsiaTheme="minorEastAsia"/>
        </w:rPr>
        <w:t xml:space="preserv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w:t>
      </w:r>
      <w:proofErr w:type="gramStart"/>
      <w:r>
        <w:rPr>
          <w:rFonts w:eastAsiaTheme="minorEastAsia"/>
        </w:rPr>
        <w:t xml:space="preserve">or </w:t>
      </w:r>
      <w:proofErr w:type="gramEnd"/>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at</w:t>
      </w:r>
      <w:proofErr w:type="gramEnd"/>
      <w:r>
        <w:rPr>
          <w:rFonts w:eastAsiaTheme="minorEastAsia"/>
        </w:rPr>
        <w:t xml:space="preserve">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proofErr w:type="gramStart"/>
      <w:r>
        <w:rPr>
          <w:rFonts w:eastAsiaTheme="minorEastAsia"/>
        </w:rPr>
        <w:t>means</w:t>
      </w:r>
      <w:proofErr w:type="gramEnd"/>
      <w:r>
        <w:rPr>
          <w:rFonts w:eastAsiaTheme="minorEastAsia"/>
        </w:rPr>
        <w:t xml:space="preserve">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w:t>
      </w:r>
      <w:proofErr w:type="gramStart"/>
      <w:r>
        <w:rPr>
          <w:rFonts w:eastAsiaTheme="minorEastAsia"/>
        </w:rPr>
        <w:t xml:space="preserve">counterparty </w:t>
      </w:r>
      <w:proofErr w:type="gramEnd"/>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denote</w:t>
      </w:r>
      <w:proofErr w:type="gramEnd"/>
      <w:r>
        <w:rPr>
          <w:rFonts w:eastAsiaTheme="minorEastAsia"/>
        </w:rPr>
        <w:t xml:space="preserv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seller defaults first and</w:t>
      </w:r>
    </w:p>
    <w:p w:rsidR="00397E59" w:rsidRDefault="00397E59" w:rsidP="00397E59">
      <w:pPr>
        <w:pStyle w:val="ListParagraph"/>
        <w:spacing w:line="360" w:lineRule="auto"/>
        <w:ind w:left="360"/>
        <w:rPr>
          <w:rFonts w:eastAsiaTheme="minorEastAsia"/>
        </w:rPr>
      </w:pPr>
    </w:p>
    <w:p w:rsidR="00397E59" w:rsidRPr="00841C47"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when</w:t>
      </w:r>
      <w:proofErr w:type="gramEnd"/>
      <w:r>
        <w:rPr>
          <w:rFonts w:eastAsiaTheme="minorEastAsia"/>
        </w:rPr>
        <w:t xml:space="preserve">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51475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w:t>
      </w:r>
      <w:proofErr w:type="gramStart"/>
      <w:r>
        <w:rPr>
          <w:rFonts w:eastAsiaTheme="minorEastAsia"/>
        </w:rPr>
        <w:t xml:space="preserve">of </w:t>
      </w:r>
      <w:proofErr w:type="gramEnd"/>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the</w:t>
      </w:r>
      <w:proofErr w:type="gramEnd"/>
      <w:r>
        <w:rPr>
          <w:rFonts w:eastAsiaTheme="minorEastAsia"/>
        </w:rPr>
        <w:t xml:space="preserv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proofErr w:type="gramStart"/>
      <w:r>
        <w:rPr>
          <w:rFonts w:eastAsiaTheme="minorEastAsia"/>
        </w:rPr>
        <w:t>in</w:t>
      </w:r>
      <w:proofErr w:type="gramEnd"/>
      <w:r>
        <w:rPr>
          <w:rFonts w:eastAsiaTheme="minorEastAsia"/>
        </w:rPr>
        <w:t xml:space="preserve">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w:t>
      </w:r>
      <w:proofErr w:type="gramStart"/>
      <w:r>
        <w:rPr>
          <w:rFonts w:eastAsiaTheme="minorEastAsia"/>
        </w:rPr>
        <w:t xml:space="preserve">of </w:t>
      </w:r>
      <w:proofErr w:type="gramEnd"/>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w:t>
      </w:r>
      <w:proofErr w:type="gramStart"/>
      <w:r>
        <w:rPr>
          <w:rFonts w:eastAsiaTheme="minorEastAsia"/>
        </w:rP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w:t>
      </w:r>
      <w:proofErr w:type="gramStart"/>
      <w:r>
        <w:rPr>
          <w:u w:val="single"/>
        </w:rPr>
        <w:t xml:space="preserve">on </w:t>
      </w:r>
      <w:proofErr w:type="gramEnd"/>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w:t>
      </w:r>
      <w:proofErr w:type="gramStart"/>
      <w:r>
        <w:t xml:space="preserve">rate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w:t>
      </w:r>
      <w:proofErr w:type="gramStart"/>
      <w:r>
        <w:rPr>
          <w:rFonts w:eastAsiaTheme="minorEastAsia"/>
        </w:rPr>
        <w:t xml:space="preserve">to </w:t>
      </w:r>
      <w:proofErr w:type="gramEnd"/>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funding spread</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roofErr w:type="gramStart"/>
      <w:r>
        <w:rPr>
          <w:rFonts w:eastAsiaTheme="minorEastAsia"/>
        </w:rPr>
        <w:t>.,</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the derivative cannot be used as a collateral, and</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proofErr w:type="gramStart"/>
      <w:r>
        <w:rPr>
          <w:rFonts w:eastAsiaTheme="minorEastAsia"/>
        </w:rPr>
        <w:t>if</w:t>
      </w:r>
      <w:proofErr w:type="gramEnd"/>
      <w:r>
        <w:rPr>
          <w:rFonts w:eastAsiaTheme="minorEastAsia"/>
        </w:rPr>
        <w:t xml:space="preserve">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one</w:t>
      </w:r>
      <w:proofErr w:type="gramEnd"/>
      <w:r>
        <w:rPr>
          <w:rFonts w:eastAsiaTheme="minorEastAsia"/>
        </w:rPr>
        <w:t xml:space="preserv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where</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computed from</w:t>
      </w:r>
    </w:p>
    <w:p w:rsidR="00397E59" w:rsidRDefault="00397E59" w:rsidP="00397E59">
      <w:pPr>
        <w:pStyle w:val="ListParagraph"/>
        <w:spacing w:line="360" w:lineRule="auto"/>
        <w:ind w:left="360"/>
        <w:rPr>
          <w:rFonts w:eastAsiaTheme="minorEastAsia"/>
        </w:rPr>
      </w:pPr>
    </w:p>
    <w:p w:rsidR="00397E59" w:rsidRPr="007707A7"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7707A7"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can</w:t>
      </w:r>
      <w:proofErr w:type="gramEnd"/>
      <w:r>
        <w:rPr>
          <w:rFonts w:eastAsiaTheme="minorEastAsia"/>
        </w:rPr>
        <w:t xml:space="preserve">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proofErr w:type="gramStart"/>
      <w:r>
        <w:rPr>
          <w:rFonts w:eastAsiaTheme="minorEastAsia"/>
        </w:rPr>
        <w:t>so</w:t>
      </w:r>
      <w:proofErr w:type="gramEnd"/>
      <w:r>
        <w:rPr>
          <w:rFonts w:eastAsiaTheme="minorEastAsia"/>
        </w:rPr>
        <w:t xml:space="preserve">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Pr="00FF00E4"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Pr="00FF00E4"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finally</w:t>
      </w:r>
      <w:proofErr w:type="gramEnd"/>
      <w:r>
        <w:rPr>
          <w:rFonts w:eastAsiaTheme="minorEastAsia"/>
        </w:rPr>
        <w:t xml:space="preserve"> gives</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relation</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has</w:t>
      </w:r>
      <w:proofErr w:type="gramEnd"/>
      <w:r>
        <w:rPr>
          <w:rFonts w:eastAsiaTheme="minorEastAsia"/>
        </w:rPr>
        <w:t xml:space="preserve">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proofErr w:type="gramStart"/>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roofErr w:type="gramEnd"/>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w:t>
      </w:r>
      <w:proofErr w:type="gramStart"/>
      <w:r>
        <w:t xml:space="preserve">terms </w:t>
      </w:r>
      <w:proofErr w:type="gramEnd"/>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Conceptually this is the simpler case since if the defaulting party is in the money with respect to a derivative contract, </w:t>
      </w:r>
      <w:proofErr w:type="gramStart"/>
      <w:r>
        <w:rPr>
          <w:rFonts w:eastAsiaTheme="minorEastAsia"/>
        </w:rPr>
        <w:t>then</w:t>
      </w:r>
      <w:proofErr w:type="gramEnd"/>
      <w:r>
        <w:rPr>
          <w:rFonts w:eastAsiaTheme="minorEastAsia"/>
        </w:rPr>
        <w:t xml:space="preserve">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w:t>
      </w:r>
      <w:proofErr w:type="gramStart"/>
      <w:r>
        <w:rPr>
          <w:u w:val="single"/>
        </w:rPr>
        <w:t xml:space="preserve">for </w:t>
      </w:r>
      <w:proofErr w:type="gramEnd"/>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reduces</w:t>
      </w:r>
      <w:proofErr w:type="gramEnd"/>
      <w:r>
        <w:rPr>
          <w:rFonts w:eastAsiaTheme="minorEastAsia"/>
        </w:rPr>
        <w:t xml:space="preserve"> to</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if</w:t>
      </w:r>
      <w:proofErr w:type="gramEnd"/>
      <w:r>
        <w:rPr>
          <w:rFonts w:eastAsiaTheme="minorEastAsia"/>
        </w:rPr>
        <w:t xml:space="preserve"> the derivative can be posted as collateral and</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if</w:t>
      </w:r>
      <w:proofErr w:type="gramEnd"/>
      <w:r>
        <w:rPr>
          <w:rFonts w:eastAsiaTheme="minorEastAsia"/>
        </w:rPr>
        <w:t xml:space="preserve">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so</w:t>
      </w:r>
      <w:proofErr w:type="gramEnd"/>
      <w:r>
        <w:rPr>
          <w:rFonts w:eastAsiaTheme="minorEastAsia"/>
        </w:rPr>
        <w:t xml:space="preserve"> that</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w:t>
      </w:r>
      <w:proofErr w:type="gramStart"/>
      <w:r>
        <w:rPr>
          <w:rFonts w:eastAsiaTheme="minorEastAsia"/>
        </w:rPr>
        <w:t xml:space="preserve">is </w:t>
      </w:r>
      <w:proofErr w:type="gramEnd"/>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it</w:t>
      </w:r>
      <w:proofErr w:type="gramEnd"/>
      <w:r>
        <w:rPr>
          <w:rFonts w:eastAsiaTheme="minorEastAsia"/>
        </w:rPr>
        <w:t xml:space="preserve">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w:t>
      </w:r>
      <w:proofErr w:type="gramStart"/>
      <w:r>
        <w:t xml:space="preserve">counterparty </w:t>
      </w:r>
      <w:proofErr w:type="gramEnd"/>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then</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with</w:t>
      </w:r>
      <w:proofErr w:type="gramEnd"/>
      <w:r>
        <w:rPr>
          <w:rFonts w:eastAsiaTheme="minorEastAsia"/>
        </w:rPr>
        <w:t xml:space="preserve"> the solution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w:t>
      </w:r>
      <w:proofErr w:type="gramStart"/>
      <w:r>
        <w:rPr>
          <w:rFonts w:eastAsiaTheme="minorEastAsia"/>
        </w:rPr>
        <w:t>a collateral</w:t>
      </w:r>
      <w:proofErr w:type="gramEnd"/>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w:t>
      </w:r>
      <w:proofErr w:type="gramEnd"/>
      <w:r>
        <w:rPr>
          <w:rFonts w:eastAsiaTheme="minorEastAsia"/>
        </w:rPr>
        <w:t xml:space="preserv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 for</w:t>
      </w:r>
    </w:p>
    <w:p w:rsidR="00397E59" w:rsidRDefault="00397E59" w:rsidP="00397E59">
      <w:pPr>
        <w:pStyle w:val="ListParagraph"/>
        <w:spacing w:line="360" w:lineRule="auto"/>
        <w:ind w:left="1080"/>
        <w:rPr>
          <w:rFonts w:eastAsiaTheme="minorEastAsia"/>
        </w:rPr>
      </w:pPr>
    </w:p>
    <w:p w:rsidR="00397E59" w:rsidRPr="00FD20D6"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as</w:t>
      </w:r>
      <w:proofErr w:type="gramEnd"/>
      <w:r>
        <w:rPr>
          <w:rFonts w:eastAsiaTheme="minorEastAsia"/>
        </w:rPr>
        <w:t xml:space="preserve">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1080"/>
        <w:rPr>
          <w:rFonts w:eastAsiaTheme="minorEastAsia"/>
        </w:rPr>
      </w:pPr>
    </w:p>
    <w:p w:rsidR="00397E59" w:rsidRPr="003117DE"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is</w:t>
      </w:r>
      <w:proofErr w:type="gramEnd"/>
      <w:r>
        <w:rPr>
          <w:rFonts w:eastAsiaTheme="minorEastAsia"/>
        </w:rPr>
        <w:t xml:space="preserve">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we</w:t>
      </w:r>
      <w:proofErr w:type="gramEnd"/>
      <w:r>
        <w:rPr>
          <w:rFonts w:eastAsiaTheme="minorEastAsia"/>
        </w:rPr>
        <w:t xml:space="preserve"> insert the ansatz</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r>
        <w:rPr>
          <w:rFonts w:eastAsiaTheme="minorEastAsia"/>
        </w:rPr>
        <w:t xml:space="preserv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into</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then gets</w:t>
      </w:r>
    </w:p>
    <w:p w:rsidR="00397E59" w:rsidRDefault="00397E59" w:rsidP="00397E59">
      <w:pPr>
        <w:pStyle w:val="ListParagraph"/>
        <w:spacing w:line="360" w:lineRule="auto"/>
        <w:ind w:left="1080"/>
        <w:rPr>
          <w:rFonts w:eastAsiaTheme="minorEastAsia"/>
        </w:rPr>
      </w:pPr>
    </w:p>
    <w:p w:rsidR="00397E59" w:rsidRPr="00475A5A"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it</w:t>
      </w:r>
      <w:proofErr w:type="gramEnd"/>
      <w:r>
        <w:rPr>
          <w:rFonts w:eastAsiaTheme="minorEastAsia"/>
        </w:rPr>
        <w:t xml:space="preserve">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become</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which</w:t>
      </w:r>
      <w:proofErr w:type="gramEnd"/>
      <w:r>
        <w:rPr>
          <w:rFonts w:eastAsiaTheme="minorEastAsia"/>
        </w:rPr>
        <w:t xml:space="preserve">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writes</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given</w:t>
      </w:r>
      <w:proofErr w:type="gramEnd"/>
      <w:r>
        <w:rPr>
          <w:rFonts w:eastAsiaTheme="minorEastAsia"/>
        </w:rPr>
        <w:t xml:space="preserve"> in</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so</w:t>
      </w:r>
      <w:proofErr w:type="gramEnd"/>
      <w:r>
        <w:rPr>
          <w:rFonts w:eastAsiaTheme="minorEastAsia"/>
        </w:rPr>
        <w:t xml:space="preserve">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then</w:t>
      </w:r>
      <w:proofErr w:type="gramEnd"/>
    </w:p>
    <w:p w:rsidR="00397E59" w:rsidRDefault="00397E59" w:rsidP="00397E59">
      <w:pPr>
        <w:pStyle w:val="ListParagraph"/>
        <w:spacing w:line="360" w:lineRule="auto"/>
        <w:ind w:left="1080"/>
        <w:rPr>
          <w:rFonts w:eastAsiaTheme="minorEastAsia"/>
        </w:rPr>
      </w:pPr>
    </w:p>
    <w:p w:rsidR="00397E59" w:rsidRPr="009B3F7D"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where</w:t>
      </w:r>
      <w:proofErr w:type="gramEnd"/>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one</w:t>
      </w:r>
      <w:proofErr w:type="gramEnd"/>
      <w:r>
        <w:rPr>
          <w:rFonts w:eastAsiaTheme="minorEastAsia"/>
        </w:rPr>
        <w:t xml:space="preserve"> may make the ansatz</w:t>
      </w:r>
    </w:p>
    <w:p w:rsidR="00397E59" w:rsidRDefault="00397E59" w:rsidP="00397E59">
      <w:pPr>
        <w:pStyle w:val="ListParagraph"/>
        <w:spacing w:line="360" w:lineRule="auto"/>
        <w:ind w:left="1080"/>
        <w:rPr>
          <w:rFonts w:eastAsiaTheme="minorEastAsia"/>
        </w:rPr>
      </w:pPr>
    </w:p>
    <w:p w:rsidR="00397E59" w:rsidRDefault="0051475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r>
        <w:rPr>
          <w:rFonts w:eastAsiaTheme="minorEastAsia"/>
        </w:rPr>
        <w:t xml:space="preserve">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lastRenderedPageBreak/>
        <w:t>shows</w:t>
      </w:r>
      <w:proofErr w:type="gramEnd"/>
      <w:r>
        <w:rPr>
          <w:rFonts w:eastAsiaTheme="minorEastAsia"/>
        </w:rPr>
        <w:t xml:space="preserve">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51475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in</w:t>
      </w:r>
      <w:proofErr w:type="gramEnd"/>
      <w:r>
        <w:rPr>
          <w:rFonts w:eastAsiaTheme="minorEastAsia"/>
        </w:rPr>
        <w:t xml:space="preserve"> the boundary conditions</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then</w:t>
      </w:r>
      <w:proofErr w:type="gramEnd"/>
      <w:r>
        <w:rPr>
          <w:rFonts w:eastAsiaTheme="minorEastAsia"/>
        </w:rPr>
        <w:t xml:space="preserve"> becomes</w:t>
      </w:r>
    </w:p>
    <w:p w:rsidR="00397E59" w:rsidRDefault="00397E59" w:rsidP="00397E59">
      <w:pPr>
        <w:pStyle w:val="ListParagraph"/>
        <w:spacing w:line="360" w:lineRule="auto"/>
        <w:ind w:left="360"/>
        <w:rPr>
          <w:rFonts w:eastAsiaTheme="minorEastAsia"/>
        </w:rPr>
      </w:pPr>
    </w:p>
    <w:p w:rsidR="00397E59" w:rsidRPr="00AE4AC5"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hedge ratios become</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shows</w:t>
      </w:r>
      <w:proofErr w:type="gramEnd"/>
      <w:r>
        <w:rPr>
          <w:rFonts w:eastAsiaTheme="minorEastAsia"/>
        </w:rPr>
        <w:t xml:space="preserve">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also</w:t>
      </w:r>
      <w:proofErr w:type="gramEnd"/>
      <w:r>
        <w:rPr>
          <w:rFonts w:eastAsiaTheme="minorEastAsia"/>
        </w:rPr>
        <w:t xml:space="preserve">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gives</w:t>
      </w:r>
      <w:proofErr w:type="gramEnd"/>
      <w:r>
        <w:rPr>
          <w:rFonts w:eastAsiaTheme="minorEastAsia"/>
        </w:rPr>
        <w:t xml:space="preserve">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w:t>
      </w:r>
      <w:proofErr w:type="gramStart"/>
      <w:r>
        <w:rPr>
          <w:rFonts w:eastAsiaTheme="minorEastAsia"/>
        </w:rPr>
        <w:t xml:space="preserve">recovery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the</w:t>
      </w:r>
      <w:proofErr w:type="gramEnd"/>
      <w:r>
        <w:rPr>
          <w:rFonts w:eastAsiaTheme="minorEastAsia"/>
        </w:rPr>
        <w:t xml:space="preserv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is</w:t>
      </w:r>
      <w:proofErr w:type="gramEnd"/>
      <w:r>
        <w:rPr>
          <w:rFonts w:eastAsiaTheme="minorEastAsia"/>
        </w:rPr>
        <w:t xml:space="preserve">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1080"/>
        <w:rPr>
          <w:rFonts w:eastAsiaTheme="minorEastAsia"/>
        </w:rPr>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and</w:t>
      </w:r>
      <w:proofErr w:type="gramEnd"/>
      <w:r>
        <w:rPr>
          <w:rFonts w:eastAsiaTheme="minorEastAsia"/>
        </w:rPr>
        <w:t xml:space="preserve">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51475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w:t>
      </w:r>
      <w:proofErr w:type="gramStart"/>
      <w:r>
        <w:rPr>
          <w:rFonts w:eastAsiaTheme="minorEastAsia"/>
        </w:rPr>
        <w:t xml:space="preserve">in </w:t>
      </w:r>
      <w:proofErr w:type="gramEnd"/>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but</w:t>
      </w:r>
      <w:proofErr w:type="gramEnd"/>
      <w:r>
        <w:rPr>
          <w:rFonts w:eastAsiaTheme="minorEastAsia"/>
        </w:rPr>
        <w:t xml:space="preserve">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or</w:t>
      </w:r>
      <w:proofErr w:type="gramEnd"/>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proofErr w:type="gramStart"/>
      <w:r>
        <w:rPr>
          <w:rFonts w:eastAsiaTheme="minorEastAsia"/>
        </w:rPr>
        <w:t>for</w:t>
      </w:r>
      <w:proofErr w:type="gramEnd"/>
      <w:r>
        <w:rPr>
          <w:rFonts w:eastAsiaTheme="minorEastAsia"/>
        </w:rPr>
        <w:t xml:space="preserve">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or</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w:t>
      </w:r>
      <w:proofErr w:type="gramStart"/>
      <w:r>
        <w:rPr>
          <w:rFonts w:eastAsiaTheme="minorEastAsia"/>
        </w:rPr>
        <w:t xml:space="preserve">rates </w:t>
      </w:r>
      <w:proofErr w:type="gramEnd"/>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w:t>
      </w:r>
      <w:proofErr w:type="gramStart"/>
      <w:r>
        <w:rPr>
          <w:rFonts w:eastAsiaTheme="minorEastAsia"/>
        </w:rPr>
        <w:t xml:space="preserve">issuer </w:t>
      </w:r>
      <w:proofErr w:type="gramEnd"/>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proofErr w:type="gramStart"/>
      <w:r>
        <w:rPr>
          <w:rFonts w:eastAsiaTheme="minorEastAsia"/>
        </w:rPr>
        <w:lastRenderedPageBreak/>
        <w:t>on</w:t>
      </w:r>
      <w:proofErr w:type="gramEnd"/>
      <w:r>
        <w:rPr>
          <w:rFonts w:eastAsiaTheme="minorEastAsia"/>
        </w:rPr>
        <w:t xml:space="preserve">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C</m:t>
        </m:r>
      </m:oMath>
      <w:r>
        <w:rPr>
          <w:rFonts w:eastAsiaTheme="minorEastAsia"/>
        </w:rPr>
        <w:t xml:space="preserve">, i.e., the counterparty and the issuer, following the same methodology, would agree on the same price. If however the funding costs for the replication strategy are </w:t>
      </w:r>
      <w:proofErr w:type="gramStart"/>
      <w:r>
        <w:rPr>
          <w:rFonts w:eastAsiaTheme="minorEastAsia"/>
        </w:rPr>
        <w:t>included,</w:t>
      </w:r>
      <w:proofErr w:type="gramEnd"/>
      <w:r>
        <w:rPr>
          <w:rFonts w:eastAsiaTheme="minorEastAsia"/>
        </w:rPr>
        <w:t xml:space="preserve">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w:t>
      </w:r>
      <w:proofErr w:type="gramStart"/>
      <w:r>
        <w:t xml:space="preserve">intensity </w:t>
      </w:r>
      <w:proofErr w:type="gramEnd"/>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w:t>
      </w:r>
      <w:proofErr w:type="gramStart"/>
      <w:r>
        <w:rPr>
          <w:rFonts w:eastAsiaTheme="minorEastAsia"/>
        </w:rPr>
        <w:t xml:space="preserve">is </w:t>
      </w:r>
      <w:proofErr w:type="gramEnd"/>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proofErr w:type="gramStart"/>
      <w:r>
        <w:rPr>
          <w:rFonts w:eastAsiaTheme="minorEastAsia"/>
        </w:rPr>
        <w:t>yields</w:t>
      </w:r>
      <w:proofErr w:type="gramEnd"/>
      <w:r>
        <w:rPr>
          <w:rFonts w:eastAsiaTheme="minorEastAsia"/>
        </w:rPr>
        <w:t xml:space="preserve">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proofErr w:type="gramStart"/>
      <w:r>
        <w:rPr>
          <w:rFonts w:eastAsiaTheme="minorEastAsia"/>
        </w:rP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w:t>
      </w:r>
      <w:proofErr w:type="gramStart"/>
      <w:r>
        <w:rPr>
          <w:rFonts w:eastAsiaTheme="minorEastAsia"/>
        </w:rPr>
        <w:t>invested/raised</w:t>
      </w:r>
      <w:proofErr w:type="gramEnd"/>
      <w:r>
        <w:rPr>
          <w:rFonts w:eastAsiaTheme="minorEastAsia"/>
        </w:rPr>
        <w:t xml:space="preserve">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so</w:t>
      </w:r>
      <w:proofErr w:type="gramEnd"/>
      <w:r>
        <w:rPr>
          <w:rFonts w:eastAsiaTheme="minorEastAsia"/>
        </w:rPr>
        <w:t xml:space="preserve">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635C43"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then</w:t>
      </w:r>
      <w:proofErr w:type="gramEnd"/>
      <w:r>
        <w:rPr>
          <w:rFonts w:eastAsiaTheme="minorEastAsia"/>
        </w:rPr>
        <w:t xml:space="preserve">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implies</w:t>
      </w:r>
      <w:proofErr w:type="gramEnd"/>
      <w:r>
        <w:rPr>
          <w:rFonts w:eastAsiaTheme="minorEastAsia"/>
        </w:rPr>
        <w:t xml:space="preserve">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w:t>
      </w:r>
      <w:proofErr w:type="gramStart"/>
      <w:r>
        <w:t xml:space="preserve">becomes </w:t>
      </w:r>
      <w:proofErr w:type="gramEnd"/>
      <m:oMath>
        <m:r>
          <w:rPr>
            <w:rFonts w:ascii="Cambria Math" w:eastAsiaTheme="minorEastAsia" w:hAnsi="Cambria Math"/>
          </w:rPr>
          <m:t>r</m:t>
        </m:r>
      </m:oMath>
      <w:r>
        <w:rPr>
          <w:rFonts w:eastAsiaTheme="minorEastAsia"/>
        </w:rPr>
        <w:t xml:space="preserve">. At the same time the combined </w:t>
      </w:r>
      <w:proofErr w:type="gramStart"/>
      <w:r>
        <w:rPr>
          <w:rFonts w:eastAsiaTheme="minorEastAsia"/>
        </w:rPr>
        <w:t xml:space="preserve">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w:t>
      </w:r>
      <w:proofErr w:type="gramEnd"/>
      <w:r>
        <w:rPr>
          <w:rFonts w:eastAsiaTheme="minorEastAsia"/>
        </w:rPr>
        <w:t xml:space="preserve">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9C0DF6" w:rsidRDefault="0051475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51475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51475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51475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xml:space="preserve">: The economic </w:t>
      </w:r>
      <w:proofErr w:type="gramStart"/>
      <w:r w:rsidRPr="003E5415">
        <w:t>values of derivatives depends</w:t>
      </w:r>
      <w:proofErr w:type="gramEnd"/>
      <w:r w:rsidRPr="003E5415">
        <w:t xml:space="preserve">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w:t>
      </w:r>
      <w:proofErr w:type="gramStart"/>
      <w:r>
        <w:t>are</w:t>
      </w:r>
      <w:proofErr w:type="gramEnd"/>
      <w:r>
        <w:t xml:space="preserv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xml:space="preserve">: The setup can be easily extended </w:t>
      </w:r>
      <w:proofErr w:type="gramStart"/>
      <w:r>
        <w:t>to</w:t>
      </w:r>
      <w:proofErr w:type="gramEnd"/>
      <w:r>
        <w:t xml:space="preserve">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are</w:t>
      </w:r>
      <w:proofErr w:type="gramEnd"/>
      <w:r>
        <w:rPr>
          <w:rFonts w:eastAsiaTheme="minorEastAsia"/>
        </w:rPr>
        <w:t xml:space="preserv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case of zero </w:t>
      </w:r>
      <w:proofErr w:type="gramStart"/>
      <w:r>
        <w:rPr>
          <w:rFonts w:eastAsiaTheme="minorEastAsia"/>
        </w:rPr>
        <w:t>basis</w:t>
      </w:r>
      <w:proofErr w:type="gramEnd"/>
      <w:r>
        <w:rPr>
          <w:rFonts w:eastAsiaTheme="minorEastAsia"/>
        </w:rPr>
        <w:t xml:space="preserve">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r>
        <w:rPr>
          <w:rFonts w:eastAsiaTheme="minorEastAsia"/>
        </w:rPr>
        <w:t xml:space="preserve">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lastRenderedPageBreak/>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A45981"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proofErr w:type="gramStart"/>
      <w:r w:rsidRPr="001D6AAF">
        <w:rPr>
          <w:rFonts w:eastAsiaTheme="minorEastAsia"/>
        </w:rPr>
        <w:t>with</w:t>
      </w:r>
      <w:proofErr w:type="gramEnd"/>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corresponds</w:t>
      </w:r>
      <w:proofErr w:type="gramEnd"/>
      <w:r>
        <w:rPr>
          <w:rFonts w:eastAsiaTheme="minorEastAsia"/>
        </w:rPr>
        <w:t xml:space="preserve">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proofErr w:type="gramStart"/>
      <w:r>
        <w:rPr>
          <w:rFonts w:eastAsiaTheme="minorEastAsia"/>
        </w:rPr>
        <w:t>except</w:t>
      </w:r>
      <w:proofErr w:type="gramEnd"/>
      <w:r>
        <w:rPr>
          <w:rFonts w:eastAsiaTheme="minorEastAsia"/>
        </w:rPr>
        <w:t xml:space="preserve">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is</w:t>
      </w:r>
      <w:proofErr w:type="gramEnd"/>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w:t>
      </w:r>
      <w:proofErr w:type="gramStart"/>
      <w:r>
        <w:rPr>
          <w:rFonts w:eastAsiaTheme="minorEastAsia"/>
        </w:rPr>
        <w:t xml:space="preserve">dividend </w:t>
      </w:r>
      <w:proofErr w:type="gramEnd"/>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w:t>
      </w:r>
      <w:proofErr w:type="gramStart"/>
      <w: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respectively</w:t>
      </w:r>
      <w:proofErr w:type="gramEnd"/>
      <w:r>
        <w:rPr>
          <w:rFonts w:eastAsiaTheme="minorEastAsia"/>
        </w:rPr>
        <w:t>,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results</w:t>
      </w:r>
      <w:proofErr w:type="gramEnd"/>
      <w:r>
        <w:rPr>
          <w:rFonts w:eastAsiaTheme="minorEastAsia"/>
        </w:rPr>
        <w:t xml:space="preserve">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r>
        <w:rPr>
          <w:rFonts w:eastAsiaTheme="minorEastAsia"/>
        </w:rPr>
        <w:t xml:space="preserve">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from</w:t>
      </w:r>
      <w:proofErr w:type="gramEnd"/>
      <w:r>
        <w:rPr>
          <w:rFonts w:eastAsiaTheme="minorEastAsia"/>
        </w:rPr>
        <w:t xml:space="preserve">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which</w:t>
      </w:r>
      <w:proofErr w:type="gramEnd"/>
      <w:r>
        <w:rPr>
          <w:rFonts w:eastAsiaTheme="minorEastAsia"/>
        </w:rPr>
        <w:t xml:space="preserve">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w:t>
      </w:r>
      <w:proofErr w:type="gramEnd"/>
      <w:r>
        <w:rPr>
          <w:rFonts w:eastAsiaTheme="minorEastAsia"/>
        </w:rPr>
        <w:t xml:space="preserv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w:t>
      </w:r>
      <w:proofErr w:type="gramStart"/>
      <w: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w:t>
      </w:r>
      <w:proofErr w:type="gramStart"/>
      <w:r>
        <w:rPr>
          <w:rFonts w:eastAsiaTheme="minorEastAsia"/>
        </w:rPr>
        <w:t xml:space="preserve">size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proofErr w:type="gramStart"/>
      <w:r>
        <w:rPr>
          <w:rFonts w:eastAsiaTheme="minorEastAsia"/>
        </w:rPr>
        <w:t>where</w:t>
      </w:r>
      <w:proofErr w:type="gramEnd"/>
      <w:r>
        <w:rPr>
          <w:rFonts w:eastAsiaTheme="minorEastAsia"/>
        </w:rPr>
        <w:t xml:space="preserv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to</w:t>
      </w:r>
      <w:proofErr w:type="gramEnd"/>
      <w:r>
        <w:rPr>
          <w:rFonts w:eastAsiaTheme="minorEastAsia"/>
        </w:rPr>
        <w:t xml:space="preserve">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proofErr w:type="gramStart"/>
      <w:r>
        <w:rPr>
          <w:rFonts w:eastAsiaTheme="minorEastAsia"/>
        </w:rPr>
        <w:t>is</w:t>
      </w:r>
      <w:proofErr w:type="gramEnd"/>
      <w:r>
        <w:rPr>
          <w:rFonts w:eastAsiaTheme="minorEastAsia"/>
        </w:rPr>
        <w:t xml:space="preserve">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w:t>
      </w:r>
      <w:proofErr w:type="gramStart"/>
      <w:r>
        <w:rPr>
          <w:rFonts w:eastAsiaTheme="minorEastAsia"/>
        </w:rPr>
        <w:t xml:space="preserve">rate </w:t>
      </w:r>
      <w:proofErr w:type="gramEnd"/>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w:t>
      </w:r>
      <w:proofErr w:type="gramStart"/>
      <w:r>
        <w:rPr>
          <w:rFonts w:eastAsiaTheme="minorEastAsia"/>
        </w:rPr>
        <w:t xml:space="preserve">as </w:t>
      </w:r>
      <w:proofErr w:type="gramEnd"/>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w:t>
      </w:r>
      <w:proofErr w:type="gramStart"/>
      <w:r>
        <w:rPr>
          <w:u w:val="single"/>
        </w:rPr>
        <w:t xml:space="preserve">of </w:t>
      </w:r>
      <w:proofErr w:type="gramEnd"/>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w:t>
      </w:r>
      <w:proofErr w:type="gramStart"/>
      <w:r>
        <w:rPr>
          <w:u w:val="single"/>
        </w:rPr>
        <w:t xml:space="preserve">in </w:t>
      </w:r>
      <w:proofErr w:type="gramEnd"/>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not symmetric. This is a generalization of the result presented in Burgard and Kjaer (2012b) for regular bilateral close-outs and a particular choice of bonds that states that </w:t>
      </w:r>
      <w:proofErr w:type="gramStart"/>
      <w:r>
        <w:rPr>
          <w:rFonts w:eastAsiaTheme="minorEastAsia"/>
        </w:rPr>
        <w:t xml:space="preserve">the </w:t>
      </w:r>
      <m:oMath>
        <m:r>
          <w:rPr>
            <w:rFonts w:ascii="Cambria Math" w:hAnsi="Cambria Math"/>
          </w:rPr>
          <m:t>FCA</m:t>
        </m:r>
      </m:oMath>
      <w:r>
        <w:rPr>
          <w:rFonts w:eastAsiaTheme="minorEastAsia"/>
        </w:rPr>
        <w:t xml:space="preserve"> is</w:t>
      </w:r>
      <w:proofErr w:type="gramEnd"/>
      <w:r>
        <w:rPr>
          <w:rFonts w:eastAsiaTheme="minorEastAsia"/>
        </w:rPr>
        <w:t xml:space="preserve">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w:t>
      </w:r>
      <w:proofErr w:type="gramStart"/>
      <w:r>
        <w:rPr>
          <w:rFonts w:eastAsiaTheme="minorEastAsia"/>
        </w:rPr>
        <w:t>remain</w:t>
      </w:r>
      <w:proofErr w:type="gramEnd"/>
      <w:r>
        <w:rPr>
          <w:rFonts w:eastAsiaTheme="minorEastAsia"/>
        </w:rPr>
        <w:t xml:space="preserve">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becomes</w:t>
      </w:r>
      <w:proofErr w:type="gramEnd"/>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proofErr w:type="gramStart"/>
      <w:r>
        <w:rPr>
          <w:rFonts w:eastAsiaTheme="minorEastAsia"/>
        </w:rPr>
        <w:t>vanishes</w:t>
      </w:r>
      <w:proofErr w:type="gramEnd"/>
      <w:r>
        <w:rPr>
          <w:rFonts w:eastAsiaTheme="minorEastAsia"/>
        </w:rPr>
        <w:t>.</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the funding constraint</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these</w:t>
      </w:r>
      <w:proofErr w:type="gramEnd"/>
      <w:r>
        <w:rPr>
          <w:rFonts w:eastAsiaTheme="minorEastAsia"/>
        </w:rPr>
        <w:t xml:space="preserv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if</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5C7E45"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proofErr w:type="gramStart"/>
      <w:r>
        <w:rPr>
          <w:rFonts w:eastAsiaTheme="minorEastAsia"/>
        </w:rPr>
        <w:lastRenderedPageBreak/>
        <w:t>these</w:t>
      </w:r>
      <w:proofErr w:type="gramEnd"/>
      <w:r>
        <w:rPr>
          <w:rFonts w:eastAsiaTheme="minorEastAsia"/>
        </w:rPr>
        <w:t xml:space="preserv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51475F"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proofErr w:type="gramStart"/>
      <w:r>
        <w:rPr>
          <w:rFonts w:eastAsiaTheme="minorEastAsia"/>
        </w:rPr>
        <w:t>and</w:t>
      </w:r>
      <w:proofErr w:type="gramEnd"/>
      <w:r>
        <w:rPr>
          <w:rFonts w:eastAsiaTheme="minorEastAsia"/>
        </w:rPr>
        <w:t xml:space="preserve"> a recovery bond</w:t>
      </w:r>
    </w:p>
    <w:p w:rsidR="00397E59" w:rsidRDefault="00397E59" w:rsidP="00397E59">
      <w:pPr>
        <w:pStyle w:val="ListParagraph"/>
        <w:spacing w:line="360" w:lineRule="auto"/>
        <w:ind w:left="360"/>
        <w:rPr>
          <w:rFonts w:eastAsiaTheme="minorEastAsia"/>
        </w:rPr>
      </w:pPr>
    </w:p>
    <w:p w:rsidR="00397E59" w:rsidRDefault="0051475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51475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51475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w:t>
      </w:r>
      <w:proofErr w:type="gramStart"/>
      <w:r>
        <w:rPr>
          <w:rFonts w:eastAsiaTheme="minorEastAsia"/>
        </w:rPr>
        <w:t xml:space="preserve">recovery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w:t>
      </w:r>
      <w:proofErr w:type="gramStart"/>
      <w:r>
        <w:rPr>
          <w:rFonts w:eastAsiaTheme="minorEastAsia"/>
        </w:rPr>
        <w:t xml:space="preserve">adjustment </w:t>
      </w:r>
      <w:proofErr w:type="gramEnd"/>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proofErr w:type="gramStart"/>
      <w:r>
        <w:rPr>
          <w:rFonts w:eastAsiaTheme="minorEastAsia"/>
        </w:rPr>
        <w:t>which</w:t>
      </w:r>
      <w:proofErr w:type="gramEnd"/>
      <w:r>
        <w:rPr>
          <w:rFonts w:eastAsiaTheme="minorEastAsia"/>
        </w:rPr>
        <w:t xml:space="preserve">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51475F"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w:t>
      </w:r>
      <w:proofErr w:type="gramStart"/>
      <w:r w:rsidR="00397E59">
        <w:t xml:space="preserve">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.This part generates</w:t>
      </w:r>
      <w:proofErr w:type="gramEnd"/>
      <w:r w:rsidR="00397E59">
        <w:rPr>
          <w:rFonts w:eastAsiaTheme="minorEastAsia"/>
        </w:rPr>
        <w:t xml:space="preserve">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w:t>
      </w:r>
      <w:proofErr w:type="gramStart"/>
      <w:r>
        <w:rPr>
          <w:rFonts w:eastAsiaTheme="minorEastAsia"/>
        </w:rPr>
        <w:t xml:space="preserve">as </w:t>
      </w:r>
      <w:proofErr w:type="gramEnd"/>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proofErr w:type="gramStart"/>
      <w:r>
        <w:rPr>
          <w:rFonts w:eastAsiaTheme="minorEastAsia"/>
        </w:rPr>
        <w:t>and</w:t>
      </w:r>
      <w:proofErr w:type="gramEnd"/>
      <w:r>
        <w:rPr>
          <w:rFonts w:eastAsiaTheme="minorEastAsia"/>
        </w:rPr>
        <w:t xml:space="preserve">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w:t>
      </w:r>
      <w:proofErr w:type="gramStart"/>
      <w:r>
        <w:rPr>
          <w:rFonts w:eastAsiaTheme="minorEastAsia"/>
        </w:rPr>
        <w:t xml:space="preserve">bilateral </w:t>
      </w:r>
      <w:proofErr w:type="gramEnd"/>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 xml:space="preserve">the </w:t>
      </w:r>
      <w:proofErr w:type="gramEnd"/>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w:t>
      </w:r>
      <w:proofErr w:type="gramStart"/>
      <w:r>
        <w:rPr>
          <w:rFonts w:eastAsiaTheme="minorEastAsia"/>
        </w:rPr>
        <w:t xml:space="preserve">the </w:t>
      </w:r>
      <m:oMath>
        <m:r>
          <w:rPr>
            <w:rFonts w:ascii="Cambria Math" w:hAnsi="Cambria Math"/>
          </w:rPr>
          <m:t>DVA</m:t>
        </m:r>
      </m:oMath>
      <w:r>
        <w:rPr>
          <w:rFonts w:eastAsiaTheme="minorEastAsia"/>
        </w:rPr>
        <w:t xml:space="preserve"> vanish</w:t>
      </w:r>
      <w:proofErr w:type="gramEnd"/>
      <w:r>
        <w:rPr>
          <w:rFonts w:eastAsiaTheme="minorEastAsia"/>
        </w:rPr>
        <w:t xml:space="preserve">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implies</w:t>
      </w:r>
      <w:proofErr w:type="gramEnd"/>
      <w:r>
        <w:rPr>
          <w:rFonts w:eastAsiaTheme="minorEastAsia"/>
        </w:rPr>
        <w:t xml:space="preserve">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proofErr w:type="gramStart"/>
      <w:r>
        <w:rPr>
          <w:rFonts w:eastAsiaTheme="minorEastAsia"/>
        </w:rPr>
        <w:t>the</w:t>
      </w:r>
      <w:proofErr w:type="gramEnd"/>
      <w:r>
        <w:rPr>
          <w:rFonts w:eastAsiaTheme="minorEastAsia"/>
        </w:rPr>
        <w:t xml:space="preserv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where</w:t>
      </w:r>
      <w:proofErr w:type="gramEnd"/>
      <w:r>
        <w:rPr>
          <w:rFonts w:eastAsiaTheme="minorEastAsia"/>
        </w:rPr>
        <w:t xml:space="preserv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has</w:t>
      </w:r>
      <w:proofErr w:type="gramEnd"/>
      <w:r>
        <w:rPr>
          <w:rFonts w:eastAsiaTheme="minorEastAsia"/>
        </w:rPr>
        <w:t xml:space="preserve">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yields</w:t>
      </w:r>
      <w:proofErr w:type="gramEnd"/>
      <w:r>
        <w:rPr>
          <w:rFonts w:eastAsiaTheme="minorEastAsia"/>
        </w:rPr>
        <w:t xml:space="preserve">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appearing</w:t>
      </w:r>
      <w:proofErr w:type="gramEnd"/>
      <w:r>
        <w:rPr>
          <w:rFonts w:eastAsiaTheme="minorEastAsia"/>
        </w:rPr>
        <w:t xml:space="preserve">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475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r>
        <w:rPr>
          <w:rFonts w:eastAsiaTheme="minorEastAsia"/>
        </w:rPr>
        <w:t xml:space="preserve">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 </w:t>
      </w:r>
      <w:proofErr w:type="gramStart"/>
      <w:r>
        <w:rPr>
          <w:rFonts w:eastAsiaTheme="minorEastAsia"/>
        </w:rPr>
        <w:t>the</w:t>
      </w:r>
      <w:proofErr w:type="gramEnd"/>
      <w:r>
        <w:rPr>
          <w:rFonts w:eastAsiaTheme="minorEastAsia"/>
        </w:rPr>
        <w:t xml:space="preserv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into</w:t>
      </w:r>
      <w:proofErr w:type="gramEnd"/>
      <w:r>
        <w:rPr>
          <w:rFonts w:eastAsiaTheme="minorEastAsia"/>
        </w:rPr>
        <w:t xml:space="preserve"> the PDE</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gives</w:t>
      </w:r>
      <w:proofErr w:type="gramEnd"/>
      <w:r>
        <w:rPr>
          <w:rFonts w:eastAsiaTheme="minorEastAsia"/>
        </w:rPr>
        <w:t xml:space="preserve">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51475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and</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with</w:t>
      </w:r>
      <w:proofErr w:type="gramEnd"/>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51475F"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51475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w:t>
      </w:r>
      <w:proofErr w:type="gramStart"/>
      <w:r>
        <w:rPr>
          <w:rFonts w:eastAsiaTheme="minorEastAsia"/>
        </w:rPr>
        <w:t xml:space="preserve">than </w:t>
      </w:r>
      <w:proofErr w:type="gramEnd"/>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proofErr w:type="gramStart"/>
      <w:r>
        <w:rPr>
          <w:rFonts w:eastAsiaTheme="minorEastAsia"/>
        </w:rPr>
        <w:t>can</w:t>
      </w:r>
      <w:proofErr w:type="gramEnd"/>
      <w:r>
        <w:rPr>
          <w:rFonts w:eastAsiaTheme="minorEastAsia"/>
        </w:rPr>
        <w:t xml:space="preserve">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proofErr w:type="gramStart"/>
      <w:r w:rsidRPr="00B81761">
        <w:rPr>
          <w:rFonts w:eastAsiaTheme="minorEastAsia"/>
        </w:rPr>
        <w:t>and</w:t>
      </w:r>
      <w:proofErr w:type="gramEnd"/>
      <w:r w:rsidRPr="00B81761">
        <w:rPr>
          <w:rFonts w:eastAsiaTheme="minorEastAsia"/>
        </w:rPr>
        <w:t xml:space="preserve">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 xml:space="preserve">Illustrating a Problem in the Self-financing Condition in Two 2010-20111 Papers on Funding, Collateral, and </w:t>
        </w:r>
        <w:proofErr w:type="gramStart"/>
        <w:r>
          <w:rPr>
            <w:rStyle w:val="Hyperlink"/>
          </w:rPr>
          <w:t>Discounting</w:t>
        </w:r>
        <w:proofErr w:type="gramEnd"/>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proofErr w:type="gramStart"/>
      <w:r>
        <w:rPr>
          <w:i/>
        </w:rPr>
        <w:t>The</w:t>
      </w:r>
      <w:proofErr w:type="gramEnd"/>
      <w:r>
        <w:rPr>
          <w:i/>
        </w:rPr>
        <w:t xml:space="preserv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proofErr w:type="gramStart"/>
      <w:r>
        <w:rPr>
          <w:i/>
        </w:rPr>
        <w:t>The</w:t>
      </w:r>
      <w:proofErr w:type="gramEnd"/>
      <w:r>
        <w:rPr>
          <w:i/>
        </w:rPr>
        <w:t xml:space="preserv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 xml:space="preserve">Departure </w:t>
      </w:r>
      <w:proofErr w:type="gramStart"/>
      <w:r>
        <w:rPr>
          <w:u w:val="single"/>
        </w:rPr>
        <w:t>From</w:t>
      </w:r>
      <w:proofErr w:type="gramEnd"/>
      <w:r>
        <w:rPr>
          <w:u w:val="single"/>
        </w:rPr>
        <w:t xml:space="preserve">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 xml:space="preserve">Comparison </w:t>
      </w:r>
      <w:proofErr w:type="gramStart"/>
      <w:r w:rsidRPr="005A6502">
        <w:rPr>
          <w:b/>
          <w:bCs/>
          <w:sz w:val="28"/>
          <w:szCs w:val="28"/>
        </w:rPr>
        <w:t>Between</w:t>
      </w:r>
      <w:proofErr w:type="gramEnd"/>
      <w:r w:rsidRPr="005A6502">
        <w:rPr>
          <w:b/>
          <w:bCs/>
          <w:sz w:val="28"/>
          <w:szCs w:val="28"/>
        </w:rPr>
        <w:t xml:space="preserve">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xml:space="preserve">: FCA/FBA accounting and FVA/FDA accounting lead to very similar and quantitatively close conclusions in the particular case of a portfolio consisting of </w:t>
      </w:r>
      <w:proofErr w:type="gramStart"/>
      <w:r>
        <w:rPr>
          <w:bCs/>
        </w:rPr>
        <w:t>a single</w:t>
      </w:r>
      <w:proofErr w:type="gramEnd"/>
      <w:r>
        <w:rPr>
          <w:bCs/>
        </w:rPr>
        <w:t xml:space="preserv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51475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MMT </w:t>
      </w:r>
      <w:proofErr w:type="gramStart"/>
      <w:r>
        <w:t>And</w:t>
      </w:r>
      <w:proofErr w:type="gramEnd"/>
      <w:r>
        <w:t xml:space="preserve">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xml:space="preserve">: According to the famous Modigliani-Miller Theorem (MMT – Modigliani and Miller (1958)) the indifference price of new trade should not </w:t>
      </w:r>
      <w:proofErr w:type="gramStart"/>
      <w:r w:rsidRPr="00283121">
        <w:rPr>
          <w:bCs/>
        </w:rPr>
        <w:t>depend</w:t>
      </w:r>
      <w:proofErr w:type="gramEnd"/>
      <w:r w:rsidRPr="00283121">
        <w:rPr>
          <w:bCs/>
        </w:rPr>
        <w:t xml:space="preserve">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 xml:space="preserve">Wealth Transfer </w:t>
      </w:r>
      <w:proofErr w:type="gramStart"/>
      <w:r>
        <w:rPr>
          <w:bCs/>
          <w:u w:val="single"/>
        </w:rPr>
        <w:t>Across</w:t>
      </w:r>
      <w:proofErr w:type="gramEnd"/>
      <w:r>
        <w:rPr>
          <w:bCs/>
          <w:u w:val="single"/>
        </w:rPr>
        <w:t xml:space="preserve">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Rigorous Framework </w:t>
      </w:r>
      <w:proofErr w:type="gramStart"/>
      <w:r>
        <w:t>For</w:t>
      </w:r>
      <w:proofErr w:type="gramEnd"/>
      <w:r>
        <w:t xml:space="preserve">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 xml:space="preserve">Rationale </w:t>
      </w:r>
      <w:proofErr w:type="gramStart"/>
      <w:r w:rsidRPr="00C27C3C">
        <w:rPr>
          <w:u w:val="single"/>
        </w:rPr>
        <w:t>Behind</w:t>
      </w:r>
      <w:proofErr w:type="gramEnd"/>
      <w:r w:rsidRPr="00C27C3C">
        <w:rPr>
          <w:u w:val="single"/>
        </w:rPr>
        <w:t xml:space="preserve">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 xml:space="preserve">VM Re-hypothecation </w:t>
      </w:r>
      <w:proofErr w:type="gramStart"/>
      <w:r>
        <w:rPr>
          <w:u w:val="single"/>
        </w:rPr>
        <w:t>Across</w:t>
      </w:r>
      <w:proofErr w:type="gramEnd"/>
      <w:r>
        <w:rPr>
          <w:u w:val="single"/>
        </w:rPr>
        <w:t xml:space="preserve">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 xml:space="preserve">HY2 =&gt; The collateral received from hedges </w:t>
      </w:r>
      <w:proofErr w:type="gramStart"/>
      <w:r>
        <w:t>to each payable netting</w:t>
      </w:r>
      <w:proofErr w:type="gramEnd"/>
      <w:r>
        <w:t xml:space="preserve">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measures</w:t>
      </w:r>
      <w:proofErr w:type="gramEnd"/>
      <w:r>
        <w:t xml:space="preserve">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Inconsistent Booking </w:t>
      </w:r>
      <w:proofErr w:type="gramStart"/>
      <w:r>
        <w:t>Under</w:t>
      </w:r>
      <w:proofErr w:type="gramEnd"/>
      <w:r>
        <w:t xml:space="preserve">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w:t>
      </w:r>
      <w:proofErr w:type="gramStart"/>
      <w:r>
        <w:t xml:space="preserve">to </w:t>
      </w:r>
      <w:proofErr w:type="gramEnd"/>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w:t>
      </w:r>
      <w:proofErr w:type="gramStart"/>
      <w:r>
        <w:t>On</w:t>
      </w:r>
      <w:proofErr w:type="gramEnd"/>
      <w:r>
        <w:t xml:space="preserve">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w:t>
      </w:r>
      <w:proofErr w:type="gramStart"/>
      <w:r>
        <w:t>On</w:t>
      </w:r>
      <w:proofErr w:type="gramEnd"/>
      <w:r>
        <w:t xml:space="preserve">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xml:space="preserve">: Note that a) and b) preserve the standard CVA-DVA accounting at the net income level, as the FVA and the FDA adjustments </w:t>
      </w:r>
      <w:proofErr w:type="gramStart"/>
      <w:r>
        <w:t>cancel</w:t>
      </w:r>
      <w:proofErr w:type="gramEnd"/>
      <w:r>
        <w:t xml:space="preserve">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 xml:space="preserve">Valuation </w:t>
      </w:r>
      <w:proofErr w:type="gramStart"/>
      <w:r>
        <w:rPr>
          <w:u w:val="single"/>
        </w:rPr>
        <w:t>Across</w:t>
      </w:r>
      <w:proofErr w:type="gramEnd"/>
      <w:r>
        <w:rPr>
          <w:u w:val="single"/>
        </w:rPr>
        <w:t xml:space="preserve">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 xml:space="preserve">Credit Quality Impact </w:t>
      </w:r>
      <w:proofErr w:type="gramStart"/>
      <w:r>
        <w:rPr>
          <w:bCs/>
          <w:u w:val="single"/>
        </w:rPr>
        <w:t>On</w:t>
      </w:r>
      <w:proofErr w:type="gramEnd"/>
      <w:r>
        <w:rPr>
          <w:bCs/>
          <w:u w:val="single"/>
        </w:rPr>
        <w:t xml:space="preserve">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proofErr w:type="gramStart"/>
      <w:r>
        <w:t>“Going Concern” or Defaultable Banks?</w:t>
      </w:r>
      <w:proofErr w:type="gramEnd"/>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 xml:space="preserve">Regulatory Intent </w:t>
      </w:r>
      <w:proofErr w:type="gramStart"/>
      <w:r w:rsidRPr="00381FE2">
        <w:rPr>
          <w:u w:val="single"/>
        </w:rPr>
        <w:t>Behind</w:t>
      </w:r>
      <w:proofErr w:type="gramEnd"/>
      <w:r w:rsidRPr="00381FE2">
        <w:rPr>
          <w:u w:val="single"/>
        </w:rPr>
        <w:t xml:space="preserve">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w:t>
      </w:r>
      <w:proofErr w:type="gramStart"/>
      <w:r>
        <w:t>a liquidity</w:t>
      </w:r>
      <w:proofErr w:type="gramEnd"/>
      <w:r>
        <w:t xml:space="preserve"> spread. This is one of the possible financial </w:t>
      </w:r>
      <w:proofErr w:type="gramStart"/>
      <w:r>
        <w:t>interpretation</w:t>
      </w:r>
      <w:proofErr w:type="gramEnd"/>
      <w:r>
        <w:t xml:space="preserve">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proofErr w:type="gramStart"/>
      <w:r>
        <w:rPr>
          <w:u w:val="single"/>
        </w:rPr>
        <w:t>No-default View on Funding Considerations</w:t>
      </w:r>
      <w:r w:rsidRPr="00B3211A">
        <w:t>:</w:t>
      </w:r>
      <w:r>
        <w:t xml:space="preserve"> Besides making fair-value considerations awkward, the no bank default view is not reasonable for funding considerations either.</w:t>
      </w:r>
      <w:proofErr w:type="gramEnd"/>
      <w:r>
        <w:t xml:space="preserve"> Specifically the FVA is a fair valuation of a cash flow stream resulting from a funding strategy that the bank clearly cannot implement past its own default; once the bank is in a state of default, its funding spread </w:t>
      </w:r>
      <w:proofErr w:type="gramStart"/>
      <w:r>
        <w:t>ins</w:t>
      </w:r>
      <w:proofErr w:type="gramEnd"/>
      <w:r>
        <w:t xml:space="preserve">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w:t>
      </w:r>
      <w:proofErr w:type="gramStart"/>
      <w:r>
        <w:t>On</w:t>
      </w:r>
      <w:proofErr w:type="gramEnd"/>
      <w:r>
        <w:t xml:space="preserve">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w:t>
      </w:r>
      <w:proofErr w:type="gramStart"/>
      <w:r>
        <w:rPr>
          <w:bCs/>
        </w:rPr>
        <w:t>Financial</w:t>
      </w:r>
      <w:proofErr w:type="gramEnd"/>
      <w:r>
        <w:rPr>
          <w:bCs/>
        </w:rPr>
        <w:t xml:space="preserve">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w:t>
      </w:r>
      <w:proofErr w:type="gramStart"/>
      <w:r>
        <w:rPr>
          <w:bCs/>
        </w:rPr>
        <w:t>The</w:t>
      </w:r>
      <w:proofErr w:type="gramEnd"/>
      <w:r>
        <w:rPr>
          <w:bCs/>
        </w:rPr>
        <w:t xml:space="preserv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 xml:space="preserve">Model Based Valuation (AP3) =&gt; </w:t>
      </w:r>
      <w:proofErr w:type="gramStart"/>
      <w:r>
        <w:rPr>
          <w:bCs/>
        </w:rPr>
        <w:t>When</w:t>
      </w:r>
      <w:proofErr w:type="gramEnd"/>
      <w:r>
        <w:rPr>
          <w:bCs/>
        </w:rPr>
        <w:t xml:space="preserve">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 xml:space="preserve">Non-Performance Risk (AP5) </w:t>
      </w:r>
      <w:proofErr w:type="gramStart"/>
      <w:r>
        <w:rPr>
          <w:bCs/>
        </w:rPr>
        <w:t>=</w:t>
      </w:r>
      <w:proofErr w:type="gramEnd"/>
      <w:r>
        <w:rPr>
          <w:bCs/>
        </w:rPr>
        <w:t>&gt;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w:t>
      </w:r>
      <w:proofErr w:type="gramStart"/>
      <w:r>
        <w:rPr>
          <w:bCs/>
        </w:rPr>
        <w:t>Each counterparty</w:t>
      </w:r>
      <w:proofErr w:type="gramEnd"/>
      <w:r>
        <w:rPr>
          <w:bCs/>
        </w:rPr>
        <w:t xml:space="preserve">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w:t>
      </w:r>
      <w:proofErr w:type="gramStart"/>
      <w:r>
        <w:rPr>
          <w:bCs/>
        </w:rPr>
        <w:t>cause</w:t>
      </w:r>
      <w:proofErr w:type="gramEnd"/>
      <w:r>
        <w:rPr>
          <w:bCs/>
        </w:rPr>
        <w:t xml:space="preserv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proofErr w:type="gramStart"/>
      <w:r>
        <w:rPr>
          <w:bCs/>
        </w:rPr>
        <w:t>is</w:t>
      </w:r>
      <w:proofErr w:type="gramEnd"/>
      <w:r>
        <w:rPr>
          <w:bCs/>
        </w:rPr>
        <w:t xml:space="preserve">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w:t>
      </w:r>
      <w:proofErr w:type="gramStart"/>
      <w:r>
        <w:rPr>
          <w:bCs/>
        </w:rPr>
        <w:t xml:space="preserve">amount </w:t>
      </w:r>
      <w:proofErr w:type="gramEnd"/>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w:t>
      </w:r>
      <w:proofErr w:type="gramStart"/>
      <w:r>
        <w:t xml:space="preserve">by </w:t>
      </w:r>
      <w:proofErr w:type="gramEnd"/>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w:t>
      </w:r>
      <w:proofErr w:type="gramStart"/>
      <w:r>
        <w:t xml:space="preserve">counterparty </w:t>
      </w:r>
      <w:proofErr w:type="gramEnd"/>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w:t>
      </w:r>
      <w:proofErr w:type="gramStart"/>
      <w:r>
        <w:t xml:space="preserve">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w:t>
      </w:r>
      <w:proofErr w:type="gramEnd"/>
      <w:r>
        <w:t xml:space="preserve">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w:t>
      </w:r>
      <w:proofErr w:type="gramStart"/>
      <w:r>
        <w:t>ensuing</w:t>
      </w:r>
      <w:proofErr w:type="gramEnd"/>
      <w:r>
        <w:t xml:space="preserve">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w:t>
      </w:r>
      <w:proofErr w:type="gramStart"/>
      <w:r>
        <w:t>creditors, i.e., the benefit is</w:t>
      </w:r>
      <w:proofErr w:type="gramEnd"/>
      <w:r>
        <w:t xml:space="preserve">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w:t>
      </w:r>
      <w:proofErr w:type="gramStart"/>
      <w:r>
        <w:t>spreads,</w:t>
      </w:r>
      <w:proofErr w:type="gramEnd"/>
      <w:r>
        <w:t xml:space="preserve">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w:t>
      </w:r>
      <w:proofErr w:type="gramStart"/>
      <w:r>
        <w:t xml:space="preserve">to </w:t>
      </w:r>
      <w:proofErr w:type="gramEnd"/>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xml:space="preserve">: Having so far been limited to a largely qualitative accounting discussion, the next </w:t>
      </w:r>
      <w:proofErr w:type="gramStart"/>
      <w:r>
        <w:t>step is to follow the treatment set out in Albanese and Andersen (2014) and proceed</w:t>
      </w:r>
      <w:proofErr w:type="gramEnd"/>
      <w:r>
        <w:t xml:space="preserve">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for</w:t>
      </w:r>
      <w:proofErr w:type="gramEnd"/>
      <w:r>
        <w:t xml:space="preserve">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computed</w:t>
      </w:r>
      <w:proofErr w:type="gramEnd"/>
      <w:r>
        <w:t xml:space="preserve">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w:t>
      </w:r>
      <w:proofErr w:type="gramStart"/>
      <w:r>
        <w:t>is</w:t>
      </w:r>
      <w:proofErr w:type="gramEnd"/>
      <w:r>
        <w:t xml:space="preserve">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51475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w:t>
      </w:r>
      <w:proofErr w:type="gramStart"/>
      <w:r>
        <w:t xml:space="preserve">exactly </w:t>
      </w:r>
      <w:proofErr w:type="gramEnd"/>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is also assumed for now that neither the bank nor the counterparty </w:t>
      </w:r>
      <w:proofErr w:type="gramStart"/>
      <w:r>
        <w:t>post</w:t>
      </w:r>
      <w:proofErr w:type="gramEnd"/>
      <w:r>
        <w:t xml:space="preserve">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 xml:space="preserve">VM Re-hypothecation </w:t>
      </w:r>
      <w:proofErr w:type="gramStart"/>
      <w:r>
        <w:rPr>
          <w:u w:val="single"/>
        </w:rPr>
        <w:t>Across</w:t>
      </w:r>
      <w:proofErr w:type="gramEnd"/>
      <w:r>
        <w:rPr>
          <w:u w:val="single"/>
        </w:rPr>
        <w:t xml:space="preserve">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t>
      </w:r>
      <w:proofErr w:type="gramStart"/>
      <w:r>
        <w:t>this</w:t>
      </w:r>
      <w:proofErr w:type="gramEnd"/>
      <w:r>
        <w:t xml:space="preserve">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t>
      </w:r>
      <w:proofErr w:type="gramStart"/>
      <w:r>
        <w:t xml:space="preserve">with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 xml:space="preserve">Recovery Rates </w:t>
      </w:r>
      <w:proofErr w:type="gramStart"/>
      <w:r>
        <w:rPr>
          <w:u w:val="single"/>
        </w:rPr>
        <w:t>Across</w:t>
      </w:r>
      <w:proofErr w:type="gramEnd"/>
      <w:r>
        <w:rPr>
          <w:u w:val="single"/>
        </w:rPr>
        <w:t xml:space="preserve">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 risk neutral valuation of the overnight funding spread is given by</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w:t>
      </w:r>
      <w:proofErr w:type="gramStart"/>
      <w:r>
        <w:t>As</w:t>
      </w:r>
      <w:proofErr w:type="gramEnd"/>
      <w:r>
        <w:t xml:space="preserve">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w:t>
      </w:r>
      <w:proofErr w:type="gramStart"/>
      <w:r>
        <w:t xml:space="preserve">is </w:t>
      </w:r>
      <w:proofErr w:type="gramEnd"/>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w:t>
      </w:r>
      <w:proofErr w:type="gramStart"/>
      <w:r>
        <w:t>,</w:t>
      </w:r>
      <w:proofErr w:type="gramEnd"/>
      <w:r>
        <w:t xml:space="preserve">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w:t>
      </w:r>
      <w:proofErr w:type="gramStart"/>
      <w:r>
        <w:t>exists</w:t>
      </w:r>
      <w:proofErr w:type="gramEnd"/>
      <w:r>
        <w:t xml:space="preserve">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w:t>
      </w:r>
      <w:proofErr w:type="gramStart"/>
      <w:r>
        <w:t>is</w:t>
      </w:r>
      <w:proofErr w:type="gramEnd"/>
      <w:r>
        <w:t xml:space="preserve">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w:t>
      </w:r>
      <w:proofErr w:type="gramStart"/>
      <w:r>
        <w:t>bank itself default</w:t>
      </w:r>
      <w:proofErr w:type="gramEnd"/>
      <w:r>
        <w:t xml:space="preserve">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w:t>
      </w:r>
      <w:proofErr w:type="gramStart"/>
      <w:r>
        <w:t xml:space="preserve">counterparty </w:t>
      </w:r>
      <w:proofErr w:type="gramEnd"/>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w:t>
      </w:r>
      <w:proofErr w:type="gramStart"/>
      <w:r>
        <w:t xml:space="preserve">counterparty </w:t>
      </w:r>
      <w:proofErr w:type="gramEnd"/>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w:t>
      </w:r>
      <w:proofErr w:type="gramStart"/>
      <w:r>
        <w:t xml:space="preserve">portfolio </w:t>
      </w:r>
      <w:proofErr w:type="gramEnd"/>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w:t>
      </w:r>
      <w:proofErr w:type="gramStart"/>
      <w:r>
        <w:t xml:space="preserve">time </w:t>
      </w:r>
      <w:proofErr w:type="gramEnd"/>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any posted collateral amount stays with the holder, and all the inter-dealer positions are torn up, with no economic impact to any dealer counterparty. Similarly the default of a dealer used as </w:t>
      </w:r>
      <w:proofErr w:type="gramStart"/>
      <w:r>
        <w:t>a counterparty</w:t>
      </w:r>
      <w:proofErr w:type="gramEnd"/>
      <w:r>
        <w:t xml:space="preserve">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proofErr w:type="gramStart"/>
      <w:r>
        <w:t>is</w:t>
      </w:r>
      <w:proofErr w:type="gramEnd"/>
      <w:r>
        <w:t xml:space="preserve">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w:t>
      </w:r>
      <w:proofErr w:type="gramStart"/>
      <w:r>
        <w:t xml:space="preserve">therefore </w:t>
      </w:r>
      <w:proofErr w:type="gramEnd"/>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w:t>
      </w:r>
      <w:proofErr w:type="gramStart"/>
      <w:r>
        <w:t>rate on the senior debt and on the derivatives portfolio are</w:t>
      </w:r>
      <w:proofErr w:type="gramEnd"/>
      <w:r>
        <w:t xml:space="preserve"> identical. Notice that if</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w:t>
      </w:r>
      <w:proofErr w:type="gramStart"/>
      <w:r>
        <w:t xml:space="preserve">counterparty </w:t>
      </w:r>
      <w:proofErr w:type="gramEnd"/>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 xml:space="preserve">Cash Flow Impact </w:t>
      </w:r>
      <w:proofErr w:type="gramStart"/>
      <w:r w:rsidRPr="00472881">
        <w:rPr>
          <w:u w:val="single"/>
        </w:rPr>
        <w:t>On</w:t>
      </w:r>
      <w:proofErr w:type="gramEnd"/>
      <w:r w:rsidRPr="00472881">
        <w:rPr>
          <w:u w:val="single"/>
        </w:rPr>
        <w:t xml:space="preserve">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51475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w:t>
      </w:r>
      <w:proofErr w:type="gramStart"/>
      <w:r>
        <w:t xml:space="preserve">counterparty </w:t>
      </w:r>
      <w:proofErr w:type="gramEnd"/>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866797">
        <w:t>without</w:t>
      </w:r>
      <w:proofErr w:type="gramEnd"/>
      <w:r w:rsidRPr="00866797">
        <w:t xml:space="preserve">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w:t>
      </w:r>
      <w:proofErr w:type="gramStart"/>
      <w:r>
        <w:t xml:space="preserve">is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xml:space="preserve">: </w:t>
      </w:r>
      <w:proofErr w:type="gramStart"/>
      <w:r>
        <w:t>The are</w:t>
      </w:r>
      <w:proofErr w:type="gramEnd"/>
      <w:r>
        <w:t xml:space="preserv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consistent</w:t>
      </w:r>
      <w:proofErr w:type="gramEnd"/>
      <w:r>
        <w:t xml:space="preserve">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was</w:t>
      </w:r>
      <w:proofErr w:type="gramEnd"/>
      <w:r>
        <w:t xml:space="preserve">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 xml:space="preserve">Motivation </w:t>
      </w:r>
      <w:proofErr w:type="gramStart"/>
      <w:r w:rsidRPr="00B56BFA">
        <w:rPr>
          <w:u w:val="single"/>
        </w:rPr>
        <w:t>Behind</w:t>
      </w:r>
      <w:proofErr w:type="gramEnd"/>
      <w:r w:rsidRPr="00B56BFA">
        <w:rPr>
          <w:u w:val="single"/>
        </w:rPr>
        <w:t xml:space="preserve">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w:t>
      </w:r>
      <w:proofErr w:type="gramStart"/>
      <w:r>
        <w:t xml:space="preserve">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w:t>
      </w:r>
      <w:proofErr w:type="gramEnd"/>
      <w:r>
        <w:t xml:space="preserv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also by symmetry</w:t>
      </w:r>
    </w:p>
    <w:p w:rsidR="00397E59" w:rsidRDefault="00397E59" w:rsidP="00397E59">
      <w:pPr>
        <w:pStyle w:val="ListParagraph"/>
        <w:spacing w:line="360" w:lineRule="auto"/>
        <w:ind w:left="360"/>
      </w:pPr>
    </w:p>
    <w:p w:rsidR="00397E59" w:rsidRPr="00780E52" w:rsidRDefault="0051475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may</w:t>
      </w:r>
      <w:proofErr w:type="gramEnd"/>
      <w:r>
        <w:t xml:space="preserve"> be rewritten as</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w:t>
      </w:r>
      <w:proofErr w:type="gramStart"/>
      <w:r>
        <w:t>equality  is</w:t>
      </w:r>
      <w:proofErr w:type="gramEnd"/>
      <w:r>
        <w:t xml:space="preserve">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w:t>
      </w:r>
      <w:proofErr w:type="gramStart"/>
      <w:r>
        <w:t xml:space="preserve">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w:t>
      </w:r>
      <w:proofErr w:type="gramEnd"/>
      <w:r>
        <w:t xml:space="preserve">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quiet similar to the DVA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proofErr w:type="gramStart"/>
      <w:r w:rsidRPr="003E7E53">
        <w:t>yet</w:t>
      </w:r>
      <w:proofErr w:type="gramEnd"/>
      <w:r w:rsidRPr="003E7E53">
        <w:t xml:space="preserve">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w:t>
      </w:r>
      <w:proofErr w:type="gramStart"/>
      <w:r>
        <w:t xml:space="preserve">function </w:t>
      </w:r>
      <w:proofErr w:type="gramEnd"/>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rather</w:t>
      </w:r>
      <w:proofErr w:type="gramEnd"/>
      <w:r>
        <w:t xml:space="preserve">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51475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51475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bounded deterministic function. Also define the Gateaux derivative</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r>
        <w:t xml:space="preserve"> and only if</w:t>
      </w:r>
    </w:p>
    <w:p w:rsidR="00397E59" w:rsidRDefault="00397E59" w:rsidP="00397E59">
      <w:pPr>
        <w:pStyle w:val="ListParagraph"/>
        <w:spacing w:line="360" w:lineRule="auto"/>
        <w:ind w:left="360"/>
      </w:pPr>
    </w:p>
    <w:p w:rsidR="00397E59" w:rsidRPr="00264080" w:rsidRDefault="0051475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we have used</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the second equality follows from the independence assumption. The criterion</w:t>
      </w:r>
    </w:p>
    <w:p w:rsidR="00397E59" w:rsidRDefault="00397E59" w:rsidP="00397E59">
      <w:pPr>
        <w:pStyle w:val="ListParagraph"/>
        <w:spacing w:line="360" w:lineRule="auto"/>
        <w:ind w:left="360"/>
      </w:pPr>
    </w:p>
    <w:p w:rsidR="00397E59" w:rsidRPr="00264080" w:rsidRDefault="0051475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proofErr w:type="gramStart"/>
      <w:r>
        <w:t>then</w:t>
      </w:r>
      <w:proofErr w:type="gramEnd"/>
      <w:r>
        <w:t xml:space="preserve">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p>
    <w:p w:rsidR="00397E59" w:rsidRDefault="00397E59" w:rsidP="00397E59">
      <w:pPr>
        <w:pStyle w:val="ListParagraph"/>
        <w:spacing w:line="360" w:lineRule="auto"/>
        <w:ind w:left="360"/>
      </w:pPr>
    </w:p>
    <w:p w:rsidR="00397E59" w:rsidRPr="00264080"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if</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or</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yields</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w:t>
      </w:r>
      <w:proofErr w:type="gramEnd"/>
      <w:r>
        <w:t xml:space="preserve">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approximately constant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then</w:t>
      </w:r>
      <w:proofErr w:type="gramEnd"/>
      <w:r>
        <w:t xml:space="preserve">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which</w:t>
      </w:r>
      <w:proofErr w:type="gramEnd"/>
      <w:r>
        <w:t xml:space="preserve"> leads to a bound that is twice as loose as before</w:t>
      </w:r>
    </w:p>
    <w:p w:rsidR="00397E59" w:rsidRDefault="00397E59" w:rsidP="00397E59">
      <w:pPr>
        <w:pStyle w:val="ListParagraph"/>
        <w:spacing w:line="360" w:lineRule="auto"/>
        <w:ind w:left="360"/>
      </w:pPr>
    </w:p>
    <w:p w:rsidR="00397E59" w:rsidRPr="00E97E3E"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typically</w:t>
      </w:r>
      <w:proofErr w:type="gramEnd"/>
      <w:r>
        <w:t xml:space="preserve">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lastRenderedPageBreak/>
        <w:t>the</w:t>
      </w:r>
      <w:proofErr w:type="gramEnd"/>
      <w:r>
        <w:t xml:space="preserve"> result is easily seen to be</w:t>
      </w:r>
    </w:p>
    <w:p w:rsidR="00397E59" w:rsidRDefault="00397E59" w:rsidP="00397E59">
      <w:pPr>
        <w:pStyle w:val="ListParagraph"/>
        <w:spacing w:line="360" w:lineRule="auto"/>
        <w:ind w:left="360"/>
      </w:pPr>
    </w:p>
    <w:p w:rsidR="00397E59" w:rsidRPr="00AC2F7A" w:rsidRDefault="0051475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w:t>
      </w:r>
      <w:proofErr w:type="gramEnd"/>
      <w:r>
        <w:t xml:space="preserv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51475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w:t>
      </w:r>
      <w:proofErr w:type="gramStart"/>
      <w:r>
        <w:t>trade often pay</w:t>
      </w:r>
      <w:proofErr w:type="gramEnd"/>
      <w:r>
        <w:t xml:space="preserve">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w:t>
      </w:r>
      <w:proofErr w:type="gramStart"/>
      <w:r>
        <w:t xml:space="preserve">it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w:t>
      </w:r>
      <w:proofErr w:type="gramStart"/>
      <w:r>
        <w:t xml:space="preserve">counterparty </w:t>
      </w:r>
      <w:proofErr w:type="gramEnd"/>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for</w:t>
      </w:r>
      <w:proofErr w:type="gramEnd"/>
      <w:r>
        <w:t xml:space="preserve">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needs</w:t>
      </w:r>
      <w:proofErr w:type="gramEnd"/>
      <w:r>
        <w:t xml:space="preserve">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it</w:t>
      </w:r>
      <w:proofErr w:type="gramEnd"/>
      <w:r>
        <w:t xml:space="preserve">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 xml:space="preserve">Wealth Transfer </w:t>
      </w:r>
      <w:proofErr w:type="gramStart"/>
      <w:r>
        <w:rPr>
          <w:u w:val="single"/>
        </w:rPr>
        <w:t>From</w:t>
      </w:r>
      <w:proofErr w:type="gramEnd"/>
      <w:r>
        <w:rPr>
          <w:u w:val="single"/>
        </w:rPr>
        <w:t xml:space="preserve"> Derivative Counterparties</w:t>
      </w:r>
      <w:r w:rsidRPr="00D36323">
        <w:t>:</w:t>
      </w:r>
      <w:r>
        <w:t xml:space="preserve"> The above can be viewed as a wealth transfer from the derivatives counterparties to the senior creditors. The MMT is still not invalid as the game is still zero </w:t>
      </w:r>
      <w:proofErr w:type="gramStart"/>
      <w:r>
        <w:t>sum</w:t>
      </w:r>
      <w:proofErr w:type="gramEnd"/>
      <w:r>
        <w:t>,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p>
    <w:p w:rsidR="00397E59" w:rsidRDefault="00397E59" w:rsidP="00397E59">
      <w:pPr>
        <w:pStyle w:val="ListParagraph"/>
        <w:spacing w:line="360" w:lineRule="auto"/>
        <w:ind w:left="360"/>
      </w:pPr>
    </w:p>
    <w:p w:rsidR="00397E59" w:rsidRPr="00997E47"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modified as follows to include collateral thresholds:</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becomes</w:t>
      </w:r>
      <w:proofErr w:type="gramEnd"/>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p>
    <w:p w:rsidR="00397E59" w:rsidRDefault="00397E59" w:rsidP="00397E59">
      <w:pPr>
        <w:pStyle w:val="ListParagraph"/>
        <w:spacing w:line="360" w:lineRule="auto"/>
        <w:ind w:left="360"/>
      </w:pPr>
    </w:p>
    <w:p w:rsidR="00397E59" w:rsidRPr="00DE60E0"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E60E0" w:rsidRDefault="0051475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extended as</w:t>
      </w:r>
    </w:p>
    <w:p w:rsidR="00397E59" w:rsidRDefault="00397E59" w:rsidP="00397E59">
      <w:pPr>
        <w:pStyle w:val="ListParagraph"/>
        <w:spacing w:line="360" w:lineRule="auto"/>
        <w:ind w:left="360"/>
      </w:pPr>
    </w:p>
    <w:p w:rsidR="00397E59" w:rsidRPr="00DE60E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 xml:space="preserve">VM Rehypothecability </w:t>
      </w:r>
      <w:proofErr w:type="gramStart"/>
      <w:r>
        <w:t>Across</w:t>
      </w:r>
      <w:proofErr w:type="gramEnd"/>
      <w:r>
        <w:t xml:space="preserve">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w:t>
      </w:r>
      <w:proofErr w:type="gramStart"/>
      <w:r>
        <w:t>a degradation</w:t>
      </w:r>
      <w:proofErr w:type="gramEnd"/>
      <w:r>
        <w:t xml:space="preserve">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 xml:space="preserve">Funding Costs </w:t>
      </w:r>
      <w:proofErr w:type="gramStart"/>
      <w:r>
        <w:rPr>
          <w:u w:val="single"/>
        </w:rPr>
        <w:t>Under</w:t>
      </w:r>
      <w:proofErr w:type="gramEnd"/>
      <w:r>
        <w:rPr>
          <w:u w:val="single"/>
        </w:rPr>
        <w:t xml:space="preserve">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w:t>
      </w:r>
      <w:proofErr w:type="gramStart"/>
      <w:r>
        <w:t>choice of the accounting methods have</w:t>
      </w:r>
      <w:proofErr w:type="gramEnd"/>
      <w:r>
        <w:t xml:space="preser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 xml:space="preserve">Netting Set Granularity </w:t>
      </w:r>
      <w:proofErr w:type="gramStart"/>
      <w:r w:rsidRPr="00CF4208">
        <w:rPr>
          <w:u w:val="single"/>
        </w:rPr>
        <w:t>For</w:t>
      </w:r>
      <w:proofErr w:type="gramEnd"/>
      <w:r w:rsidRPr="00CF4208">
        <w:rPr>
          <w:u w:val="single"/>
        </w:rPr>
        <w:t xml:space="preserve">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w:t>
      </w:r>
      <w:proofErr w:type="gramStart"/>
      <w:r>
        <w:t>and</w:t>
      </w:r>
      <w:proofErr w:type="gramEnd"/>
      <w:r>
        <w:t xml:space="preserve">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while</w:t>
      </w:r>
      <w:proofErr w:type="gramEnd"/>
      <w:r>
        <w:t xml:space="preserv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roofErr w:type="gramStart"/>
      <w:r>
        <w:t>.,</w:t>
      </w:r>
      <w:proofErr w:type="gramEnd"/>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effectively</w:t>
      </w:r>
      <w:proofErr w:type="gramEnd"/>
      <w:r>
        <w:t xml:space="preserve">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proofErr w:type="gramStart"/>
      <w:r>
        <w:t xml:space="preserve">, </w:t>
      </w:r>
      <w:proofErr w:type="gramEnd"/>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 xml:space="preserve">Model </w:t>
      </w:r>
      <w:proofErr w:type="gramStart"/>
      <w:r>
        <w:rPr>
          <w:u w:val="single"/>
        </w:rPr>
        <w:t>Pricing</w:t>
      </w:r>
      <w:proofErr w:type="gramEnd"/>
      <w:r>
        <w:rPr>
          <w:u w:val="single"/>
        </w:rPr>
        <w:t xml:space="preserve">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w:t>
      </w:r>
      <w:proofErr w:type="gramEnd"/>
      <w:r>
        <w:t xml:space="preserve">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above</w:t>
      </w:r>
      <w:proofErr w:type="gramEnd"/>
      <w:r>
        <w:t xml:space="preser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amounts</w:t>
      </w:r>
      <w:proofErr w:type="gramEnd"/>
      <w:r>
        <w:t xml:space="preserve">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w:t>
      </w:r>
      <w:proofErr w:type="gramStart"/>
      <w:r>
        <w:t xml:space="preserve">of </w:t>
      </w:r>
      <w:proofErr w:type="gramEnd"/>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w:t>
      </w:r>
      <w:proofErr w:type="gramStart"/>
      <w:r>
        <w:t>have</w:t>
      </w:r>
      <w:proofErr w:type="gramEnd"/>
      <w:r>
        <w:t xml:space="preserve"> a net impact on income. However the two </w:t>
      </w:r>
      <w:proofErr w:type="gramStart"/>
      <w:r>
        <w:t>decision</w:t>
      </w:r>
      <w:proofErr w:type="gramEnd"/>
      <w:r>
        <w:t xml:space="preserve">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implies</w:t>
      </w:r>
      <w:proofErr w:type="gramEnd"/>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proofErr w:type="gramStart"/>
      <w:r>
        <w:t>it</w:t>
      </w:r>
      <w:proofErr w:type="gramEnd"/>
      <w:r>
        <w:t xml:space="preserve">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the</w:t>
      </w:r>
      <w:proofErr w:type="gramEnd"/>
      <w:r>
        <w:t xml:space="preserv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is</w:t>
      </w:r>
      <w:proofErr w:type="gramEnd"/>
      <w:r>
        <w:t xml:space="preserve">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we</w:t>
      </w:r>
      <w:proofErr w:type="gramEnd"/>
      <w:r>
        <w:t xml:space="preserv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in</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basically</w:t>
      </w:r>
      <w:proofErr w:type="gramEnd"/>
      <w:r>
        <w:t xml:space="preserve">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does</w:t>
      </w:r>
      <w:proofErr w:type="gramEnd"/>
      <w:r>
        <w:t xml:space="preserve">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51475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r>
        <w:t xml:space="preserve">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w:t>
      </w:r>
      <w:proofErr w:type="gramStart"/>
      <w:r>
        <w:t>results</w:t>
      </w:r>
      <w:proofErr w:type="gramEnd"/>
      <w:r>
        <w:t xml:space="preserve">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constitutes</w:t>
      </w:r>
      <w:proofErr w:type="gramEnd"/>
      <w:r>
        <w:t xml:space="preserve">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as</w:t>
      </w:r>
      <w:proofErr w:type="gramEnd"/>
      <w:r>
        <w:t xml:space="preserve">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where</w:t>
      </w:r>
      <w:proofErr w:type="gramEnd"/>
      <w:r>
        <w:t xml:space="preserv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w:t>
      </w:r>
      <w:proofErr w:type="gramStart"/>
      <w:r>
        <w:t>this rule effectively double counts</w:t>
      </w:r>
      <w:proofErr w:type="gramEnd"/>
      <w:r>
        <w:t xml:space="preserve">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t>
      </w:r>
      <w:proofErr w:type="gramStart"/>
      <w:r>
        <w:t>were a generalized acceptance</w:t>
      </w:r>
      <w:proofErr w:type="gramEnd"/>
      <w:r>
        <w:t xml:space="preserv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w:t>
      </w:r>
      <w:proofErr w:type="gramStart"/>
      <w:r>
        <w:t>a wrong</w:t>
      </w:r>
      <w:proofErr w:type="gramEnd"/>
      <w:r>
        <w:t xml:space="preserve">-sign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w:t>
      </w:r>
      <w:proofErr w:type="gramStart"/>
      <w:r>
        <w:t xml:space="preserve">using </w:t>
      </w:r>
      <w:proofErr w:type="gramEnd"/>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w:t>
      </w:r>
      <w:proofErr w:type="gramStart"/>
      <w:r>
        <w:t>an</w:t>
      </w:r>
      <w:proofErr w:type="gramEnd"/>
      <w:r>
        <w:t xml:space="preserve">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w:t>
      </w:r>
      <w:proofErr w:type="gramStart"/>
      <w:r>
        <w:t>a netting</w:t>
      </w:r>
      <w:proofErr w:type="gramEnd"/>
      <w:r>
        <w:t xml:space="preserve">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proofErr w:type="gramStart"/>
      <w:r>
        <w:t>and</w:t>
      </w:r>
      <w:proofErr w:type="gramEnd"/>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w:t>
      </w:r>
      <w:proofErr w:type="gramStart"/>
      <w:r>
        <w:t>are</w:t>
      </w:r>
      <w:proofErr w:type="gramEnd"/>
      <w:r>
        <w:t xml:space="preserv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 xml:space="preserve">FCA/FBA and FDA/FVA accounting schemes. In this case the FVA/FDA methodology can be regarded as an extension of the FCA/FBA method as long as the latter is restricted to portfolios consisting of </w:t>
      </w:r>
      <w:proofErr w:type="gramStart"/>
      <w:r>
        <w:t>a single</w:t>
      </w:r>
      <w:proofErr w:type="gramEnd"/>
      <w:r>
        <w:t xml:space="preserv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w:t>
      </w:r>
      <w:proofErr w:type="gramStart"/>
      <w:r>
        <w:t>one counterparty</w:t>
      </w:r>
      <w:proofErr w:type="gramEnd"/>
      <w:r>
        <w:t xml:space="preserve">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w:t>
      </w:r>
      <w:proofErr w:type="gramStart"/>
      <w:r>
        <w:t>a wrong</w:t>
      </w:r>
      <w:proofErr w:type="gramEnd"/>
      <w:r>
        <w:t>-way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w:t>
      </w:r>
      <w:proofErr w:type="gramStart"/>
      <w:r>
        <w:t>principles,</w:t>
      </w:r>
      <w:proofErr w:type="gramEnd"/>
      <w:r>
        <w:t xml:space="preserve">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 xml:space="preserve">Simulation </w:t>
      </w:r>
      <w:proofErr w:type="gramStart"/>
      <w:r w:rsidRPr="00A42231">
        <w:rPr>
          <w:u w:val="single"/>
        </w:rPr>
        <w:t>Across</w:t>
      </w:r>
      <w:proofErr w:type="gramEnd"/>
      <w:r w:rsidRPr="00A42231">
        <w:rPr>
          <w:u w:val="single"/>
        </w:rPr>
        <w:t xml:space="preserve">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w:t>
      </w:r>
      <w:proofErr w:type="gramStart"/>
      <w:r>
        <w:t>an</w:t>
      </w:r>
      <w:proofErr w:type="gramEnd"/>
      <w:r>
        <w:t xml:space="preserve">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w:t>
      </w:r>
      <w:proofErr w:type="gramStart"/>
      <w:r>
        <w:t>CCPs,</w:t>
      </w:r>
      <w:proofErr w:type="gramEnd"/>
      <w:r>
        <w:t xml:space="preserve">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w:t>
      </w:r>
      <w:proofErr w:type="gramStart"/>
      <w:r>
        <w:t>For</w:t>
      </w:r>
      <w:proofErr w:type="gramEnd"/>
      <w:r>
        <w:t xml:space="preserve">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 xml:space="preserve">enterprise value to the shareholders and the bondholders that </w:t>
      </w:r>
      <w:proofErr w:type="gramStart"/>
      <w:r>
        <w:t>is</w:t>
      </w:r>
      <w:proofErr w:type="gramEnd"/>
      <w:r>
        <w:t xml:space="preserve">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51475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w:t>
      </w:r>
      <w:proofErr w:type="gramStart"/>
      <w:r w:rsidR="002567C9">
        <w:t xml:space="preserve">maturity </w:t>
      </w:r>
      <w:proofErr w:type="gramEnd"/>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w:t>
      </w:r>
      <w:proofErr w:type="gramStart"/>
      <w:r w:rsidR="002567C9">
        <w:t xml:space="preserve">set </w:t>
      </w:r>
      <w:proofErr w:type="gramEnd"/>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w:t>
      </w:r>
      <w:proofErr w:type="gramStart"/>
      <w:r>
        <w:t xml:space="preserve">rate </w:t>
      </w:r>
      <w:proofErr w:type="gramEnd"/>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proofErr w:type="gramStart"/>
      <w:r>
        <w:t>is</w:t>
      </w:r>
      <w:proofErr w:type="gramEnd"/>
      <w:r>
        <w:t xml:space="preserve">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proofErr w:type="gramStart"/>
      <w:r>
        <w:t>respectively</w:t>
      </w:r>
      <w:proofErr w:type="gramEnd"/>
      <w:r>
        <w:t>,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w:t>
      </w:r>
      <w:proofErr w:type="gramStart"/>
      <w:r>
        <w:t xml:space="preserve">by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w:t>
      </w:r>
      <w:proofErr w:type="gramStart"/>
      <w:r>
        <w:t xml:space="preserve">of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proofErr w:type="gramStart"/>
      <w:r>
        <w:lastRenderedPageBreak/>
        <w:t>and</w:t>
      </w:r>
      <w:proofErr w:type="gramEnd"/>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proofErr w:type="gramStart"/>
      <w:r>
        <w:t>and</w:t>
      </w:r>
      <w:proofErr w:type="gramEnd"/>
      <w:r>
        <w:t xml:space="preserve">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proofErr w:type="gramStart"/>
      <w:r>
        <w:t>must</w:t>
      </w:r>
      <w:proofErr w:type="gramEnd"/>
      <w:r>
        <w:t xml:space="preserve">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the</w:t>
      </w:r>
      <w:proofErr w:type="gramEnd"/>
      <w:r>
        <w:t xml:space="preserv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proofErr w:type="gramStart"/>
      <w:r>
        <w:t>is</w:t>
      </w:r>
      <w:proofErr w:type="gramEnd"/>
      <w:r>
        <w:t xml:space="preserve"> the post-issuer default value of the issuer bond portfolio, and</w:t>
      </w:r>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proofErr w:type="gramStart"/>
      <w:r>
        <w:t>is</w:t>
      </w:r>
      <w:proofErr w:type="gramEnd"/>
      <w:r>
        <w:t xml:space="preserve">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where</w:t>
      </w:r>
      <w:proofErr w:type="gramEnd"/>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proofErr w:type="gramStart"/>
      <w:r>
        <w:t>yields</w:t>
      </w:r>
      <w:proofErr w:type="gramEnd"/>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proofErr w:type="gramStart"/>
      <w:r>
        <w:t>subject</w:t>
      </w:r>
      <w:proofErr w:type="gramEnd"/>
      <w:r>
        <w:t xml:space="preserve"> to the funding constraint</w:t>
      </w:r>
    </w:p>
    <w:p w:rsidR="001101CE" w:rsidRDefault="001101CE" w:rsidP="001101CE">
      <w:pPr>
        <w:pStyle w:val="ListParagraph"/>
        <w:spacing w:line="360" w:lineRule="auto"/>
        <w:ind w:left="360"/>
      </w:pPr>
    </w:p>
    <w:p w:rsidR="00CD728E" w:rsidRPr="001101CE" w:rsidRDefault="0051475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proofErr w:type="gramStart"/>
      <w:r>
        <w:t>should</w:t>
      </w:r>
      <w:proofErr w:type="gramEnd"/>
      <w:r>
        <w:t xml:space="preserve">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w:t>
      </w:r>
      <w:proofErr w:type="gramStart"/>
      <w:r>
        <w:t xml:space="preserve">error </w:t>
      </w:r>
      <w:proofErr w:type="gramEnd"/>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proofErr w:type="gramStart"/>
      <w:r>
        <w:t>and</w:t>
      </w:r>
      <w:proofErr w:type="gramEnd"/>
    </w:p>
    <w:p w:rsidR="001101CE" w:rsidRDefault="001101CE" w:rsidP="001101CE">
      <w:pPr>
        <w:pStyle w:val="ListParagraph"/>
        <w:spacing w:line="360" w:lineRule="auto"/>
        <w:ind w:left="360"/>
      </w:pPr>
    </w:p>
    <w:p w:rsidR="001101CE"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proofErr w:type="gramStart"/>
      <w:r>
        <w:t>the</w:t>
      </w:r>
      <w:proofErr w:type="gramEnd"/>
      <w:r>
        <w:t xml:space="preserv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proofErr w:type="gramStart"/>
      <w:r>
        <w:t>with</w:t>
      </w:r>
      <w:proofErr w:type="gramEnd"/>
      <w:r>
        <w:t xml:space="preserve"> hedge error</w:t>
      </w:r>
    </w:p>
    <w:p w:rsidR="00BF12C9" w:rsidRDefault="00BF12C9" w:rsidP="001101CE">
      <w:pPr>
        <w:pStyle w:val="ListParagraph"/>
        <w:spacing w:line="360" w:lineRule="auto"/>
        <w:ind w:left="360"/>
      </w:pPr>
    </w:p>
    <w:p w:rsidR="00BF12C9" w:rsidRDefault="0051475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proofErr w:type="gramStart"/>
      <w:r>
        <w:t>subject</w:t>
      </w:r>
      <w:proofErr w:type="gramEnd"/>
      <w:r>
        <w:t xml:space="preserve"> to the funding constraint</w:t>
      </w:r>
    </w:p>
    <w:p w:rsidR="00BF12C9" w:rsidRDefault="00BF12C9" w:rsidP="001101CE">
      <w:pPr>
        <w:pStyle w:val="ListParagraph"/>
        <w:spacing w:line="360" w:lineRule="auto"/>
        <w:ind w:left="360"/>
      </w:pPr>
    </w:p>
    <w:p w:rsidR="00C2577C" w:rsidRDefault="0051475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w:t>
      </w:r>
      <w:proofErr w:type="gramStart"/>
      <w:r>
        <w:t xml:space="preserve">then </w:t>
      </w:r>
      <w:proofErr w:type="gramEnd"/>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proofErr w:type="gramStart"/>
      <w:r>
        <w:lastRenderedPageBreak/>
        <w:t>when</w:t>
      </w:r>
      <w:proofErr w:type="gramEnd"/>
      <w:r>
        <w:t xml:space="preserve">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51475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51475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51475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proofErr w:type="gramStart"/>
      <w:r>
        <w:t>with</w:t>
      </w:r>
      <w:proofErr w:type="gramEnd"/>
    </w:p>
    <w:p w:rsidR="006F1D53" w:rsidRDefault="006F1D53" w:rsidP="0060273C">
      <w:pPr>
        <w:pStyle w:val="ListParagraph"/>
        <w:spacing w:line="360" w:lineRule="auto"/>
        <w:ind w:left="360"/>
      </w:pPr>
    </w:p>
    <w:p w:rsidR="0060273C" w:rsidRDefault="0051475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51475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51475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1475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proofErr w:type="gramStart"/>
      <w:r>
        <w:t>where</w:t>
      </w:r>
      <w:proofErr w:type="gramEnd"/>
      <w:r>
        <w:t xml:space="preserv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51475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w:t>
      </w:r>
      <w:proofErr w:type="gramStart"/>
      <w:r>
        <w:t>depend</w:t>
      </w:r>
      <w:proofErr w:type="gramEnd"/>
      <w:r>
        <w:t xml:space="preserve">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51475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51475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1475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51475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proofErr w:type="gramStart"/>
      <w:r>
        <w:t>form</w:t>
      </w:r>
      <w:proofErr w:type="gramEnd"/>
      <w:r>
        <w:t xml:space="preserve">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51475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proofErr w:type="gramStart"/>
      <w:r>
        <w:t>and</w:t>
      </w:r>
      <w:proofErr w:type="gramEnd"/>
    </w:p>
    <w:p w:rsidR="0060273C" w:rsidRDefault="0060273C" w:rsidP="0060273C">
      <w:pPr>
        <w:pStyle w:val="ListParagraph"/>
        <w:spacing w:line="360" w:lineRule="auto"/>
        <w:ind w:left="360"/>
      </w:pPr>
    </w:p>
    <w:p w:rsidR="0060273C" w:rsidRDefault="0051475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r>
        <w:t xml:space="preserve"> after some details (next section) one obtains</w:t>
      </w:r>
    </w:p>
    <w:p w:rsidR="001976FD" w:rsidRDefault="001976FD" w:rsidP="0060273C">
      <w:pPr>
        <w:pStyle w:val="ListParagraph"/>
        <w:spacing w:line="360" w:lineRule="auto"/>
        <w:ind w:left="360"/>
      </w:pPr>
    </w:p>
    <w:p w:rsidR="001976FD" w:rsidRDefault="0051475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with</w:t>
      </w:r>
      <w:proofErr w:type="gramEnd"/>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proofErr w:type="gramStart"/>
      <w:r>
        <w:t>and</w:t>
      </w:r>
      <w:proofErr w:type="gramEnd"/>
    </w:p>
    <w:p w:rsidR="001976FD" w:rsidRDefault="001976FD" w:rsidP="0060273C">
      <w:pPr>
        <w:pStyle w:val="ListParagraph"/>
        <w:spacing w:line="360" w:lineRule="auto"/>
        <w:ind w:left="360"/>
      </w:pPr>
    </w:p>
    <w:p w:rsidR="001976FD" w:rsidRDefault="0051475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proofErr w:type="gramStart"/>
      <w:r>
        <w:t>where</w:t>
      </w:r>
      <w:proofErr w:type="gramEnd"/>
      <w:r>
        <w:t xml:space="preserv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proofErr w:type="gramStart"/>
      <w:r>
        <w:t>has</w:t>
      </w:r>
      <w:proofErr w:type="gramEnd"/>
      <w:r>
        <w:t xml:space="preserve">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proofErr w:type="gramStart"/>
      <w:r>
        <w:t>and</w:t>
      </w:r>
      <w:proofErr w:type="gramEnd"/>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proofErr w:type="gramStart"/>
      <w:r>
        <w:t>are</w:t>
      </w:r>
      <w:proofErr w:type="gramEnd"/>
      <w:r>
        <w:t xml:space="preserv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w:t>
      </w:r>
      <w:proofErr w:type="gramStart"/>
      <w:r>
        <w:t xml:space="preserve">and </w:t>
      </w:r>
      <w:proofErr w:type="gramEnd"/>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51475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proofErr w:type="gramStart"/>
      <w:r>
        <w:t>depends</w:t>
      </w:r>
      <w:proofErr w:type="gramEnd"/>
      <w:r>
        <w:t xml:space="preserve">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51475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and</w:t>
      </w:r>
      <w:proofErr w:type="gramEnd"/>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into</w:t>
      </w:r>
      <w:proofErr w:type="gramEnd"/>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proofErr w:type="gramStart"/>
      <w:r>
        <w:t>yields</w:t>
      </w:r>
      <w:proofErr w:type="gramEnd"/>
    </w:p>
    <w:p w:rsidR="004D767E" w:rsidRDefault="004D767E" w:rsidP="004D767E">
      <w:pPr>
        <w:pStyle w:val="ListParagraph"/>
        <w:spacing w:line="360" w:lineRule="auto"/>
        <w:ind w:left="360"/>
      </w:pPr>
    </w:p>
    <w:p w:rsidR="00E92592" w:rsidRPr="004D767E" w:rsidRDefault="0051475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51475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51475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proofErr w:type="gramStart"/>
      <w:r>
        <w:t>allows</w:t>
      </w:r>
      <w:proofErr w:type="gramEnd"/>
      <w:r>
        <w:t xml:space="preserve"> the elimination of many of the terms resulting in</w:t>
      </w:r>
    </w:p>
    <w:p w:rsidR="004D767E" w:rsidRDefault="004D767E" w:rsidP="004D767E">
      <w:pPr>
        <w:pStyle w:val="ListParagraph"/>
        <w:spacing w:line="360" w:lineRule="auto"/>
        <w:ind w:left="360"/>
      </w:pPr>
    </w:p>
    <w:p w:rsidR="004D767E" w:rsidRDefault="0051475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51475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proofErr w:type="gramStart"/>
      <w:r>
        <w:t>with</w:t>
      </w:r>
      <w:proofErr w:type="gramEnd"/>
      <w:r>
        <w:t xml:space="preserve"> the solution</w:t>
      </w:r>
    </w:p>
    <w:p w:rsidR="001A0093" w:rsidRDefault="001A0093" w:rsidP="004D767E">
      <w:pPr>
        <w:pStyle w:val="ListParagraph"/>
        <w:spacing w:line="360" w:lineRule="auto"/>
        <w:ind w:left="360"/>
      </w:pPr>
    </w:p>
    <w:p w:rsidR="001B0293" w:rsidRPr="001A0093" w:rsidRDefault="0051475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51475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one</w:t>
      </w:r>
      <w:proofErr w:type="gramEnd"/>
      <w:r>
        <w:t xml:space="preserve"> can write</w:t>
      </w:r>
    </w:p>
    <w:p w:rsidR="001A0093" w:rsidRDefault="001A0093" w:rsidP="001A0093">
      <w:pPr>
        <w:pStyle w:val="ListParagraph"/>
        <w:spacing w:line="360" w:lineRule="auto"/>
        <w:ind w:left="360"/>
      </w:pPr>
    </w:p>
    <w:p w:rsidR="001A0093" w:rsidRDefault="0051475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and</w:t>
      </w:r>
      <w:proofErr w:type="gramEnd"/>
      <w:r>
        <w:t xml:space="preserve">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proofErr w:type="gramStart"/>
      <w:r>
        <w:t>to</w:t>
      </w:r>
      <w:proofErr w:type="gramEnd"/>
      <w:r>
        <w:t xml:space="preserve"> end up with the equations</w:t>
      </w:r>
    </w:p>
    <w:p w:rsidR="001A0093" w:rsidRDefault="001A0093" w:rsidP="001A0093">
      <w:pPr>
        <w:pStyle w:val="ListParagraph"/>
        <w:spacing w:line="360" w:lineRule="auto"/>
        <w:ind w:left="360"/>
      </w:pPr>
    </w:p>
    <w:p w:rsidR="001A0093" w:rsidRDefault="0051475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proofErr w:type="gramStart"/>
      <w:r>
        <w:lastRenderedPageBreak/>
        <w:t>and</w:t>
      </w:r>
      <w:proofErr w:type="gramEnd"/>
    </w:p>
    <w:p w:rsidR="001A0093" w:rsidRDefault="001A0093" w:rsidP="001A0093">
      <w:pPr>
        <w:pStyle w:val="ListParagraph"/>
        <w:spacing w:line="360" w:lineRule="auto"/>
        <w:ind w:left="360"/>
      </w:pPr>
    </w:p>
    <w:p w:rsidR="004D1D90" w:rsidRDefault="0051475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proofErr w:type="gramStart"/>
      <w:r>
        <w:t>and</w:t>
      </w:r>
      <w:proofErr w:type="gramEnd"/>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proofErr w:type="gramStart"/>
      <w:r>
        <w:t>can</w:t>
      </w:r>
      <w:proofErr w:type="gramEnd"/>
      <w:r>
        <w:t xml:space="preserve">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51475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proofErr w:type="gramStart"/>
      <w:r>
        <w:t>where</w:t>
      </w:r>
      <w:proofErr w:type="gramEnd"/>
      <w:r>
        <w:t xml:space="preserv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51475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w:t>
      </w:r>
      <w:proofErr w:type="gramStart"/>
      <w:r w:rsidR="004B1053">
        <w:t>corresponds</w:t>
      </w:r>
      <w:proofErr w:type="gramEnd"/>
      <w:r w:rsidR="004B1053">
        <w:t xml:space="preserve">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in</w:t>
      </w:r>
      <w:proofErr w:type="gramEnd"/>
      <w:r>
        <w:t xml:space="preserve"> addition to the funding constraints</w:t>
      </w:r>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proofErr w:type="gramStart"/>
      <w:r>
        <w:t>for</w:t>
      </w:r>
      <w:proofErr w:type="gramEnd"/>
      <w:r>
        <w:t xml:space="preserve"> example</w:t>
      </w:r>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proofErr w:type="gramStart"/>
      <w:r>
        <w:t>which</w:t>
      </w:r>
      <w:proofErr w:type="gramEnd"/>
      <w:r>
        <w:t xml:space="preserve">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proofErr w:type="gramStart"/>
      <w:r>
        <w:t>which</w:t>
      </w:r>
      <w:proofErr w:type="gramEnd"/>
      <w:r>
        <w:t xml:space="preserve">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51475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and</w:t>
      </w:r>
      <w:proofErr w:type="gramEnd"/>
    </w:p>
    <w:p w:rsidR="00B57288" w:rsidRDefault="00B57288" w:rsidP="00B57288">
      <w:pPr>
        <w:pStyle w:val="ListParagraph"/>
        <w:spacing w:line="360" w:lineRule="auto"/>
        <w:ind w:left="360"/>
      </w:pPr>
    </w:p>
    <w:p w:rsidR="00B57288" w:rsidRDefault="0051475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lastRenderedPageBreak/>
        <w:t>that</w:t>
      </w:r>
      <w:proofErr w:type="gramEnd"/>
      <w:r>
        <w:t xml:space="preserve">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with</w:t>
      </w:r>
      <w:proofErr w:type="gramEnd"/>
    </w:p>
    <w:p w:rsidR="00B57288" w:rsidRDefault="00B57288" w:rsidP="00B57288">
      <w:pPr>
        <w:pStyle w:val="ListParagraph"/>
        <w:spacing w:line="360" w:lineRule="auto"/>
        <w:ind w:left="360"/>
      </w:pPr>
    </w:p>
    <w:p w:rsid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proofErr w:type="gramStart"/>
      <w:r>
        <w:t>where</w:t>
      </w:r>
      <w:proofErr w:type="gramEnd"/>
    </w:p>
    <w:p w:rsidR="00B57288" w:rsidRDefault="00B57288" w:rsidP="00B57288">
      <w:pPr>
        <w:pStyle w:val="ListParagraph"/>
        <w:spacing w:line="360" w:lineRule="auto"/>
        <w:ind w:left="360"/>
      </w:pPr>
    </w:p>
    <w:p w:rsidR="00793420" w:rsidRPr="00B57288" w:rsidRDefault="0051475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w:t>
      </w:r>
      <w:proofErr w:type="gramStart"/>
      <w:r>
        <w:t>makes</w:t>
      </w:r>
      <w:proofErr w:type="gramEnd"/>
      <w:r>
        <w:t xml:space="preserve">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r>
        <w:t xml:space="preserve"> the FCA</w:t>
      </w:r>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proofErr w:type="gramStart"/>
      <w:r>
        <w:t>becomes</w:t>
      </w:r>
      <w:proofErr w:type="gramEnd"/>
      <w:r>
        <w:t xml:space="preserve">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as</w:t>
      </w:r>
      <w:proofErr w:type="gramEnd"/>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with</w:t>
      </w:r>
      <w:proofErr w:type="gramEnd"/>
      <w:r>
        <w:t xml:space="preserve"> the boundary conditions</w:t>
      </w:r>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8B580C" w:rsidRPr="005F1E57" w:rsidRDefault="0051475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where</w:t>
      </w:r>
      <w:proofErr w:type="gramEnd"/>
      <w:r>
        <w:t xml:space="preserve"> the modified adjustments</w:t>
      </w:r>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and</w:t>
      </w:r>
      <w:proofErr w:type="gramEnd"/>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proofErr w:type="gramStart"/>
      <w:r>
        <w:t>are</w:t>
      </w:r>
      <w:proofErr w:type="gramEnd"/>
      <w:r>
        <w:t xml:space="preserve"> additive across counter parties and netting sets with</w:t>
      </w:r>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proofErr w:type="gramStart"/>
      <w:r w:rsidRPr="00C24948">
        <w:rPr>
          <w:u w:val="single"/>
        </w:rPr>
        <w:t xml:space="preserve">the </w:t>
      </w:r>
      <w:proofErr w:type="gramEnd"/>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proofErr w:type="gramStart"/>
      <w:r>
        <w:t>and</w:t>
      </w:r>
      <w:proofErr w:type="gramEnd"/>
      <w:r>
        <w:t xml:space="preserve"> thus</w:t>
      </w:r>
    </w:p>
    <w:p w:rsidR="005F1E57" w:rsidRDefault="005F1E57" w:rsidP="005F1E57">
      <w:pPr>
        <w:pStyle w:val="ListParagraph"/>
        <w:spacing w:line="360" w:lineRule="auto"/>
        <w:ind w:left="360"/>
      </w:pPr>
    </w:p>
    <w:p w:rsidR="00C24948" w:rsidRP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51475F"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w:t>
      </w:r>
      <w:proofErr w:type="gramStart"/>
      <w:r w:rsidR="00C24948">
        <w:t>additive</w:t>
      </w:r>
      <w:proofErr w:type="gramEnd"/>
      <w:r w:rsidR="00C24948">
        <w:t xml:space="preser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proofErr w:type="gramStart"/>
      <w:r>
        <w:t>implies</w:t>
      </w:r>
      <w:proofErr w:type="gramEnd"/>
      <w:r>
        <w:t xml:space="preserve">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51475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proofErr w:type="gramStart"/>
      <w:r>
        <w:t xml:space="preserve">of </w:t>
      </w:r>
      <w:proofErr w:type="gramEnd"/>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proofErr w:type="gramStart"/>
      <w:r>
        <w:t>where</w:t>
      </w:r>
      <w:proofErr w:type="gramEnd"/>
      <w:r>
        <w:t xml:space="preserv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r>
        <w:t xml:space="preserve"> inserting</w:t>
      </w:r>
      <w:r w:rsidR="00194686">
        <w:t xml:space="preserve"> these into the general formula</w:t>
      </w:r>
    </w:p>
    <w:p w:rsidR="00676437" w:rsidRDefault="00676437" w:rsidP="005F1E57">
      <w:pPr>
        <w:pStyle w:val="ListParagraph"/>
        <w:spacing w:line="360" w:lineRule="auto"/>
        <w:ind w:left="360"/>
      </w:pPr>
    </w:p>
    <w:p w:rsidR="0067643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yields</w:t>
      </w:r>
      <w:proofErr w:type="gramEnd"/>
    </w:p>
    <w:p w:rsidR="00676437" w:rsidRDefault="00676437" w:rsidP="005F1E57">
      <w:pPr>
        <w:pStyle w:val="ListParagraph"/>
        <w:spacing w:line="360" w:lineRule="auto"/>
        <w:ind w:left="360"/>
      </w:pPr>
    </w:p>
    <w:p w:rsidR="0067643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proofErr w:type="gramStart"/>
      <w:r>
        <w:t>and</w:t>
      </w:r>
      <w:proofErr w:type="gramEnd"/>
    </w:p>
    <w:p w:rsidR="0067643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proofErr w:type="gramStart"/>
      <w:r>
        <w:t>where</w:t>
      </w:r>
      <w:proofErr w:type="gramEnd"/>
      <w:r>
        <w:t xml:space="preserve"> </w:t>
      </w:r>
      <w:r w:rsidR="00BE36F7">
        <w:t>the zero bond basis relation</w:t>
      </w:r>
    </w:p>
    <w:p w:rsidR="00676437" w:rsidRDefault="00676437" w:rsidP="005F1E57">
      <w:pPr>
        <w:pStyle w:val="ListParagraph"/>
        <w:spacing w:line="360" w:lineRule="auto"/>
        <w:ind w:left="360"/>
      </w:pPr>
    </w:p>
    <w:p w:rsidR="00676437" w:rsidRDefault="0051475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proofErr w:type="gramStart"/>
      <w:r>
        <w:t>has</w:t>
      </w:r>
      <w:proofErr w:type="gramEnd"/>
      <w:r>
        <w:t xml:space="preserve">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proofErr w:type="gramStart"/>
      <w:r>
        <w:t>cancels</w:t>
      </w:r>
      <w:proofErr w:type="gramEnd"/>
      <w:r>
        <w:t xml:space="preserve">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51475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w:t>
      </w:r>
      <w:proofErr w:type="gramStart"/>
      <w:r>
        <w:t xml:space="preserve">by </w:t>
      </w:r>
      <w:proofErr w:type="gramEnd"/>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51475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where</w:t>
      </w:r>
      <w:proofErr w:type="gramEnd"/>
      <w:r>
        <w:t xml:space="preserv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with</w:t>
      </w:r>
      <w:proofErr w:type="gramEnd"/>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proofErr w:type="gramStart"/>
      <w:r>
        <w:t>and</w:t>
      </w:r>
      <w:proofErr w:type="gramEnd"/>
      <w:r>
        <w:t xml:space="preserve"> has replaced FTDCVA in</w:t>
      </w:r>
    </w:p>
    <w:p w:rsidR="00676437" w:rsidRDefault="00676437" w:rsidP="00676437">
      <w:pPr>
        <w:pStyle w:val="ListParagraph"/>
        <w:spacing w:line="360" w:lineRule="auto"/>
        <w:ind w:left="360"/>
      </w:pPr>
    </w:p>
    <w:p w:rsidR="004F1450" w:rsidRPr="00676437" w:rsidRDefault="0051475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xml:space="preserve">- </w:t>
      </w:r>
      <w:proofErr w:type="gramStart"/>
      <w:r>
        <w:t>the</w:t>
      </w:r>
      <w:proofErr w:type="gramEnd"/>
      <w:r>
        <w:t xml:space="preserve"> strategy IV – yields the economic value</w:t>
      </w:r>
    </w:p>
    <w:p w:rsidR="00676437" w:rsidRDefault="00676437" w:rsidP="00676437">
      <w:pPr>
        <w:pStyle w:val="ListParagraph"/>
        <w:spacing w:line="360" w:lineRule="auto"/>
        <w:ind w:left="360"/>
      </w:pPr>
    </w:p>
    <w:p w:rsidR="00676437" w:rsidRDefault="0051475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proofErr w:type="gramStart"/>
      <w:r>
        <w:t>rather</w:t>
      </w:r>
      <w:proofErr w:type="gramEnd"/>
      <w:r>
        <w:t xml:space="preserve"> than</w:t>
      </w:r>
    </w:p>
    <w:p w:rsidR="00676437" w:rsidRDefault="00676437" w:rsidP="00676437">
      <w:pPr>
        <w:pStyle w:val="ListParagraph"/>
        <w:spacing w:line="360" w:lineRule="auto"/>
        <w:ind w:left="360"/>
      </w:pPr>
    </w:p>
    <w:p w:rsidR="0063634F" w:rsidRPr="00676437" w:rsidRDefault="0051475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51475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proofErr w:type="gramStart"/>
      <w:r>
        <w:t>indeed</w:t>
      </w:r>
      <w:proofErr w:type="gramEnd"/>
      <w:r>
        <w:t xml:space="preserve">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51475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51475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w:t>
      </w:r>
      <w:proofErr w:type="gramStart"/>
      <w:r>
        <w:t xml:space="preserve">the </w:t>
      </w:r>
      <w:proofErr w:type="gramEnd"/>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51475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proofErr w:type="gramStart"/>
      <w:r>
        <w:t>which</w:t>
      </w:r>
      <w:proofErr w:type="gramEnd"/>
      <w:r>
        <w:t xml:space="preserve"> is the solution to</w:t>
      </w:r>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51475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51475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51475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the PDE’s</w:t>
      </w:r>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proofErr w:type="gramStart"/>
      <w:r>
        <w:t>in</w:t>
      </w:r>
      <w:proofErr w:type="gramEnd"/>
      <w:r>
        <w:t xml:space="preserve"> which case one obtains</w:t>
      </w:r>
    </w:p>
    <w:p w:rsidR="008A7C9B" w:rsidRDefault="008A7C9B" w:rsidP="008A7C9B">
      <w:pPr>
        <w:pStyle w:val="ListParagraph"/>
        <w:spacing w:line="360" w:lineRule="auto"/>
        <w:ind w:left="360"/>
      </w:pPr>
    </w:p>
    <w:p w:rsidR="008A7C9B" w:rsidRDefault="0051475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proofErr w:type="gramStart"/>
      <w:r>
        <w:t>and</w:t>
      </w:r>
      <w:proofErr w:type="gramEnd"/>
    </w:p>
    <w:p w:rsidR="008A7C9B" w:rsidRDefault="008A7C9B" w:rsidP="008A7C9B">
      <w:pPr>
        <w:pStyle w:val="ListParagraph"/>
        <w:spacing w:line="360" w:lineRule="auto"/>
        <w:ind w:left="360"/>
      </w:pPr>
    </w:p>
    <w:p w:rsidR="00D862E5" w:rsidRPr="008A7C9B" w:rsidRDefault="0051475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51475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proofErr w:type="gramStart"/>
      <w:r>
        <w:t>and</w:t>
      </w:r>
      <w:proofErr w:type="gramEnd"/>
    </w:p>
    <w:p w:rsidR="00A57A13" w:rsidRDefault="00A57A13" w:rsidP="00A57A13">
      <w:pPr>
        <w:pStyle w:val="ListParagraph"/>
        <w:spacing w:line="360" w:lineRule="auto"/>
        <w:ind w:left="360"/>
      </w:pPr>
    </w:p>
    <w:p w:rsidR="00A57A13" w:rsidRDefault="0051475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proofErr w:type="gramStart"/>
      <w:r>
        <w:t>where</w:t>
      </w:r>
      <w:proofErr w:type="gramEnd"/>
      <w:r>
        <w:t xml:space="preserv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51475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51475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proofErr w:type="gramStart"/>
      <w:r>
        <w:t>apart</w:t>
      </w:r>
      <w:proofErr w:type="gramEnd"/>
      <w:r>
        <w:t xml:space="preserve">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it</w:t>
      </w:r>
      <w:proofErr w:type="gramEnd"/>
      <w:r>
        <w:t xml:space="preserve"> follows that the PDE</w:t>
      </w:r>
    </w:p>
    <w:p w:rsidR="00493DE7" w:rsidRDefault="00493DE7" w:rsidP="00493DE7">
      <w:pPr>
        <w:pStyle w:val="ListParagraph"/>
        <w:spacing w:line="360" w:lineRule="auto"/>
        <w:ind w:left="360"/>
      </w:pPr>
    </w:p>
    <w:p w:rsidR="00493DE7" w:rsidRDefault="0051475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51475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before</w:t>
      </w:r>
      <w:proofErr w:type="gramEnd"/>
      <w:r>
        <w:t xml:space="preserve"> invoking the zero basis conditions</w:t>
      </w:r>
    </w:p>
    <w:p w:rsidR="00493DE7" w:rsidRDefault="00493DE7" w:rsidP="00493DE7">
      <w:pPr>
        <w:pStyle w:val="ListParagraph"/>
        <w:spacing w:line="360" w:lineRule="auto"/>
        <w:ind w:left="360"/>
      </w:pPr>
    </w:p>
    <w:p w:rsidR="00493DE7"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and</w:t>
      </w:r>
      <w:proofErr w:type="gramEnd"/>
    </w:p>
    <w:p w:rsidR="00493DE7" w:rsidRDefault="00493DE7" w:rsidP="00493DE7">
      <w:pPr>
        <w:pStyle w:val="ListParagraph"/>
        <w:spacing w:line="360" w:lineRule="auto"/>
        <w:ind w:left="360"/>
      </w:pPr>
    </w:p>
    <w:p w:rsidR="00493DE7"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proofErr w:type="gramStart"/>
      <w:r>
        <w:t>takes</w:t>
      </w:r>
      <w:proofErr w:type="gramEnd"/>
      <w:r>
        <w:t xml:space="preserve"> the form</w:t>
      </w:r>
    </w:p>
    <w:p w:rsidR="00493DE7" w:rsidRDefault="00493DE7" w:rsidP="00493DE7">
      <w:pPr>
        <w:pStyle w:val="ListParagraph"/>
        <w:spacing w:line="360" w:lineRule="auto"/>
        <w:ind w:left="360"/>
      </w:pPr>
    </w:p>
    <w:p w:rsidR="00493DE7" w:rsidRDefault="0051475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51475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proofErr w:type="gramStart"/>
      <w:r>
        <w:t>and</w:t>
      </w:r>
      <w:proofErr w:type="gramEnd"/>
      <w:r>
        <w:t xml:space="preserve"> the ansatz</w:t>
      </w:r>
    </w:p>
    <w:p w:rsidR="00C165F7" w:rsidRDefault="00C165F7" w:rsidP="00493DE7">
      <w:pPr>
        <w:pStyle w:val="ListParagraph"/>
        <w:spacing w:line="360" w:lineRule="auto"/>
        <w:ind w:left="360"/>
      </w:pPr>
    </w:p>
    <w:p w:rsidR="00C165F7" w:rsidRDefault="0051475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into</w:t>
      </w:r>
      <w:proofErr w:type="gramEnd"/>
    </w:p>
    <w:p w:rsidR="00C165F7" w:rsidRDefault="00C165F7" w:rsidP="00493DE7">
      <w:pPr>
        <w:pStyle w:val="ListParagraph"/>
        <w:spacing w:line="360" w:lineRule="auto"/>
        <w:ind w:left="360"/>
      </w:pPr>
    </w:p>
    <w:p w:rsidR="00C165F7" w:rsidRDefault="0051475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51475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lastRenderedPageBreak/>
        <w:t>one</w:t>
      </w:r>
      <w:proofErr w:type="gramEnd"/>
      <w:r>
        <w:t xml:space="preserve"> obtains</w:t>
      </w:r>
    </w:p>
    <w:p w:rsidR="00C165F7" w:rsidRDefault="00C165F7" w:rsidP="00493DE7">
      <w:pPr>
        <w:pStyle w:val="ListParagraph"/>
        <w:spacing w:line="360" w:lineRule="auto"/>
        <w:ind w:left="360"/>
      </w:pPr>
    </w:p>
    <w:p w:rsidR="00C165F7" w:rsidRDefault="0051475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proofErr w:type="gramStart"/>
      <w:r>
        <w:t>with</w:t>
      </w:r>
      <w:proofErr w:type="gramEnd"/>
    </w:p>
    <w:p w:rsidR="00D85F42" w:rsidRDefault="00D85F42" w:rsidP="00493DE7">
      <w:pPr>
        <w:pStyle w:val="ListParagraph"/>
        <w:spacing w:line="360" w:lineRule="auto"/>
        <w:ind w:left="360"/>
      </w:pPr>
    </w:p>
    <w:p w:rsidR="00B53ECF" w:rsidRPr="00C165F7" w:rsidRDefault="0051475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51475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1475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respectively</w:t>
      </w:r>
      <w:proofErr w:type="gramEnd"/>
      <w:r>
        <w:t>, one obtains</w:t>
      </w:r>
    </w:p>
    <w:p w:rsidR="001D6E76" w:rsidRDefault="001D6E76" w:rsidP="001D6E76">
      <w:pPr>
        <w:pStyle w:val="ListParagraph"/>
        <w:spacing w:line="360" w:lineRule="auto"/>
        <w:ind w:left="360"/>
      </w:pPr>
    </w:p>
    <w:p w:rsidR="001D6E76" w:rsidRDefault="0051475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51475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proofErr w:type="gramStart"/>
      <w:r>
        <w:t>so</w:t>
      </w:r>
      <w:proofErr w:type="gramEnd"/>
      <w:r>
        <w:t xml:space="preserve"> it follows that</w:t>
      </w:r>
    </w:p>
    <w:p w:rsidR="001D6E76" w:rsidRDefault="001D6E76" w:rsidP="001D6E76">
      <w:pPr>
        <w:pStyle w:val="ListParagraph"/>
        <w:spacing w:line="360" w:lineRule="auto"/>
        <w:ind w:left="360"/>
      </w:pPr>
    </w:p>
    <w:p w:rsidR="00333B3E" w:rsidRPr="001D6E76" w:rsidRDefault="0051475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51475F"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51475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proofErr w:type="gramStart"/>
      <w:r>
        <w:t>then</w:t>
      </w:r>
      <w:proofErr w:type="gramEnd"/>
      <w:r>
        <w:t xml:space="preserve"> </w:t>
      </w:r>
      <w:r w:rsidR="003D71F9">
        <w:t>it was shown earlier t</w:t>
      </w:r>
      <w:r>
        <w:t>hat</w:t>
      </w:r>
    </w:p>
    <w:p w:rsidR="007A7631" w:rsidRDefault="007A7631" w:rsidP="007A7631">
      <w:pPr>
        <w:pStyle w:val="ListParagraph"/>
        <w:spacing w:line="360" w:lineRule="auto"/>
        <w:ind w:left="360"/>
      </w:pPr>
    </w:p>
    <w:p w:rsidR="007A7631" w:rsidRDefault="0051475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proofErr w:type="gramStart"/>
      <w:r>
        <w:t>for</w:t>
      </w:r>
      <w:proofErr w:type="gramEnd"/>
      <w:r>
        <w:t xml:space="preserve">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51475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51475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proofErr w:type="gramStart"/>
      <w:r>
        <w:t>is</w:t>
      </w:r>
      <w:proofErr w:type="gramEnd"/>
      <w:r>
        <w:t xml:space="preserve"> rewritten as</w:t>
      </w:r>
    </w:p>
    <w:p w:rsidR="007A7631" w:rsidRDefault="007A7631" w:rsidP="007A7631">
      <w:pPr>
        <w:pStyle w:val="ListParagraph"/>
        <w:spacing w:line="360" w:lineRule="auto"/>
        <w:ind w:left="360"/>
      </w:pPr>
    </w:p>
    <w:p w:rsidR="007A7631" w:rsidRDefault="0051475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proofErr w:type="gramStart"/>
      <w:r>
        <w:t>which</w:t>
      </w:r>
      <w:proofErr w:type="gramEnd"/>
      <w:r>
        <w:t xml:space="preserve">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proofErr w:type="gramStart"/>
      <w:r>
        <w:t>it</w:t>
      </w:r>
      <w:proofErr w:type="gramEnd"/>
      <w:r>
        <w:t xml:space="preserve"> follows that the PDE</w:t>
      </w:r>
    </w:p>
    <w:p w:rsidR="0095261B" w:rsidRDefault="0095261B" w:rsidP="007A7631">
      <w:pPr>
        <w:pStyle w:val="ListParagraph"/>
        <w:spacing w:line="360" w:lineRule="auto"/>
        <w:ind w:left="360"/>
      </w:pPr>
    </w:p>
    <w:p w:rsidR="0095261B" w:rsidRDefault="0051475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51475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proofErr w:type="gramStart"/>
      <w:r>
        <w:t>before</w:t>
      </w:r>
      <w:proofErr w:type="gramEnd"/>
      <w:r>
        <w:t xml:space="preserve"> invoking the zero basis conditions takes the form</w:t>
      </w:r>
    </w:p>
    <w:p w:rsidR="0095261B" w:rsidRDefault="0095261B" w:rsidP="007A7631">
      <w:pPr>
        <w:pStyle w:val="ListParagraph"/>
        <w:spacing w:line="360" w:lineRule="auto"/>
        <w:ind w:left="360"/>
      </w:pPr>
    </w:p>
    <w:p w:rsidR="0095261B" w:rsidRDefault="0051475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51475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51475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proofErr w:type="gramStart"/>
      <w:r>
        <w:t>and</w:t>
      </w:r>
      <w:proofErr w:type="gramEnd"/>
      <w:r>
        <w:t xml:space="preserve"> the funding strategy</w:t>
      </w:r>
    </w:p>
    <w:p w:rsidR="009802FB" w:rsidRDefault="009802FB" w:rsidP="0095261B">
      <w:pPr>
        <w:pStyle w:val="ListParagraph"/>
        <w:spacing w:line="360" w:lineRule="auto"/>
        <w:ind w:left="360"/>
      </w:pPr>
    </w:p>
    <w:p w:rsidR="009802FB"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51475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proofErr w:type="gramStart"/>
      <w:r>
        <w:t>one</w:t>
      </w:r>
      <w:proofErr w:type="gramEnd"/>
      <w:r>
        <w:t xml:space="preserve"> obtains</w:t>
      </w:r>
    </w:p>
    <w:p w:rsidR="00EB6CFC" w:rsidRDefault="00EB6CFC" w:rsidP="0095261B">
      <w:pPr>
        <w:pStyle w:val="ListParagraph"/>
        <w:spacing w:line="360" w:lineRule="auto"/>
        <w:ind w:left="360"/>
      </w:pPr>
    </w:p>
    <w:p w:rsidR="003E10CD" w:rsidRPr="00EB6CFC" w:rsidRDefault="0051475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51475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the</w:t>
      </w:r>
      <w:proofErr w:type="gramEnd"/>
      <w:r>
        <w:t xml:space="preserv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51475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proofErr w:type="gramStart"/>
      <w:r>
        <w:t>and</w:t>
      </w:r>
      <w:proofErr w:type="gramEnd"/>
      <w:r>
        <w:t xml:space="preserve">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51475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proofErr w:type="gramStart"/>
      <w:r>
        <w:t>and</w:t>
      </w:r>
      <w:proofErr w:type="gramEnd"/>
      <w:r>
        <w:t xml:space="preserve">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51475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proofErr w:type="gramStart"/>
      <w:r>
        <w:t>one</w:t>
      </w:r>
      <w:proofErr w:type="gramEnd"/>
      <w:r>
        <w:t xml:space="preserve"> in fact has the equality</w:t>
      </w:r>
    </w:p>
    <w:p w:rsidR="00B7496E" w:rsidRDefault="00B7496E" w:rsidP="00B7496E">
      <w:pPr>
        <w:pStyle w:val="ListParagraph"/>
        <w:spacing w:line="360" w:lineRule="auto"/>
        <w:ind w:left="360"/>
      </w:pPr>
    </w:p>
    <w:p w:rsidR="00B7496E" w:rsidRDefault="0051475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proofErr w:type="gramStart"/>
      <w:r>
        <w:t>as</w:t>
      </w:r>
      <w:proofErr w:type="gramEnd"/>
      <w:r>
        <w:t xml:space="preserve">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51475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w:t>
      </w:r>
      <w:proofErr w:type="gramStart"/>
      <w:r w:rsidR="00167872" w:rsidRPr="00167872">
        <w:rPr>
          <w:u w:val="single"/>
        </w:rPr>
        <w:t>more</w:t>
      </w:r>
      <w:proofErr w:type="gramEnd"/>
      <w:r w:rsidR="00167872" w:rsidRPr="00167872">
        <w:rPr>
          <w:u w:val="single"/>
        </w:rPr>
        <w:t xml:space="preserv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51475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and</w:t>
      </w:r>
      <w:proofErr w:type="gramEnd"/>
    </w:p>
    <w:p w:rsidR="005C206F" w:rsidRDefault="005C206F" w:rsidP="005C206F">
      <w:pPr>
        <w:pStyle w:val="ListParagraph"/>
        <w:spacing w:line="360" w:lineRule="auto"/>
        <w:ind w:left="360"/>
      </w:pPr>
    </w:p>
    <w:p w:rsidR="005C206F" w:rsidRDefault="0051475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proofErr w:type="gramStart"/>
      <w:r>
        <w:t>it</w:t>
      </w:r>
      <w:proofErr w:type="gramEnd"/>
      <w:r>
        <w:t xml:space="preserve"> follows that</w:t>
      </w:r>
    </w:p>
    <w:p w:rsidR="005C206F" w:rsidRDefault="005C206F" w:rsidP="005C206F">
      <w:pPr>
        <w:pStyle w:val="ListParagraph"/>
        <w:spacing w:line="360" w:lineRule="auto"/>
        <w:ind w:left="360"/>
      </w:pPr>
    </w:p>
    <w:p w:rsidR="00167872" w:rsidRPr="005C206F" w:rsidRDefault="0051475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proofErr w:type="gramStart"/>
      <w:r>
        <w:lastRenderedPageBreak/>
        <w:t>due</w:t>
      </w:r>
      <w:proofErr w:type="gramEnd"/>
      <w:r>
        <w:t xml:space="preserv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w:t>
      </w:r>
      <w:proofErr w:type="gramStart"/>
      <w:r>
        <w:t xml:space="preserve">than </w:t>
      </w:r>
      <w:proofErr w:type="gramEnd"/>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51475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51475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51475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51475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51475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51475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proofErr w:type="gramStart"/>
      <w:r>
        <w:lastRenderedPageBreak/>
        <w:t>so</w:t>
      </w:r>
      <w:proofErr w:type="gramEnd"/>
      <w:r>
        <w:t xml:space="preserve"> the bondholder windfalls under strategy III are always greater than or equal to that of strategy I.</w:t>
      </w:r>
    </w:p>
    <w:p w:rsidR="00D40F8B" w:rsidRDefault="0051475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51475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proofErr w:type="gramStart"/>
      <w:r>
        <w:t>this</w:t>
      </w:r>
      <w:proofErr w:type="gramEnd"/>
      <w:r>
        <w:t xml:space="preserve"> translates into</w:t>
      </w:r>
    </w:p>
    <w:p w:rsidR="00375834" w:rsidRDefault="00375834" w:rsidP="00D40F8B">
      <w:pPr>
        <w:pStyle w:val="ListParagraph"/>
        <w:spacing w:line="360" w:lineRule="auto"/>
        <w:ind w:left="360"/>
      </w:pPr>
    </w:p>
    <w:p w:rsidR="00375834" w:rsidRDefault="0051475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proofErr w:type="gramStart"/>
      <w:r>
        <w:t>so</w:t>
      </w:r>
      <w:proofErr w:type="gramEnd"/>
      <w:r>
        <w:t xml:space="preserve">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proofErr w:type="gramStart"/>
      <w:r>
        <w:t>or</w:t>
      </w:r>
      <w:proofErr w:type="gramEnd"/>
      <w:r>
        <w:t xml:space="preserve"> more precisely its refinement in</w:t>
      </w:r>
    </w:p>
    <w:p w:rsidR="001A00F4" w:rsidRDefault="001A00F4" w:rsidP="00375834">
      <w:pPr>
        <w:pStyle w:val="ListParagraph"/>
        <w:spacing w:line="360" w:lineRule="auto"/>
        <w:ind w:left="360"/>
      </w:pPr>
    </w:p>
    <w:p w:rsid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51475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proofErr w:type="gramStart"/>
      <w:r>
        <w:rPr>
          <w:i/>
        </w:rPr>
        <w:t>The</w:t>
      </w:r>
      <w:proofErr w:type="gramEnd"/>
      <w:r>
        <w:rPr>
          <w:i/>
        </w:rPr>
        <w:t xml:space="preserv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B62" w:rsidRDefault="00575B62" w:rsidP="008F462D">
      <w:r>
        <w:separator/>
      </w:r>
    </w:p>
  </w:endnote>
  <w:endnote w:type="continuationSeparator" w:id="0">
    <w:p w:rsidR="00575B62" w:rsidRDefault="00575B62"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2B48A0" w:rsidRDefault="002B48A0">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2B48A0" w:rsidRDefault="002B48A0">
        <w:pPr>
          <w:pStyle w:val="Footer"/>
          <w:jc w:val="center"/>
        </w:pPr>
        <w:r>
          <w:fldChar w:fldCharType="begin"/>
        </w:r>
        <w:r>
          <w:instrText xml:space="preserve"> PAGE    \* MERGEFORMAT </w:instrText>
        </w:r>
        <w:r>
          <w:fldChar w:fldCharType="separate"/>
        </w:r>
        <w:r w:rsidR="00416ECC">
          <w:rPr>
            <w:noProof/>
          </w:rPr>
          <w:t>1</w:t>
        </w:r>
        <w:r>
          <w:rPr>
            <w:noProof/>
          </w:rPr>
          <w:fldChar w:fldCharType="end"/>
        </w:r>
      </w:p>
    </w:sdtContent>
  </w:sdt>
  <w:p w:rsidR="002B48A0" w:rsidRDefault="002B48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B62" w:rsidRDefault="00575B62" w:rsidP="008F462D">
      <w:r>
        <w:separator/>
      </w:r>
    </w:p>
  </w:footnote>
  <w:footnote w:type="continuationSeparator" w:id="0">
    <w:p w:rsidR="00575B62" w:rsidRDefault="00575B62"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7">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5">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9"/>
  </w:num>
  <w:num w:numId="2">
    <w:abstractNumId w:val="56"/>
  </w:num>
  <w:num w:numId="3">
    <w:abstractNumId w:val="127"/>
  </w:num>
  <w:num w:numId="4">
    <w:abstractNumId w:val="43"/>
  </w:num>
  <w:num w:numId="5">
    <w:abstractNumId w:val="40"/>
  </w:num>
  <w:num w:numId="6">
    <w:abstractNumId w:val="96"/>
  </w:num>
  <w:num w:numId="7">
    <w:abstractNumId w:val="144"/>
  </w:num>
  <w:num w:numId="8">
    <w:abstractNumId w:val="118"/>
  </w:num>
  <w:num w:numId="9">
    <w:abstractNumId w:val="116"/>
  </w:num>
  <w:num w:numId="10">
    <w:abstractNumId w:val="48"/>
  </w:num>
  <w:num w:numId="11">
    <w:abstractNumId w:val="61"/>
  </w:num>
  <w:num w:numId="12">
    <w:abstractNumId w:val="2"/>
  </w:num>
  <w:num w:numId="13">
    <w:abstractNumId w:val="5"/>
  </w:num>
  <w:num w:numId="14">
    <w:abstractNumId w:val="123"/>
  </w:num>
  <w:num w:numId="15">
    <w:abstractNumId w:val="66"/>
  </w:num>
  <w:num w:numId="16">
    <w:abstractNumId w:val="125"/>
  </w:num>
  <w:num w:numId="17">
    <w:abstractNumId w:val="21"/>
  </w:num>
  <w:num w:numId="18">
    <w:abstractNumId w:val="138"/>
  </w:num>
  <w:num w:numId="19">
    <w:abstractNumId w:val="129"/>
  </w:num>
  <w:num w:numId="20">
    <w:abstractNumId w:val="39"/>
  </w:num>
  <w:num w:numId="21">
    <w:abstractNumId w:val="8"/>
  </w:num>
  <w:num w:numId="22">
    <w:abstractNumId w:val="93"/>
  </w:num>
  <w:num w:numId="23">
    <w:abstractNumId w:val="140"/>
  </w:num>
  <w:num w:numId="24">
    <w:abstractNumId w:val="20"/>
  </w:num>
  <w:num w:numId="25">
    <w:abstractNumId w:val="115"/>
  </w:num>
  <w:num w:numId="26">
    <w:abstractNumId w:val="106"/>
  </w:num>
  <w:num w:numId="27">
    <w:abstractNumId w:val="90"/>
  </w:num>
  <w:num w:numId="28">
    <w:abstractNumId w:val="32"/>
  </w:num>
  <w:num w:numId="29">
    <w:abstractNumId w:val="89"/>
  </w:num>
  <w:num w:numId="30">
    <w:abstractNumId w:val="15"/>
  </w:num>
  <w:num w:numId="31">
    <w:abstractNumId w:val="133"/>
  </w:num>
  <w:num w:numId="32">
    <w:abstractNumId w:val="37"/>
  </w:num>
  <w:num w:numId="33">
    <w:abstractNumId w:val="139"/>
  </w:num>
  <w:num w:numId="34">
    <w:abstractNumId w:val="9"/>
  </w:num>
  <w:num w:numId="35">
    <w:abstractNumId w:val="4"/>
  </w:num>
  <w:num w:numId="36">
    <w:abstractNumId w:val="85"/>
  </w:num>
  <w:num w:numId="37">
    <w:abstractNumId w:val="103"/>
  </w:num>
  <w:num w:numId="38">
    <w:abstractNumId w:val="41"/>
  </w:num>
  <w:num w:numId="39">
    <w:abstractNumId w:val="137"/>
  </w:num>
  <w:num w:numId="40">
    <w:abstractNumId w:val="24"/>
  </w:num>
  <w:num w:numId="41">
    <w:abstractNumId w:val="22"/>
  </w:num>
  <w:num w:numId="42">
    <w:abstractNumId w:val="26"/>
  </w:num>
  <w:num w:numId="43">
    <w:abstractNumId w:val="92"/>
  </w:num>
  <w:num w:numId="44">
    <w:abstractNumId w:val="101"/>
  </w:num>
  <w:num w:numId="45">
    <w:abstractNumId w:val="46"/>
  </w:num>
  <w:num w:numId="46">
    <w:abstractNumId w:val="49"/>
  </w:num>
  <w:num w:numId="47">
    <w:abstractNumId w:val="102"/>
  </w:num>
  <w:num w:numId="48">
    <w:abstractNumId w:val="126"/>
  </w:num>
  <w:num w:numId="49">
    <w:abstractNumId w:val="47"/>
  </w:num>
  <w:num w:numId="50">
    <w:abstractNumId w:val="121"/>
  </w:num>
  <w:num w:numId="51">
    <w:abstractNumId w:val="79"/>
  </w:num>
  <w:num w:numId="52">
    <w:abstractNumId w:val="148"/>
  </w:num>
  <w:num w:numId="53">
    <w:abstractNumId w:val="122"/>
  </w:num>
  <w:num w:numId="54">
    <w:abstractNumId w:val="78"/>
  </w:num>
  <w:num w:numId="55">
    <w:abstractNumId w:val="74"/>
  </w:num>
  <w:num w:numId="56">
    <w:abstractNumId w:val="128"/>
  </w:num>
  <w:num w:numId="57">
    <w:abstractNumId w:val="29"/>
  </w:num>
  <w:num w:numId="58">
    <w:abstractNumId w:val="97"/>
  </w:num>
  <w:num w:numId="59">
    <w:abstractNumId w:val="69"/>
  </w:num>
  <w:num w:numId="60">
    <w:abstractNumId w:val="65"/>
  </w:num>
  <w:num w:numId="61">
    <w:abstractNumId w:val="71"/>
  </w:num>
  <w:num w:numId="62">
    <w:abstractNumId w:val="87"/>
  </w:num>
  <w:num w:numId="63">
    <w:abstractNumId w:val="18"/>
  </w:num>
  <w:num w:numId="64">
    <w:abstractNumId w:val="104"/>
  </w:num>
  <w:num w:numId="65">
    <w:abstractNumId w:val="83"/>
  </w:num>
  <w:num w:numId="66">
    <w:abstractNumId w:val="134"/>
  </w:num>
  <w:num w:numId="67">
    <w:abstractNumId w:val="10"/>
  </w:num>
  <w:num w:numId="68">
    <w:abstractNumId w:val="54"/>
  </w:num>
  <w:num w:numId="69">
    <w:abstractNumId w:val="3"/>
  </w:num>
  <w:num w:numId="70">
    <w:abstractNumId w:val="59"/>
  </w:num>
  <w:num w:numId="71">
    <w:abstractNumId w:val="33"/>
  </w:num>
  <w:num w:numId="72">
    <w:abstractNumId w:val="25"/>
  </w:num>
  <w:num w:numId="73">
    <w:abstractNumId w:val="50"/>
  </w:num>
  <w:num w:numId="74">
    <w:abstractNumId w:val="82"/>
  </w:num>
  <w:num w:numId="75">
    <w:abstractNumId w:val="136"/>
  </w:num>
  <w:num w:numId="76">
    <w:abstractNumId w:val="45"/>
  </w:num>
  <w:num w:numId="77">
    <w:abstractNumId w:val="12"/>
  </w:num>
  <w:num w:numId="78">
    <w:abstractNumId w:val="75"/>
  </w:num>
  <w:num w:numId="79">
    <w:abstractNumId w:val="38"/>
  </w:num>
  <w:num w:numId="80">
    <w:abstractNumId w:val="94"/>
  </w:num>
  <w:num w:numId="81">
    <w:abstractNumId w:val="58"/>
  </w:num>
  <w:num w:numId="82">
    <w:abstractNumId w:val="60"/>
  </w:num>
  <w:num w:numId="83">
    <w:abstractNumId w:val="42"/>
  </w:num>
  <w:num w:numId="84">
    <w:abstractNumId w:val="34"/>
  </w:num>
  <w:num w:numId="85">
    <w:abstractNumId w:val="70"/>
  </w:num>
  <w:num w:numId="86">
    <w:abstractNumId w:val="23"/>
  </w:num>
  <w:num w:numId="87">
    <w:abstractNumId w:val="31"/>
  </w:num>
  <w:num w:numId="88">
    <w:abstractNumId w:val="109"/>
  </w:num>
  <w:num w:numId="89">
    <w:abstractNumId w:val="77"/>
  </w:num>
  <w:num w:numId="90">
    <w:abstractNumId w:val="135"/>
  </w:num>
  <w:num w:numId="91">
    <w:abstractNumId w:val="117"/>
  </w:num>
  <w:num w:numId="92">
    <w:abstractNumId w:val="28"/>
  </w:num>
  <w:num w:numId="93">
    <w:abstractNumId w:val="14"/>
  </w:num>
  <w:num w:numId="94">
    <w:abstractNumId w:val="44"/>
  </w:num>
  <w:num w:numId="95">
    <w:abstractNumId w:val="100"/>
  </w:num>
  <w:num w:numId="96">
    <w:abstractNumId w:val="131"/>
  </w:num>
  <w:num w:numId="97">
    <w:abstractNumId w:val="17"/>
  </w:num>
  <w:num w:numId="98">
    <w:abstractNumId w:val="105"/>
  </w:num>
  <w:num w:numId="99">
    <w:abstractNumId w:val="13"/>
  </w:num>
  <w:num w:numId="100">
    <w:abstractNumId w:val="110"/>
  </w:num>
  <w:num w:numId="101">
    <w:abstractNumId w:val="98"/>
  </w:num>
  <w:num w:numId="102">
    <w:abstractNumId w:val="112"/>
  </w:num>
  <w:num w:numId="103">
    <w:abstractNumId w:val="141"/>
  </w:num>
  <w:num w:numId="104">
    <w:abstractNumId w:val="30"/>
  </w:num>
  <w:num w:numId="105">
    <w:abstractNumId w:val="124"/>
  </w:num>
  <w:num w:numId="106">
    <w:abstractNumId w:val="52"/>
  </w:num>
  <w:num w:numId="107">
    <w:abstractNumId w:val="0"/>
  </w:num>
  <w:num w:numId="108">
    <w:abstractNumId w:val="7"/>
  </w:num>
  <w:num w:numId="109">
    <w:abstractNumId w:val="108"/>
  </w:num>
  <w:num w:numId="110">
    <w:abstractNumId w:val="57"/>
  </w:num>
  <w:num w:numId="111">
    <w:abstractNumId w:val="64"/>
  </w:num>
  <w:num w:numId="112">
    <w:abstractNumId w:val="53"/>
  </w:num>
  <w:num w:numId="113">
    <w:abstractNumId w:val="107"/>
  </w:num>
  <w:num w:numId="114">
    <w:abstractNumId w:val="16"/>
  </w:num>
  <w:num w:numId="115">
    <w:abstractNumId w:val="130"/>
  </w:num>
  <w:num w:numId="116">
    <w:abstractNumId w:val="67"/>
  </w:num>
  <w:num w:numId="117">
    <w:abstractNumId w:val="111"/>
  </w:num>
  <w:num w:numId="118">
    <w:abstractNumId w:val="143"/>
  </w:num>
  <w:num w:numId="119">
    <w:abstractNumId w:val="84"/>
  </w:num>
  <w:num w:numId="120">
    <w:abstractNumId w:val="35"/>
  </w:num>
  <w:num w:numId="121">
    <w:abstractNumId w:val="63"/>
  </w:num>
  <w:num w:numId="122">
    <w:abstractNumId w:val="95"/>
  </w:num>
  <w:num w:numId="123">
    <w:abstractNumId w:val="76"/>
  </w:num>
  <w:num w:numId="124">
    <w:abstractNumId w:val="145"/>
  </w:num>
  <w:num w:numId="125">
    <w:abstractNumId w:val="68"/>
  </w:num>
  <w:num w:numId="126">
    <w:abstractNumId w:val="73"/>
  </w:num>
  <w:num w:numId="127">
    <w:abstractNumId w:val="1"/>
  </w:num>
  <w:num w:numId="128">
    <w:abstractNumId w:val="72"/>
  </w:num>
  <w:num w:numId="129">
    <w:abstractNumId w:val="51"/>
  </w:num>
  <w:num w:numId="130">
    <w:abstractNumId w:val="91"/>
  </w:num>
  <w:num w:numId="131">
    <w:abstractNumId w:val="88"/>
  </w:num>
  <w:num w:numId="132">
    <w:abstractNumId w:val="27"/>
  </w:num>
  <w:num w:numId="133">
    <w:abstractNumId w:val="55"/>
  </w:num>
  <w:num w:numId="134">
    <w:abstractNumId w:val="132"/>
  </w:num>
  <w:num w:numId="135">
    <w:abstractNumId w:val="146"/>
  </w:num>
  <w:num w:numId="136">
    <w:abstractNumId w:val="80"/>
  </w:num>
  <w:num w:numId="137">
    <w:abstractNumId w:val="81"/>
  </w:num>
  <w:num w:numId="138">
    <w:abstractNumId w:val="11"/>
  </w:num>
  <w:num w:numId="139">
    <w:abstractNumId w:val="36"/>
  </w:num>
  <w:num w:numId="140">
    <w:abstractNumId w:val="113"/>
  </w:num>
  <w:num w:numId="141">
    <w:abstractNumId w:val="147"/>
  </w:num>
  <w:num w:numId="142">
    <w:abstractNumId w:val="86"/>
  </w:num>
  <w:num w:numId="143">
    <w:abstractNumId w:val="119"/>
  </w:num>
  <w:num w:numId="144">
    <w:abstractNumId w:val="149"/>
  </w:num>
  <w:num w:numId="145">
    <w:abstractNumId w:val="62"/>
  </w:num>
  <w:num w:numId="146">
    <w:abstractNumId w:val="114"/>
  </w:num>
  <w:num w:numId="147">
    <w:abstractNumId w:val="19"/>
  </w:num>
  <w:num w:numId="148">
    <w:abstractNumId w:val="6"/>
  </w:num>
  <w:num w:numId="149">
    <w:abstractNumId w:val="120"/>
  </w:num>
  <w:num w:numId="150">
    <w:abstractNumId w:val="14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BF8"/>
    <w:rsid w:val="00045182"/>
    <w:rsid w:val="000524F8"/>
    <w:rsid w:val="00067878"/>
    <w:rsid w:val="00067F3A"/>
    <w:rsid w:val="00075039"/>
    <w:rsid w:val="00077E59"/>
    <w:rsid w:val="00080265"/>
    <w:rsid w:val="00080A69"/>
    <w:rsid w:val="00087983"/>
    <w:rsid w:val="00091F8B"/>
    <w:rsid w:val="000A4FAE"/>
    <w:rsid w:val="000A6E38"/>
    <w:rsid w:val="000B0074"/>
    <w:rsid w:val="000C371B"/>
    <w:rsid w:val="000C49C5"/>
    <w:rsid w:val="000D5C53"/>
    <w:rsid w:val="000F3195"/>
    <w:rsid w:val="00100D36"/>
    <w:rsid w:val="00103E3C"/>
    <w:rsid w:val="001071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581C"/>
    <w:rsid w:val="001D53F0"/>
    <w:rsid w:val="001D6E76"/>
    <w:rsid w:val="001E3150"/>
    <w:rsid w:val="001E562F"/>
    <w:rsid w:val="001F03C3"/>
    <w:rsid w:val="001F1086"/>
    <w:rsid w:val="00202BF1"/>
    <w:rsid w:val="00206443"/>
    <w:rsid w:val="00215B22"/>
    <w:rsid w:val="002207E3"/>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13DDE"/>
    <w:rsid w:val="00317AE9"/>
    <w:rsid w:val="00317EF3"/>
    <w:rsid w:val="00322068"/>
    <w:rsid w:val="00324EB1"/>
    <w:rsid w:val="00325D43"/>
    <w:rsid w:val="003279B0"/>
    <w:rsid w:val="00331F68"/>
    <w:rsid w:val="00333B3E"/>
    <w:rsid w:val="00337FA0"/>
    <w:rsid w:val="00350497"/>
    <w:rsid w:val="00354F45"/>
    <w:rsid w:val="003568B0"/>
    <w:rsid w:val="00356FDD"/>
    <w:rsid w:val="003579EF"/>
    <w:rsid w:val="003705EC"/>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63F15"/>
    <w:rsid w:val="0046445A"/>
    <w:rsid w:val="004719DA"/>
    <w:rsid w:val="004738E4"/>
    <w:rsid w:val="004778D0"/>
    <w:rsid w:val="00486537"/>
    <w:rsid w:val="004877DB"/>
    <w:rsid w:val="00493DE7"/>
    <w:rsid w:val="004B1053"/>
    <w:rsid w:val="004C6F87"/>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5B59"/>
    <w:rsid w:val="00564D99"/>
    <w:rsid w:val="00566250"/>
    <w:rsid w:val="00566A00"/>
    <w:rsid w:val="0057464A"/>
    <w:rsid w:val="00575B62"/>
    <w:rsid w:val="005772F3"/>
    <w:rsid w:val="00580D81"/>
    <w:rsid w:val="005A324B"/>
    <w:rsid w:val="005B0F28"/>
    <w:rsid w:val="005B4534"/>
    <w:rsid w:val="005C206F"/>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54F9D"/>
    <w:rsid w:val="006703B2"/>
    <w:rsid w:val="00673D82"/>
    <w:rsid w:val="00676437"/>
    <w:rsid w:val="00685B0C"/>
    <w:rsid w:val="006B0528"/>
    <w:rsid w:val="006B3E9E"/>
    <w:rsid w:val="006D305B"/>
    <w:rsid w:val="006E25B3"/>
    <w:rsid w:val="006F1D53"/>
    <w:rsid w:val="006F27C3"/>
    <w:rsid w:val="006F64BE"/>
    <w:rsid w:val="006F6E8B"/>
    <w:rsid w:val="00700516"/>
    <w:rsid w:val="0070274C"/>
    <w:rsid w:val="00707B1C"/>
    <w:rsid w:val="00710E9A"/>
    <w:rsid w:val="00720ADD"/>
    <w:rsid w:val="00722DFA"/>
    <w:rsid w:val="0074006C"/>
    <w:rsid w:val="007415B2"/>
    <w:rsid w:val="00744041"/>
    <w:rsid w:val="007551C1"/>
    <w:rsid w:val="007573D0"/>
    <w:rsid w:val="007640E7"/>
    <w:rsid w:val="007910A3"/>
    <w:rsid w:val="0079129B"/>
    <w:rsid w:val="00792306"/>
    <w:rsid w:val="00793420"/>
    <w:rsid w:val="00795C38"/>
    <w:rsid w:val="007A09A2"/>
    <w:rsid w:val="007A354A"/>
    <w:rsid w:val="007A7631"/>
    <w:rsid w:val="007B4B06"/>
    <w:rsid w:val="007B4E1A"/>
    <w:rsid w:val="007C472E"/>
    <w:rsid w:val="007C4ECC"/>
    <w:rsid w:val="007D0349"/>
    <w:rsid w:val="007D0B5A"/>
    <w:rsid w:val="007D6420"/>
    <w:rsid w:val="007E15A6"/>
    <w:rsid w:val="007E1F82"/>
    <w:rsid w:val="008070FF"/>
    <w:rsid w:val="00812F6B"/>
    <w:rsid w:val="00816933"/>
    <w:rsid w:val="0082029E"/>
    <w:rsid w:val="00821B54"/>
    <w:rsid w:val="008237E2"/>
    <w:rsid w:val="008253F3"/>
    <w:rsid w:val="00826ED9"/>
    <w:rsid w:val="00831741"/>
    <w:rsid w:val="00835955"/>
    <w:rsid w:val="008525AE"/>
    <w:rsid w:val="00854440"/>
    <w:rsid w:val="008618EB"/>
    <w:rsid w:val="00866F93"/>
    <w:rsid w:val="008671B2"/>
    <w:rsid w:val="00871D26"/>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C63C0"/>
    <w:rsid w:val="008D56A2"/>
    <w:rsid w:val="008E5A6F"/>
    <w:rsid w:val="008F175A"/>
    <w:rsid w:val="008F462D"/>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1191"/>
    <w:rsid w:val="009B40E8"/>
    <w:rsid w:val="009B4E7B"/>
    <w:rsid w:val="009C274C"/>
    <w:rsid w:val="009D0A87"/>
    <w:rsid w:val="009D3E2B"/>
    <w:rsid w:val="009D49F0"/>
    <w:rsid w:val="009D7797"/>
    <w:rsid w:val="009E5F68"/>
    <w:rsid w:val="00A02A9E"/>
    <w:rsid w:val="00A0478C"/>
    <w:rsid w:val="00A15876"/>
    <w:rsid w:val="00A243B5"/>
    <w:rsid w:val="00A25D37"/>
    <w:rsid w:val="00A26F19"/>
    <w:rsid w:val="00A51480"/>
    <w:rsid w:val="00A57A13"/>
    <w:rsid w:val="00A611B3"/>
    <w:rsid w:val="00A76589"/>
    <w:rsid w:val="00A90A15"/>
    <w:rsid w:val="00A93A83"/>
    <w:rsid w:val="00AA126B"/>
    <w:rsid w:val="00AA23CC"/>
    <w:rsid w:val="00AA7A7B"/>
    <w:rsid w:val="00AB4F31"/>
    <w:rsid w:val="00AC5375"/>
    <w:rsid w:val="00AD45BB"/>
    <w:rsid w:val="00AD5BC5"/>
    <w:rsid w:val="00AE334C"/>
    <w:rsid w:val="00AE5FB9"/>
    <w:rsid w:val="00AF1CE6"/>
    <w:rsid w:val="00AF3CA4"/>
    <w:rsid w:val="00B0240D"/>
    <w:rsid w:val="00B025B0"/>
    <w:rsid w:val="00B139FC"/>
    <w:rsid w:val="00B20294"/>
    <w:rsid w:val="00B243A0"/>
    <w:rsid w:val="00B270D6"/>
    <w:rsid w:val="00B334F7"/>
    <w:rsid w:val="00B3417C"/>
    <w:rsid w:val="00B4720B"/>
    <w:rsid w:val="00B53ECF"/>
    <w:rsid w:val="00B57288"/>
    <w:rsid w:val="00B57F4A"/>
    <w:rsid w:val="00B65779"/>
    <w:rsid w:val="00B73030"/>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0345F"/>
    <w:rsid w:val="00C15CDA"/>
    <w:rsid w:val="00C165F7"/>
    <w:rsid w:val="00C24948"/>
    <w:rsid w:val="00C2577C"/>
    <w:rsid w:val="00C513C4"/>
    <w:rsid w:val="00C6242C"/>
    <w:rsid w:val="00C74348"/>
    <w:rsid w:val="00C81FF6"/>
    <w:rsid w:val="00C84E86"/>
    <w:rsid w:val="00C84EEF"/>
    <w:rsid w:val="00C947AF"/>
    <w:rsid w:val="00CA12B3"/>
    <w:rsid w:val="00CA5F70"/>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2B86"/>
    <w:rsid w:val="00D53C2D"/>
    <w:rsid w:val="00D57545"/>
    <w:rsid w:val="00D633E0"/>
    <w:rsid w:val="00D81561"/>
    <w:rsid w:val="00D82334"/>
    <w:rsid w:val="00D83A71"/>
    <w:rsid w:val="00D83A7E"/>
    <w:rsid w:val="00D85F42"/>
    <w:rsid w:val="00D862E5"/>
    <w:rsid w:val="00D905E7"/>
    <w:rsid w:val="00D94404"/>
    <w:rsid w:val="00DA35A3"/>
    <w:rsid w:val="00DB3082"/>
    <w:rsid w:val="00DB37ED"/>
    <w:rsid w:val="00DB54D3"/>
    <w:rsid w:val="00DE10B2"/>
    <w:rsid w:val="00DE55EB"/>
    <w:rsid w:val="00E11BC1"/>
    <w:rsid w:val="00E176E4"/>
    <w:rsid w:val="00E225D7"/>
    <w:rsid w:val="00E30E62"/>
    <w:rsid w:val="00E36319"/>
    <w:rsid w:val="00E37E86"/>
    <w:rsid w:val="00E43176"/>
    <w:rsid w:val="00E43204"/>
    <w:rsid w:val="00E44946"/>
    <w:rsid w:val="00E466C4"/>
    <w:rsid w:val="00E505CE"/>
    <w:rsid w:val="00E571B9"/>
    <w:rsid w:val="00E574F2"/>
    <w:rsid w:val="00E604F1"/>
    <w:rsid w:val="00E72945"/>
    <w:rsid w:val="00E72F24"/>
    <w:rsid w:val="00E7469E"/>
    <w:rsid w:val="00E80E6A"/>
    <w:rsid w:val="00E92592"/>
    <w:rsid w:val="00E9418F"/>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46"/>
    <w:rsid w:val="00196546"/>
    <w:rsid w:val="00FD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B2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6B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373</Pages>
  <Words>72893</Words>
  <Characters>415495</Characters>
  <Application>Microsoft Office Word</Application>
  <DocSecurity>0</DocSecurity>
  <Lines>3462</Lines>
  <Paragraphs>974</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487414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14</cp:revision>
  <cp:lastPrinted>2017-05-17T00:25:00Z</cp:lastPrinted>
  <dcterms:created xsi:type="dcterms:W3CDTF">2017-05-20T15:36:00Z</dcterms:created>
  <dcterms:modified xsi:type="dcterms:W3CDTF">2017-05-20T21:32:00Z</dcterms:modified>
</cp:coreProperties>
</file>