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Grille d’analyse du rôle du professeur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Etude a priori du déroulement :</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Objectifs mathématiques, didactiques, technologiques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Configurations didactiques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 d’exploitation de ces configurations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extraits BO nouveaux programmes :</w:t>
      </w:r>
    </w:p>
    <w:p w:rsidR="00000000" w:rsidDel="00000000" w:rsidP="00000000" w:rsidRDefault="00000000" w:rsidRPr="00000000" w14:paraId="0000000E">
      <w:pPr>
        <w:rPr/>
      </w:pPr>
      <w:r w:rsidDel="00000000" w:rsidR="00000000" w:rsidRPr="00000000">
        <w:rPr>
          <w:rtl w:val="0"/>
        </w:rPr>
        <w:t xml:space="preserve"> Programme de 1ère, séries technologiques :</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effectuer une application numérique d’une formule (notamment pour les formules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utilisées dans les autres disciplines) ;</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isoler une variable dans une égalité ou une inégalité qui en comporte plusieurs sur</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des exemples internes aux mathématiques ou issus des autres disciplines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Programme de 2nde :</w:t>
      </w:r>
    </w:p>
    <w:p w:rsidR="00000000" w:rsidDel="00000000" w:rsidP="00000000" w:rsidRDefault="00000000" w:rsidRPr="00000000" w14:paraId="00000015">
      <w:pPr>
        <w:spacing w:after="240" w:before="240" w:lineRule="auto"/>
        <w:rPr/>
      </w:pPr>
      <w:r w:rsidDel="00000000" w:rsidR="00000000" w:rsidRPr="00000000">
        <w:rPr>
          <w:rtl w:val="0"/>
        </w:rPr>
        <w:t xml:space="preserve">L’utilisation de logiciels (calculatrice ou ordinateur), d’outils de visualisation et dereprésentation, de calcul (numérique ou formel), de simulation, de programmation développela possibilité d’expérimenter, ouvre largement le dialogue entre l’observation et la démonstration et change profondément la nature de l’enseignement.</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