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测试软件协议</w:t>
      </w:r>
    </w:p>
    <w:p>
      <w:r>
        <w:t>第一条：双方达成战略合作协议。</w:t>
      </w:r>
    </w:p>
    <w:p>
      <w:r>
        <w:t>第二条：任何一方违约，应向守约方赔偿因本合同引起的直接经济损失（累计不超过本合同总价款金额，且不包括利润损失、商业信誉损失等间接损失），且责任不设上限。</w:t>
      </w:r>
    </w:p>
    <w:p>
      <w:r>
        <w:t>第三条：在合同期内，任何一方可单方随时解除合同，无需通知对方。（任何一方行使前述解除权前，应给予对方不少于十五（15）个工作日的书面催告与整改宽限期）。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