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Helvetica Neue" w:cs="Helvetica Neue" w:eastAsia="Helvetica Neue" w:hAnsi="Helvetica Neue"/>
        </w:rPr>
      </w:pPr>
      <w:bookmarkStart w:colFirst="0" w:colLast="0" w:name="_tdscgqugbe8z" w:id="0"/>
      <w:bookmarkEnd w:id="0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Detailed Design Document: ChatSphere</w:t>
      </w:r>
    </w:p>
    <w:p w:rsidR="00000000" w:rsidDel="00000000" w:rsidP="00000000" w:rsidRDefault="00000000" w:rsidRPr="00000000" w14:paraId="00000002">
      <w:pPr>
        <w:pStyle w:val="Heading2"/>
        <w:rPr>
          <w:rFonts w:ascii="Helvetica Neue" w:cs="Helvetica Neue" w:eastAsia="Helvetica Neue" w:hAnsi="Helvetica Neue"/>
        </w:rPr>
      </w:pPr>
      <w:bookmarkStart w:colFirst="0" w:colLast="0" w:name="_u2cg0utfyzlv" w:id="1"/>
      <w:bookmarkEnd w:id="1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pStyle w:val="Heading3"/>
        <w:rPr>
          <w:rFonts w:ascii="Helvetica Neue" w:cs="Helvetica Neue" w:eastAsia="Helvetica Neue" w:hAnsi="Helvetica Neue"/>
        </w:rPr>
      </w:pPr>
      <w:bookmarkStart w:colFirst="0" w:colLast="0" w:name="_6r5lihcns7yl" w:id="2"/>
      <w:bookmarkEnd w:id="2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1.1 Purpose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This document aims to present a comprehensive overview of ChatSphere's design and architecture, encompassing features, functionality, and technical specifications.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rFonts w:ascii="Helvetica Neue" w:cs="Helvetica Neue" w:eastAsia="Helvetica Neue" w:hAnsi="Helvetica Neue"/>
        </w:rPr>
      </w:pPr>
      <w:bookmarkStart w:colFirst="0" w:colLast="0" w:name="_7eumjxwhgzon" w:id="3"/>
      <w:bookmarkEnd w:id="3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1.2 Scope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ChatSphere, as a chatting app, endeavors to provide users with a dynamic platform for real-time communication, fostering seamless conversations, multimedia sharing, and interactive features to enhance the overall chatting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rFonts w:ascii="Helvetica Neue" w:cs="Helvetica Neue" w:eastAsia="Helvetica Neue" w:hAnsi="Helvetica Neue"/>
        </w:rPr>
      </w:pPr>
      <w:bookmarkStart w:colFirst="0" w:colLast="0" w:name="_sr9arml9wvf2" w:id="4"/>
      <w:bookmarkEnd w:id="4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1.3 Objectives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Make it easy for users to chat by creating a simple and friendly interface in ChatSphere.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Keep user information safe with strong security measures.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Allow ChatSphere to grow and handle more users in the future.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72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Let users work together by making it easy to share and collaborate on chats and activities.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Style w:val="Heading2"/>
        <w:rPr>
          <w:rFonts w:ascii="Helvetica Neue" w:cs="Helvetica Neue" w:eastAsia="Helvetica Neue" w:hAnsi="Helvetica Neue"/>
        </w:rPr>
      </w:pPr>
      <w:bookmarkStart w:colFirst="0" w:colLast="0" w:name="_o56ertoqg83p" w:id="5"/>
      <w:bookmarkEnd w:id="5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2. System Overview</w:t>
      </w:r>
    </w:p>
    <w:p w:rsidR="00000000" w:rsidDel="00000000" w:rsidP="00000000" w:rsidRDefault="00000000" w:rsidRPr="00000000" w14:paraId="0000000D">
      <w:pPr>
        <w:pStyle w:val="Heading3"/>
        <w:rPr>
          <w:rFonts w:ascii="Helvetica Neue" w:cs="Helvetica Neue" w:eastAsia="Helvetica Neue" w:hAnsi="Helvetica Neue"/>
        </w:rPr>
      </w:pPr>
      <w:bookmarkStart w:colFirst="0" w:colLast="0" w:name="_hffazkm08olp" w:id="6"/>
      <w:bookmarkEnd w:id="6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2.1 System Architecture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ChatSphere employs a client-server architecture with a responsive web-based front end for user interactions and a robust back-end server handling core logic, ensuring an efficient and dynamic chatting experience.</w:t>
      </w:r>
    </w:p>
    <w:p w:rsidR="00000000" w:rsidDel="00000000" w:rsidP="00000000" w:rsidRDefault="00000000" w:rsidRPr="00000000" w14:paraId="0000000F">
      <w:pPr>
        <w:pStyle w:val="Heading3"/>
        <w:rPr>
          <w:rFonts w:ascii="Helvetica Neue" w:cs="Helvetica Neue" w:eastAsia="Helvetica Neue" w:hAnsi="Helvetica Neue"/>
        </w:rPr>
      </w:pPr>
      <w:bookmarkStart w:colFirst="0" w:colLast="0" w:name="_vvupj9cek5nh" w:id="7"/>
      <w:bookmarkEnd w:id="7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2.2 Key Features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User registration and authentication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Real-Time Chatting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Notification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Video Calling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Notification System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Emoticons and Stickers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rFonts w:ascii="Helvetica Neue" w:cs="Helvetica Neue" w:eastAsia="Helvetica Neue" w:hAnsi="Helvetica Neue"/>
        </w:rPr>
      </w:pPr>
      <w:bookmarkStart w:colFirst="0" w:colLast="0" w:name="_imst275korz4" w:id="8"/>
      <w:bookmarkEnd w:id="8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2.4 Technologies Used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Front-end: React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Back-end: Express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Database: MongoDB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Authentication: JWT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Additional tools/libraries as needed.</w:t>
      </w:r>
    </w:p>
    <w:p w:rsidR="00000000" w:rsidDel="00000000" w:rsidP="00000000" w:rsidRDefault="00000000" w:rsidRPr="00000000" w14:paraId="0000001C">
      <w:pPr>
        <w:pStyle w:val="Heading2"/>
        <w:rPr>
          <w:rFonts w:ascii="Helvetica Neue" w:cs="Helvetica Neue" w:eastAsia="Helvetica Neue" w:hAnsi="Helvetica Neue"/>
          <w:sz w:val="34"/>
          <w:szCs w:val="34"/>
        </w:rPr>
      </w:pPr>
      <w:bookmarkStart w:colFirst="0" w:colLast="0" w:name="_ozqb16z719hr" w:id="9"/>
      <w:bookmarkEnd w:id="9"/>
      <w:r w:rsidDel="00000000" w:rsidR="00000000" w:rsidRPr="00000000">
        <w:rPr>
          <w:rFonts w:ascii="Helvetica Neue" w:cs="Helvetica Neue" w:eastAsia="Helvetica Neue" w:hAnsi="Helvetica Neue"/>
          <w:sz w:val="34"/>
          <w:szCs w:val="34"/>
          <w:rtl w:val="0"/>
        </w:rPr>
        <w:t xml:space="preserve">3. Database Design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3.1 Entity-Relationship Diagram</w:t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User Entity: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rtl w:val="0"/>
        </w:rPr>
        <w:t xml:space="preserve">UserID (Primary Key):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Unique identifier.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rtl w:val="0"/>
        </w:rPr>
        <w:t xml:space="preserve">Username: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User's chosen name.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rtl w:val="0"/>
        </w:rPr>
        <w:t xml:space="preserve">Email: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User's contact address.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rtl w:val="0"/>
        </w:rPr>
        <w:t xml:space="preserve">Password: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Secure authentication.</w:t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Message: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rtl w:val="0"/>
        </w:rPr>
        <w:t xml:space="preserve">Id (Primary Key):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Unique identifier..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rtl w:val="0"/>
        </w:rPr>
        <w:t xml:space="preserve">SenderID: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Sender's UserID.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rtl w:val="0"/>
        </w:rPr>
        <w:t xml:space="preserve">Data: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Message content.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rtl w:val="0"/>
        </w:rPr>
        <w:t xml:space="preserve">SenderID: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Sender's UserID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.</w:t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Friends: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rtl w:val="0"/>
        </w:rPr>
        <w:t xml:space="preserve">Id(Primary Key):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Unique identifier.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rtl w:val="0"/>
        </w:rPr>
        <w:t xml:space="preserve">UserID (Foreign Key):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Owner of the contact.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rtl w:val="0"/>
        </w:rPr>
        <w:t xml:space="preserve">FriendId(Foreign Key):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UserID of the contact.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rFonts w:ascii="Helvetica Neue" w:cs="Helvetica Neue" w:eastAsia="Helvetica Neue" w:hAnsi="Helvetica Neue"/>
          <w:sz w:val="34"/>
          <w:szCs w:val="34"/>
        </w:rPr>
      </w:pPr>
      <w:bookmarkStart w:colFirst="0" w:colLast="0" w:name="_9d45sm1uxrqr" w:id="10"/>
      <w:bookmarkEnd w:id="10"/>
      <w:r w:rsidDel="00000000" w:rsidR="00000000" w:rsidRPr="00000000">
        <w:rPr>
          <w:rFonts w:ascii="Helvetica Neue" w:cs="Helvetica Neue" w:eastAsia="Helvetica Neue" w:hAnsi="Helvetica Neue"/>
          <w:sz w:val="34"/>
          <w:szCs w:val="34"/>
          <w:rtl w:val="0"/>
        </w:rPr>
        <w:t xml:space="preserve">4. Database Diagram</w:t>
      </w:r>
    </w:p>
    <w:p w:rsidR="00000000" w:rsidDel="00000000" w:rsidP="00000000" w:rsidRDefault="00000000" w:rsidRPr="00000000" w14:paraId="0000002D">
      <w:pPr>
        <w:pStyle w:val="Heading2"/>
        <w:rPr>
          <w:rFonts w:ascii="Helvetica Neue" w:cs="Helvetica Neue" w:eastAsia="Helvetica Neue" w:hAnsi="Helvetica Neue"/>
          <w:sz w:val="34"/>
          <w:szCs w:val="34"/>
        </w:rPr>
      </w:pPr>
      <w:bookmarkStart w:colFirst="0" w:colLast="0" w:name="_wk36rtqvlbeg" w:id="11"/>
      <w:bookmarkEnd w:id="11"/>
      <w:r w:rsidDel="00000000" w:rsidR="00000000" w:rsidRPr="00000000">
        <w:rPr>
          <w:rFonts w:ascii="Helvetica Neue" w:cs="Helvetica Neue" w:eastAsia="Helvetica Neue" w:hAnsi="Helvetica Neue"/>
          <w:sz w:val="34"/>
          <w:szCs w:val="34"/>
        </w:rPr>
        <w:drawing>
          <wp:inline distB="114300" distT="114300" distL="114300" distR="114300">
            <wp:extent cx="5595938" cy="2209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>
          <w:rFonts w:ascii="Helvetica Neue" w:cs="Helvetica Neue" w:eastAsia="Helvetica Neue" w:hAnsi="Helvetica Neue"/>
          <w:sz w:val="34"/>
          <w:szCs w:val="34"/>
        </w:rPr>
      </w:pPr>
      <w:bookmarkStart w:colFirst="0" w:colLast="0" w:name="_iz2c3wdzades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h7il8pmx49cu" w:id="13"/>
      <w:bookmarkEnd w:id="13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605463" cy="3800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ixrebwvtys87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>
          <w:rFonts w:ascii="Helvetica Neue" w:cs="Helvetica Neue" w:eastAsia="Helvetica Neue" w:hAnsi="Helvetica Neue"/>
        </w:rPr>
      </w:pPr>
      <w:bookmarkStart w:colFirst="0" w:colLast="0" w:name="_pgxszgdbcxg1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