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360"/>
        <w:jc w:val="center"/>
      </w:pPr>
      <w:r>
        <w:rPr>
          <w:rFonts w:ascii="Calibri" w:hAnsi="Calibri"/>
          <w:b/>
          <w:color w:val="7A5A00"/>
          <w:sz w:val="20"/>
        </w:rPr>
        <w:t>TRADE OS ENGINEERING ASSESSMENT</w:t>
      </w:r>
    </w:p>
    <w:p>
      <w:pPr>
        <w:keepNext/>
        <w:keepLines/>
        <w:spacing w:after="200"/>
        <w:jc w:val="center"/>
      </w:pPr>
      <w:r>
        <w:rPr>
          <w:rFonts w:ascii="Calibri" w:hAnsi="Calibri"/>
          <w:b/>
          <w:color w:val="0B2545"/>
          <w:sz w:val="58"/>
        </w:rPr>
        <w:t>Technical Readiness, Architecture, and Prototype Gap Report</w:t>
      </w:r>
    </w:p>
    <w:p>
      <w:pPr>
        <w:spacing w:after="560"/>
        <w:jc w:val="center"/>
      </w:pPr>
      <w:r>
        <w:rPr>
          <w:rFonts w:ascii="Calibri" w:hAnsi="Calibri"/>
          <w:color w:val="1F4D78"/>
          <w:sz w:val="28"/>
        </w:rPr>
        <w:t>Current-state architecture, module-by-module reality, production risks, target design, India extensions, and implementation stages</w:t>
      </w:r>
    </w:p>
    <w:p>
      <w:pPr>
        <w:spacing w:after="80"/>
        <w:jc w:val="center"/>
      </w:pPr>
      <w:r>
        <w:rPr>
          <w:rFonts w:ascii="Calibri" w:hAnsi="Calibri"/>
          <w:b/>
          <w:color w:val="667085"/>
          <w:sz w:val="21"/>
        </w:rPr>
        <w:t>Assessment date: 28 August 2026</w:t>
      </w:r>
    </w:p>
    <w:p>
      <w:pPr>
        <w:spacing w:after="800"/>
        <w:jc w:val="center"/>
      </w:pPr>
      <w:r>
        <w:rPr>
          <w:rFonts w:ascii="Calibri" w:hAnsi="Calibri"/>
          <w:i/>
          <w:color w:val="667085"/>
          <w:sz w:val="21"/>
        </w:rPr>
        <w:t>For engineering, product, security, data, operations, technical diligence, and delivery partners</w:t>
      </w:r>
    </w:p>
    <w:p>
      <w:pPr>
        <w:spacing w:before="120" w:after="200" w:line="264" w:lineRule="auto"/>
        <w:ind w:left="115" w:right="115"/>
        <w:shd w:fill="FFF7E0"/>
        <w:keepLines/>
        <w:pBdr>
          <w:top w:val="single" w:sz="6" w:space="5" w:color="E6CE7A"/>
          <w:left w:val="single" w:sz="6" w:space="5" w:color="E6CE7A"/>
          <w:bottom w:val="single" w:sz="6" w:space="5" w:color="E6CE7A"/>
          <w:right w:val="single" w:sz="6" w:space="5" w:color="E6CE7A"/>
        </w:pBdr>
      </w:pPr>
      <w:r>
        <w:rPr>
          <w:rFonts w:ascii="Calibri" w:hAnsi="Calibri"/>
          <w:b/>
          <w:color w:val="7A5A00"/>
          <w:sz w:val="21"/>
        </w:rPr>
        <w:t xml:space="preserve">Bottom line: </w:t>
      </w:r>
      <w:r>
        <w:rPr>
          <w:rFonts w:ascii="Calibri" w:hAnsi="Calibri"/>
          <w:color w:val="000000"/>
          <w:sz w:val="21"/>
        </w:rPr>
        <w:t>The repository is a coherent architecture-shaped prototype: 23 backend tests pass and the frontend production build succeeds. It is not production-ready. The highest risks are untrusted demo data presented as verified/live, hard-coded scoring and economics, simulated search/agents/integrations, exposed credentials, no tenancy, and missing operational controls.</w:t>
      </w:r>
    </w:p>
    <w:p>
      <w:pPr>
        <w:spacing w:before="840"/>
        <w:jc w:val="center"/>
      </w:pPr>
      <w:r>
        <w:rPr>
          <w:rFonts w:ascii="Calibri" w:hAnsi="Calibri"/>
          <w:color w:val="667085"/>
          <w:sz w:val="18"/>
        </w:rPr>
        <w:t>Prepared from repository inspection, automated checks, live UI review, and current official guidance.</w:t>
      </w:r>
    </w:p>
    <w:p>
      <w:r>
        <w:br w:type="page"/>
      </w:r>
    </w:p>
    <w:p>
      <w:pPr>
        <w:pStyle w:val="Heading1"/>
        <w:keepNext/>
        <w:keepLines/>
      </w:pPr>
      <w:r>
        <w:t>Contents and reading path</w:t>
      </w:r>
    </w:p>
    <w:p>
      <w:pPr/>
      <w:r>
        <w:t>The report is structured for decision-making. Start with the verdict and readiness scores, then use the architecture, roadmap, and release gates as an action plan.</w:t>
      </w:r>
    </w:p>
    <w:p>
      <w:pPr>
        <w:pStyle w:val="ListNumber"/>
        <w:keepLines/>
        <w:numPr>
          <w:ilvl w:val="0"/>
          <w:numId w:val="10"/>
        </w:numPr>
      </w:pPr>
      <w:r>
        <w:t>Evidence summary and technical verdict</w:t>
      </w:r>
    </w:p>
    <w:p>
      <w:pPr>
        <w:pStyle w:val="ListNumber"/>
        <w:keepLines/>
        <w:numPr>
          <w:ilvl w:val="0"/>
          <w:numId w:val="10"/>
        </w:numPr>
      </w:pPr>
      <w:r>
        <w:t>Current-state architecture</w:t>
      </w:r>
    </w:p>
    <w:p>
      <w:pPr>
        <w:pStyle w:val="ListNumber"/>
        <w:keepLines/>
        <w:numPr>
          <w:ilvl w:val="0"/>
          <w:numId w:val="10"/>
        </w:numPr>
      </w:pPr>
      <w:r>
        <w:t>Module-by-module completion reality</w:t>
      </w:r>
    </w:p>
    <w:p>
      <w:pPr>
        <w:pStyle w:val="ListNumber"/>
        <w:keepLines/>
        <w:numPr>
          <w:ilvl w:val="0"/>
          <w:numId w:val="10"/>
        </w:numPr>
      </w:pPr>
      <w:r>
        <w:t>Data architecture and integrity</w:t>
      </w:r>
    </w:p>
    <w:p>
      <w:pPr>
        <w:pStyle w:val="ListNumber"/>
        <w:keepLines/>
        <w:numPr>
          <w:ilvl w:val="0"/>
          <w:numId w:val="10"/>
        </w:numPr>
      </w:pPr>
      <w:r>
        <w:t>Application and API architecture</w:t>
      </w:r>
    </w:p>
    <w:p>
      <w:pPr>
        <w:pStyle w:val="ListNumber"/>
        <w:keepLines/>
        <w:numPr>
          <w:ilvl w:val="0"/>
          <w:numId w:val="10"/>
        </w:numPr>
      </w:pPr>
      <w:r>
        <w:t>Intelligence, search, and agent reality</w:t>
      </w:r>
    </w:p>
    <w:p>
      <w:pPr>
        <w:pStyle w:val="ListNumber"/>
        <w:keepLines/>
        <w:numPr>
          <w:ilvl w:val="0"/>
          <w:numId w:val="10"/>
        </w:numPr>
      </w:pPr>
      <w:r>
        <w:t>Security and privacy assessment</w:t>
      </w:r>
    </w:p>
    <w:p>
      <w:pPr>
        <w:pStyle w:val="ListNumber"/>
        <w:keepLines/>
        <w:numPr>
          <w:ilvl w:val="0"/>
          <w:numId w:val="10"/>
        </w:numPr>
      </w:pPr>
      <w:r>
        <w:t>Reliability, deployment, and operations</w:t>
      </w:r>
    </w:p>
    <w:p>
      <w:pPr>
        <w:pStyle w:val="ListNumber"/>
        <w:keepLines/>
        <w:numPr>
          <w:ilvl w:val="0"/>
          <w:numId w:val="10"/>
        </w:numPr>
      </w:pPr>
      <w:r>
        <w:t>Testing and quality engineering</w:t>
      </w:r>
    </w:p>
    <w:p>
      <w:pPr>
        <w:pStyle w:val="ListNumber"/>
        <w:keepLines/>
        <w:numPr>
          <w:ilvl w:val="0"/>
          <w:numId w:val="10"/>
        </w:numPr>
      </w:pPr>
      <w:r>
        <w:t>Target architecture</w:t>
      </w:r>
    </w:p>
    <w:p>
      <w:pPr>
        <w:pStyle w:val="ListNumber"/>
        <w:keepLines/>
        <w:numPr>
          <w:ilvl w:val="0"/>
          <w:numId w:val="10"/>
        </w:numPr>
      </w:pPr>
      <w:r>
        <w:t>India-specific technical extensions</w:t>
      </w:r>
    </w:p>
    <w:p>
      <w:pPr>
        <w:pStyle w:val="ListNumber"/>
        <w:keepLines/>
        <w:numPr>
          <w:ilvl w:val="0"/>
          <w:numId w:val="10"/>
        </w:numPr>
      </w:pPr>
      <w:r>
        <w:t>Implementation stages and prioritised backlog</w:t>
      </w:r>
    </w:p>
    <w:p>
      <w:pPr>
        <w:pStyle w:val="ListNumber"/>
        <w:keepLines/>
        <w:numPr>
          <w:ilvl w:val="0"/>
          <w:numId w:val="10"/>
        </w:numPr>
      </w:pPr>
      <w:r>
        <w:t>Prototype and production release gates</w:t>
      </w:r>
    </w:p>
    <w:p>
      <w:pPr>
        <w:pStyle w:val="Heading1"/>
        <w:keepNext/>
        <w:keepLines/>
      </w:pPr>
      <w:r>
        <w:t>1. Evidence summary and technical verdict</w:t>
      </w:r>
    </w:p>
    <w:tbl>
      <w:tblPr>
        <w:tblStyle w:val="TableGrid"/>
        <w:tblW w:type="dxa" w:w="9360"/>
        <w:jc w:val="left"/>
        <w:tblLayout w:type="fixed"/>
        <w:tblLook w:firstColumn="1" w:firstRow="1" w:lastColumn="0" w:lastRow="0" w:noHBand="0" w:noVBand="1" w:val="04A0"/>
        <w:tblInd w:w="120" w:type="dxa"/>
      </w:tblPr>
      <w:tblGrid>
        <w:gridCol w:w="2300"/>
        <w:gridCol w:w="2700"/>
        <w:gridCol w:w="4360"/>
      </w:tblGrid>
      <w:tr>
        <w:trPr>
          <w:tblHeader w:val="true"/>
          <w:cantSplit/>
        </w:trPr>
        <w:tc>
          <w:tcPr>
            <w:tcW w:type="dxa" w:w="23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7"/>
              </w:rPr>
              <w:t>Check</w:t>
            </w:r>
          </w:p>
        </w:tc>
        <w:tc>
          <w:tcPr>
            <w:tcW w:type="dxa" w:w="27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7"/>
              </w:rPr>
              <w:t>Observed result</w:t>
            </w:r>
          </w:p>
        </w:tc>
        <w:tc>
          <w:tcPr>
            <w:tcW w:type="dxa" w:w="43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7"/>
              </w:rPr>
              <w:t>Interpretation</w:t>
            </w:r>
          </w:p>
        </w:tc>
      </w:tr>
      <w:tr>
        <w:trPr>
          <w:cantSplit/>
        </w:trPr>
        <w:tc>
          <w:tcPr>
            <w:tcW w:type="dxa" w:w="2300"/>
            <w:tcMar>
              <w:top w:w="80" w:type="dxa"/>
              <w:start w:w="120" w:type="dxa"/>
              <w:bottom w:w="80" w:type="dxa"/>
              <w:end w:w="120" w:type="dxa"/>
            </w:tcMar>
            <w:vAlign w:val="center"/>
          </w:tcPr>
          <w:p>
            <w:pPr>
              <w:spacing w:before="0" w:after="0" w:line="252" w:lineRule="auto"/>
            </w:pPr>
            <w:r>
              <w:rPr>
                <w:rFonts w:ascii="Calibri" w:hAnsi="Calibri"/>
                <w:color w:val="000000"/>
                <w:sz w:val="17"/>
              </w:rPr>
              <w:t>Backend tests</w:t>
            </w:r>
          </w:p>
        </w:tc>
        <w:tc>
          <w:tcPr>
            <w:tcW w:type="dxa" w:w="2700"/>
            <w:tcMar>
              <w:top w:w="80" w:type="dxa"/>
              <w:start w:w="120" w:type="dxa"/>
              <w:bottom w:w="80" w:type="dxa"/>
              <w:end w:w="120" w:type="dxa"/>
            </w:tcMar>
            <w:vAlign w:val="center"/>
          </w:tcPr>
          <w:p>
            <w:pPr>
              <w:spacing w:before="0" w:after="0" w:line="252" w:lineRule="auto"/>
            </w:pPr>
            <w:r>
              <w:rPr>
                <w:rFonts w:ascii="Calibri" w:hAnsi="Calibri"/>
                <w:color w:val="000000"/>
                <w:sz w:val="17"/>
              </w:rPr>
              <w:t>23 passed; one cache write warning</w:t>
            </w:r>
          </w:p>
        </w:tc>
        <w:tc>
          <w:tcPr>
            <w:tcW w:type="dxa" w:w="4360"/>
            <w:tcMar>
              <w:top w:w="80" w:type="dxa"/>
              <w:start w:w="120" w:type="dxa"/>
              <w:bottom w:w="80" w:type="dxa"/>
              <w:end w:w="120" w:type="dxa"/>
            </w:tcMar>
            <w:vAlign w:val="center"/>
          </w:tcPr>
          <w:p>
            <w:pPr>
              <w:spacing w:before="0" w:after="0" w:line="252" w:lineRule="auto"/>
            </w:pPr>
            <w:r>
              <w:rPr>
                <w:rFonts w:ascii="Calibri" w:hAnsi="Calibri"/>
                <w:color w:val="000000"/>
                <w:sz w:val="17"/>
              </w:rPr>
              <w:t>Useful smoke coverage, but tests use the shared database and do not prove data correctness, security, isolation, or integrations.</w:t>
            </w:r>
          </w:p>
        </w:tc>
      </w:tr>
      <w:tr>
        <w:trPr>
          <w:cantSplit/>
        </w:trPr>
        <w:tc>
          <w:tcPr>
            <w:tcW w:type="dxa" w:w="2300"/>
            <w:tcMar>
              <w:top w:w="80" w:type="dxa"/>
              <w:start w:w="120" w:type="dxa"/>
              <w:bottom w:w="80" w:type="dxa"/>
              <w:end w:w="120" w:type="dxa"/>
            </w:tcMar>
            <w:vAlign w:val="center"/>
          </w:tcPr>
          <w:p>
            <w:pPr>
              <w:spacing w:before="0" w:after="0" w:line="252" w:lineRule="auto"/>
            </w:pPr>
            <w:r>
              <w:rPr>
                <w:rFonts w:ascii="Calibri" w:hAnsi="Calibri"/>
                <w:color w:val="000000"/>
                <w:sz w:val="17"/>
              </w:rPr>
              <w:t>Frontend production build</w:t>
            </w:r>
          </w:p>
        </w:tc>
        <w:tc>
          <w:tcPr>
            <w:tcW w:type="dxa" w:w="2700"/>
            <w:tcMar>
              <w:top w:w="80" w:type="dxa"/>
              <w:start w:w="120" w:type="dxa"/>
              <w:bottom w:w="80" w:type="dxa"/>
              <w:end w:w="120" w:type="dxa"/>
            </w:tcMar>
            <w:vAlign w:val="center"/>
          </w:tcPr>
          <w:p>
            <w:pPr>
              <w:spacing w:before="0" w:after="0" w:line="252" w:lineRule="auto"/>
            </w:pPr>
            <w:r>
              <w:rPr>
                <w:rFonts w:ascii="Calibri" w:hAnsi="Calibri"/>
                <w:color w:val="000000"/>
                <w:sz w:val="17"/>
              </w:rPr>
              <w:t>TypeScript and Vite build passed</w:t>
            </w:r>
          </w:p>
        </w:tc>
        <w:tc>
          <w:tcPr>
            <w:tcW w:type="dxa" w:w="4360"/>
            <w:tcMar>
              <w:top w:w="80" w:type="dxa"/>
              <w:start w:w="120" w:type="dxa"/>
              <w:bottom w:w="80" w:type="dxa"/>
              <w:end w:w="120" w:type="dxa"/>
            </w:tcMar>
            <w:vAlign w:val="center"/>
          </w:tcPr>
          <w:p>
            <w:pPr>
              <w:spacing w:before="0" w:after="0" w:line="252" w:lineRule="auto"/>
            </w:pPr>
            <w:r>
              <w:rPr>
                <w:rFonts w:ascii="Calibri" w:hAnsi="Calibri"/>
                <w:color w:val="000000"/>
                <w:sz w:val="17"/>
              </w:rPr>
              <w:t>The current source compiles and packages successfully.</w:t>
            </w:r>
          </w:p>
        </w:tc>
      </w:tr>
      <w:tr>
        <w:trPr>
          <w:cantSplit/>
        </w:trPr>
        <w:tc>
          <w:tcPr>
            <w:tcW w:type="dxa" w:w="2300"/>
            <w:tcMar>
              <w:top w:w="80" w:type="dxa"/>
              <w:start w:w="120" w:type="dxa"/>
              <w:bottom w:w="80" w:type="dxa"/>
              <w:end w:w="120" w:type="dxa"/>
            </w:tcMar>
            <w:vAlign w:val="center"/>
          </w:tcPr>
          <w:p>
            <w:pPr>
              <w:spacing w:before="0" w:after="0" w:line="252" w:lineRule="auto"/>
            </w:pPr>
            <w:r>
              <w:rPr>
                <w:rFonts w:ascii="Calibri" w:hAnsi="Calibri"/>
                <w:color w:val="000000"/>
                <w:sz w:val="17"/>
              </w:rPr>
              <w:t>Database readiness script</w:t>
            </w:r>
          </w:p>
        </w:tc>
        <w:tc>
          <w:tcPr>
            <w:tcW w:type="dxa" w:w="2700"/>
            <w:tcMar>
              <w:top w:w="80" w:type="dxa"/>
              <w:start w:w="120" w:type="dxa"/>
              <w:bottom w:w="80" w:type="dxa"/>
              <w:end w:w="120" w:type="dxa"/>
            </w:tcMar>
            <w:vAlign w:val="center"/>
          </w:tcPr>
          <w:p>
            <w:pPr>
              <w:spacing w:before="0" w:after="0" w:line="252" w:lineRule="auto"/>
            </w:pPr>
            <w:r>
              <w:rPr>
                <w:rFonts w:ascii="Calibri" w:hAnsi="Calibri"/>
                <w:color w:val="000000"/>
                <w:sz w:val="17"/>
              </w:rPr>
              <w:t>5 schemas; 18 silver/gold/audit tables; count thresholds passed</w:t>
            </w:r>
          </w:p>
        </w:tc>
        <w:tc>
          <w:tcPr>
            <w:tcW w:type="dxa" w:w="4360"/>
            <w:tcMar>
              <w:top w:w="80" w:type="dxa"/>
              <w:start w:w="120" w:type="dxa"/>
              <w:bottom w:w="80" w:type="dxa"/>
              <w:end w:w="120" w:type="dxa"/>
            </w:tcMar>
            <w:vAlign w:val="center"/>
          </w:tcPr>
          <w:p>
            <w:pPr>
              <w:spacing w:before="0" w:after="0" w:line="252" w:lineRule="auto"/>
            </w:pPr>
            <w:r>
              <w:rPr>
                <w:rFonts w:ascii="Calibri" w:hAnsi="Calibri"/>
                <w:color w:val="000000"/>
                <w:sz w:val="17"/>
              </w:rPr>
              <w:t>The script checks presence/counts only and then prints '100% healthy'; it is not a production readiness audit.</w:t>
            </w:r>
          </w:p>
        </w:tc>
      </w:tr>
      <w:tr>
        <w:trPr>
          <w:cantSplit/>
        </w:trPr>
        <w:tc>
          <w:tcPr>
            <w:tcW w:type="dxa" w:w="2300"/>
            <w:tcMar>
              <w:top w:w="80" w:type="dxa"/>
              <w:start w:w="120" w:type="dxa"/>
              <w:bottom w:w="80" w:type="dxa"/>
              <w:end w:w="120" w:type="dxa"/>
            </w:tcMar>
            <w:vAlign w:val="center"/>
          </w:tcPr>
          <w:p>
            <w:pPr>
              <w:spacing w:before="0" w:after="0" w:line="252" w:lineRule="auto"/>
            </w:pPr>
            <w:r>
              <w:rPr>
                <w:rFonts w:ascii="Calibri" w:hAnsi="Calibri"/>
                <w:color w:val="000000"/>
                <w:sz w:val="17"/>
              </w:rPr>
              <w:t>Database contents</w:t>
            </w:r>
          </w:p>
        </w:tc>
        <w:tc>
          <w:tcPr>
            <w:tcW w:type="dxa" w:w="2700"/>
            <w:tcMar>
              <w:top w:w="80" w:type="dxa"/>
              <w:start w:w="120" w:type="dxa"/>
              <w:bottom w:w="80" w:type="dxa"/>
              <w:end w:w="120" w:type="dxa"/>
            </w:tcMar>
            <w:vAlign w:val="center"/>
          </w:tcPr>
          <w:p>
            <w:pPr>
              <w:spacing w:before="0" w:after="0" w:line="252" w:lineRule="auto"/>
            </w:pPr>
            <w:r>
              <w:rPr>
                <w:rFonts w:ascii="Calibri" w:hAnsi="Calibri"/>
                <w:color w:val="000000"/>
                <w:sz w:val="17"/>
              </w:rPr>
              <w:t>1 exporter, 48 buyers, 48 matches, 137 signals, 5 customs rows</w:t>
            </w:r>
          </w:p>
        </w:tc>
        <w:tc>
          <w:tcPr>
            <w:tcW w:type="dxa" w:w="4360"/>
            <w:tcMar>
              <w:top w:w="80" w:type="dxa"/>
              <w:start w:w="120" w:type="dxa"/>
              <w:bottom w:w="80" w:type="dxa"/>
              <w:end w:w="120" w:type="dxa"/>
            </w:tcMar>
            <w:vAlign w:val="center"/>
          </w:tcPr>
          <w:p>
            <w:pPr>
              <w:spacing w:before="0" w:after="0" w:line="252" w:lineRule="auto"/>
            </w:pPr>
            <w:r>
              <w:rPr>
                <w:rFonts w:ascii="Calibri" w:hAnsi="Calibri"/>
                <w:color w:val="000000"/>
                <w:sz w:val="17"/>
              </w:rPr>
              <w:t>Most commercial content is seeded/generated, not a live data estate.</w:t>
            </w:r>
          </w:p>
        </w:tc>
      </w:tr>
      <w:tr>
        <w:trPr>
          <w:cantSplit/>
        </w:trPr>
        <w:tc>
          <w:tcPr>
            <w:tcW w:type="dxa" w:w="2300"/>
            <w:tcMar>
              <w:top w:w="80" w:type="dxa"/>
              <w:start w:w="120" w:type="dxa"/>
              <w:bottom w:w="80" w:type="dxa"/>
              <w:end w:w="120" w:type="dxa"/>
            </w:tcMar>
            <w:vAlign w:val="center"/>
          </w:tcPr>
          <w:p>
            <w:pPr>
              <w:spacing w:before="0" w:after="0" w:line="252" w:lineRule="auto"/>
            </w:pPr>
            <w:r>
              <w:rPr>
                <w:rFonts w:ascii="Calibri" w:hAnsi="Calibri"/>
                <w:color w:val="000000"/>
                <w:sz w:val="17"/>
              </w:rPr>
              <w:t>Docker status</w:t>
            </w:r>
          </w:p>
        </w:tc>
        <w:tc>
          <w:tcPr>
            <w:tcW w:type="dxa" w:w="2700"/>
            <w:tcMar>
              <w:top w:w="80" w:type="dxa"/>
              <w:start w:w="120" w:type="dxa"/>
              <w:bottom w:w="80" w:type="dxa"/>
              <w:end w:w="120" w:type="dxa"/>
            </w:tcMar>
            <w:vAlign w:val="center"/>
          </w:tcPr>
          <w:p>
            <w:pPr>
              <w:spacing w:before="0" w:after="0" w:line="252" w:lineRule="auto"/>
            </w:pPr>
            <w:r>
              <w:rPr>
                <w:rFonts w:ascii="Calibri" w:hAnsi="Calibri"/>
                <w:color w:val="000000"/>
                <w:sz w:val="17"/>
              </w:rPr>
              <w:t>PostgreSQL healthy; production compose status showed no backend/frontend service</w:t>
            </w:r>
          </w:p>
        </w:tc>
        <w:tc>
          <w:tcPr>
            <w:tcW w:type="dxa" w:w="4360"/>
            <w:tcMar>
              <w:top w:w="80" w:type="dxa"/>
              <w:start w:w="120" w:type="dxa"/>
              <w:bottom w:w="80" w:type="dxa"/>
              <w:end w:w="120" w:type="dxa"/>
            </w:tcMar>
            <w:vAlign w:val="center"/>
          </w:tcPr>
          <w:p>
            <w:pPr>
              <w:spacing w:before="0" w:after="0" w:line="252" w:lineRule="auto"/>
            </w:pPr>
            <w:r>
              <w:rPr>
                <w:rFonts w:ascii="Calibri" w:hAnsi="Calibri"/>
                <w:color w:val="000000"/>
                <w:sz w:val="17"/>
              </w:rPr>
              <w:t>The data tier was running locally. Full production-stack operation was not demonstrated by compose.</w:t>
            </w:r>
          </w:p>
        </w:tc>
      </w:tr>
      <w:tr>
        <w:trPr>
          <w:cantSplit/>
        </w:trPr>
        <w:tc>
          <w:tcPr>
            <w:tcW w:type="dxa" w:w="2300"/>
            <w:tcMar>
              <w:top w:w="80" w:type="dxa"/>
              <w:start w:w="120" w:type="dxa"/>
              <w:bottom w:w="80" w:type="dxa"/>
              <w:end w:w="120" w:type="dxa"/>
            </w:tcMar>
            <w:vAlign w:val="center"/>
          </w:tcPr>
          <w:p>
            <w:pPr>
              <w:spacing w:before="0" w:after="0" w:line="252" w:lineRule="auto"/>
            </w:pPr>
            <w:r>
              <w:rPr>
                <w:rFonts w:ascii="Calibri" w:hAnsi="Calibri"/>
                <w:color w:val="000000"/>
                <w:sz w:val="17"/>
              </w:rPr>
              <w:t>Browser review</w:t>
            </w:r>
          </w:p>
        </w:tc>
        <w:tc>
          <w:tcPr>
            <w:tcW w:type="dxa" w:w="2700"/>
            <w:tcMar>
              <w:top w:w="80" w:type="dxa"/>
              <w:start w:w="120" w:type="dxa"/>
              <w:bottom w:w="80" w:type="dxa"/>
              <w:end w:w="120" w:type="dxa"/>
            </w:tcMar>
            <w:vAlign w:val="center"/>
          </w:tcPr>
          <w:p>
            <w:pPr>
              <w:spacing w:before="0" w:after="0" w:line="252" w:lineRule="auto"/>
            </w:pPr>
            <w:r>
              <w:rPr>
                <w:rFonts w:ascii="Calibri" w:hAnsi="Calibri"/>
                <w:color w:val="000000"/>
                <w:sz w:val="17"/>
              </w:rPr>
              <w:t>Five desktop views render with no console errors</w:t>
            </w:r>
          </w:p>
        </w:tc>
        <w:tc>
          <w:tcPr>
            <w:tcW w:type="dxa" w:w="4360"/>
            <w:tcMar>
              <w:top w:w="80" w:type="dxa"/>
              <w:start w:w="120" w:type="dxa"/>
              <w:bottom w:w="80" w:type="dxa"/>
              <w:end w:w="120" w:type="dxa"/>
            </w:tcMar>
            <w:vAlign w:val="center"/>
          </w:tcPr>
          <w:p>
            <w:pPr>
              <w:spacing w:before="0" w:after="0" w:line="252" w:lineRule="auto"/>
            </w:pPr>
            <w:r>
              <w:rPr>
                <w:rFonts w:ascii="Calibri" w:hAnsi="Calibri"/>
                <w:color w:val="000000"/>
                <w:sz w:val="17"/>
              </w:rPr>
              <w:t>Desktop presentation is strong; a 390x844 review was severely broken by fixed widths and overflow.</w:t>
            </w:r>
          </w:p>
        </w:tc>
      </w:tr>
      <w:tr>
        <w:trPr>
          <w:cantSplit/>
        </w:trPr>
        <w:tc>
          <w:tcPr>
            <w:tcW w:type="dxa" w:w="2300"/>
            <w:tcMar>
              <w:top w:w="80" w:type="dxa"/>
              <w:start w:w="120" w:type="dxa"/>
              <w:bottom w:w="80" w:type="dxa"/>
              <w:end w:w="120" w:type="dxa"/>
            </w:tcMar>
            <w:vAlign w:val="center"/>
          </w:tcPr>
          <w:p>
            <w:pPr>
              <w:spacing w:before="0" w:after="0" w:line="252" w:lineRule="auto"/>
            </w:pPr>
            <w:r>
              <w:rPr>
                <w:rFonts w:ascii="Calibri" w:hAnsi="Calibri"/>
                <w:color w:val="000000"/>
                <w:sz w:val="17"/>
              </w:rPr>
              <w:t>Source review</w:t>
            </w:r>
          </w:p>
        </w:tc>
        <w:tc>
          <w:tcPr>
            <w:tcW w:type="dxa" w:w="2700"/>
            <w:tcMar>
              <w:top w:w="80" w:type="dxa"/>
              <w:start w:w="120" w:type="dxa"/>
              <w:bottom w:w="80" w:type="dxa"/>
              <w:end w:w="120" w:type="dxa"/>
            </w:tcMar>
            <w:vAlign w:val="center"/>
          </w:tcPr>
          <w:p>
            <w:pPr>
              <w:spacing w:before="0" w:after="0" w:line="252" w:lineRule="auto"/>
            </w:pPr>
            <w:r>
              <w:rPr>
                <w:rFonts w:ascii="Calibri" w:hAnsi="Calibri"/>
                <w:color w:val="000000"/>
                <w:sz w:val="17"/>
              </w:rPr>
              <w:t>95 backend Python files / 4,231 lines; 54 frontend files / 2,902 lines; 8 SQL files / 316 lines; 15 tests / 410 lines</w:t>
            </w:r>
          </w:p>
        </w:tc>
        <w:tc>
          <w:tcPr>
            <w:tcW w:type="dxa" w:w="4360"/>
            <w:tcMar>
              <w:top w:w="80" w:type="dxa"/>
              <w:start w:w="120" w:type="dxa"/>
              <w:bottom w:w="80" w:type="dxa"/>
              <w:end w:w="120" w:type="dxa"/>
            </w:tcMar>
            <w:vAlign w:val="center"/>
          </w:tcPr>
          <w:p>
            <w:pPr>
              <w:spacing w:before="0" w:after="0" w:line="252" w:lineRule="auto"/>
            </w:pPr>
            <w:r>
              <w:rPr>
                <w:rFonts w:ascii="Calibri" w:hAnsi="Calibri"/>
                <w:color w:val="000000"/>
                <w:sz w:val="17"/>
              </w:rPr>
              <w:t>A small, understandable modular monolith - appropriate for the next stage if truth and controls are fixed.</w:t>
            </w:r>
          </w:p>
        </w:tc>
      </w:tr>
    </w:tbl>
    <w:p>
      <w:pPr>
        <w:spacing w:after="40"/>
      </w:pPr>
    </w:p>
    <w:p>
      <w:pPr>
        <w:spacing w:before="120" w:after="200" w:line="264" w:lineRule="auto"/>
        <w:ind w:left="115" w:right="115"/>
        <w:shd w:fill="FDECEC"/>
        <w:keepLines/>
        <w:pBdr>
          <w:top w:val="single" w:sz="6" w:space="5" w:color="E5A3A3"/>
          <w:left w:val="single" w:sz="6" w:space="5" w:color="E5A3A3"/>
          <w:bottom w:val="single" w:sz="6" w:space="5" w:color="E5A3A3"/>
          <w:right w:val="single" w:sz="6" w:space="5" w:color="E5A3A3"/>
        </w:pBdr>
      </w:pPr>
      <w:r>
        <w:rPr>
          <w:rFonts w:ascii="Calibri" w:hAnsi="Calibri"/>
          <w:b/>
          <w:color w:val="9B1C1C"/>
          <w:sz w:val="21"/>
        </w:rPr>
        <w:t xml:space="preserve">Technical verdict: </w:t>
      </w:r>
      <w:r>
        <w:rPr>
          <w:rFonts w:ascii="Calibri" w:hAnsi="Calibri"/>
          <w:color w:val="000000"/>
          <w:sz w:val="21"/>
        </w:rPr>
        <w:t>Treat the current build as a demo/alpha. Freeze new features until P0 truth, identity/tenancy, migration discipline, job safety, and data provenance are implemented.</w:t>
      </w:r>
    </w:p>
    <w:p>
      <w:pPr>
        <w:pStyle w:val="Heading2"/>
        <w:keepNext/>
        <w:keepLines/>
      </w:pPr>
      <w:r>
        <w:t>P0 findings</w:t>
      </w:r>
    </w:p>
    <w:p>
      <w:pPr>
        <w:pStyle w:val="ListBullet"/>
        <w:keepLines/>
      </w:pPr>
      <w:r>
        <w:t>The frontend contains the shared API key in source code. Any browser user can recover it and call protected APIs.</w:t>
      </w:r>
    </w:p>
    <w:p>
      <w:pPr>
        <w:pStyle w:val="ListBullet"/>
        <w:keepLines/>
      </w:pPr>
      <w:r>
        <w:t>Production configuration contains predictable fallback database and API credentials. PostgreSQL is host-exposed in compose.</w:t>
      </w:r>
    </w:p>
    <w:p>
      <w:pPr>
        <w:pStyle w:val="ListBullet"/>
        <w:keepLines/>
      </w:pPr>
      <w:r>
        <w:t>No user identity, organisation, tenant key, RBAC, entitlements, or row-level isolation exists while the UI claims 'Multi-Tenant Active.'</w:t>
      </w:r>
    </w:p>
    <w:p>
      <w:pPr>
        <w:pStyle w:val="ListBullet"/>
        <w:keepLines/>
      </w:pPr>
      <w:r>
        <w:t>Seed scripts create plausible personal names/emails and set verification_status='verified'; sample BOLs are labelled verified/real-time in the UI.</w:t>
      </w:r>
    </w:p>
    <w:p>
      <w:pPr>
        <w:pStyle w:val="ListBullet"/>
        <w:keepLines/>
      </w:pPr>
      <w:r>
        <w:t>Scoring uses rank-based constants. Search calls its token-overlap simulation 'pgvector HNSW.' Agent classes return fixed text and do not use LangGraph or an LLM.</w:t>
      </w:r>
    </w:p>
    <w:p>
      <w:pPr>
        <w:pStyle w:val="ListBullet"/>
        <w:keepLines/>
      </w:pPr>
      <w:r>
        <w:t>CRM export returns payloads, webhooks only write log rows, ingestion accepts caller-provided lists, and freight corridors are hard-coded.</w:t>
      </w:r>
    </w:p>
    <w:p>
      <w:pPr>
        <w:pStyle w:val="ListBullet"/>
        <w:keepLines/>
      </w:pPr>
      <w:r>
        <w:t>EUDR rules and commercial claims are embedded as fixed strings. Current EU product-scope changes are not represented through effective-dated regulatory data.</w:t>
      </w:r>
    </w:p>
    <w:p>
      <w:pPr>
        <w:pStyle w:val="Heading1"/>
        <w:keepNext/>
        <w:keepLines/>
      </w:pPr>
      <w:r>
        <w:t>2. Current-state architecture</w:t>
      </w:r>
    </w:p>
    <w:p>
      <w:pPr>
        <w:pStyle w:val="Heading2"/>
        <w:keepNext/>
        <w:keepLines/>
      </w:pPr>
      <w:r>
        <w:t>System context</w:t>
      </w:r>
    </w:p>
    <w:tbl>
      <w:tblPr>
        <w:tblStyle w:val="TableGrid"/>
        <w:tblW w:type="dxa" w:w="9360"/>
        <w:jc w:val="left"/>
        <w:tblLayout w:type="fixed"/>
        <w:tblLook w:firstColumn="1" w:firstRow="1" w:lastColumn="0" w:lastRow="0" w:noHBand="0" w:noVBand="1" w:val="04A0"/>
        <w:tblInd w:w="120" w:type="dxa"/>
      </w:tblPr>
      <w:tblGrid>
        <w:gridCol w:w="1800"/>
        <w:gridCol w:w="3700"/>
        <w:gridCol w:w="3860"/>
      </w:tblGrid>
      <w:tr>
        <w:trPr>
          <w:tblHeader w:val="true"/>
          <w:cantSplit/>
        </w:trPr>
        <w:tc>
          <w:tcPr>
            <w:tcW w:type="dxa" w:w="18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Layer</w:t>
            </w:r>
          </w:p>
        </w:tc>
        <w:tc>
          <w:tcPr>
            <w:tcW w:type="dxa" w:w="37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Implemented components</w:t>
            </w:r>
          </w:p>
        </w:tc>
        <w:tc>
          <w:tcPr>
            <w:tcW w:type="dxa" w:w="38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Current boundary</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Client</w:t>
            </w:r>
          </w:p>
        </w:tc>
        <w:tc>
          <w:tcPr>
            <w:tcW w:type="dxa" w:w="3700"/>
            <w:tcMar>
              <w:top w:w="80" w:type="dxa"/>
              <w:start w:w="120" w:type="dxa"/>
              <w:bottom w:w="80" w:type="dxa"/>
              <w:end w:w="120" w:type="dxa"/>
            </w:tcMar>
            <w:vAlign w:val="center"/>
          </w:tcPr>
          <w:p>
            <w:pPr>
              <w:spacing w:before="0" w:after="0" w:line="252" w:lineRule="auto"/>
            </w:pPr>
            <w:r>
              <w:rPr>
                <w:rFonts w:ascii="Calibri" w:hAnsi="Calibri"/>
                <w:color w:val="000000"/>
                <w:sz w:val="16"/>
              </w:rPr>
              <w:t>React 18, TypeScript, Vite, Tailwind, TanStack Query, Zustand, Framer Motion</w:t>
            </w:r>
          </w:p>
        </w:tc>
        <w:tc>
          <w:tcPr>
            <w:tcW w:type="dxa" w:w="3860"/>
            <w:tcMar>
              <w:top w:w="80" w:type="dxa"/>
              <w:start w:w="120" w:type="dxa"/>
              <w:bottom w:w="80" w:type="dxa"/>
              <w:end w:w="120" w:type="dxa"/>
            </w:tcMar>
            <w:vAlign w:val="center"/>
          </w:tcPr>
          <w:p>
            <w:pPr>
              <w:spacing w:before="0" w:after="0" w:line="252" w:lineRule="auto"/>
            </w:pPr>
            <w:r>
              <w:rPr>
                <w:rFonts w:ascii="Calibri" w:hAnsi="Calibri"/>
                <w:color w:val="000000"/>
                <w:sz w:val="16"/>
              </w:rPr>
              <w:t>Single desktop-oriented SPA; no login, tenant selection, locale, or mobile navigation.</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Web delivery</w:t>
            </w:r>
          </w:p>
        </w:tc>
        <w:tc>
          <w:tcPr>
            <w:tcW w:type="dxa" w:w="3700"/>
            <w:tcMar>
              <w:top w:w="80" w:type="dxa"/>
              <w:start w:w="120" w:type="dxa"/>
              <w:bottom w:w="80" w:type="dxa"/>
              <w:end w:w="120" w:type="dxa"/>
            </w:tcMar>
            <w:vAlign w:val="center"/>
          </w:tcPr>
          <w:p>
            <w:pPr>
              <w:spacing w:before="0" w:after="0" w:line="252" w:lineRule="auto"/>
            </w:pPr>
            <w:r>
              <w:rPr>
                <w:rFonts w:ascii="Calibri" w:hAnsi="Calibri"/>
                <w:color w:val="000000"/>
                <w:sz w:val="16"/>
              </w:rPr>
              <w:t>Nginx static hosting and /api proxy</w:t>
            </w:r>
          </w:p>
        </w:tc>
        <w:tc>
          <w:tcPr>
            <w:tcW w:type="dxa" w:w="3860"/>
            <w:tcMar>
              <w:top w:w="80" w:type="dxa"/>
              <w:start w:w="120" w:type="dxa"/>
              <w:bottom w:w="80" w:type="dxa"/>
              <w:end w:w="120" w:type="dxa"/>
            </w:tcMar>
            <w:vAlign w:val="center"/>
          </w:tcPr>
          <w:p>
            <w:pPr>
              <w:spacing w:before="0" w:after="0" w:line="252" w:lineRule="auto"/>
            </w:pPr>
            <w:r>
              <w:rPr>
                <w:rFonts w:ascii="Calibri" w:hAnsi="Calibri"/>
                <w:color w:val="000000"/>
                <w:sz w:val="16"/>
              </w:rPr>
              <w:t>No TLS termination guidance, CSP/security headers, rate limiting, or cache/compression policy.</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API</w:t>
            </w:r>
          </w:p>
        </w:tc>
        <w:tc>
          <w:tcPr>
            <w:tcW w:type="dxa" w:w="3700"/>
            <w:tcMar>
              <w:top w:w="80" w:type="dxa"/>
              <w:start w:w="120" w:type="dxa"/>
              <w:bottom w:w="80" w:type="dxa"/>
              <w:end w:w="120" w:type="dxa"/>
            </w:tcMar>
            <w:vAlign w:val="center"/>
          </w:tcPr>
          <w:p>
            <w:pPr>
              <w:spacing w:before="0" w:after="0" w:line="252" w:lineRule="auto"/>
            </w:pPr>
            <w:r>
              <w:rPr>
                <w:rFonts w:ascii="Calibri" w:hAnsi="Calibri"/>
                <w:color w:val="000000"/>
                <w:sz w:val="16"/>
              </w:rPr>
              <w:t>FastAPI routes and Pydantic response models</w:t>
            </w:r>
          </w:p>
        </w:tc>
        <w:tc>
          <w:tcPr>
            <w:tcW w:type="dxa" w:w="3860"/>
            <w:tcMar>
              <w:top w:w="80" w:type="dxa"/>
              <w:start w:w="120" w:type="dxa"/>
              <w:bottom w:w="80" w:type="dxa"/>
              <w:end w:w="120" w:type="dxa"/>
            </w:tcMar>
            <w:vAlign w:val="center"/>
          </w:tcPr>
          <w:p>
            <w:pPr>
              <w:spacing w:before="0" w:after="0" w:line="252" w:lineRule="auto"/>
            </w:pPr>
            <w:r>
              <w:rPr>
                <w:rFonts w:ascii="Calibri" w:hAnsi="Calibri"/>
                <w:color w:val="000000"/>
                <w:sz w:val="16"/>
              </w:rPr>
              <w:t>Shared X-TradeOS-Key; root/docs/WebSocket exposed; some routes lack response models.</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Domain</w:t>
            </w:r>
          </w:p>
        </w:tc>
        <w:tc>
          <w:tcPr>
            <w:tcW w:type="dxa" w:w="3700"/>
            <w:tcMar>
              <w:top w:w="80" w:type="dxa"/>
              <w:start w:w="120" w:type="dxa"/>
              <w:bottom w:w="80" w:type="dxa"/>
              <w:end w:w="120" w:type="dxa"/>
            </w:tcMar>
            <w:vAlign w:val="center"/>
          </w:tcPr>
          <w:p>
            <w:pPr>
              <w:spacing w:before="0" w:after="0" w:line="252" w:lineRule="auto"/>
            </w:pPr>
            <w:r>
              <w:rPr>
                <w:rFonts w:ascii="Calibri" w:hAnsi="Calibri"/>
                <w:color w:val="000000"/>
                <w:sz w:val="16"/>
              </w:rPr>
              <w:t>Services for matching, compliance, lanes, outreach, search, ingestion, customs, CRM, analytics</w:t>
            </w:r>
          </w:p>
        </w:tc>
        <w:tc>
          <w:tcPr>
            <w:tcW w:type="dxa" w:w="3860"/>
            <w:tcMar>
              <w:top w:w="80" w:type="dxa"/>
              <w:start w:w="120" w:type="dxa"/>
              <w:bottom w:w="80" w:type="dxa"/>
              <w:end w:w="120" w:type="dxa"/>
            </w:tcMar>
            <w:vAlign w:val="center"/>
          </w:tcPr>
          <w:p>
            <w:pPr>
              <w:spacing w:before="0" w:after="0" w:line="252" w:lineRule="auto"/>
            </w:pPr>
            <w:r>
              <w:rPr>
                <w:rFonts w:ascii="Calibri" w:hAnsi="Calibri"/>
                <w:color w:val="000000"/>
                <w:sz w:val="16"/>
              </w:rPr>
              <w:t>Several services contain DB access or fixed data; core decisions are deterministic demo logic.</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Persistence</w:t>
            </w:r>
          </w:p>
        </w:tc>
        <w:tc>
          <w:tcPr>
            <w:tcW w:type="dxa" w:w="3700"/>
            <w:tcMar>
              <w:top w:w="80" w:type="dxa"/>
              <w:start w:w="120" w:type="dxa"/>
              <w:bottom w:w="80" w:type="dxa"/>
              <w:end w:w="120" w:type="dxa"/>
            </w:tcMar>
            <w:vAlign w:val="center"/>
          </w:tcPr>
          <w:p>
            <w:pPr>
              <w:spacing w:before="0" w:after="0" w:line="252" w:lineRule="auto"/>
            </w:pPr>
            <w:r>
              <w:rPr>
                <w:rFonts w:ascii="Calibri" w:hAnsi="Calibri"/>
                <w:color w:val="000000"/>
                <w:sz w:val="16"/>
              </w:rPr>
              <w:t>SQLAlchemy repositories and PostgreSQL 16 with bronze/silver/gold/audit schemas</w:t>
            </w:r>
          </w:p>
        </w:tc>
        <w:tc>
          <w:tcPr>
            <w:tcW w:type="dxa" w:w="3860"/>
            <w:tcMar>
              <w:top w:w="80" w:type="dxa"/>
              <w:start w:w="120" w:type="dxa"/>
              <w:bottom w:w="80" w:type="dxa"/>
              <w:end w:w="120" w:type="dxa"/>
            </w:tcMar>
            <w:vAlign w:val="center"/>
          </w:tcPr>
          <w:p>
            <w:pPr>
              <w:spacing w:before="0" w:after="0" w:line="252" w:lineRule="auto"/>
            </w:pPr>
            <w:r>
              <w:rPr>
                <w:rFonts w:ascii="Calibri" w:hAnsi="Calibri"/>
                <w:color w:val="000000"/>
                <w:sz w:val="16"/>
              </w:rPr>
              <w:t>No Alembic; SQL files, ORM create_all and deployed schema can drift.</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Batch</w:t>
            </w:r>
          </w:p>
        </w:tc>
        <w:tc>
          <w:tcPr>
            <w:tcW w:type="dxa" w:w="3700"/>
            <w:tcMar>
              <w:top w:w="80" w:type="dxa"/>
              <w:start w:w="120" w:type="dxa"/>
              <w:bottom w:w="80" w:type="dxa"/>
              <w:end w:w="120" w:type="dxa"/>
            </w:tcMar>
            <w:vAlign w:val="center"/>
          </w:tcPr>
          <w:p>
            <w:pPr>
              <w:spacing w:before="0" w:after="0" w:line="252" w:lineRule="auto"/>
            </w:pPr>
            <w:r>
              <w:rPr>
                <w:rFonts w:ascii="Calibri" w:hAnsi="Calibri"/>
                <w:color w:val="000000"/>
                <w:sz w:val="16"/>
              </w:rPr>
              <w:t>Synchronous refresh function and a nightly script</w:t>
            </w:r>
          </w:p>
        </w:tc>
        <w:tc>
          <w:tcPr>
            <w:tcW w:type="dxa" w:w="3860"/>
            <w:tcMar>
              <w:top w:w="80" w:type="dxa"/>
              <w:start w:w="120" w:type="dxa"/>
              <w:bottom w:w="80" w:type="dxa"/>
              <w:end w:w="120" w:type="dxa"/>
            </w:tcMar>
            <w:vAlign w:val="center"/>
          </w:tcPr>
          <w:p>
            <w:pPr>
              <w:spacing w:before="0" w:after="0" w:line="252" w:lineRule="auto"/>
            </w:pPr>
            <w:r>
              <w:rPr>
                <w:rFonts w:ascii="Calibri" w:hAnsi="Calibri"/>
                <w:color w:val="000000"/>
                <w:sz w:val="16"/>
              </w:rPr>
              <w:t>No scheduler, queue, retries, idempotency control, leases, cancellation or operational dashboard.</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AI/search</w:t>
            </w:r>
          </w:p>
        </w:tc>
        <w:tc>
          <w:tcPr>
            <w:tcW w:type="dxa" w:w="3700"/>
            <w:tcMar>
              <w:top w:w="80" w:type="dxa"/>
              <w:start w:w="120" w:type="dxa"/>
              <w:bottom w:w="80" w:type="dxa"/>
              <w:end w:w="120" w:type="dxa"/>
            </w:tcMar>
            <w:vAlign w:val="center"/>
          </w:tcPr>
          <w:p>
            <w:pPr>
              <w:spacing w:before="0" w:after="0" w:line="252" w:lineRule="auto"/>
            </w:pPr>
            <w:r>
              <w:rPr>
                <w:rFonts w:ascii="Calibri" w:hAnsi="Calibri"/>
                <w:color w:val="000000"/>
                <w:sz w:val="16"/>
              </w:rPr>
              <w:t>Named agent classes, sparse search and RRF</w:t>
            </w:r>
          </w:p>
        </w:tc>
        <w:tc>
          <w:tcPr>
            <w:tcW w:type="dxa" w:w="3860"/>
            <w:tcMar>
              <w:top w:w="80" w:type="dxa"/>
              <w:start w:w="120" w:type="dxa"/>
              <w:bottom w:w="80" w:type="dxa"/>
              <w:end w:w="120" w:type="dxa"/>
            </w:tcMar>
            <w:vAlign w:val="center"/>
          </w:tcPr>
          <w:p>
            <w:pPr>
              <w:spacing w:before="0" w:after="0" w:line="252" w:lineRule="auto"/>
            </w:pPr>
            <w:r>
              <w:rPr>
                <w:rFonts w:ascii="Calibri" w:hAnsi="Calibri"/>
                <w:color w:val="000000"/>
                <w:sz w:val="16"/>
              </w:rPr>
              <w:t>No LangGraph dependency, LLM call, embedding column, vector query or HNSW index in implementation.</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External systems</w:t>
            </w:r>
          </w:p>
        </w:tc>
        <w:tc>
          <w:tcPr>
            <w:tcW w:type="dxa" w:w="3700"/>
            <w:tcMar>
              <w:top w:w="80" w:type="dxa"/>
              <w:start w:w="120" w:type="dxa"/>
              <w:bottom w:w="80" w:type="dxa"/>
              <w:end w:w="120" w:type="dxa"/>
            </w:tcMar>
            <w:vAlign w:val="center"/>
          </w:tcPr>
          <w:p>
            <w:pPr>
              <w:spacing w:before="0" w:after="0" w:line="252" w:lineRule="auto"/>
            </w:pPr>
            <w:r>
              <w:rPr>
                <w:rFonts w:ascii="Calibri" w:hAnsi="Calibri"/>
                <w:color w:val="000000"/>
                <w:sz w:val="16"/>
              </w:rPr>
              <w:t>None actually connected</w:t>
            </w:r>
          </w:p>
        </w:tc>
        <w:tc>
          <w:tcPr>
            <w:tcW w:type="dxa" w:w="3860"/>
            <w:tcMar>
              <w:top w:w="80" w:type="dxa"/>
              <w:start w:w="120" w:type="dxa"/>
              <w:bottom w:w="80" w:type="dxa"/>
              <w:end w:w="120" w:type="dxa"/>
            </w:tcMar>
            <w:vAlign w:val="center"/>
          </w:tcPr>
          <w:p>
            <w:pPr>
              <w:spacing w:before="0" w:after="0" w:line="252" w:lineRule="auto"/>
            </w:pPr>
            <w:r>
              <w:rPr>
                <w:rFonts w:ascii="Calibri" w:hAnsi="Calibri"/>
                <w:color w:val="000000"/>
                <w:sz w:val="16"/>
              </w:rPr>
              <w:t>CRM, webhooks, customs, freight, government and bank integrations are mocked/generated/logged.</w:t>
            </w:r>
          </w:p>
        </w:tc>
      </w:tr>
    </w:tbl>
    <w:p>
      <w:pPr>
        <w:spacing w:after="40"/>
      </w:pPr>
    </w:p>
    <w:p>
      <w:r>
        <w:br w:type="page"/>
      </w:r>
    </w:p>
    <w:p>
      <w:pPr>
        <w:pStyle w:val="Heading2"/>
        <w:keepNext/>
        <w:keepLines/>
      </w:pPr>
      <w:r>
        <w:t>Actual request flow</w:t>
      </w:r>
    </w:p>
    <w:p>
      <w:pPr>
        <w:pStyle w:val="ListNumber"/>
        <w:keepLines/>
        <w:numPr>
          <w:ilvl w:val="0"/>
          <w:numId w:val="11"/>
        </w:numPr>
      </w:pPr>
      <w:r>
        <w:t>React fetches a relative /api endpoint and sends the hard-coded X-TradeOS-Key.</w:t>
      </w:r>
    </w:p>
    <w:p>
      <w:pPr>
        <w:pStyle w:val="ListNumber"/>
        <w:keepLines/>
        <w:numPr>
          <w:ilvl w:val="0"/>
          <w:numId w:val="11"/>
        </w:numPr>
      </w:pPr>
      <w:r>
        <w:t>Nginx or the Vite proxy forwards the request to FastAPI.</w:t>
      </w:r>
    </w:p>
    <w:p>
      <w:pPr>
        <w:pStyle w:val="ListNumber"/>
        <w:keepLines/>
        <w:numPr>
          <w:ilvl w:val="0"/>
          <w:numId w:val="11"/>
        </w:numPr>
      </w:pPr>
      <w:r>
        <w:t>The route validates with Pydantic where defined and obtains a synchronous SQLAlchemy session.</w:t>
      </w:r>
    </w:p>
    <w:p>
      <w:pPr>
        <w:pStyle w:val="ListNumber"/>
        <w:keepLines/>
        <w:numPr>
          <w:ilvl w:val="0"/>
          <w:numId w:val="11"/>
        </w:numPr>
      </w:pPr>
      <w:r>
        <w:t>Services call repositories, but lane_service and entity_resolution_service execute database queries directly; the lanes route returns a fixed array.</w:t>
      </w:r>
    </w:p>
    <w:p>
      <w:pPr>
        <w:pStyle w:val="ListNumber"/>
        <w:keepLines/>
        <w:numPr>
          <w:ilvl w:val="0"/>
          <w:numId w:val="11"/>
        </w:numPr>
      </w:pPr>
      <w:r>
        <w:t>Repositories query PostgreSQL, often committing one record at a time.</w:t>
      </w:r>
    </w:p>
    <w:p>
      <w:pPr>
        <w:pStyle w:val="ListNumber"/>
        <w:keepLines/>
        <w:numPr>
          <w:ilvl w:val="0"/>
          <w:numId w:val="11"/>
        </w:numPr>
      </w:pPr>
      <w:r>
        <w:t>The API serialises a response. Actions such as outreach/CRM tests write logs to the shared database.</w:t>
      </w:r>
    </w:p>
    <w:p>
      <w:pPr>
        <w:pStyle w:val="Heading2"/>
        <w:keepNext/>
        <w:keepLines/>
      </w:pPr>
      <w:r>
        <w:t>Architecture positives</w:t>
      </w:r>
    </w:p>
    <w:p>
      <w:pPr>
        <w:pStyle w:val="ListBullet"/>
        <w:keepLines/>
      </w:pPr>
      <w:r>
        <w:t>The codebase is compact enough to understand and refactor without a microservices rewrite.</w:t>
      </w:r>
    </w:p>
    <w:p>
      <w:pPr>
        <w:pStyle w:val="ListBullet"/>
        <w:keepLines/>
      </w:pPr>
      <w:r>
        <w:t>Most route, service, repository, schema and model concerns are separated.</w:t>
      </w:r>
    </w:p>
    <w:p>
      <w:pPr>
        <w:pStyle w:val="ListBullet"/>
        <w:keepLines/>
      </w:pPr>
      <w:r>
        <w:t>Pydantic is used broadly for API contracts.</w:t>
      </w:r>
    </w:p>
    <w:p>
      <w:pPr>
        <w:pStyle w:val="ListBullet"/>
        <w:keepLines/>
      </w:pPr>
      <w:r>
        <w:t>The medallion naming scheme can support provenance and decision data if Bronze becomes real and Gold stops accepting unsupported claims.</w:t>
      </w:r>
    </w:p>
    <w:p>
      <w:pPr>
        <w:pStyle w:val="ListBullet"/>
        <w:keepLines/>
      </w:pPr>
      <w:r>
        <w:t>Append-only score history and audit intent are good design principles, although not yet database-enforced.</w:t>
      </w:r>
    </w:p>
    <w:p>
      <w:pPr>
        <w:pStyle w:val="ListBullet"/>
        <w:keepLines/>
      </w:pPr>
      <w:r>
        <w:t>The frontend has reusable components, loading states and an error boundary.</w:t>
      </w:r>
    </w:p>
    <w:p>
      <w:pPr>
        <w:pStyle w:val="Heading1"/>
        <w:keepNext/>
        <w:keepLines/>
      </w:pPr>
      <w:r>
        <w:t>3. Module-by-module completion reality</w:t>
      </w:r>
    </w:p>
    <w:p>
      <w:pPr/>
      <w:r>
        <w:t>The generated MODULE files mark all 11 modules DONE. The following assessment uses a production-oriented definition: accurate data, real integration, failure handling, security, observability, tests, and customer-operable workflow.</w:t>
      </w:r>
    </w:p>
    <w:tbl>
      <w:tblPr>
        <w:tblStyle w:val="TableGrid"/>
        <w:tblW w:type="dxa" w:w="9360"/>
        <w:jc w:val="left"/>
        <w:tblLayout w:type="fixed"/>
        <w:tblLook w:firstColumn="1" w:firstRow="1" w:lastColumn="0" w:lastRow="0" w:noHBand="0" w:noVBand="1" w:val="04A0"/>
        <w:tblInd w:w="120" w:type="dxa"/>
      </w:tblPr>
      <w:tblGrid>
        <w:gridCol w:w="1900"/>
        <w:gridCol w:w="900"/>
        <w:gridCol w:w="5460"/>
        <w:gridCol w:w="1100"/>
      </w:tblGrid>
      <w:tr>
        <w:trPr>
          <w:tblHeader w:val="true"/>
          <w:cantSplit/>
        </w:trPr>
        <w:tc>
          <w:tcPr>
            <w:tcW w:type="dxa" w:w="19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Module</w:t>
            </w:r>
          </w:p>
        </w:tc>
        <w:tc>
          <w:tcPr>
            <w:tcW w:type="dxa" w:w="9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Registry claim</w:t>
            </w:r>
          </w:p>
        </w:tc>
        <w:tc>
          <w:tcPr>
            <w:tcW w:type="dxa" w:w="54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Reality</w:t>
            </w:r>
          </w:p>
        </w:tc>
        <w:tc>
          <w:tcPr>
            <w:tcW w:type="dxa" w:w="11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Production readiness</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6"/>
              </w:rPr>
              <w:t>M1 Infrastructure</w:t>
            </w:r>
          </w:p>
        </w:tc>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DONE</w:t>
            </w:r>
          </w:p>
        </w:tc>
        <w:tc>
          <w:tcPr>
            <w:tcW w:type="dxa" w:w="5460"/>
            <w:tcMar>
              <w:top w:w="80" w:type="dxa"/>
              <w:start w:w="120" w:type="dxa"/>
              <w:bottom w:w="80" w:type="dxa"/>
              <w:end w:w="120" w:type="dxa"/>
            </w:tcMar>
            <w:vAlign w:val="center"/>
          </w:tcPr>
          <w:p>
            <w:pPr>
              <w:spacing w:before="0" w:after="0" w:line="252" w:lineRule="auto"/>
            </w:pPr>
            <w:r>
              <w:rPr>
                <w:rFonts w:ascii="Calibri" w:hAnsi="Calibri"/>
                <w:color w:val="000000"/>
                <w:sz w:val="16"/>
              </w:rPr>
              <w:t>Docker and health endpoint exist; defaults are insecure; no migration/startup, CI/CD, TLS, monitoring, backup or DR.</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6"/>
              </w:rPr>
              <w:t>35%</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6"/>
              </w:rPr>
              <w:t>M2 Schema</w:t>
            </w:r>
          </w:p>
        </w:tc>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DONE</w:t>
            </w:r>
          </w:p>
        </w:tc>
        <w:tc>
          <w:tcPr>
            <w:tcW w:type="dxa" w:w="5460"/>
            <w:tcMar>
              <w:top w:w="80" w:type="dxa"/>
              <w:start w:w="120" w:type="dxa"/>
              <w:bottom w:w="80" w:type="dxa"/>
              <w:end w:w="120" w:type="dxa"/>
            </w:tcMar>
            <w:vAlign w:val="center"/>
          </w:tcPr>
          <w:p>
            <w:pPr>
              <w:spacing w:before="0" w:after="0" w:line="252" w:lineRule="auto"/>
            </w:pPr>
            <w:r>
              <w:rPr>
                <w:rFonts w:ascii="Calibri" w:hAnsi="Calibri"/>
                <w:color w:val="000000"/>
                <w:sz w:val="16"/>
              </w:rPr>
              <w:t>Core schemas/tables exist; no Alembic, tenant model, vector columns, source assertions or enforced append-only/non-empty rules.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6"/>
              </w:rPr>
              <w:t>45%</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6"/>
              </w:rPr>
              <w:t>M3 Seed</w:t>
            </w:r>
          </w:p>
        </w:tc>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DONE</w:t>
            </w:r>
          </w:p>
        </w:tc>
        <w:tc>
          <w:tcPr>
            <w:tcW w:type="dxa" w:w="5460"/>
            <w:tcMar>
              <w:top w:w="80" w:type="dxa"/>
              <w:start w:w="120" w:type="dxa"/>
              <w:bottom w:w="80" w:type="dxa"/>
              <w:end w:w="120" w:type="dxa"/>
            </w:tcMar>
            <w:vAlign w:val="center"/>
          </w:tcPr>
          <w:p>
            <w:pPr>
              <w:spacing w:before="0" w:after="0" w:line="252" w:lineRule="auto"/>
            </w:pPr>
            <w:r>
              <w:rPr>
                <w:rFonts w:ascii="Calibri" w:hAnsi="Calibri"/>
                <w:color w:val="000000"/>
                <w:sz w:val="16"/>
              </w:rPr>
              <w:t>Strong demo population; generated contacts and sample BOLs are unsafe as verified production data.</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6"/>
              </w:rPr>
              <w:t>10%</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6"/>
              </w:rPr>
              <w:t>M4 Scoring</w:t>
            </w:r>
          </w:p>
        </w:tc>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DONE</w:t>
            </w:r>
          </w:p>
        </w:tc>
        <w:tc>
          <w:tcPr>
            <w:tcW w:type="dxa" w:w="5460"/>
            <w:tcMar>
              <w:top w:w="80" w:type="dxa"/>
              <w:start w:w="120" w:type="dxa"/>
              <w:bottom w:w="80" w:type="dxa"/>
              <w:end w:w="120" w:type="dxa"/>
            </w:tcMar>
            <w:vAlign w:val="center"/>
          </w:tcPr>
          <w:p>
            <w:pPr>
              <w:spacing w:before="0" w:after="0" w:line="252" w:lineRule="auto"/>
            </w:pPr>
            <w:r>
              <w:rPr>
                <w:rFonts w:ascii="Calibri" w:hAnsi="Calibri"/>
                <w:color w:val="000000"/>
                <w:sz w:val="16"/>
              </w:rPr>
              <w:t>Structure and driver schema exist; numerical values are rank-specific constants and not calculated from buyer/exporter facts.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6"/>
              </w:rPr>
              <w:t>25%</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6"/>
              </w:rPr>
              <w:t>M5 API</w:t>
            </w:r>
          </w:p>
        </w:tc>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DONE</w:t>
            </w:r>
          </w:p>
        </w:tc>
        <w:tc>
          <w:tcPr>
            <w:tcW w:type="dxa" w:w="5460"/>
            <w:tcMar>
              <w:top w:w="80" w:type="dxa"/>
              <w:start w:w="120" w:type="dxa"/>
              <w:bottom w:w="80" w:type="dxa"/>
              <w:end w:w="120" w:type="dxa"/>
            </w:tcMar>
            <w:vAlign w:val="center"/>
          </w:tcPr>
          <w:p>
            <w:pPr>
              <w:spacing w:before="0" w:after="0" w:line="252" w:lineRule="auto"/>
            </w:pPr>
            <w:r>
              <w:rPr>
                <w:rFonts w:ascii="Calibri" w:hAnsi="Calibri"/>
                <w:color w:val="000000"/>
                <w:sz w:val="16"/>
              </w:rPr>
              <w:t>Broad working endpoints and schemas; shared key, unprotected surfaces, inconsistent response contracts and synchronous long jobs remain.</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6"/>
              </w:rPr>
              <w:t>50%</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6"/>
              </w:rPr>
              <w:t>M6 Match UI</w:t>
            </w:r>
          </w:p>
        </w:tc>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DONE</w:t>
            </w:r>
          </w:p>
        </w:tc>
        <w:tc>
          <w:tcPr>
            <w:tcW w:type="dxa" w:w="5460"/>
            <w:tcMar>
              <w:top w:w="80" w:type="dxa"/>
              <w:start w:w="120" w:type="dxa"/>
              <w:bottom w:w="80" w:type="dxa"/>
              <w:end w:w="120" w:type="dxa"/>
            </w:tcMar>
            <w:vAlign w:val="center"/>
          </w:tcPr>
          <w:p>
            <w:pPr>
              <w:spacing w:before="0" w:after="0" w:line="252" w:lineRule="auto"/>
            </w:pPr>
            <w:r>
              <w:rPr>
                <w:rFonts w:ascii="Calibri" w:hAnsi="Calibri"/>
                <w:color w:val="000000"/>
                <w:sz w:val="16"/>
              </w:rPr>
              <w:t>Good desktop demo; repeated scores/claims, only ten visible matches, no mobile layout or tenant onboarding.</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6"/>
              </w:rPr>
              <w:t>55%</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6"/>
              </w:rPr>
              <w:t>M7 Signals UI</w:t>
            </w:r>
          </w:p>
        </w:tc>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DONE</w:t>
            </w:r>
          </w:p>
        </w:tc>
        <w:tc>
          <w:tcPr>
            <w:tcW w:type="dxa" w:w="5460"/>
            <w:tcMar>
              <w:top w:w="80" w:type="dxa"/>
              <w:start w:w="120" w:type="dxa"/>
              <w:bottom w:w="80" w:type="dxa"/>
              <w:end w:w="120" w:type="dxa"/>
            </w:tcMar>
            <w:vAlign w:val="center"/>
          </w:tcPr>
          <w:p>
            <w:pPr>
              <w:spacing w:before="0" w:after="0" w:line="252" w:lineRule="auto"/>
            </w:pPr>
            <w:r>
              <w:rPr>
                <w:rFonts w:ascii="Calibri" w:hAnsi="Calibri"/>
                <w:color w:val="000000"/>
                <w:sz w:val="16"/>
              </w:rPr>
              <w:t>Attractive cards; source stream is generated, repeated and overclaims certification/live status.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6"/>
              </w:rPr>
              <w:t>35%</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6"/>
              </w:rPr>
              <w:t>M8 Account UI</w:t>
            </w:r>
          </w:p>
        </w:tc>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DONE</w:t>
            </w:r>
          </w:p>
        </w:tc>
        <w:tc>
          <w:tcPr>
            <w:tcW w:type="dxa" w:w="5460"/>
            <w:tcMar>
              <w:top w:w="80" w:type="dxa"/>
              <w:start w:w="120" w:type="dxa"/>
              <w:bottom w:w="80" w:type="dxa"/>
              <w:end w:w="120" w:type="dxa"/>
            </w:tcMar>
            <w:vAlign w:val="center"/>
          </w:tcPr>
          <w:p>
            <w:pPr>
              <w:spacing w:before="0" w:after="0" w:line="252" w:lineRule="auto"/>
            </w:pPr>
            <w:r>
              <w:rPr>
                <w:rFonts w:ascii="Calibri" w:hAnsi="Calibri"/>
                <w:color w:val="000000"/>
                <w:sz w:val="16"/>
              </w:rPr>
              <w:t>Dossier/tabs/templates work; no send/reply lifecycle, evidence workflow, privacy controls or real CRM sync.</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6"/>
              </w:rPr>
              <w:t>40%</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6"/>
              </w:rPr>
              <w:t>M9 Data Expansion</w:t>
            </w:r>
          </w:p>
        </w:tc>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DONE</w:t>
            </w:r>
          </w:p>
        </w:tc>
        <w:tc>
          <w:tcPr>
            <w:tcW w:type="dxa" w:w="5460"/>
            <w:tcMar>
              <w:top w:w="80" w:type="dxa"/>
              <w:start w:w="120" w:type="dxa"/>
              <w:bottom w:w="80" w:type="dxa"/>
              <w:end w:w="120" w:type="dxa"/>
            </w:tcMar>
            <w:vAlign w:val="center"/>
          </w:tcPr>
          <w:p>
            <w:pPr>
              <w:spacing w:before="0" w:after="0" w:line="252" w:lineRule="auto"/>
            </w:pPr>
            <w:r>
              <w:rPr>
                <w:rFonts w:ascii="Calibri" w:hAnsi="Calibri"/>
                <w:color w:val="000000"/>
                <w:sz w:val="16"/>
              </w:rPr>
              <w:t>Service methods process supplied arrays and seed scripts generate records; no production connectors, source capture or analyst queue.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6"/>
              </w:rPr>
              <w:t>20%</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6"/>
              </w:rPr>
              <w:t>M10 Hybrid Search</w:t>
            </w:r>
          </w:p>
        </w:tc>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DONE</w:t>
            </w:r>
          </w:p>
        </w:tc>
        <w:tc>
          <w:tcPr>
            <w:tcW w:type="dxa" w:w="5460"/>
            <w:tcMar>
              <w:top w:w="80" w:type="dxa"/>
              <w:start w:w="120" w:type="dxa"/>
              <w:bottom w:w="80" w:type="dxa"/>
              <w:end w:w="120" w:type="dxa"/>
            </w:tcMar>
            <w:vAlign w:val="center"/>
          </w:tcPr>
          <w:p>
            <w:pPr>
              <w:spacing w:before="0" w:after="0" w:line="252" w:lineRule="auto"/>
            </w:pPr>
            <w:r>
              <w:rPr>
                <w:rFonts w:ascii="Calibri" w:hAnsi="Calibri"/>
                <w:color w:val="000000"/>
                <w:sz w:val="16"/>
              </w:rPr>
              <w:t>Sparse SQL and RRF exist; 'dense' search is in-memory token overlap and no pgvector/HNSW query exists.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6"/>
              </w:rPr>
              <w:t>20%</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6"/>
              </w:rPr>
              <w:t>M11 Agents</w:t>
            </w:r>
          </w:p>
        </w:tc>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DONE</w:t>
            </w:r>
          </w:p>
        </w:tc>
        <w:tc>
          <w:tcPr>
            <w:tcW w:type="dxa" w:w="5460"/>
            <w:tcMar>
              <w:top w:w="80" w:type="dxa"/>
              <w:start w:w="120" w:type="dxa"/>
              <w:bottom w:w="80" w:type="dxa"/>
              <w:end w:w="120" w:type="dxa"/>
            </w:tcMar>
            <w:vAlign w:val="center"/>
          </w:tcPr>
          <w:p>
            <w:pPr>
              <w:spacing w:before="0" w:after="0" w:line="252" w:lineRule="auto"/>
            </w:pPr>
            <w:r>
              <w:rPr>
                <w:rFonts w:ascii="Calibri" w:hAnsi="Calibri"/>
                <w:color w:val="000000"/>
                <w:sz w:val="16"/>
              </w:rPr>
              <w:t>Five deterministic functions and an orchestrator flag approval; no LangGraph runtime, persistence, tools, LLM, checkpoint or actual approval action.</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6"/>
              </w:rPr>
              <w:t>15%</w:t>
            </w:r>
          </w:p>
        </w:tc>
      </w:tr>
    </w:tbl>
    <w:p>
      <w:pPr>
        <w:spacing w:after="40"/>
      </w:pPr>
    </w:p>
    <w:p>
      <w:pPr>
        <w:pStyle w:val="Heading1"/>
        <w:keepNext/>
        <w:keepLines/>
      </w:pPr>
      <w:r>
        <w:t>4. Data architecture and integrity</w:t>
      </w:r>
    </w:p>
    <w:p>
      <w:pPr>
        <w:pStyle w:val="Heading2"/>
        <w:keepNext/>
        <w:keepLines/>
      </w:pPr>
      <w:r>
        <w:t>Intended medallion flow</w:t>
      </w:r>
    </w:p>
    <w:tbl>
      <w:tblPr>
        <w:tblStyle w:val="TableGrid"/>
        <w:tblW w:type="dxa" w:w="9360"/>
        <w:jc w:val="left"/>
        <w:tblLayout w:type="fixed"/>
        <w:tblLook w:firstColumn="1" w:firstRow="1" w:lastColumn="0" w:lastRow="0" w:noHBand="0" w:noVBand="1" w:val="04A0"/>
        <w:tblInd w:w="120" w:type="dxa"/>
      </w:tblPr>
      <w:tblGrid>
        <w:gridCol w:w="1300"/>
        <w:gridCol w:w="3300"/>
        <w:gridCol w:w="4760"/>
      </w:tblGrid>
      <w:tr>
        <w:trPr>
          <w:tblHeader w:val="true"/>
          <w:cantSplit/>
        </w:trPr>
        <w:tc>
          <w:tcPr>
            <w:tcW w:type="dxa" w:w="13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Zone</w:t>
            </w:r>
          </w:p>
        </w:tc>
        <w:tc>
          <w:tcPr>
            <w:tcW w:type="dxa" w:w="33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Intended role</w:t>
            </w:r>
          </w:p>
        </w:tc>
        <w:tc>
          <w:tcPr>
            <w:tcW w:type="dxa" w:w="47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Observed use</w:t>
            </w:r>
          </w:p>
        </w:tc>
      </w:tr>
      <w:tr>
        <w:trPr>
          <w:cantSplit/>
        </w:trP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Bronze</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000000"/>
                <w:sz w:val="18"/>
              </w:rPr>
              <w:t>Immutable source documents, payloads, runs and lineage</w:t>
            </w:r>
          </w:p>
        </w:tc>
        <w:tc>
          <w:tcPr>
            <w:tcW w:type="dxa" w:w="4760"/>
            <w:tcMar>
              <w:top w:w="80" w:type="dxa"/>
              <w:start w:w="120" w:type="dxa"/>
              <w:bottom w:w="80" w:type="dxa"/>
              <w:end w:w="120" w:type="dxa"/>
            </w:tcMar>
            <w:vAlign w:val="center"/>
          </w:tcPr>
          <w:p>
            <w:pPr>
              <w:spacing w:before="0" w:after="0" w:line="252" w:lineRule="auto"/>
            </w:pPr>
            <w:r>
              <w:rPr>
                <w:rFonts w:ascii="Calibri" w:hAnsi="Calibri"/>
                <w:color w:val="000000"/>
                <w:sz w:val="18"/>
              </w:rPr>
              <w:t>Tables exist, but the primary demo population bypasses real source-document ingestion.</w:t>
            </w:r>
          </w:p>
        </w:tc>
      </w:tr>
      <w:tr>
        <w:trPr>
          <w:cantSplit/>
        </w:trP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Silver</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000000"/>
                <w:sz w:val="18"/>
              </w:rPr>
              <w:t>Canonical companies, people, products, certifications, lanes and shipments</w:t>
            </w:r>
          </w:p>
        </w:tc>
        <w:tc>
          <w:tcPr>
            <w:tcW w:type="dxa" w:w="4760"/>
            <w:tcMar>
              <w:top w:w="80" w:type="dxa"/>
              <w:start w:w="120" w:type="dxa"/>
              <w:bottom w:w="80" w:type="dxa"/>
              <w:end w:w="120" w:type="dxa"/>
            </w:tcMar>
            <w:vAlign w:val="center"/>
          </w:tcPr>
          <w:p>
            <w:pPr>
              <w:spacing w:before="0" w:after="0" w:line="252" w:lineRule="auto"/>
            </w:pPr>
            <w:r>
              <w:rPr>
                <w:rFonts w:ascii="Calibri" w:hAnsi="Calibri"/>
                <w:color w:val="000000"/>
                <w:sz w:val="18"/>
              </w:rPr>
              <w:t>Mostly seeded/generated entities. Source assertions and merge-review decisions are not modelled.</w:t>
            </w:r>
          </w:p>
        </w:tc>
      </w:tr>
      <w:tr>
        <w:trPr>
          <w:cantSplit/>
        </w:trP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Gold</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000000"/>
                <w:sz w:val="18"/>
              </w:rPr>
              <w:t>Scores, signals, decisions, actions and audit</w:t>
            </w:r>
          </w:p>
        </w:tc>
        <w:tc>
          <w:tcPr>
            <w:tcW w:type="dxa" w:w="4760"/>
            <w:tcMar>
              <w:top w:w="80" w:type="dxa"/>
              <w:start w:w="120" w:type="dxa"/>
              <w:bottom w:w="80" w:type="dxa"/>
              <w:end w:w="120" w:type="dxa"/>
            </w:tcMar>
            <w:vAlign w:val="center"/>
          </w:tcPr>
          <w:p>
            <w:pPr>
              <w:spacing w:before="0" w:after="0" w:line="252" w:lineRule="auto"/>
            </w:pPr>
            <w:r>
              <w:rPr>
                <w:rFonts w:ascii="Calibri" w:hAnsi="Calibri"/>
                <w:color w:val="000000"/>
                <w:sz w:val="18"/>
              </w:rPr>
              <w:t>Populated from constants and seed scripts, so polished outputs can outrun the underlying evidence.</w:t>
            </w:r>
          </w:p>
        </w:tc>
      </w:tr>
      <w:tr>
        <w:trPr>
          <w:cantSplit/>
        </w:trP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Audit</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000000"/>
                <w:sz w:val="18"/>
              </w:rPr>
              <w:t>Append-only event record</w:t>
            </w:r>
          </w:p>
        </w:tc>
        <w:tc>
          <w:tcPr>
            <w:tcW w:type="dxa" w:w="4760"/>
            <w:tcMar>
              <w:top w:w="80" w:type="dxa"/>
              <w:start w:w="120" w:type="dxa"/>
              <w:bottom w:w="80" w:type="dxa"/>
              <w:end w:w="120" w:type="dxa"/>
            </w:tcMar>
            <w:vAlign w:val="center"/>
          </w:tcPr>
          <w:p>
            <w:pPr>
              <w:spacing w:before="0" w:after="0" w:line="252" w:lineRule="auto"/>
            </w:pPr>
            <w:r>
              <w:rPr>
                <w:rFonts w:ascii="Calibri" w:hAnsi="Calibri"/>
                <w:color w:val="000000"/>
                <w:sz w:val="18"/>
              </w:rPr>
              <w:t>A table exists, but application flows do not consistently write it and the DB does not block update/delete.</w:t>
            </w:r>
          </w:p>
        </w:tc>
      </w:tr>
    </w:tbl>
    <w:p>
      <w:pPr>
        <w:spacing w:after="40"/>
      </w:pPr>
    </w:p>
    <w:p>
      <w:pPr>
        <w:pStyle w:val="Heading2"/>
        <w:keepNext/>
        <w:keepLines/>
      </w:pPr>
      <w:r>
        <w:t>Integrity gaps</w:t>
      </w:r>
    </w:p>
    <w:p>
      <w:pPr>
        <w:pStyle w:val="ListBullet"/>
        <w:keepLines/>
      </w:pPr>
      <w:r>
        <w:t>match_candidate requires a JSON drivers column but the database allows an empty array; signal evidence defaults to an empty object. Application rules are not equivalent to constraints.</w:t>
      </w:r>
    </w:p>
    <w:p>
      <w:pPr>
        <w:pStyle w:val="ListBullet"/>
        <w:keepLines/>
      </w:pPr>
      <w:r>
        <w:t>match_score_history and audit_event are described as INSERT ONLY, but there is no trigger, permission or policy preventing UPDATE/DELETE.</w:t>
      </w:r>
    </w:p>
    <w:p>
      <w:pPr>
        <w:pStyle w:val="ListBullet"/>
        <w:keepLines/>
      </w:pPr>
      <w:r>
        <w:t>The ORM defines later tables (customs, CRM, webhooks, agent runs) that are not part of the eight SQL migrations, creating schema-source ambiguity.</w:t>
      </w:r>
    </w:p>
    <w:p>
      <w:pPr>
        <w:pStyle w:val="ListBullet"/>
        <w:keepLines/>
      </w:pPr>
      <w:r>
        <w:t>seed_50_buyers is not idempotent: it can add duplicate people, products and signals when a company already exists.</w:t>
      </w:r>
    </w:p>
    <w:p>
      <w:pPr>
        <w:pStyle w:val="ListBullet"/>
        <w:keepLines/>
      </w:pPr>
      <w:r>
        <w:t>Entity resolution computes a normalised name helper but resolve_or_create_company only checks domain or exact name; no fuzzy candidate/review process exists.</w:t>
      </w:r>
    </w:p>
    <w:p>
      <w:pPr>
        <w:pStyle w:val="ListBullet"/>
        <w:keepLines/>
      </w:pPr>
      <w:r>
        <w:t>Signals lack a first-class source assertion model with licence, captured-at, published-at, excerpt, checksum, confidence, verification decision and applicability period.</w:t>
      </w:r>
    </w:p>
    <w:p>
      <w:pPr>
        <w:pStyle w:val="ListBullet"/>
        <w:keepLines/>
      </w:pPr>
      <w:r>
        <w:t>Contacts need lawful-basis and correction/opt-out handling in both the EU and India; a default string is not a privacy programme.</w:t>
      </w:r>
    </w:p>
    <w:p>
      <w:pPr>
        <w:pStyle w:val="Heading2"/>
        <w:keepNext/>
        <w:keepLines/>
      </w:pPr>
      <w:r>
        <w:t>Recommended core data additions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Domain</w:t>
            </w:r>
          </w:p>
        </w:tc>
        <w:tc>
          <w:tcPr>
            <w:tcW w:type="dxa" w:w="74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Entities / controls</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Identity and tenancy</w:t>
            </w:r>
          </w:p>
        </w:tc>
        <w:tc>
          <w:tcPr>
            <w:tcW w:type="dxa" w:w="7460"/>
            <w:tcMar>
              <w:top w:w="80" w:type="dxa"/>
              <w:start w:w="120" w:type="dxa"/>
              <w:bottom w:w="80" w:type="dxa"/>
              <w:end w:w="120" w:type="dxa"/>
            </w:tcMar>
            <w:vAlign w:val="center"/>
          </w:tcPr>
          <w:p>
            <w:pPr>
              <w:spacing w:before="0" w:after="0" w:line="252" w:lineRule="auto"/>
            </w:pPr>
            <w:r>
              <w:rPr>
                <w:rFonts w:ascii="Calibri" w:hAnsi="Calibri"/>
                <w:color w:val="000000"/>
                <w:sz w:val="18"/>
              </w:rPr>
              <w:t>organisation, user, membership, role, tenant_id, entitlement, API credential, session, invite, audit actor.</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Evidence</w:t>
            </w:r>
          </w:p>
        </w:tc>
        <w:tc>
          <w:tcPr>
            <w:tcW w:type="dxa" w:w="7460"/>
            <w:tcMar>
              <w:top w:w="80" w:type="dxa"/>
              <w:start w:w="120" w:type="dxa"/>
              <w:bottom w:w="80" w:type="dxa"/>
              <w:end w:w="120" w:type="dxa"/>
            </w:tcMar>
            <w:vAlign w:val="center"/>
          </w:tcPr>
          <w:p>
            <w:pPr>
              <w:spacing w:before="0" w:after="0" w:line="252" w:lineRule="auto"/>
            </w:pPr>
            <w:r>
              <w:rPr>
                <w:rFonts w:ascii="Calibri" w:hAnsi="Calibri"/>
                <w:color w:val="000000"/>
                <w:sz w:val="18"/>
              </w:rPr>
              <w:t>source, source_contract, document, assertion, quote, licence, captured_at, valid_from/to, verification decision, reviewer, correction.</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Data quality</w:t>
            </w:r>
          </w:p>
        </w:tc>
        <w:tc>
          <w:tcPr>
            <w:tcW w:type="dxa" w:w="7460"/>
            <w:tcMar>
              <w:top w:w="80" w:type="dxa"/>
              <w:start w:w="120" w:type="dxa"/>
              <w:bottom w:w="80" w:type="dxa"/>
              <w:end w:w="120" w:type="dxa"/>
            </w:tcMar>
            <w:vAlign w:val="center"/>
          </w:tcPr>
          <w:p>
            <w:pPr>
              <w:spacing w:before="0" w:after="0" w:line="252" w:lineRule="auto"/>
            </w:pPr>
            <w:r>
              <w:rPr>
                <w:rFonts w:ascii="Calibri" w:hAnsi="Calibri"/>
                <w:color w:val="000000"/>
                <w:sz w:val="18"/>
              </w:rPr>
              <w:t>dedupe candidate, merge decision, freshness policy, field confidence, bounce/validation, dispute, suppression/opt-out.</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Commercial</w:t>
            </w:r>
          </w:p>
        </w:tc>
        <w:tc>
          <w:tcPr>
            <w:tcW w:type="dxa" w:w="7460"/>
            <w:tcMar>
              <w:top w:w="80" w:type="dxa"/>
              <w:start w:w="120" w:type="dxa"/>
              <w:bottom w:w="80" w:type="dxa"/>
              <w:end w:w="120" w:type="dxa"/>
            </w:tcMar>
            <w:vAlign w:val="center"/>
          </w:tcPr>
          <w:p>
            <w:pPr>
              <w:spacing w:before="0" w:after="0" w:line="252" w:lineRule="auto"/>
            </w:pPr>
            <w:r>
              <w:rPr>
                <w:rFonts w:ascii="Calibri" w:hAnsi="Calibri"/>
                <w:color w:val="000000"/>
                <w:sz w:val="18"/>
              </w:rPr>
              <w:t>opportunity, stage, activity, task, sample, quote, line item, margin, buyer response, outcome, loss reason.</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India export</w:t>
            </w:r>
          </w:p>
        </w:tc>
        <w:tc>
          <w:tcPr>
            <w:tcW w:type="dxa" w:w="7460"/>
            <w:tcMar>
              <w:top w:w="80" w:type="dxa"/>
              <w:start w:w="120" w:type="dxa"/>
              <w:bottom w:w="80" w:type="dxa"/>
              <w:end w:w="120" w:type="dxa"/>
            </w:tcMar>
            <w:vAlign w:val="center"/>
          </w:tcPr>
          <w:p>
            <w:pPr>
              <w:spacing w:before="0" w:after="0" w:line="252" w:lineRule="auto"/>
            </w:pPr>
            <w:r>
              <w:rPr>
                <w:rFonts w:ascii="Calibri" w:hAnsi="Calibri"/>
                <w:color w:val="000000"/>
                <w:sz w:val="18"/>
              </w:rPr>
              <w:t>registrations, AD bank/port, product HS/ITC(HS), document pack, shipment, shipping bill, incentive claim, remittance, eBRC, GST refund.</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Operations</w:t>
            </w:r>
          </w:p>
        </w:tc>
        <w:tc>
          <w:tcPr>
            <w:tcW w:type="dxa" w:w="7460"/>
            <w:tcMar>
              <w:top w:w="80" w:type="dxa"/>
              <w:start w:w="120" w:type="dxa"/>
              <w:bottom w:w="80" w:type="dxa"/>
              <w:end w:w="120" w:type="dxa"/>
            </w:tcMar>
            <w:vAlign w:val="center"/>
          </w:tcPr>
          <w:p>
            <w:pPr>
              <w:spacing w:before="0" w:after="0" w:line="252" w:lineRule="auto"/>
            </w:pPr>
            <w:r>
              <w:rPr>
                <w:rFonts w:ascii="Calibri" w:hAnsi="Calibri"/>
                <w:color w:val="000000"/>
                <w:sz w:val="18"/>
              </w:rPr>
              <w:t>job, job attempt, connector cursor, webhook delivery, retry/dead-letter, feature flag, configuration version, incident.</w:t>
            </w:r>
          </w:p>
        </w:tc>
      </w:tr>
    </w:tbl>
    <w:p>
      <w:pPr>
        <w:spacing w:after="40"/>
      </w:pPr>
    </w:p>
    <w:p>
      <w:pPr>
        <w:pStyle w:val="Heading1"/>
        <w:keepNext/>
        <w:keepLines/>
      </w:pPr>
      <w:r>
        <w:t>5. Application and API architecture</w:t>
      </w:r>
    </w:p>
    <w:p>
      <w:pPr>
        <w:pStyle w:val="Heading2"/>
        <w:keepNext/>
        <w:keepLines/>
      </w:pPr>
      <w:r>
        <w:t>Architecture-rule deviations</w:t>
      </w:r>
    </w:p>
    <w:tbl>
      <w:tblPr>
        <w:tblStyle w:val="TableGrid"/>
        <w:tblW w:type="dxa" w:w="9360"/>
        <w:jc w:val="left"/>
        <w:tblLayout w:type="fixed"/>
        <w:tblLook w:firstColumn="1" w:firstRow="1" w:lastColumn="0" w:lastRow="0" w:noHBand="0" w:noVBand="1" w:val="04A0"/>
        <w:tblInd w:w="120" w:type="dxa"/>
      </w:tblPr>
      <w:tblGrid>
        <w:gridCol w:w="2200"/>
        <w:gridCol w:w="4100"/>
        <w:gridCol w:w="3060"/>
      </w:tblGrid>
      <w:tr>
        <w:trPr>
          <w:tblHeader w:val="true"/>
          <w:cantSplit/>
        </w:trPr>
        <w:tc>
          <w:tcPr>
            <w:tcW w:type="dxa" w:w="22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Rule</w:t>
            </w:r>
          </w:p>
        </w:tc>
        <w:tc>
          <w:tcPr>
            <w:tcW w:type="dxa" w:w="41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Observed deviation</w:t>
            </w:r>
          </w:p>
        </w:tc>
        <w:tc>
          <w:tcPr>
            <w:tcW w:type="dxa" w:w="30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Fix</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6"/>
              </w:rPr>
              <w:t>All DB access through repositories</w:t>
            </w:r>
          </w:p>
        </w:tc>
        <w:tc>
          <w:tcPr>
            <w:tcW w:type="dxa" w:w="4100"/>
            <w:tcMar>
              <w:top w:w="80" w:type="dxa"/>
              <w:start w:w="120" w:type="dxa"/>
              <w:bottom w:w="80" w:type="dxa"/>
              <w:end w:w="120" w:type="dxa"/>
            </w:tcMar>
            <w:vAlign w:val="center"/>
          </w:tcPr>
          <w:p>
            <w:pPr>
              <w:spacing w:before="0" w:after="0" w:line="252" w:lineRule="auto"/>
            </w:pPr>
            <w:r>
              <w:rPr>
                <w:rFonts w:ascii="Calibri" w:hAnsi="Calibri"/>
                <w:color w:val="000000"/>
                <w:sz w:val="16"/>
              </w:rPr>
              <w:t>lane_service and entity_resolution_service execute SQLAlchemy queries; health route also executes SQL directly.</w:t>
            </w:r>
          </w:p>
        </w:tc>
        <w:tc>
          <w:tcPr>
            <w:tcW w:type="dxa" w:w="3060"/>
            <w:tcMar>
              <w:top w:w="80" w:type="dxa"/>
              <w:start w:w="120" w:type="dxa"/>
              <w:bottom w:w="80" w:type="dxa"/>
              <w:end w:w="120" w:type="dxa"/>
            </w:tcMar>
            <w:vAlign w:val="center"/>
          </w:tcPr>
          <w:p>
            <w:pPr>
              <w:spacing w:before="0" w:after="0" w:line="252" w:lineRule="auto"/>
            </w:pPr>
            <w:r>
              <w:rPr>
                <w:rFonts w:ascii="Calibri" w:hAnsi="Calibri"/>
                <w:color w:val="000000"/>
                <w:sz w:val="16"/>
              </w:rPr>
              <w:t>Add lane/entity/health repositories and keep services transaction-oriented.</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6"/>
              </w:rPr>
              <w:t>No hard-coded freight</w:t>
            </w:r>
          </w:p>
        </w:tc>
        <w:tc>
          <w:tcPr>
            <w:tcW w:type="dxa" w:w="4100"/>
            <w:tcMar>
              <w:top w:w="80" w:type="dxa"/>
              <w:start w:w="120" w:type="dxa"/>
              <w:bottom w:w="80" w:type="dxa"/>
              <w:end w:w="120" w:type="dxa"/>
            </w:tcMar>
            <w:vAlign w:val="center"/>
          </w:tcPr>
          <w:p>
            <w:pPr>
              <w:spacing w:before="0" w:after="0" w:line="252" w:lineRule="auto"/>
            </w:pPr>
            <w:r>
              <w:rPr>
                <w:rFonts w:ascii="Calibri" w:hAnsi="Calibri"/>
                <w:color w:val="000000"/>
                <w:sz w:val="16"/>
              </w:rPr>
              <w:t>lanes.py contains four fixed corridors; lane_service has a fixed fallback.</w:t>
            </w:r>
          </w:p>
        </w:tc>
        <w:tc>
          <w:tcPr>
            <w:tcW w:type="dxa" w:w="3060"/>
            <w:tcMar>
              <w:top w:w="80" w:type="dxa"/>
              <w:start w:w="120" w:type="dxa"/>
              <w:bottom w:w="80" w:type="dxa"/>
              <w:end w:w="120" w:type="dxa"/>
            </w:tcMar>
            <w:vAlign w:val="center"/>
          </w:tcPr>
          <w:p>
            <w:pPr>
              <w:spacing w:before="0" w:after="0" w:line="252" w:lineRule="auto"/>
            </w:pPr>
            <w:r>
              <w:rPr>
                <w:rFonts w:ascii="Calibri" w:hAnsi="Calibri"/>
                <w:color w:val="000000"/>
                <w:sz w:val="16"/>
              </w:rPr>
              <w:t>Effective-dated lane repository, quote source, freshness and explicit fallback status.</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6"/>
              </w:rPr>
              <w:t>Match requirements</w:t>
            </w:r>
          </w:p>
        </w:tc>
        <w:tc>
          <w:tcPr>
            <w:tcW w:type="dxa" w:w="4100"/>
            <w:tcMar>
              <w:top w:w="80" w:type="dxa"/>
              <w:start w:w="120" w:type="dxa"/>
              <w:bottom w:w="80" w:type="dxa"/>
              <w:end w:w="120" w:type="dxa"/>
            </w:tcMar>
            <w:vAlign w:val="center"/>
          </w:tcPr>
          <w:p>
            <w:pPr>
              <w:spacing w:before="0" w:after="0" w:line="252" w:lineRule="auto"/>
            </w:pPr>
            <w:r>
              <w:rPr>
                <w:rFonts w:ascii="Calibri" w:hAnsi="Calibri"/>
                <w:color w:val="000000"/>
                <w:sz w:val="16"/>
              </w:rPr>
              <w:t>Repository upsert does not validate score_version or non-empty drivers.</w:t>
            </w:r>
          </w:p>
        </w:tc>
        <w:tc>
          <w:tcPr>
            <w:tcW w:type="dxa" w:w="3060"/>
            <w:tcMar>
              <w:top w:w="80" w:type="dxa"/>
              <w:start w:w="120" w:type="dxa"/>
              <w:bottom w:w="80" w:type="dxa"/>
              <w:end w:w="120" w:type="dxa"/>
            </w:tcMar>
            <w:vAlign w:val="center"/>
          </w:tcPr>
          <w:p>
            <w:pPr>
              <w:spacing w:before="0" w:after="0" w:line="252" w:lineRule="auto"/>
            </w:pPr>
            <w:r>
              <w:rPr>
                <w:rFonts w:ascii="Calibri" w:hAnsi="Calibri"/>
                <w:color w:val="000000"/>
                <w:sz w:val="16"/>
              </w:rPr>
              <w:t>Typed command/schema plus DB checks and transactional history insert.</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6"/>
              </w:rPr>
              <w:t>Signal evidence</w:t>
            </w:r>
          </w:p>
        </w:tc>
        <w:tc>
          <w:tcPr>
            <w:tcW w:type="dxa" w:w="4100"/>
            <w:tcMar>
              <w:top w:w="80" w:type="dxa"/>
              <w:start w:w="120" w:type="dxa"/>
              <w:bottom w:w="80" w:type="dxa"/>
              <w:end w:w="120" w:type="dxa"/>
            </w:tcMar>
            <w:vAlign w:val="center"/>
          </w:tcPr>
          <w:p>
            <w:pPr>
              <w:spacing w:before="0" w:after="0" w:line="252" w:lineRule="auto"/>
            </w:pPr>
            <w:r>
              <w:rPr>
                <w:rFonts w:ascii="Calibri" w:hAnsi="Calibri"/>
                <w:color w:val="000000"/>
                <w:sz w:val="16"/>
              </w:rPr>
              <w:t>DB permits evidence={}; no source URL requirement.</w:t>
            </w:r>
          </w:p>
        </w:tc>
        <w:tc>
          <w:tcPr>
            <w:tcW w:type="dxa" w:w="3060"/>
            <w:tcMar>
              <w:top w:w="80" w:type="dxa"/>
              <w:start w:w="120" w:type="dxa"/>
              <w:bottom w:w="80" w:type="dxa"/>
              <w:end w:w="120" w:type="dxa"/>
            </w:tcMar>
            <w:vAlign w:val="center"/>
          </w:tcPr>
          <w:p>
            <w:pPr>
              <w:spacing w:before="0" w:after="0" w:line="252" w:lineRule="auto"/>
            </w:pPr>
            <w:r>
              <w:rPr>
                <w:rFonts w:ascii="Calibri" w:hAnsi="Calibri"/>
                <w:color w:val="000000"/>
                <w:sz w:val="16"/>
              </w:rPr>
              <w:t>Non-empty assertion link, evidence schema and publish gate.</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6"/>
              </w:rPr>
              <w:t>Pydantic for all responses</w:t>
            </w:r>
          </w:p>
        </w:tc>
        <w:tc>
          <w:tcPr>
            <w:tcW w:type="dxa" w:w="4100"/>
            <w:tcMar>
              <w:top w:w="80" w:type="dxa"/>
              <w:start w:w="120" w:type="dxa"/>
              <w:bottom w:w="80" w:type="dxa"/>
              <w:end w:w="120" w:type="dxa"/>
            </w:tcMar>
            <w:vAlign w:val="center"/>
          </w:tcPr>
          <w:p>
            <w:pPr>
              <w:spacing w:before="0" w:after="0" w:line="252" w:lineRule="auto"/>
            </w:pPr>
            <w:r>
              <w:rPr>
                <w:rFonts w:ascii="Calibri" w:hAnsi="Calibri"/>
                <w:color w:val="000000"/>
                <w:sz w:val="16"/>
              </w:rPr>
              <w:t>Root and customs ingest return raw dicts; WebSocket frames have no versioned schema.</w:t>
            </w:r>
          </w:p>
        </w:tc>
        <w:tc>
          <w:tcPr>
            <w:tcW w:type="dxa" w:w="3060"/>
            <w:tcMar>
              <w:top w:w="80" w:type="dxa"/>
              <w:start w:w="120" w:type="dxa"/>
              <w:bottom w:w="80" w:type="dxa"/>
              <w:end w:w="120" w:type="dxa"/>
            </w:tcMar>
            <w:vAlign w:val="center"/>
          </w:tcPr>
          <w:p>
            <w:pPr>
              <w:spacing w:before="0" w:after="0" w:line="252" w:lineRule="auto"/>
            </w:pPr>
            <w:r>
              <w:rPr>
                <w:rFonts w:ascii="Calibri" w:hAnsi="Calibri"/>
                <w:color w:val="000000"/>
                <w:sz w:val="16"/>
              </w:rPr>
              <w:t>Define schemas and version event envelopes.</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6"/>
              </w:rPr>
              <w:t>Auth except health</w:t>
            </w:r>
          </w:p>
        </w:tc>
        <w:tc>
          <w:tcPr>
            <w:tcW w:type="dxa" w:w="4100"/>
            <w:tcMar>
              <w:top w:w="80" w:type="dxa"/>
              <w:start w:w="120" w:type="dxa"/>
              <w:bottom w:w="80" w:type="dxa"/>
              <w:end w:w="120" w:type="dxa"/>
            </w:tcMar>
            <w:vAlign w:val="center"/>
          </w:tcPr>
          <w:p>
            <w:pPr>
              <w:spacing w:before="0" w:after="0" w:line="252" w:lineRule="auto"/>
            </w:pPr>
            <w:r>
              <w:rPr>
                <w:rFonts w:ascii="Calibri" w:hAnsi="Calibri"/>
                <w:color w:val="000000"/>
                <w:sz w:val="16"/>
              </w:rPr>
              <w:t>Root/docs/OpenAPI and /ws/signals are not protected by the shared dependency.</w:t>
            </w:r>
          </w:p>
        </w:tc>
        <w:tc>
          <w:tcPr>
            <w:tcW w:type="dxa" w:w="3060"/>
            <w:tcMar>
              <w:top w:w="80" w:type="dxa"/>
              <w:start w:w="120" w:type="dxa"/>
              <w:bottom w:w="80" w:type="dxa"/>
              <w:end w:w="120" w:type="dxa"/>
            </w:tcMar>
            <w:vAlign w:val="center"/>
          </w:tcPr>
          <w:p>
            <w:pPr>
              <w:spacing w:before="0" w:after="0" w:line="252" w:lineRule="auto"/>
            </w:pPr>
            <w:r>
              <w:rPr>
                <w:rFonts w:ascii="Calibri" w:hAnsi="Calibri"/>
                <w:color w:val="000000"/>
                <w:sz w:val="16"/>
              </w:rPr>
              <w:t>Explicit public-surface policy; real user auth and WebSocket token/tenant validation.</w:t>
            </w:r>
          </w:p>
        </w:tc>
      </w:tr>
    </w:tbl>
    <w:p>
      <w:pPr>
        <w:spacing w:after="40"/>
      </w:pPr>
    </w:p>
    <w:p>
      <w:pPr>
        <w:pStyle w:val="Heading2"/>
        <w:keepNext/>
        <w:keepLines/>
      </w:pPr>
      <w:r>
        <w:t>API design improvements</w:t>
      </w:r>
    </w:p>
    <w:p>
      <w:pPr>
        <w:pStyle w:val="ListBullet"/>
        <w:keepLines/>
      </w:pPr>
      <w:r>
        <w:t>Use /api/v1/organisations/{org_id}/... or tenant context from authenticated identity; never trust a client-supplied tenant ID without authorisation.</w:t>
      </w:r>
    </w:p>
    <w:p>
      <w:pPr>
        <w:pStyle w:val="ListBullet"/>
        <w:keepLines/>
      </w:pPr>
      <w:r>
        <w:t>Adopt pagination with stable cursors, filtering contracts, request IDs, consistent error envelopes, and idempotency keys for write operations.</w:t>
      </w:r>
    </w:p>
    <w:p>
      <w:pPr>
        <w:pStyle w:val="ListBullet"/>
        <w:keepLines/>
      </w:pPr>
      <w:r>
        <w:t>Return evidence status, source timestamp, last-verified date, applicability and confidence with every commercial claim.</w:t>
      </w:r>
    </w:p>
    <w:p>
      <w:pPr>
        <w:pStyle w:val="ListBullet"/>
        <w:keepLines/>
      </w:pPr>
      <w:r>
        <w:t>Move refresh, ingestion, scoring, export and webhook delivery to queued jobs with status resources instead of synchronous requests.</w:t>
      </w:r>
    </w:p>
    <w:p>
      <w:pPr>
        <w:pStyle w:val="ListBullet"/>
        <w:keepLines/>
      </w:pPr>
      <w:r>
        <w:t>Version schemas for signals/webhooks and sign actual outbound requests. Record attempts, responses, retries and dead letters.</w:t>
      </w:r>
    </w:p>
    <w:p>
      <w:pPr>
        <w:pStyle w:val="ListBullet"/>
        <w:keepLines/>
      </w:pPr>
      <w:r>
        <w:t>Separate demo data from production data at the database and environment level; add a persistent DEMO banner and block exports of synthetic contacts.</w:t>
      </w:r>
    </w:p>
    <w:p>
      <w:pPr>
        <w:pStyle w:val="Heading1"/>
        <w:keepNext/>
        <w:keepLines/>
      </w:pPr>
      <w:r>
        <w:t>6. Intelligence, search, and agent reality</w:t>
      </w:r>
    </w:p>
    <w:tbl>
      <w:tblPr>
        <w:tblStyle w:val="TableGrid"/>
        <w:tblW w:type="dxa" w:w="9360"/>
        <w:jc w:val="left"/>
        <w:tblLayout w:type="fixed"/>
        <w:tblLook w:firstColumn="1" w:firstRow="1" w:lastColumn="0" w:lastRow="0" w:noHBand="0" w:noVBand="1" w:val="04A0"/>
        <w:tblInd w:w="120" w:type="dxa"/>
      </w:tblPr>
      <w:tblGrid>
        <w:gridCol w:w="2100"/>
        <w:gridCol w:w="3900"/>
        <w:gridCol w:w="3360"/>
      </w:tblGrid>
      <w:tr>
        <w:trPr>
          <w:tblHeader w:val="true"/>
          <w:cantSplit/>
        </w:trPr>
        <w:tc>
          <w:tcPr>
            <w:tcW w:type="dxa" w:w="21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Claim</w:t>
            </w:r>
          </w:p>
        </w:tc>
        <w:tc>
          <w:tcPr>
            <w:tcW w:type="dxa" w:w="39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Implementation</w:t>
            </w:r>
          </w:p>
        </w:tc>
        <w:tc>
          <w:tcPr>
            <w:tcW w:type="dxa" w:w="33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Required for truthful claim</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color w:val="000000"/>
                <w:sz w:val="16"/>
              </w:rPr>
              <w:t>Explainable match scoring</w:t>
            </w:r>
          </w:p>
        </w:tc>
        <w:tc>
          <w:tcPr>
            <w:tcW w:type="dxa" w:w="3900"/>
            <w:tcMar>
              <w:top w:w="80" w:type="dxa"/>
              <w:start w:w="120" w:type="dxa"/>
              <w:bottom w:w="80" w:type="dxa"/>
              <w:end w:w="120" w:type="dxa"/>
            </w:tcMar>
            <w:vAlign w:val="center"/>
          </w:tcPr>
          <w:p>
            <w:pPr>
              <w:spacing w:before="0" w:after="0" w:line="252" w:lineRule="auto"/>
            </w:pPr>
            <w:r>
              <w:rPr>
                <w:rFonts w:ascii="Calibri" w:hAnsi="Calibri"/>
                <w:color w:val="000000"/>
                <w:sz w:val="16"/>
              </w:rPr>
              <w:t>Five driver objects, but fixed values by rank and identical evidence text.</w:t>
            </w:r>
          </w:p>
        </w:tc>
        <w:tc>
          <w:tcPr>
            <w:tcW w:type="dxa" w:w="3360"/>
            <w:tcMar>
              <w:top w:w="80" w:type="dxa"/>
              <w:start w:w="120" w:type="dxa"/>
              <w:bottom w:w="80" w:type="dxa"/>
              <w:end w:w="120" w:type="dxa"/>
            </w:tcMar>
            <w:vAlign w:val="center"/>
          </w:tcPr>
          <w:p>
            <w:pPr>
              <w:spacing w:before="0" w:after="0" w:line="252" w:lineRule="auto"/>
            </w:pPr>
            <w:r>
              <w:rPr>
                <w:rFonts w:ascii="Calibri" w:hAnsi="Calibri"/>
                <w:color w:val="000000"/>
                <w:sz w:val="16"/>
              </w:rPr>
              <w:t>Feature extraction from structured product/cert/lane/intent/contact evidence, calibrated weights, evaluation set, versioning and human review.</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color w:val="000000"/>
                <w:sz w:val="16"/>
              </w:rPr>
              <w:t>Hybrid pgvector search</w:t>
            </w:r>
          </w:p>
        </w:tc>
        <w:tc>
          <w:tcPr>
            <w:tcW w:type="dxa" w:w="3900"/>
            <w:tcMar>
              <w:top w:w="80" w:type="dxa"/>
              <w:start w:w="120" w:type="dxa"/>
              <w:bottom w:w="80" w:type="dxa"/>
              <w:end w:w="120" w:type="dxa"/>
            </w:tcMar>
            <w:vAlign w:val="center"/>
          </w:tcPr>
          <w:p>
            <w:pPr>
              <w:spacing w:before="0" w:after="0" w:line="252" w:lineRule="auto"/>
            </w:pPr>
            <w:r>
              <w:rPr>
                <w:rFonts w:ascii="Calibri" w:hAnsi="Calibri"/>
                <w:color w:val="000000"/>
                <w:sz w:val="16"/>
              </w:rPr>
              <w:t>Postgres text search plus in-memory token overlap labelled dense semantic simulation.</w:t>
            </w:r>
          </w:p>
        </w:tc>
        <w:tc>
          <w:tcPr>
            <w:tcW w:type="dxa" w:w="3360"/>
            <w:tcMar>
              <w:top w:w="80" w:type="dxa"/>
              <w:start w:w="120" w:type="dxa"/>
              <w:bottom w:w="80" w:type="dxa"/>
              <w:end w:w="120" w:type="dxa"/>
            </w:tcMar>
            <w:vAlign w:val="center"/>
          </w:tcPr>
          <w:p>
            <w:pPr>
              <w:spacing w:before="0" w:after="0" w:line="252" w:lineRule="auto"/>
            </w:pPr>
            <w:r>
              <w:rPr>
                <w:rFonts w:ascii="Calibri" w:hAnsi="Calibri"/>
                <w:color w:val="000000"/>
                <w:sz w:val="16"/>
              </w:rPr>
              <w:t>Embedding model/version, vector column, HNSW index, vector query, access filters, offline relevance evaluation and fallback.</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color w:val="000000"/>
                <w:sz w:val="16"/>
              </w:rPr>
              <w:t>LangGraph agents</w:t>
            </w:r>
          </w:p>
        </w:tc>
        <w:tc>
          <w:tcPr>
            <w:tcW w:type="dxa" w:w="3900"/>
            <w:tcMar>
              <w:top w:w="80" w:type="dxa"/>
              <w:start w:w="120" w:type="dxa"/>
              <w:bottom w:w="80" w:type="dxa"/>
              <w:end w:w="120" w:type="dxa"/>
            </w:tcMar>
            <w:vAlign w:val="center"/>
          </w:tcPr>
          <w:p>
            <w:pPr>
              <w:spacing w:before="0" w:after="0" w:line="252" w:lineRule="auto"/>
            </w:pPr>
            <w:r>
              <w:rPr>
                <w:rFonts w:ascii="Calibri" w:hAnsi="Calibri"/>
                <w:color w:val="000000"/>
                <w:sz w:val="16"/>
              </w:rPr>
              <w:t>Synchronous deterministic classes returning prepared content.</w:t>
            </w:r>
          </w:p>
        </w:tc>
        <w:tc>
          <w:tcPr>
            <w:tcW w:type="dxa" w:w="3360"/>
            <w:tcMar>
              <w:top w:w="80" w:type="dxa"/>
              <w:start w:w="120" w:type="dxa"/>
              <w:bottom w:w="80" w:type="dxa"/>
              <w:end w:w="120" w:type="dxa"/>
            </w:tcMar>
            <w:vAlign w:val="center"/>
          </w:tcPr>
          <w:p>
            <w:pPr>
              <w:spacing w:before="0" w:after="0" w:line="252" w:lineRule="auto"/>
            </w:pPr>
            <w:r>
              <w:rPr>
                <w:rFonts w:ascii="Calibri" w:hAnsi="Calibri"/>
                <w:color w:val="000000"/>
                <w:sz w:val="16"/>
              </w:rPr>
              <w:t>Actual graph/checkpoint runtime only if it improves reliability; tool permissions, state, retries, human approval persistence, evals and cost controls.</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color w:val="000000"/>
                <w:sz w:val="16"/>
              </w:rPr>
              <w:t>Live ingestion</w:t>
            </w:r>
          </w:p>
        </w:tc>
        <w:tc>
          <w:tcPr>
            <w:tcW w:type="dxa" w:w="3900"/>
            <w:tcMar>
              <w:top w:w="80" w:type="dxa"/>
              <w:start w:w="120" w:type="dxa"/>
              <w:bottom w:w="80" w:type="dxa"/>
              <w:end w:w="120" w:type="dxa"/>
            </w:tcMar>
            <w:vAlign w:val="center"/>
          </w:tcPr>
          <w:p>
            <w:pPr>
              <w:spacing w:before="0" w:after="0" w:line="252" w:lineRule="auto"/>
            </w:pPr>
            <w:r>
              <w:rPr>
                <w:rFonts w:ascii="Calibri" w:hAnsi="Calibri"/>
                <w:color w:val="000000"/>
                <w:sz w:val="16"/>
              </w:rPr>
              <w:t>Methods accept supplied Python lists; seed scripts create buyers/signals.</w:t>
            </w:r>
          </w:p>
        </w:tc>
        <w:tc>
          <w:tcPr>
            <w:tcW w:type="dxa" w:w="3360"/>
            <w:tcMar>
              <w:top w:w="80" w:type="dxa"/>
              <w:start w:w="120" w:type="dxa"/>
              <w:bottom w:w="80" w:type="dxa"/>
              <w:end w:w="120" w:type="dxa"/>
            </w:tcMar>
            <w:vAlign w:val="center"/>
          </w:tcPr>
          <w:p>
            <w:pPr>
              <w:spacing w:before="0" w:after="0" w:line="252" w:lineRule="auto"/>
            </w:pPr>
            <w:r>
              <w:rPr>
                <w:rFonts w:ascii="Calibri" w:hAnsi="Calibri"/>
                <w:color w:val="000000"/>
                <w:sz w:val="16"/>
              </w:rPr>
              <w:t>Connectors with legal basis, robots/terms, raw payload capture, cursors, retries, rate limits, parsing, lineage and analyst QA.</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color w:val="000000"/>
                <w:sz w:val="16"/>
              </w:rPr>
              <w:t>CRM sync</w:t>
            </w:r>
          </w:p>
        </w:tc>
        <w:tc>
          <w:tcPr>
            <w:tcW w:type="dxa" w:w="3900"/>
            <w:tcMar>
              <w:top w:w="80" w:type="dxa"/>
              <w:start w:w="120" w:type="dxa"/>
              <w:bottom w:w="80" w:type="dxa"/>
              <w:end w:w="120" w:type="dxa"/>
            </w:tcMar>
            <w:vAlign w:val="center"/>
          </w:tcPr>
          <w:p>
            <w:pPr>
              <w:spacing w:before="0" w:after="0" w:line="252" w:lineRule="auto"/>
            </w:pPr>
            <w:r>
              <w:rPr>
                <w:rFonts w:ascii="Calibri" w:hAnsi="Calibri"/>
                <w:color w:val="000000"/>
                <w:sz w:val="16"/>
              </w:rPr>
              <w:t>Generates HubSpot/Salesforce-shaped payload and logs it.</w:t>
            </w:r>
          </w:p>
        </w:tc>
        <w:tc>
          <w:tcPr>
            <w:tcW w:type="dxa" w:w="3360"/>
            <w:tcMar>
              <w:top w:w="80" w:type="dxa"/>
              <w:start w:w="120" w:type="dxa"/>
              <w:bottom w:w="80" w:type="dxa"/>
              <w:end w:w="120" w:type="dxa"/>
            </w:tcMar>
            <w:vAlign w:val="center"/>
          </w:tcPr>
          <w:p>
            <w:pPr>
              <w:spacing w:before="0" w:after="0" w:line="252" w:lineRule="auto"/>
            </w:pPr>
            <w:r>
              <w:rPr>
                <w:rFonts w:ascii="Calibri" w:hAnsi="Calibri"/>
                <w:color w:val="000000"/>
                <w:sz w:val="16"/>
              </w:rPr>
              <w:t>OAuth, scopes, field mapping, upsert/dedupe, error handling, status, revocation and customer-visible audit.</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color w:val="000000"/>
                <w:sz w:val="16"/>
              </w:rPr>
              <w:t>Real-time webhooks</w:t>
            </w:r>
          </w:p>
        </w:tc>
        <w:tc>
          <w:tcPr>
            <w:tcW w:type="dxa" w:w="3900"/>
            <w:tcMar>
              <w:top w:w="80" w:type="dxa"/>
              <w:start w:w="120" w:type="dxa"/>
              <w:bottom w:w="80" w:type="dxa"/>
              <w:end w:w="120" w:type="dxa"/>
            </w:tcMar>
            <w:vAlign w:val="center"/>
          </w:tcPr>
          <w:p>
            <w:pPr>
              <w:spacing w:before="0" w:after="0" w:line="252" w:lineRule="auto"/>
            </w:pPr>
            <w:r>
              <w:rPr>
                <w:rFonts w:ascii="Calibri" w:hAnsi="Calibri"/>
                <w:color w:val="000000"/>
                <w:sz w:val="16"/>
              </w:rPr>
              <w:t>Creates subscription secret, but dispatch only writes a successful log row.</w:t>
            </w:r>
          </w:p>
        </w:tc>
        <w:tc>
          <w:tcPr>
            <w:tcW w:type="dxa" w:w="3360"/>
            <w:tcMar>
              <w:top w:w="80" w:type="dxa"/>
              <w:start w:w="120" w:type="dxa"/>
              <w:bottom w:w="80" w:type="dxa"/>
              <w:end w:w="120" w:type="dxa"/>
            </w:tcMar>
            <w:vAlign w:val="center"/>
          </w:tcPr>
          <w:p>
            <w:pPr>
              <w:spacing w:before="0" w:after="0" w:line="252" w:lineRule="auto"/>
            </w:pPr>
            <w:r>
              <w:rPr>
                <w:rFonts w:ascii="Calibri" w:hAnsi="Calibri"/>
                <w:color w:val="000000"/>
                <w:sz w:val="16"/>
              </w:rPr>
              <w:t>HTTP delivery, DNS/SSRF safeguards, signing headers, timeouts, retries, dead-letter, disable-on-failure and test tooling.</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color w:val="000000"/>
                <w:sz w:val="16"/>
              </w:rPr>
              <w:t>Customs intelligence</w:t>
            </w:r>
          </w:p>
        </w:tc>
        <w:tc>
          <w:tcPr>
            <w:tcW w:type="dxa" w:w="3900"/>
            <w:tcMar>
              <w:top w:w="80" w:type="dxa"/>
              <w:start w:w="120" w:type="dxa"/>
              <w:bottom w:w="80" w:type="dxa"/>
              <w:end w:w="120" w:type="dxa"/>
            </w:tcMar>
            <w:vAlign w:val="center"/>
          </w:tcPr>
          <w:p>
            <w:pPr>
              <w:spacing w:before="0" w:after="0" w:line="252" w:lineRule="auto"/>
            </w:pPr>
            <w:r>
              <w:rPr>
                <w:rFonts w:ascii="Calibri" w:hAnsi="Calibri"/>
                <w:color w:val="000000"/>
                <w:sz w:val="16"/>
              </w:rPr>
              <w:t>Five sample rows and an ingest endpoint.</w:t>
            </w:r>
          </w:p>
        </w:tc>
        <w:tc>
          <w:tcPr>
            <w:tcW w:type="dxa" w:w="3360"/>
            <w:tcMar>
              <w:top w:w="80" w:type="dxa"/>
              <w:start w:w="120" w:type="dxa"/>
              <w:bottom w:w="80" w:type="dxa"/>
              <w:end w:w="120" w:type="dxa"/>
            </w:tcMar>
            <w:vAlign w:val="center"/>
          </w:tcPr>
          <w:p>
            <w:pPr>
              <w:spacing w:before="0" w:after="0" w:line="252" w:lineRule="auto"/>
            </w:pPr>
            <w:r>
              <w:rPr>
                <w:rFonts w:ascii="Calibri" w:hAnsi="Calibri"/>
                <w:color w:val="000000"/>
                <w:sz w:val="16"/>
              </w:rPr>
              <w:t>Licensed provider or customer-owned import; coverage, provenance, de-duplication, validation, limitations and contractual rights.</w:t>
            </w:r>
          </w:p>
        </w:tc>
      </w:tr>
    </w:tbl>
    <w:p>
      <w:pPr>
        <w:spacing w:after="40"/>
      </w:pPr>
    </w:p>
    <w:p>
      <w:pPr>
        <w:pStyle w:val="Heading2"/>
        <w:keepNext/>
        <w:keepLines/>
      </w:pPr>
      <w:r>
        <w:t>Scoring redesign</w:t>
      </w:r>
    </w:p>
    <w:p>
      <w:pPr>
        <w:pStyle w:val="ListNumber"/>
        <w:keepLines/>
        <w:numPr>
          <w:ilvl w:val="0"/>
          <w:numId w:val="12"/>
        </w:numPr>
      </w:pPr>
      <w:r>
        <w:t>Define target outcomes: qualified reply, sample request, quote or PO - not a visually pleasing 100-point score.</w:t>
      </w:r>
    </w:p>
    <w:p>
      <w:pPr>
        <w:pStyle w:val="ListNumber"/>
        <w:keepLines/>
        <w:numPr>
          <w:ilvl w:val="0"/>
          <w:numId w:val="12"/>
        </w:numPr>
      </w:pPr>
      <w:r>
        <w:t>Create a feature dictionary with source, type, direction, missing-value treatment, recency, confidence and permissible use.</w:t>
      </w:r>
    </w:p>
    <w:p>
      <w:pPr>
        <w:pStyle w:val="ListNumber"/>
        <w:keepLines/>
        <w:numPr>
          <w:ilvl w:val="0"/>
          <w:numId w:val="12"/>
        </w:numPr>
      </w:pPr>
      <w:r>
        <w:t>Calculate each driver from facts and preserve the contributing evidence IDs.</w:t>
      </w:r>
    </w:p>
    <w:p>
      <w:pPr>
        <w:pStyle w:val="ListNumber"/>
        <w:keepLines/>
        <w:numPr>
          <w:ilvl w:val="0"/>
          <w:numId w:val="12"/>
        </w:numPr>
      </w:pPr>
      <w:r>
        <w:t>Create a labelled evaluation set reviewed by export-domain users. Measure precision at top K and calibration by grade.</w:t>
      </w:r>
    </w:p>
    <w:p>
      <w:pPr>
        <w:pStyle w:val="ListNumber"/>
        <w:keepLines/>
        <w:numPr>
          <w:ilvl w:val="0"/>
          <w:numId w:val="12"/>
        </w:numPr>
      </w:pPr>
      <w:r>
        <w:t>Version weights, code, data snapshot and evidence. Keep history append-only through database permissions.</w:t>
      </w:r>
    </w:p>
    <w:p>
      <w:pPr>
        <w:pStyle w:val="ListNumber"/>
        <w:keepLines/>
        <w:numPr>
          <w:ilvl w:val="0"/>
          <w:numId w:val="12"/>
        </w:numPr>
      </w:pPr>
      <w:r>
        <w:t>Add human approval and correction feedback. Do not auto-publish a match when evidence or confidence is below threshold.</w:t>
      </w:r>
    </w:p>
    <w:p>
      <w:pPr>
        <w:pStyle w:val="Heading1"/>
        <w:keepNext/>
        <w:keepLines/>
      </w:pPr>
      <w:r>
        <w:t>7. Security and privacy assessment</w:t>
      </w:r>
    </w:p>
    <w:tbl>
      <w:tblPr>
        <w:tblStyle w:val="TableGrid"/>
        <w:tblW w:type="dxa" w:w="9360"/>
        <w:jc w:val="left"/>
        <w:tblLayout w:type="fixed"/>
        <w:tblLook w:firstColumn="1" w:firstRow="1" w:lastColumn="0" w:lastRow="0" w:noHBand="0" w:noVBand="1" w:val="04A0"/>
        <w:tblInd w:w="120" w:type="dxa"/>
      </w:tblPr>
      <w:tblGrid>
        <w:gridCol w:w="800"/>
        <w:gridCol w:w="4080"/>
        <w:gridCol w:w="4480"/>
      </w:tblGrid>
      <w:tr>
        <w:trPr>
          <w:tblHeader w:val="true"/>
          <w:cantSplit/>
        </w:trPr>
        <w:tc>
          <w:tcPr>
            <w:tcW w:type="dxa" w:w="8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Severity</w:t>
            </w:r>
          </w:p>
        </w:tc>
        <w:tc>
          <w:tcPr>
            <w:tcW w:type="dxa" w:w="408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Finding</w:t>
            </w:r>
          </w:p>
        </w:tc>
        <w:tc>
          <w:tcPr>
            <w:tcW w:type="dxa" w:w="448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Remediation</w:t>
            </w:r>
          </w:p>
        </w:tc>
      </w:tr>
      <w:tr>
        <w:trPr>
          <w:cantSplit/>
        </w:trP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P0</w:t>
            </w:r>
          </w:p>
        </w:tc>
        <w:tc>
          <w:tcPr>
            <w:tcW w:type="dxa" w:w="4080"/>
            <w:tcMar>
              <w:top w:w="80" w:type="dxa"/>
              <w:start w:w="120" w:type="dxa"/>
              <w:bottom w:w="80" w:type="dxa"/>
              <w:end w:w="120" w:type="dxa"/>
            </w:tcMar>
            <w:vAlign w:val="center"/>
          </w:tcPr>
          <w:p>
            <w:pPr>
              <w:spacing w:before="0" w:after="0" w:line="252" w:lineRule="auto"/>
            </w:pPr>
            <w:r>
              <w:rPr>
                <w:rFonts w:ascii="Calibri" w:hAnsi="Calibri"/>
                <w:color w:val="000000"/>
                <w:sz w:val="16"/>
              </w:rPr>
              <w:t>Shared API key is embedded in frontend/src/api/client.ts.</w:t>
            </w:r>
          </w:p>
        </w:tc>
        <w:tc>
          <w:tcPr>
            <w:tcW w:type="dxa" w:w="4480"/>
            <w:tcMar>
              <w:top w:w="80" w:type="dxa"/>
              <w:start w:w="120" w:type="dxa"/>
              <w:bottom w:w="80" w:type="dxa"/>
              <w:end w:w="120" w:type="dxa"/>
            </w:tcMar>
            <w:vAlign w:val="center"/>
          </w:tcPr>
          <w:p>
            <w:pPr>
              <w:spacing w:before="0" w:after="0" w:line="252" w:lineRule="auto"/>
            </w:pPr>
            <w:r>
              <w:rPr>
                <w:rFonts w:ascii="Calibri" w:hAnsi="Calibri"/>
                <w:color w:val="000000"/>
                <w:sz w:val="16"/>
              </w:rPr>
              <w:t>Replace with user authentication; keep service credentials server-side; rotate all defaults.</w:t>
            </w:r>
          </w:p>
        </w:tc>
      </w:tr>
      <w:tr>
        <w:trPr>
          <w:cantSplit/>
        </w:trP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P0</w:t>
            </w:r>
          </w:p>
        </w:tc>
        <w:tc>
          <w:tcPr>
            <w:tcW w:type="dxa" w:w="4080"/>
            <w:tcMar>
              <w:top w:w="80" w:type="dxa"/>
              <w:start w:w="120" w:type="dxa"/>
              <w:bottom w:w="80" w:type="dxa"/>
              <w:end w:w="120" w:type="dxa"/>
            </w:tcMar>
            <w:vAlign w:val="center"/>
          </w:tcPr>
          <w:p>
            <w:pPr>
              <w:spacing w:before="0" w:after="0" w:line="252" w:lineRule="auto"/>
            </w:pPr>
            <w:r>
              <w:rPr>
                <w:rFonts w:ascii="Calibri" w:hAnsi="Calibri"/>
                <w:color w:val="000000"/>
                <w:sz w:val="16"/>
              </w:rPr>
              <w:t>No organisation/user/RBAC/tenant isolation while storing personal and commercial data.</w:t>
            </w:r>
          </w:p>
        </w:tc>
        <w:tc>
          <w:tcPr>
            <w:tcW w:type="dxa" w:w="4480"/>
            <w:tcMar>
              <w:top w:w="80" w:type="dxa"/>
              <w:start w:w="120" w:type="dxa"/>
              <w:bottom w:w="80" w:type="dxa"/>
              <w:end w:w="120" w:type="dxa"/>
            </w:tcMar>
            <w:vAlign w:val="center"/>
          </w:tcPr>
          <w:p>
            <w:pPr>
              <w:spacing w:before="0" w:after="0" w:line="252" w:lineRule="auto"/>
            </w:pPr>
            <w:r>
              <w:rPr>
                <w:rFonts w:ascii="Calibri" w:hAnsi="Calibri"/>
                <w:color w:val="000000"/>
                <w:sz w:val="16"/>
              </w:rPr>
              <w:t>Implement identity, membership, role policy, tenant-scoped queries and isolation tests before second customer.</w:t>
            </w:r>
          </w:p>
        </w:tc>
      </w:tr>
      <w:tr>
        <w:trPr>
          <w:cantSplit/>
        </w:trP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P0</w:t>
            </w:r>
          </w:p>
        </w:tc>
        <w:tc>
          <w:tcPr>
            <w:tcW w:type="dxa" w:w="4080"/>
            <w:tcMar>
              <w:top w:w="80" w:type="dxa"/>
              <w:start w:w="120" w:type="dxa"/>
              <w:bottom w:w="80" w:type="dxa"/>
              <w:end w:w="120" w:type="dxa"/>
            </w:tcMar>
            <w:vAlign w:val="center"/>
          </w:tcPr>
          <w:p>
            <w:pPr>
              <w:spacing w:before="0" w:after="0" w:line="252" w:lineRule="auto"/>
            </w:pPr>
            <w:r>
              <w:rPr>
                <w:rFonts w:ascii="Calibri" w:hAnsi="Calibri"/>
                <w:color w:val="000000"/>
                <w:sz w:val="16"/>
              </w:rPr>
              <w:t>Predictable fallback DB/API secrets in config and production compose.</w:t>
            </w:r>
          </w:p>
        </w:tc>
        <w:tc>
          <w:tcPr>
            <w:tcW w:type="dxa" w:w="4480"/>
            <w:tcMar>
              <w:top w:w="80" w:type="dxa"/>
              <w:start w:w="120" w:type="dxa"/>
              <w:bottom w:w="80" w:type="dxa"/>
              <w:end w:w="120" w:type="dxa"/>
            </w:tcMar>
            <w:vAlign w:val="center"/>
          </w:tcPr>
          <w:p>
            <w:pPr>
              <w:spacing w:before="0" w:after="0" w:line="252" w:lineRule="auto"/>
            </w:pPr>
            <w:r>
              <w:rPr>
                <w:rFonts w:ascii="Calibri" w:hAnsi="Calibri"/>
                <w:color w:val="000000"/>
                <w:sz w:val="16"/>
              </w:rPr>
              <w:t>Fail closed when secrets are absent; use a managed secret store; remove defaults; rotate credentials.</w:t>
            </w:r>
          </w:p>
        </w:tc>
      </w:tr>
      <w:tr>
        <w:trPr>
          <w:cantSplit/>
        </w:trP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P0</w:t>
            </w:r>
          </w:p>
        </w:tc>
        <w:tc>
          <w:tcPr>
            <w:tcW w:type="dxa" w:w="4080"/>
            <w:tcMar>
              <w:top w:w="80" w:type="dxa"/>
              <w:start w:w="120" w:type="dxa"/>
              <w:bottom w:w="80" w:type="dxa"/>
              <w:end w:w="120" w:type="dxa"/>
            </w:tcMar>
            <w:vAlign w:val="center"/>
          </w:tcPr>
          <w:p>
            <w:pPr>
              <w:spacing w:before="0" w:after="0" w:line="252" w:lineRule="auto"/>
            </w:pPr>
            <w:r>
              <w:rPr>
                <w:rFonts w:ascii="Calibri" w:hAnsi="Calibri"/>
                <w:color w:val="000000"/>
                <w:sz w:val="16"/>
              </w:rPr>
              <w:t>Generated personal contacts are labelled verified and exposed via API/UI.</w:t>
            </w:r>
          </w:p>
        </w:tc>
        <w:tc>
          <w:tcPr>
            <w:tcW w:type="dxa" w:w="4480"/>
            <w:tcMar>
              <w:top w:w="80" w:type="dxa"/>
              <w:start w:w="120" w:type="dxa"/>
              <w:bottom w:w="80" w:type="dxa"/>
              <w:end w:w="120" w:type="dxa"/>
            </w:tcMar>
            <w:vAlign w:val="center"/>
          </w:tcPr>
          <w:p>
            <w:pPr>
              <w:spacing w:before="0" w:after="0" w:line="252" w:lineRule="auto"/>
            </w:pPr>
            <w:r>
              <w:rPr>
                <w:rFonts w:ascii="Calibri" w:hAnsi="Calibri"/>
                <w:color w:val="000000"/>
                <w:sz w:val="16"/>
              </w:rPr>
              <w:t>Purge or quarantine synthetic personal data; evidence-based verification; correction/opt-out; customer terms.</w:t>
            </w:r>
          </w:p>
        </w:tc>
      </w:tr>
      <w:tr>
        <w:trPr>
          <w:cantSplit/>
        </w:trP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P1</w:t>
            </w:r>
          </w:p>
        </w:tc>
        <w:tc>
          <w:tcPr>
            <w:tcW w:type="dxa" w:w="4080"/>
            <w:tcMar>
              <w:top w:w="80" w:type="dxa"/>
              <w:start w:w="120" w:type="dxa"/>
              <w:bottom w:w="80" w:type="dxa"/>
              <w:end w:w="120" w:type="dxa"/>
            </w:tcMar>
            <w:vAlign w:val="center"/>
          </w:tcPr>
          <w:p>
            <w:pPr>
              <w:spacing w:before="0" w:after="0" w:line="252" w:lineRule="auto"/>
            </w:pPr>
            <w:r>
              <w:rPr>
                <w:rFonts w:ascii="Calibri" w:hAnsi="Calibri"/>
                <w:color w:val="000000"/>
                <w:sz w:val="16"/>
              </w:rPr>
              <w:t>Root/docs/OpenAPI and WebSocket are outside the stated auth rule.</w:t>
            </w:r>
          </w:p>
        </w:tc>
        <w:tc>
          <w:tcPr>
            <w:tcW w:type="dxa" w:w="4480"/>
            <w:tcMar>
              <w:top w:w="80" w:type="dxa"/>
              <w:start w:w="120" w:type="dxa"/>
              <w:bottom w:w="80" w:type="dxa"/>
              <w:end w:w="120" w:type="dxa"/>
            </w:tcMar>
            <w:vAlign w:val="center"/>
          </w:tcPr>
          <w:p>
            <w:pPr>
              <w:spacing w:before="0" w:after="0" w:line="252" w:lineRule="auto"/>
            </w:pPr>
            <w:r>
              <w:rPr>
                <w:rFonts w:ascii="Calibri" w:hAnsi="Calibri"/>
                <w:color w:val="000000"/>
                <w:sz w:val="16"/>
              </w:rPr>
              <w:t>Explicit public policy, environment controls and WebSocket authentication/authorisation.</w:t>
            </w:r>
          </w:p>
        </w:tc>
      </w:tr>
      <w:tr>
        <w:trPr>
          <w:cantSplit/>
        </w:trP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P1</w:t>
            </w:r>
          </w:p>
        </w:tc>
        <w:tc>
          <w:tcPr>
            <w:tcW w:type="dxa" w:w="4080"/>
            <w:tcMar>
              <w:top w:w="80" w:type="dxa"/>
              <w:start w:w="120" w:type="dxa"/>
              <w:bottom w:w="80" w:type="dxa"/>
              <w:end w:w="120" w:type="dxa"/>
            </w:tcMar>
            <w:vAlign w:val="center"/>
          </w:tcPr>
          <w:p>
            <w:pPr>
              <w:spacing w:before="0" w:after="0" w:line="252" w:lineRule="auto"/>
            </w:pPr>
            <w:r>
              <w:rPr>
                <w:rFonts w:ascii="Calibri" w:hAnsi="Calibri"/>
                <w:color w:val="000000"/>
                <w:sz w:val="16"/>
              </w:rPr>
              <w:t>No rate limiting, request-size controls, brute-force defence or per-tenant quotas.</w:t>
            </w:r>
          </w:p>
        </w:tc>
        <w:tc>
          <w:tcPr>
            <w:tcW w:type="dxa" w:w="4480"/>
            <w:tcMar>
              <w:top w:w="80" w:type="dxa"/>
              <w:start w:w="120" w:type="dxa"/>
              <w:bottom w:w="80" w:type="dxa"/>
              <w:end w:w="120" w:type="dxa"/>
            </w:tcMar>
            <w:vAlign w:val="center"/>
          </w:tcPr>
          <w:p>
            <w:pPr>
              <w:spacing w:before="0" w:after="0" w:line="252" w:lineRule="auto"/>
            </w:pPr>
            <w:r>
              <w:rPr>
                <w:rFonts w:ascii="Calibri" w:hAnsi="Calibri"/>
                <w:color w:val="000000"/>
                <w:sz w:val="16"/>
              </w:rPr>
              <w:t>Gateway/middleware limits, quotas, timeouts and abuse monitoring.</w:t>
            </w:r>
          </w:p>
        </w:tc>
      </w:tr>
      <w:tr>
        <w:trPr>
          <w:cantSplit/>
        </w:trP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P1</w:t>
            </w:r>
          </w:p>
        </w:tc>
        <w:tc>
          <w:tcPr>
            <w:tcW w:type="dxa" w:w="4080"/>
            <w:tcMar>
              <w:top w:w="80" w:type="dxa"/>
              <w:start w:w="120" w:type="dxa"/>
              <w:bottom w:w="80" w:type="dxa"/>
              <w:end w:w="120" w:type="dxa"/>
            </w:tcMar>
            <w:vAlign w:val="center"/>
          </w:tcPr>
          <w:p>
            <w:pPr>
              <w:spacing w:before="0" w:after="0" w:line="252" w:lineRule="auto"/>
            </w:pPr>
            <w:r>
              <w:rPr>
                <w:rFonts w:ascii="Calibri" w:hAnsi="Calibri"/>
                <w:color w:val="000000"/>
                <w:sz w:val="16"/>
              </w:rPr>
              <w:t>No TLS/security-header policy in Nginx.</w:t>
            </w:r>
          </w:p>
        </w:tc>
        <w:tc>
          <w:tcPr>
            <w:tcW w:type="dxa" w:w="4480"/>
            <w:tcMar>
              <w:top w:w="80" w:type="dxa"/>
              <w:start w:w="120" w:type="dxa"/>
              <w:bottom w:w="80" w:type="dxa"/>
              <w:end w:w="120" w:type="dxa"/>
            </w:tcMar>
            <w:vAlign w:val="center"/>
          </w:tcPr>
          <w:p>
            <w:pPr>
              <w:spacing w:before="0" w:after="0" w:line="252" w:lineRule="auto"/>
            </w:pPr>
            <w:r>
              <w:rPr>
                <w:rFonts w:ascii="Calibri" w:hAnsi="Calibri"/>
                <w:color w:val="000000"/>
                <w:sz w:val="16"/>
              </w:rPr>
              <w:t>TLS at ingress, HSTS, CSP, frame/content/referrer policies and secure cookies when auth is added.</w:t>
            </w:r>
          </w:p>
        </w:tc>
      </w:tr>
      <w:tr>
        <w:trPr>
          <w:cantSplit/>
        </w:trP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P1</w:t>
            </w:r>
          </w:p>
        </w:tc>
        <w:tc>
          <w:tcPr>
            <w:tcW w:type="dxa" w:w="4080"/>
            <w:tcMar>
              <w:top w:w="80" w:type="dxa"/>
              <w:start w:w="120" w:type="dxa"/>
              <w:bottom w:w="80" w:type="dxa"/>
              <w:end w:w="120" w:type="dxa"/>
            </w:tcMar>
            <w:vAlign w:val="center"/>
          </w:tcPr>
          <w:p>
            <w:pPr>
              <w:spacing w:before="0" w:after="0" w:line="252" w:lineRule="auto"/>
            </w:pPr>
            <w:r>
              <w:rPr>
                <w:rFonts w:ascii="Calibri" w:hAnsi="Calibri"/>
                <w:color w:val="000000"/>
                <w:sz w:val="16"/>
              </w:rPr>
              <w:t>No encryption/key management or retention/deletion workflow for contact data.</w:t>
            </w:r>
          </w:p>
        </w:tc>
        <w:tc>
          <w:tcPr>
            <w:tcW w:type="dxa" w:w="4480"/>
            <w:tcMar>
              <w:top w:w="80" w:type="dxa"/>
              <w:start w:w="120" w:type="dxa"/>
              <w:bottom w:w="80" w:type="dxa"/>
              <w:end w:w="120" w:type="dxa"/>
            </w:tcMar>
            <w:vAlign w:val="center"/>
          </w:tcPr>
          <w:p>
            <w:pPr>
              <w:spacing w:before="0" w:after="0" w:line="252" w:lineRule="auto"/>
            </w:pPr>
            <w:r>
              <w:rPr>
                <w:rFonts w:ascii="Calibri" w:hAnsi="Calibri"/>
                <w:color w:val="000000"/>
                <w:sz w:val="16"/>
              </w:rPr>
              <w:t>Managed encryption, field sensitivity, retention, export/delete/correction, audit and backups policy.</w:t>
            </w:r>
          </w:p>
        </w:tc>
      </w:tr>
      <w:tr>
        <w:trPr>
          <w:cantSplit/>
        </w:trP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P2</w:t>
            </w:r>
          </w:p>
        </w:tc>
        <w:tc>
          <w:tcPr>
            <w:tcW w:type="dxa" w:w="4080"/>
            <w:tcMar>
              <w:top w:w="80" w:type="dxa"/>
              <w:start w:w="120" w:type="dxa"/>
              <w:bottom w:w="80" w:type="dxa"/>
              <w:end w:w="120" w:type="dxa"/>
            </w:tcMar>
            <w:vAlign w:val="center"/>
          </w:tcPr>
          <w:p>
            <w:pPr>
              <w:spacing w:before="0" w:after="0" w:line="252" w:lineRule="auto"/>
            </w:pPr>
            <w:r>
              <w:rPr>
                <w:rFonts w:ascii="Calibri" w:hAnsi="Calibri"/>
                <w:color w:val="000000"/>
                <w:sz w:val="16"/>
              </w:rPr>
              <w:t>Python dependencies are broad &gt;= ranges; no lock/SBOM/scanning shown.</w:t>
            </w:r>
          </w:p>
        </w:tc>
        <w:tc>
          <w:tcPr>
            <w:tcW w:type="dxa" w:w="4480"/>
            <w:tcMar>
              <w:top w:w="80" w:type="dxa"/>
              <w:start w:w="120" w:type="dxa"/>
              <w:bottom w:w="80" w:type="dxa"/>
              <w:end w:w="120" w:type="dxa"/>
            </w:tcMar>
            <w:vAlign w:val="center"/>
          </w:tcPr>
          <w:p>
            <w:pPr>
              <w:spacing w:before="0" w:after="0" w:line="252" w:lineRule="auto"/>
            </w:pPr>
            <w:r>
              <w:rPr>
                <w:rFonts w:ascii="Calibri" w:hAnsi="Calibri"/>
                <w:color w:val="000000"/>
                <w:sz w:val="16"/>
              </w:rPr>
              <w:t>Lock builds, dependency/SAST/secret/container scans, SBOM and patch cadence.</w:t>
            </w:r>
          </w:p>
        </w:tc>
      </w:tr>
    </w:tbl>
    <w:p>
      <w:pPr>
        <w:spacing w:after="40"/>
      </w:pPr>
    </w:p>
    <w:p>
      <w:pPr>
        <w:pStyle w:val="SmallNote"/>
      </w:pPr>
      <w:r>
        <w:t>Positive note: .env is ignored by Git and was not tracked in the repository at review time. This does not offset the public client key and default-secret risks.</w:t>
      </w:r>
    </w:p>
    <w:p>
      <w:pPr>
        <w:pStyle w:val="Heading2"/>
        <w:keepNext/>
        <w:keepLines/>
      </w:pPr>
      <w:r>
        <w:t>Privacy programme requirements</w:t>
      </w:r>
    </w:p>
    <w:p>
      <w:pPr>
        <w:pStyle w:val="ListBullet"/>
        <w:keepLines/>
      </w:pPr>
      <w:r>
        <w:t>Data inventory and role classification: controller/processor responsibilities, source, purpose, retention, recipients and cross-border processing.</w:t>
      </w:r>
    </w:p>
    <w:p>
      <w:pPr>
        <w:pStyle w:val="ListBullet"/>
        <w:keepLines/>
      </w:pPr>
      <w:r>
        <w:t>EU contact handling: documented lawful-basis assessment where applicable, transparency, objection/opt-out, suppression, correction, access and deletion handling.</w:t>
      </w:r>
    </w:p>
    <w:p>
      <w:pPr>
        <w:pStyle w:val="ListBullet"/>
        <w:keepLines/>
      </w:pPr>
      <w:r>
        <w:t>India DPDP readiness: clear notice/consent where required, security safeguards, breach handling, grievance/contact process and phased-rule monitoring.</w:t>
      </w:r>
    </w:p>
    <w:p>
      <w:pPr>
        <w:pStyle w:val="ListBullet"/>
        <w:keepLines/>
      </w:pPr>
      <w:r>
        <w:t>Customer controls: DPA, subprocessors, tenant export/delete, audit log, user access, least privilege and support access approval.</w:t>
      </w:r>
    </w:p>
    <w:p>
      <w:pPr>
        <w:pStyle w:val="ListBullet"/>
        <w:keepLines/>
      </w:pPr>
      <w:r>
        <w:t>Synthetic data policy: never generate plausible real-person contact data; use obviously fictional domains and a separate demo environment.</w:t>
      </w:r>
    </w:p>
    <w:p>
      <w:pPr>
        <w:pStyle w:val="Heading1"/>
        <w:keepNext/>
        <w:keepLines/>
      </w:pPr>
      <w:r>
        <w:t>8. Reliability, deployment, and operations</w:t>
      </w:r>
    </w:p>
    <w:p>
      <w:pPr>
        <w:pStyle w:val="Heading2"/>
        <w:keepNext/>
        <w:keepLines/>
      </w:pPr>
      <w:r>
        <w:t>Current deployment risks</w:t>
      </w:r>
    </w:p>
    <w:p>
      <w:pPr>
        <w:pStyle w:val="ListBullet"/>
        <w:keepLines/>
      </w:pPr>
      <w:r>
        <w:t>A fresh production compose deployment does not run migrations or seed/bootstrapping. The health check can return OK when only SELECT 1 works and required schemas are missing.</w:t>
      </w:r>
    </w:p>
    <w:p>
      <w:pPr>
        <w:pStyle w:val="ListBullet"/>
        <w:keepLines/>
      </w:pPr>
      <w:r>
        <w:t>PostgreSQL is published on host port 5433 and uses a default password fallback. Production should use a private network or managed database with restricted access.</w:t>
      </w:r>
    </w:p>
    <w:p>
      <w:pPr>
        <w:pStyle w:val="ListBullet"/>
        <w:keepLines/>
      </w:pPr>
      <w:r>
        <w:t>No backup schedule, restore test, PITR, retention, DR target, or data export plan is defined.</w:t>
      </w:r>
    </w:p>
    <w:p>
      <w:pPr>
        <w:pStyle w:val="ListBullet"/>
        <w:keepLines/>
      </w:pPr>
      <w:r>
        <w:t>No structured logging, request IDs, metrics, traces, error reporting, alerting, uptime checks or on-call procedure is present.</w:t>
      </w:r>
    </w:p>
    <w:p>
      <w:pPr>
        <w:pStyle w:val="ListBullet"/>
        <w:keepLines/>
      </w:pPr>
      <w:r>
        <w:t>The refresh endpoint runs the whole scoring pipeline synchronously and commits repeatedly. It can time out, partially complete, and duplicate history without a durable job state.</w:t>
      </w:r>
    </w:p>
    <w:p>
      <w:pPr>
        <w:pStyle w:val="ListBullet"/>
        <w:keepLines/>
      </w:pPr>
      <w:r>
        <w:t>Four Uvicorn workers can run independently with no distributed coordination. In-memory WebSocket connection state is not shared across workers.</w:t>
      </w:r>
    </w:p>
    <w:p>
      <w:pPr>
        <w:pStyle w:val="ListBullet"/>
        <w:keepLines/>
      </w:pPr>
      <w:r>
        <w:t>Webhook dispatch records success without network delivery, hiding failures and creating false operational metrics.</w:t>
      </w:r>
    </w:p>
    <w:p>
      <w:pPr>
        <w:pStyle w:val="Heading2"/>
        <w:keepNext/>
        <w:keepLines/>
      </w:pPr>
      <w:r>
        <w:t>Minimum production platform</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Capability</w:t>
            </w:r>
          </w:p>
        </w:tc>
        <w:tc>
          <w:tcPr>
            <w:tcW w:type="dxa" w:w="73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Minimum implementation</w:t>
            </w:r>
          </w:p>
        </w:tc>
      </w:tr>
      <w:tr>
        <w:trPr>
          <w:cantSplit/>
        </w:trPr>
        <w:tc>
          <w:tcPr>
            <w:tcW w:type="dxa" w:w="2000"/>
            <w:tcMar>
              <w:top w:w="80" w:type="dxa"/>
              <w:start w:w="120" w:type="dxa"/>
              <w:bottom w:w="80" w:type="dxa"/>
              <w:end w:w="120" w:type="dxa"/>
            </w:tcMar>
            <w:vAlign w:val="center"/>
          </w:tcPr>
          <w:p>
            <w:pPr>
              <w:spacing w:before="0" w:after="0" w:line="252" w:lineRule="auto"/>
            </w:pPr>
            <w:r>
              <w:rPr>
                <w:rFonts w:ascii="Calibri" w:hAnsi="Calibri"/>
                <w:color w:val="000000"/>
                <w:sz w:val="18"/>
              </w:rPr>
              <w:t>Environment</w:t>
            </w:r>
          </w:p>
        </w:tc>
        <w:tc>
          <w:tcPr>
            <w:tcW w:type="dxa" w:w="7360"/>
            <w:tcMar>
              <w:top w:w="80" w:type="dxa"/>
              <w:start w:w="120" w:type="dxa"/>
              <w:bottom w:w="80" w:type="dxa"/>
              <w:end w:w="120" w:type="dxa"/>
            </w:tcMar>
            <w:vAlign w:val="center"/>
          </w:tcPr>
          <w:p>
            <w:pPr>
              <w:spacing w:before="0" w:after="0" w:line="252" w:lineRule="auto"/>
            </w:pPr>
            <w:r>
              <w:rPr>
                <w:rFonts w:ascii="Calibri" w:hAnsi="Calibri"/>
                <w:color w:val="000000"/>
                <w:sz w:val="18"/>
              </w:rPr>
              <w:t>Separate dev/test/demo/staging/prod; immutable configuration; demo data blocked from production.</w:t>
            </w:r>
          </w:p>
        </w:tc>
      </w:tr>
      <w:tr>
        <w:trPr>
          <w:cantSplit/>
        </w:trPr>
        <w:tc>
          <w:tcPr>
            <w:tcW w:type="dxa" w:w="2000"/>
            <w:tcMar>
              <w:top w:w="80" w:type="dxa"/>
              <w:start w:w="120" w:type="dxa"/>
              <w:bottom w:w="80" w:type="dxa"/>
              <w:end w:w="120" w:type="dxa"/>
            </w:tcMar>
            <w:vAlign w:val="center"/>
          </w:tcPr>
          <w:p>
            <w:pPr>
              <w:spacing w:before="0" w:after="0" w:line="252" w:lineRule="auto"/>
            </w:pPr>
            <w:r>
              <w:rPr>
                <w:rFonts w:ascii="Calibri" w:hAnsi="Calibri"/>
                <w:color w:val="000000"/>
                <w:sz w:val="18"/>
              </w:rPr>
              <w:t>Database</w:t>
            </w:r>
          </w:p>
        </w:tc>
        <w:tc>
          <w:tcPr>
            <w:tcW w:type="dxa" w:w="7360"/>
            <w:tcMar>
              <w:top w:w="80" w:type="dxa"/>
              <w:start w:w="120" w:type="dxa"/>
              <w:bottom w:w="80" w:type="dxa"/>
              <w:end w:w="120" w:type="dxa"/>
            </w:tcMar>
            <w:vAlign w:val="center"/>
          </w:tcPr>
          <w:p>
            <w:pPr>
              <w:spacing w:before="0" w:after="0" w:line="252" w:lineRule="auto"/>
            </w:pPr>
            <w:r>
              <w:rPr>
                <w:rFonts w:ascii="Calibri" w:hAnsi="Calibri"/>
                <w:color w:val="000000"/>
                <w:sz w:val="18"/>
              </w:rPr>
              <w:t>Alembic migrations, least-privilege roles, private access, managed backups/PITR, restore test and monitoring.</w:t>
            </w:r>
          </w:p>
        </w:tc>
      </w:tr>
      <w:tr>
        <w:trPr>
          <w:cantSplit/>
        </w:trPr>
        <w:tc>
          <w:tcPr>
            <w:tcW w:type="dxa" w:w="2000"/>
            <w:tcMar>
              <w:top w:w="80" w:type="dxa"/>
              <w:start w:w="120" w:type="dxa"/>
              <w:bottom w:w="80" w:type="dxa"/>
              <w:end w:w="120" w:type="dxa"/>
            </w:tcMar>
            <w:vAlign w:val="center"/>
          </w:tcPr>
          <w:p>
            <w:pPr>
              <w:spacing w:before="0" w:after="0" w:line="252" w:lineRule="auto"/>
            </w:pPr>
            <w:r>
              <w:rPr>
                <w:rFonts w:ascii="Calibri" w:hAnsi="Calibri"/>
                <w:color w:val="000000"/>
                <w:sz w:val="18"/>
              </w:rPr>
              <w:t>Jobs</w:t>
            </w:r>
          </w:p>
        </w:tc>
        <w:tc>
          <w:tcPr>
            <w:tcW w:type="dxa" w:w="7360"/>
            <w:tcMar>
              <w:top w:w="80" w:type="dxa"/>
              <w:start w:w="120" w:type="dxa"/>
              <w:bottom w:w="80" w:type="dxa"/>
              <w:end w:w="120" w:type="dxa"/>
            </w:tcMar>
            <w:vAlign w:val="center"/>
          </w:tcPr>
          <w:p>
            <w:pPr>
              <w:spacing w:before="0" w:after="0" w:line="252" w:lineRule="auto"/>
            </w:pPr>
            <w:r>
              <w:rPr>
                <w:rFonts w:ascii="Calibri" w:hAnsi="Calibri"/>
                <w:color w:val="000000"/>
                <w:sz w:val="18"/>
              </w:rPr>
              <w:t>Queue/scheduler, idempotency, leases, retries/backoff, dead-letter, per-tenant status and cancellation.</w:t>
            </w:r>
          </w:p>
        </w:tc>
      </w:tr>
      <w:tr>
        <w:trPr>
          <w:cantSplit/>
        </w:trPr>
        <w:tc>
          <w:tcPr>
            <w:tcW w:type="dxa" w:w="2000"/>
            <w:tcMar>
              <w:top w:w="80" w:type="dxa"/>
              <w:start w:w="120" w:type="dxa"/>
              <w:bottom w:w="80" w:type="dxa"/>
              <w:end w:w="120" w:type="dxa"/>
            </w:tcMar>
            <w:vAlign w:val="center"/>
          </w:tcPr>
          <w:p>
            <w:pPr>
              <w:spacing w:before="0" w:after="0" w:line="252" w:lineRule="auto"/>
            </w:pPr>
            <w:r>
              <w:rPr>
                <w:rFonts w:ascii="Calibri" w:hAnsi="Calibri"/>
                <w:color w:val="000000"/>
                <w:sz w:val="18"/>
              </w:rPr>
              <w:t>Observability</w:t>
            </w:r>
          </w:p>
        </w:tc>
        <w:tc>
          <w:tcPr>
            <w:tcW w:type="dxa" w:w="7360"/>
            <w:tcMar>
              <w:top w:w="80" w:type="dxa"/>
              <w:start w:w="120" w:type="dxa"/>
              <w:bottom w:w="80" w:type="dxa"/>
              <w:end w:w="120" w:type="dxa"/>
            </w:tcMar>
            <w:vAlign w:val="center"/>
          </w:tcPr>
          <w:p>
            <w:pPr>
              <w:spacing w:before="0" w:after="0" w:line="252" w:lineRule="auto"/>
            </w:pPr>
            <w:r>
              <w:rPr>
                <w:rFonts w:ascii="Calibri" w:hAnsi="Calibri"/>
                <w:color w:val="000000"/>
                <w:sz w:val="18"/>
              </w:rPr>
              <w:t>Structured logs, trace/request ID, metrics, dashboards, alerts, error tracking and audit correlation.</w:t>
            </w:r>
          </w:p>
        </w:tc>
      </w:tr>
      <w:tr>
        <w:trPr>
          <w:cantSplit/>
        </w:trPr>
        <w:tc>
          <w:tcPr>
            <w:tcW w:type="dxa" w:w="2000"/>
            <w:tcMar>
              <w:top w:w="80" w:type="dxa"/>
              <w:start w:w="120" w:type="dxa"/>
              <w:bottom w:w="80" w:type="dxa"/>
              <w:end w:w="120" w:type="dxa"/>
            </w:tcMar>
            <w:vAlign w:val="center"/>
          </w:tcPr>
          <w:p>
            <w:pPr>
              <w:spacing w:before="0" w:after="0" w:line="252" w:lineRule="auto"/>
            </w:pPr>
            <w:r>
              <w:rPr>
                <w:rFonts w:ascii="Calibri" w:hAnsi="Calibri"/>
                <w:color w:val="000000"/>
                <w:sz w:val="18"/>
              </w:rPr>
              <w:t>Delivery</w:t>
            </w:r>
          </w:p>
        </w:tc>
        <w:tc>
          <w:tcPr>
            <w:tcW w:type="dxa" w:w="7360"/>
            <w:tcMar>
              <w:top w:w="80" w:type="dxa"/>
              <w:start w:w="120" w:type="dxa"/>
              <w:bottom w:w="80" w:type="dxa"/>
              <w:end w:w="120" w:type="dxa"/>
            </w:tcMar>
            <w:vAlign w:val="center"/>
          </w:tcPr>
          <w:p>
            <w:pPr>
              <w:spacing w:before="0" w:after="0" w:line="252" w:lineRule="auto"/>
            </w:pPr>
            <w:r>
              <w:rPr>
                <w:rFonts w:ascii="Calibri" w:hAnsi="Calibri"/>
                <w:color w:val="000000"/>
                <w:sz w:val="18"/>
              </w:rPr>
              <w:t>CI for tests/build/lint/type/security/migrations; signed image; staged deploy; rollback; release notes.</w:t>
            </w:r>
          </w:p>
        </w:tc>
      </w:tr>
      <w:tr>
        <w:trPr>
          <w:cantSplit/>
        </w:trPr>
        <w:tc>
          <w:tcPr>
            <w:tcW w:type="dxa" w:w="2000"/>
            <w:tcMar>
              <w:top w:w="80" w:type="dxa"/>
              <w:start w:w="120" w:type="dxa"/>
              <w:bottom w:w="80" w:type="dxa"/>
              <w:end w:w="120" w:type="dxa"/>
            </w:tcMar>
            <w:vAlign w:val="center"/>
          </w:tcPr>
          <w:p>
            <w:pPr>
              <w:spacing w:before="0" w:after="0" w:line="252" w:lineRule="auto"/>
            </w:pPr>
            <w:r>
              <w:rPr>
                <w:rFonts w:ascii="Calibri" w:hAnsi="Calibri"/>
                <w:color w:val="000000"/>
                <w:sz w:val="18"/>
              </w:rPr>
              <w:t>Operations</w:t>
            </w:r>
          </w:p>
        </w:tc>
        <w:tc>
          <w:tcPr>
            <w:tcW w:type="dxa" w:w="7360"/>
            <w:tcMar>
              <w:top w:w="80" w:type="dxa"/>
              <w:start w:w="120" w:type="dxa"/>
              <w:bottom w:w="80" w:type="dxa"/>
              <w:end w:w="120" w:type="dxa"/>
            </w:tcMar>
            <w:vAlign w:val="center"/>
          </w:tcPr>
          <w:p>
            <w:pPr>
              <w:spacing w:before="0" w:after="0" w:line="252" w:lineRule="auto"/>
            </w:pPr>
            <w:r>
              <w:rPr>
                <w:rFonts w:ascii="Calibri" w:hAnsi="Calibri"/>
                <w:color w:val="000000"/>
                <w:sz w:val="18"/>
              </w:rPr>
              <w:t>Runbooks, incident severity, contact rota, status communication, support desk, SLO/SLA and change approvals.</w:t>
            </w:r>
          </w:p>
        </w:tc>
      </w:tr>
      <w:tr>
        <w:trPr>
          <w:cantSplit/>
        </w:trPr>
        <w:tc>
          <w:tcPr>
            <w:tcW w:type="dxa" w:w="2000"/>
            <w:tcMar>
              <w:top w:w="80" w:type="dxa"/>
              <w:start w:w="120" w:type="dxa"/>
              <w:bottom w:w="80" w:type="dxa"/>
              <w:end w:w="120" w:type="dxa"/>
            </w:tcMar>
            <w:vAlign w:val="center"/>
          </w:tcPr>
          <w:p>
            <w:pPr>
              <w:spacing w:before="0" w:after="0" w:line="252" w:lineRule="auto"/>
            </w:pPr>
            <w:r>
              <w:rPr>
                <w:rFonts w:ascii="Calibri" w:hAnsi="Calibri"/>
                <w:color w:val="000000"/>
                <w:sz w:val="18"/>
              </w:rPr>
              <w:t>Resilience</w:t>
            </w:r>
          </w:p>
        </w:tc>
        <w:tc>
          <w:tcPr>
            <w:tcW w:type="dxa" w:w="7360"/>
            <w:tcMar>
              <w:top w:w="80" w:type="dxa"/>
              <w:start w:w="120" w:type="dxa"/>
              <w:bottom w:w="80" w:type="dxa"/>
              <w:end w:w="120" w:type="dxa"/>
            </w:tcMar>
            <w:vAlign w:val="center"/>
          </w:tcPr>
          <w:p>
            <w:pPr>
              <w:spacing w:before="0" w:after="0" w:line="252" w:lineRule="auto"/>
            </w:pPr>
            <w:r>
              <w:rPr>
                <w:rFonts w:ascii="Calibri" w:hAnsi="Calibri"/>
                <w:color w:val="000000"/>
                <w:sz w:val="18"/>
              </w:rPr>
              <w:t>Health/readiness/liveness checks, dependency timeouts/circuit breakers, restore/DR exercises and capacity tests.</w:t>
            </w:r>
          </w:p>
        </w:tc>
      </w:tr>
    </w:tbl>
    <w:p>
      <w:pPr>
        <w:spacing w:after="40"/>
      </w:pPr>
    </w:p>
    <w:p>
      <w:r>
        <w:br w:type="page"/>
      </w:r>
    </w:p>
    <w:p>
      <w:pPr>
        <w:pStyle w:val="Heading1"/>
        <w:keepNext/>
        <w:keepLines/>
      </w:pPr>
      <w:r>
        <w:t>9. Testing and quality engineering</w:t>
      </w:r>
    </w:p>
    <w:p>
      <w:pPr>
        <w:pStyle w:val="Heading2"/>
        <w:keepNext/>
        <w:keepLines/>
      </w:pPr>
      <w:r>
        <w:t>What the current tests prove</w:t>
      </w:r>
    </w:p>
    <w:p>
      <w:pPr>
        <w:pStyle w:val="ListBullet"/>
        <w:keepLines/>
      </w:pPr>
      <w:r>
        <w:t>API routes can return expected shapes against the current shared database.</w:t>
      </w:r>
    </w:p>
    <w:p>
      <w:pPr>
        <w:pStyle w:val="ListBullet"/>
        <w:keepLines/>
      </w:pPr>
      <w:r>
        <w:t>The fixed scoring output and grade boundaries match the programmed constants.</w:t>
      </w:r>
    </w:p>
    <w:p>
      <w:pPr>
        <w:pStyle w:val="ListBullet"/>
        <w:keepLines/>
      </w:pPr>
      <w:r>
        <w:t>The deterministic agent workflow returns five named steps.</w:t>
      </w:r>
    </w:p>
    <w:p>
      <w:pPr>
        <w:pStyle w:val="ListBullet"/>
        <w:keepLines/>
      </w:pPr>
      <w:r>
        <w:t>The frontend compiles under TypeScript and Vite.</w:t>
      </w:r>
    </w:p>
    <w:p>
      <w:pPr>
        <w:pStyle w:val="Heading2"/>
        <w:keepNext/>
        <w:keepLines/>
      </w:pPr>
      <w:r>
        <w:t>What remains untested</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Area</w:t>
            </w:r>
          </w:p>
        </w:tc>
        <w:tc>
          <w:tcPr>
            <w:tcW w:type="dxa" w:w="74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Missing tests</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Security</w:t>
            </w:r>
          </w:p>
        </w:tc>
        <w:tc>
          <w:tcPr>
            <w:tcW w:type="dxa" w:w="7460"/>
            <w:tcMar>
              <w:top w:w="80" w:type="dxa"/>
              <w:start w:w="120" w:type="dxa"/>
              <w:bottom w:w="80" w:type="dxa"/>
              <w:end w:w="120" w:type="dxa"/>
            </w:tcMar>
            <w:vAlign w:val="center"/>
          </w:tcPr>
          <w:p>
            <w:pPr>
              <w:spacing w:before="0" w:after="0" w:line="252" w:lineRule="auto"/>
            </w:pPr>
            <w:r>
              <w:rPr>
                <w:rFonts w:ascii="Calibri" w:hAnsi="Calibri"/>
                <w:color w:val="000000"/>
                <w:sz w:val="18"/>
              </w:rPr>
              <w:t>Auth bypass, tenant isolation, role matrix, WebSocket auth, rate limits, secret exposure, dependency/container scans.</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Data</w:t>
            </w:r>
          </w:p>
        </w:tc>
        <w:tc>
          <w:tcPr>
            <w:tcW w:type="dxa" w:w="7460"/>
            <w:tcMar>
              <w:top w:w="80" w:type="dxa"/>
              <w:start w:w="120" w:type="dxa"/>
              <w:bottom w:w="80" w:type="dxa"/>
              <w:end w:w="120" w:type="dxa"/>
            </w:tcMar>
            <w:vAlign w:val="center"/>
          </w:tcPr>
          <w:p>
            <w:pPr>
              <w:spacing w:before="0" w:after="0" w:line="252" w:lineRule="auto"/>
            </w:pPr>
            <w:r>
              <w:rPr>
                <w:rFonts w:ascii="Calibri" w:hAnsi="Calibri"/>
                <w:color w:val="000000"/>
                <w:sz w:val="18"/>
              </w:rPr>
              <w:t>Source lineage, duplicate seeds, merge conflicts, non-empty evidence, append-only enforcement, freshness, correction and opt-out.</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Scoring/search</w:t>
            </w:r>
          </w:p>
        </w:tc>
        <w:tc>
          <w:tcPr>
            <w:tcW w:type="dxa" w:w="7460"/>
            <w:tcMar>
              <w:top w:w="80" w:type="dxa"/>
              <w:start w:w="120" w:type="dxa"/>
              <w:bottom w:w="80" w:type="dxa"/>
              <w:end w:w="120" w:type="dxa"/>
            </w:tcMar>
            <w:vAlign w:val="center"/>
          </w:tcPr>
          <w:p>
            <w:pPr>
              <w:spacing w:before="0" w:after="0" w:line="252" w:lineRule="auto"/>
            </w:pPr>
            <w:r>
              <w:rPr>
                <w:rFonts w:ascii="Calibri" w:hAnsi="Calibri"/>
                <w:color w:val="000000"/>
                <w:sz w:val="18"/>
              </w:rPr>
              <w:t>Feature calculations, missing data, calibration, evaluation set, vector retrieval, filters, regression and adversarial inputs.</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Integrations</w:t>
            </w:r>
          </w:p>
        </w:tc>
        <w:tc>
          <w:tcPr>
            <w:tcW w:type="dxa" w:w="7460"/>
            <w:tcMar>
              <w:top w:w="80" w:type="dxa"/>
              <w:start w:w="120" w:type="dxa"/>
              <w:bottom w:w="80" w:type="dxa"/>
              <w:end w:w="120" w:type="dxa"/>
            </w:tcMar>
            <w:vAlign w:val="center"/>
          </w:tcPr>
          <w:p>
            <w:pPr>
              <w:spacing w:before="0" w:after="0" w:line="252" w:lineRule="auto"/>
            </w:pPr>
            <w:r>
              <w:rPr>
                <w:rFonts w:ascii="Calibri" w:hAnsi="Calibri"/>
                <w:color w:val="000000"/>
                <w:sz w:val="18"/>
              </w:rPr>
              <w:t>Real CRM/webhook/freight/customs failures, retries, idempotency, OAuth revocation, provider limits and contract tests.</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Frontend</w:t>
            </w:r>
          </w:p>
        </w:tc>
        <w:tc>
          <w:tcPr>
            <w:tcW w:type="dxa" w:w="7460"/>
            <w:tcMar>
              <w:top w:w="80" w:type="dxa"/>
              <w:start w:w="120" w:type="dxa"/>
              <w:bottom w:w="80" w:type="dxa"/>
              <w:end w:w="120" w:type="dxa"/>
            </w:tcMar>
            <w:vAlign w:val="center"/>
          </w:tcPr>
          <w:p>
            <w:pPr>
              <w:spacing w:before="0" w:after="0" w:line="252" w:lineRule="auto"/>
            </w:pPr>
            <w:r>
              <w:rPr>
                <w:rFonts w:ascii="Calibri" w:hAnsi="Calibri"/>
                <w:color w:val="000000"/>
                <w:sz w:val="18"/>
              </w:rPr>
              <w:t>Component/unit, interaction, responsive breakpoints, accessibility, keyboard, error/empty/offline and cross-browser.</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Operations</w:t>
            </w:r>
          </w:p>
        </w:tc>
        <w:tc>
          <w:tcPr>
            <w:tcW w:type="dxa" w:w="7460"/>
            <w:tcMar>
              <w:top w:w="80" w:type="dxa"/>
              <w:start w:w="120" w:type="dxa"/>
              <w:bottom w:w="80" w:type="dxa"/>
              <w:end w:w="120" w:type="dxa"/>
            </w:tcMar>
            <w:vAlign w:val="center"/>
          </w:tcPr>
          <w:p>
            <w:pPr>
              <w:spacing w:before="0" w:after="0" w:line="252" w:lineRule="auto"/>
            </w:pPr>
            <w:r>
              <w:rPr>
                <w:rFonts w:ascii="Calibri" w:hAnsi="Calibri"/>
                <w:color w:val="000000"/>
                <w:sz w:val="18"/>
              </w:rPr>
              <w:t>Migration up/down/rollback, fresh install, backup/restore, DR, load, soak, queue failure and partial pipeline recovery.</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Commercial truth</w:t>
            </w:r>
          </w:p>
        </w:tc>
        <w:tc>
          <w:tcPr>
            <w:tcW w:type="dxa" w:w="7460"/>
            <w:tcMar>
              <w:top w:w="80" w:type="dxa"/>
              <w:start w:w="120" w:type="dxa"/>
              <w:bottom w:w="80" w:type="dxa"/>
              <w:end w:w="120" w:type="dxa"/>
            </w:tcMar>
            <w:vAlign w:val="center"/>
          </w:tcPr>
          <w:p>
            <w:pPr>
              <w:spacing w:before="0" w:after="0" w:line="252" w:lineRule="auto"/>
            </w:pPr>
            <w:r>
              <w:rPr>
                <w:rFonts w:ascii="Calibri" w:hAnsi="Calibri"/>
                <w:color w:val="000000"/>
                <w:sz w:val="18"/>
              </w:rPr>
              <w:t>Claim/evidence consistency, demo watermark, data licence, source-age display and customer approval gates.</w:t>
            </w:r>
          </w:p>
        </w:tc>
      </w:tr>
    </w:tbl>
    <w:p>
      <w:pPr>
        <w:spacing w:after="40"/>
      </w:pPr>
    </w:p>
    <w:p>
      <w:pPr>
        <w:spacing w:before="120" w:after="200" w:line="264" w:lineRule="auto"/>
        <w:ind w:left="115" w:right="115"/>
        <w:shd w:fill="FFF7E0"/>
        <w:keepLines/>
        <w:pBdr>
          <w:top w:val="single" w:sz="6" w:space="5" w:color="E6CE7A"/>
          <w:left w:val="single" w:sz="6" w:space="5" w:color="E6CE7A"/>
          <w:bottom w:val="single" w:sz="6" w:space="5" w:color="E6CE7A"/>
          <w:right w:val="single" w:sz="6" w:space="5" w:color="E6CE7A"/>
        </w:pBdr>
      </w:pPr>
      <w:r>
        <w:rPr>
          <w:rFonts w:ascii="Calibri" w:hAnsi="Calibri"/>
          <w:b/>
          <w:color w:val="7A5A00"/>
          <w:sz w:val="21"/>
        </w:rPr>
        <w:t xml:space="preserve">Test isolation: </w:t>
      </w:r>
      <w:r>
        <w:rPr>
          <w:rFonts w:ascii="Calibri" w:hAnsi="Calibri"/>
          <w:color w:val="000000"/>
          <w:sz w:val="21"/>
        </w:rPr>
        <w:t>The current tests run against the same persistent database used by the demo and can create CRM/outreach records. Introduce disposable test databases, fixtures and transaction rollback before relying on test counts as quality evidence.</w:t>
      </w:r>
    </w:p>
    <w:p>
      <w:pPr>
        <w:pStyle w:val="Heading1"/>
        <w:keepNext/>
        <w:keepLines/>
      </w:pPr>
      <w:r>
        <w:t>10. Target architecture</w:t>
      </w:r>
    </w:p>
    <w:p>
      <w:pPr>
        <w:spacing w:before="120" w:after="200" w:line="264" w:lineRule="auto"/>
        <w:ind w:left="115" w:right="115"/>
        <w:shd w:fill="EAF7F1"/>
        <w:keepLines/>
        <w:pBdr>
          <w:top w:val="single" w:sz="6" w:space="5" w:color="B7E0CD"/>
          <w:left w:val="single" w:sz="6" w:space="5" w:color="B7E0CD"/>
          <w:bottom w:val="single" w:sz="6" w:space="5" w:color="B7E0CD"/>
          <w:right w:val="single" w:sz="6" w:space="5" w:color="B7E0CD"/>
        </w:pBdr>
      </w:pPr>
      <w:r>
        <w:rPr>
          <w:rFonts w:ascii="Calibri" w:hAnsi="Calibri"/>
          <w:b/>
          <w:color w:val="1F6D4A"/>
          <w:sz w:val="21"/>
        </w:rPr>
        <w:t xml:space="preserve">Architecture principle: </w:t>
      </w:r>
      <w:r>
        <w:rPr>
          <w:rFonts w:ascii="Calibri" w:hAnsi="Calibri"/>
          <w:color w:val="000000"/>
          <w:sz w:val="21"/>
        </w:rPr>
        <w:t>Keep a modular monolith for the next 12-18 months. Separate modules, data contracts and job boundaries now; split services only when scaling, security or team ownership gives a measured reason.</w:t>
      </w:r>
    </w:p>
    <w:p>
      <w:pPr>
        <w:pStyle w:val="Heading2"/>
        <w:keepNext/>
        <w:keepLines/>
      </w:pPr>
      <w:r>
        <w:t>Target logical architecture</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cantSplit/>
        </w:trPr>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7"/>
              </w:rPr>
              <w:t>Layer</w:t>
            </w:r>
          </w:p>
        </w:tc>
        <w:tc>
          <w:tcPr>
            <w:tcW w:type="dxa" w:w="76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7"/>
              </w:rPr>
              <w:t>Target components</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Experience</w:t>
            </w:r>
          </w:p>
        </w:tc>
        <w:tc>
          <w:tcPr>
            <w:tcW w:type="dxa" w:w="7660"/>
            <w:tcMar>
              <w:top w:w="80" w:type="dxa"/>
              <w:start w:w="120" w:type="dxa"/>
              <w:bottom w:w="80" w:type="dxa"/>
              <w:end w:w="120" w:type="dxa"/>
            </w:tcMar>
            <w:vAlign w:val="center"/>
          </w:tcPr>
          <w:p>
            <w:pPr>
              <w:spacing w:before="0" w:after="0" w:line="252" w:lineRule="auto"/>
            </w:pPr>
            <w:r>
              <w:rPr>
                <w:rFonts w:ascii="Calibri" w:hAnsi="Calibri"/>
                <w:color w:val="000000"/>
                <w:sz w:val="17"/>
              </w:rPr>
              <w:t>Responsive React/PWA; owner/simple and analyst views; locale/currency; accessible components; customer admin/support.</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Identity and edge</w:t>
            </w:r>
          </w:p>
        </w:tc>
        <w:tc>
          <w:tcPr>
            <w:tcW w:type="dxa" w:w="7660"/>
            <w:tcMar>
              <w:top w:w="80" w:type="dxa"/>
              <w:start w:w="120" w:type="dxa"/>
              <w:bottom w:w="80" w:type="dxa"/>
              <w:end w:w="120" w:type="dxa"/>
            </w:tcMar>
            <w:vAlign w:val="center"/>
          </w:tcPr>
          <w:p>
            <w:pPr>
              <w:spacing w:before="0" w:after="0" w:line="252" w:lineRule="auto"/>
            </w:pPr>
            <w:r>
              <w:rPr>
                <w:rFonts w:ascii="Calibri" w:hAnsi="Calibri"/>
                <w:color w:val="000000"/>
                <w:sz w:val="17"/>
              </w:rPr>
              <w:t>OIDC/auth provider, organisations, RBAC, tenant policy, API gateway/ingress, WAF/rate limits, audit/request IDs.</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Application modules</w:t>
            </w:r>
          </w:p>
        </w:tc>
        <w:tc>
          <w:tcPr>
            <w:tcW w:type="dxa" w:w="7660"/>
            <w:tcMar>
              <w:top w:w="80" w:type="dxa"/>
              <w:start w:w="120" w:type="dxa"/>
              <w:bottom w:w="80" w:type="dxa"/>
              <w:end w:w="120" w:type="dxa"/>
            </w:tcMar>
            <w:vAlign w:val="center"/>
          </w:tcPr>
          <w:p>
            <w:pPr>
              <w:spacing w:before="0" w:after="0" w:line="252" w:lineRule="auto"/>
            </w:pPr>
            <w:r>
              <w:rPr>
                <w:rFonts w:ascii="Calibri" w:hAnsi="Calibri"/>
                <w:color w:val="000000"/>
                <w:sz w:val="17"/>
              </w:rPr>
              <w:t>Exporter; catalogue; buyer intelligence; evidence; matching; compliance; pricing/lane; opportunity; outreach; documents; shipment/payment.</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Job platform</w:t>
            </w:r>
          </w:p>
        </w:tc>
        <w:tc>
          <w:tcPr>
            <w:tcW w:type="dxa" w:w="7660"/>
            <w:tcMar>
              <w:top w:w="80" w:type="dxa"/>
              <w:start w:w="120" w:type="dxa"/>
              <w:bottom w:w="80" w:type="dxa"/>
              <w:end w:w="120" w:type="dxa"/>
            </w:tcMar>
            <w:vAlign w:val="center"/>
          </w:tcPr>
          <w:p>
            <w:pPr>
              <w:spacing w:before="0" w:after="0" w:line="252" w:lineRule="auto"/>
            </w:pPr>
            <w:r>
              <w:rPr>
                <w:rFonts w:ascii="Calibri" w:hAnsi="Calibri"/>
                <w:color w:val="000000"/>
                <w:sz w:val="17"/>
              </w:rPr>
              <w:t>Scheduler/queue/workers, connector SDK, retries, idempotency, dead letters, status events and operator console.</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Data</w:t>
            </w:r>
          </w:p>
        </w:tc>
        <w:tc>
          <w:tcPr>
            <w:tcW w:type="dxa" w:w="7660"/>
            <w:tcMar>
              <w:top w:w="80" w:type="dxa"/>
              <w:start w:w="120" w:type="dxa"/>
              <w:bottom w:w="80" w:type="dxa"/>
              <w:end w:w="120" w:type="dxa"/>
            </w:tcMar>
            <w:vAlign w:val="center"/>
          </w:tcPr>
          <w:p>
            <w:pPr>
              <w:spacing w:before="0" w:after="0" w:line="252" w:lineRule="auto"/>
            </w:pPr>
            <w:r>
              <w:rPr>
                <w:rFonts w:ascii="Calibri" w:hAnsi="Calibri"/>
                <w:color w:val="000000"/>
                <w:sz w:val="17"/>
              </w:rPr>
              <w:t>PostgreSQL with migrations and tenant controls; object storage for evidence/documents; optional pgvector only after relevance evaluation.</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Integrations</w:t>
            </w:r>
          </w:p>
        </w:tc>
        <w:tc>
          <w:tcPr>
            <w:tcW w:type="dxa" w:w="7660"/>
            <w:tcMar>
              <w:top w:w="80" w:type="dxa"/>
              <w:start w:w="120" w:type="dxa"/>
              <w:bottom w:w="80" w:type="dxa"/>
              <w:end w:w="120" w:type="dxa"/>
            </w:tcMar>
            <w:vAlign w:val="center"/>
          </w:tcPr>
          <w:p>
            <w:pPr>
              <w:spacing w:before="0" w:after="0" w:line="252" w:lineRule="auto"/>
            </w:pPr>
            <w:r>
              <w:rPr>
                <w:rFonts w:ascii="Calibri" w:hAnsi="Calibri"/>
                <w:color w:val="000000"/>
                <w:sz w:val="17"/>
              </w:rPr>
              <w:t>Licensed data providers, email/WhatsApp, CRM, accounting, freight/CHA, government/bank assisted workflows using authorised access.</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Trust</w:t>
            </w:r>
          </w:p>
        </w:tc>
        <w:tc>
          <w:tcPr>
            <w:tcW w:type="dxa" w:w="7660"/>
            <w:tcMar>
              <w:top w:w="80" w:type="dxa"/>
              <w:start w:w="120" w:type="dxa"/>
              <w:bottom w:w="80" w:type="dxa"/>
              <w:end w:w="120" w:type="dxa"/>
            </w:tcMar>
            <w:vAlign w:val="center"/>
          </w:tcPr>
          <w:p>
            <w:pPr>
              <w:spacing w:before="0" w:after="0" w:line="252" w:lineRule="auto"/>
            </w:pPr>
            <w:r>
              <w:rPr>
                <w:rFonts w:ascii="Calibri" w:hAnsi="Calibri"/>
                <w:color w:val="000000"/>
                <w:sz w:val="17"/>
              </w:rPr>
              <w:t>Source licence/provenance, assertion ledger, verification queue, effective dates, privacy requests, policy engine and release gate.</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Platform</w:t>
            </w:r>
          </w:p>
        </w:tc>
        <w:tc>
          <w:tcPr>
            <w:tcW w:type="dxa" w:w="7660"/>
            <w:tcMar>
              <w:top w:w="80" w:type="dxa"/>
              <w:start w:w="120" w:type="dxa"/>
              <w:bottom w:w="80" w:type="dxa"/>
              <w:end w:w="120" w:type="dxa"/>
            </w:tcMar>
            <w:vAlign w:val="center"/>
          </w:tcPr>
          <w:p>
            <w:pPr>
              <w:spacing w:before="0" w:after="0" w:line="252" w:lineRule="auto"/>
            </w:pPr>
            <w:r>
              <w:rPr>
                <w:rFonts w:ascii="Calibri" w:hAnsi="Calibri"/>
                <w:color w:val="000000"/>
                <w:sz w:val="17"/>
              </w:rPr>
              <w:t>CI/CD, secrets/KMS, observability, backups/PITR, DR, feature flags, billing/entitlements, support and incident management.</w:t>
            </w:r>
          </w:p>
        </w:tc>
      </w:tr>
    </w:tbl>
    <w:p>
      <w:pPr>
        <w:spacing w:after="40"/>
      </w:pPr>
    </w:p>
    <w:p>
      <w:pPr>
        <w:pStyle w:val="Heading2"/>
        <w:keepNext/>
        <w:keepLines/>
      </w:pPr>
      <w:r>
        <w:t>Recommended module boundaries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Module</w:t>
            </w:r>
          </w:p>
        </w:tc>
        <w:tc>
          <w:tcPr>
            <w:tcW w:type="dxa" w:w="71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Owns</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8"/>
              </w:rPr>
              <w:t>Identity</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8"/>
              </w:rPr>
              <w:t>Organisation, user, membership, roles, service credentials, entitlements and audit actor.</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8"/>
              </w:rPr>
              <w:t>Exporter</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8"/>
              </w:rPr>
              <w:t>Company registrations, facilities, capacity, catalogue, certifications and document readiness.</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8"/>
              </w:rPr>
              <w:t>Intelligence</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8"/>
              </w:rPr>
              <w:t>Sources, raw documents, canonical entities, contacts, assertions, verification and freshness.</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8"/>
              </w:rPr>
              <w:t>Decisioning</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8"/>
              </w:rPr>
              <w:t>Feature extraction, match versions, regulatory applicability, pricing/lane calculations and approvals.</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8"/>
              </w:rPr>
              <w:t>Revenue workflow</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8"/>
              </w:rPr>
              <w:t>Opportunity, stage, tasks, samples, outreach approval, quote, outcome and customer metrics.</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8"/>
              </w:rPr>
              <w:t>Export operations</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8"/>
              </w:rPr>
              <w:t>Documents, shipment, shipping bill, incentives, remittance, eBRC, GST tasks and exceptions.</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8"/>
              </w:rPr>
              <w:t>Connectors</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8"/>
              </w:rPr>
              <w:t>Provider adapters, OAuth/keys, cursors, rate limits, jobs, transformations and delivery attempts.</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8"/>
              </w:rPr>
              <w:t>Platform</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8"/>
              </w:rPr>
              <w:t>Billing, notifications, observability, audit exports, feature flags, admin and support.</w:t>
            </w:r>
          </w:p>
        </w:tc>
      </w:tr>
    </w:tbl>
    <w:p>
      <w:pPr>
        <w:spacing w:after="40"/>
      </w:pPr>
    </w:p>
    <w:p>
      <w:pPr>
        <w:pStyle w:val="Heading1"/>
        <w:keepNext/>
        <w:keepLines/>
      </w:pPr>
      <w:r>
        <w:t>11. India-specific technical extensions</w:t>
      </w:r>
    </w:p>
    <w:p>
      <w:pPr>
        <w:pStyle w:val="Heading2"/>
        <w:keepNext/>
        <w:keepLines/>
      </w:pPr>
      <w:r>
        <w:t>Data model</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Aggregate</w:t>
            </w:r>
          </w:p>
        </w:tc>
        <w:tc>
          <w:tcPr>
            <w:tcW w:type="dxa" w:w="73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Key fields and relationships</w:t>
            </w:r>
          </w:p>
        </w:tc>
      </w:tr>
      <w:tr>
        <w:trPr>
          <w:cantSplit/>
        </w:trPr>
        <w:tc>
          <w:tcPr>
            <w:tcW w:type="dxa" w:w="2000"/>
            <w:tcMar>
              <w:top w:w="80" w:type="dxa"/>
              <w:start w:w="120" w:type="dxa"/>
              <w:bottom w:w="80" w:type="dxa"/>
              <w:end w:w="120" w:type="dxa"/>
            </w:tcMar>
            <w:vAlign w:val="center"/>
          </w:tcPr>
          <w:p>
            <w:pPr>
              <w:spacing w:before="0" w:after="0" w:line="252" w:lineRule="auto"/>
            </w:pPr>
            <w:r>
              <w:rPr>
                <w:rFonts w:ascii="Calibri" w:hAnsi="Calibri"/>
                <w:color w:val="000000"/>
                <w:sz w:val="16"/>
              </w:rPr>
              <w:t>Exporter registration</w:t>
            </w:r>
          </w:p>
        </w:tc>
        <w:tc>
          <w:tcPr>
            <w:tcW w:type="dxa" w:w="7360"/>
            <w:tcMar>
              <w:top w:w="80" w:type="dxa"/>
              <w:start w:w="120" w:type="dxa"/>
              <w:bottom w:w="80" w:type="dxa"/>
              <w:end w:w="120" w:type="dxa"/>
            </w:tcMar>
            <w:vAlign w:val="center"/>
          </w:tcPr>
          <w:p>
            <w:pPr>
              <w:spacing w:before="0" w:after="0" w:line="252" w:lineRule="auto"/>
            </w:pPr>
            <w:r>
              <w:rPr>
                <w:rFonts w:ascii="Calibri" w:hAnsi="Calibri"/>
                <w:color w:val="000000"/>
                <w:sz w:val="16"/>
              </w:rPr>
              <w:t>organisation_id, PAN, GSTIN(s), IEC, Udyam, RCMC/EPC, ICEGATE status, AD bank/branch/code, customs locations, validity/evidence.</w:t>
            </w:r>
          </w:p>
        </w:tc>
      </w:tr>
      <w:tr>
        <w:trPr>
          <w:cantSplit/>
        </w:trPr>
        <w:tc>
          <w:tcPr>
            <w:tcW w:type="dxa" w:w="2000"/>
            <w:tcMar>
              <w:top w:w="80" w:type="dxa"/>
              <w:start w:w="120" w:type="dxa"/>
              <w:bottom w:w="80" w:type="dxa"/>
              <w:end w:w="120" w:type="dxa"/>
            </w:tcMar>
            <w:vAlign w:val="center"/>
          </w:tcPr>
          <w:p>
            <w:pPr>
              <w:spacing w:before="0" w:after="0" w:line="252" w:lineRule="auto"/>
            </w:pPr>
            <w:r>
              <w:rPr>
                <w:rFonts w:ascii="Calibri" w:hAnsi="Calibri"/>
                <w:color w:val="000000"/>
                <w:sz w:val="16"/>
              </w:rPr>
              <w:t>Product/article</w:t>
            </w:r>
          </w:p>
        </w:tc>
        <w:tc>
          <w:tcPr>
            <w:tcW w:type="dxa" w:w="7360"/>
            <w:tcMar>
              <w:top w:w="80" w:type="dxa"/>
              <w:start w:w="120" w:type="dxa"/>
              <w:bottom w:w="80" w:type="dxa"/>
              <w:end w:w="120" w:type="dxa"/>
            </w:tcMar>
            <w:vAlign w:val="center"/>
          </w:tcPr>
          <w:p>
            <w:pPr>
              <w:spacing w:before="0" w:after="0" w:line="252" w:lineRule="auto"/>
            </w:pPr>
            <w:r>
              <w:rPr>
                <w:rFonts w:ascii="Calibri" w:hAnsi="Calibri"/>
                <w:color w:val="000000"/>
                <w:sz w:val="16"/>
              </w:rPr>
              <w:t>ITC(HS)/HS, material, tannage, finish, thickness, quality parameters, capacity, MOQ, lead time, Incoterm, restrictions, certificate scope.</w:t>
            </w:r>
          </w:p>
        </w:tc>
      </w:tr>
      <w:tr>
        <w:trPr>
          <w:cantSplit/>
        </w:trPr>
        <w:tc>
          <w:tcPr>
            <w:tcW w:type="dxa" w:w="2000"/>
            <w:tcMar>
              <w:top w:w="80" w:type="dxa"/>
              <w:start w:w="120" w:type="dxa"/>
              <w:bottom w:w="80" w:type="dxa"/>
              <w:end w:w="120" w:type="dxa"/>
            </w:tcMar>
            <w:vAlign w:val="center"/>
          </w:tcPr>
          <w:p>
            <w:pPr>
              <w:spacing w:before="0" w:after="0" w:line="252" w:lineRule="auto"/>
            </w:pPr>
            <w:r>
              <w:rPr>
                <w:rFonts w:ascii="Calibri" w:hAnsi="Calibri"/>
                <w:color w:val="000000"/>
                <w:sz w:val="16"/>
              </w:rPr>
              <w:t>Commercial calculation</w:t>
            </w:r>
          </w:p>
        </w:tc>
        <w:tc>
          <w:tcPr>
            <w:tcW w:type="dxa" w:w="7360"/>
            <w:tcMar>
              <w:top w:w="80" w:type="dxa"/>
              <w:start w:w="120" w:type="dxa"/>
              <w:bottom w:w="80" w:type="dxa"/>
              <w:end w:w="120" w:type="dxa"/>
            </w:tcMar>
            <w:vAlign w:val="center"/>
          </w:tcPr>
          <w:p>
            <w:pPr>
              <w:spacing w:before="0" w:after="0" w:line="252" w:lineRule="auto"/>
            </w:pPr>
            <w:r>
              <w:rPr>
                <w:rFonts w:ascii="Calibri" w:hAnsi="Calibri"/>
                <w:color w:val="000000"/>
                <w:sz w:val="16"/>
              </w:rPr>
              <w:t>currency, FX source/time, EXW/FOB/CIF components, freight, insurance, bank/CHA cost, incentive, GST impact, margin and quote validity.</w:t>
            </w:r>
          </w:p>
        </w:tc>
      </w:tr>
      <w:tr>
        <w:trPr>
          <w:cantSplit/>
        </w:trPr>
        <w:tc>
          <w:tcPr>
            <w:tcW w:type="dxa" w:w="2000"/>
            <w:tcMar>
              <w:top w:w="80" w:type="dxa"/>
              <w:start w:w="120" w:type="dxa"/>
              <w:bottom w:w="80" w:type="dxa"/>
              <w:end w:w="120" w:type="dxa"/>
            </w:tcMar>
            <w:vAlign w:val="center"/>
          </w:tcPr>
          <w:p>
            <w:pPr>
              <w:spacing w:before="0" w:after="0" w:line="252" w:lineRule="auto"/>
            </w:pPr>
            <w:r>
              <w:rPr>
                <w:rFonts w:ascii="Calibri" w:hAnsi="Calibri"/>
                <w:color w:val="000000"/>
                <w:sz w:val="16"/>
              </w:rPr>
              <w:t>Document pack</w:t>
            </w:r>
          </w:p>
        </w:tc>
        <w:tc>
          <w:tcPr>
            <w:tcW w:type="dxa" w:w="7360"/>
            <w:tcMar>
              <w:top w:w="80" w:type="dxa"/>
              <w:start w:w="120" w:type="dxa"/>
              <w:bottom w:w="80" w:type="dxa"/>
              <w:end w:w="120" w:type="dxa"/>
            </w:tcMar>
            <w:vAlign w:val="center"/>
          </w:tcPr>
          <w:p>
            <w:pPr>
              <w:spacing w:before="0" w:after="0" w:line="252" w:lineRule="auto"/>
            </w:pPr>
            <w:r>
              <w:rPr>
                <w:rFonts w:ascii="Calibri" w:hAnsi="Calibri"/>
                <w:color w:val="000000"/>
                <w:sz w:val="16"/>
              </w:rPr>
              <w:t>document_type, template/version, shipment/order link, issuer, date, expiry, file hash, verification, reviewer and exceptions.</w:t>
            </w:r>
          </w:p>
        </w:tc>
      </w:tr>
      <w:tr>
        <w:trPr>
          <w:cantSplit/>
        </w:trPr>
        <w:tc>
          <w:tcPr>
            <w:tcW w:type="dxa" w:w="2000"/>
            <w:tcMar>
              <w:top w:w="80" w:type="dxa"/>
              <w:start w:w="120" w:type="dxa"/>
              <w:bottom w:w="80" w:type="dxa"/>
              <w:end w:w="120" w:type="dxa"/>
            </w:tcMar>
            <w:vAlign w:val="center"/>
          </w:tcPr>
          <w:p>
            <w:pPr>
              <w:spacing w:before="0" w:after="0" w:line="252" w:lineRule="auto"/>
            </w:pPr>
            <w:r>
              <w:rPr>
                <w:rFonts w:ascii="Calibri" w:hAnsi="Calibri"/>
                <w:color w:val="000000"/>
                <w:sz w:val="16"/>
              </w:rPr>
              <w:t>Shipment</w:t>
            </w:r>
          </w:p>
        </w:tc>
        <w:tc>
          <w:tcPr>
            <w:tcW w:type="dxa" w:w="7360"/>
            <w:tcMar>
              <w:top w:w="80" w:type="dxa"/>
              <w:start w:w="120" w:type="dxa"/>
              <w:bottom w:w="80" w:type="dxa"/>
              <w:end w:w="120" w:type="dxa"/>
            </w:tcMar>
            <w:vAlign w:val="center"/>
          </w:tcPr>
          <w:p>
            <w:pPr>
              <w:spacing w:before="0" w:after="0" w:line="252" w:lineRule="auto"/>
            </w:pPr>
            <w:r>
              <w:rPr>
                <w:rFonts w:ascii="Calibri" w:hAnsi="Calibri"/>
                <w:color w:val="000000"/>
                <w:sz w:val="16"/>
              </w:rPr>
              <w:t>order, shipping bill, port, CHA, carrier, container/AWB, milestones, customs status, document completeness and exception.</w:t>
            </w:r>
          </w:p>
        </w:tc>
      </w:tr>
      <w:tr>
        <w:trPr>
          <w:cantSplit/>
        </w:trPr>
        <w:tc>
          <w:tcPr>
            <w:tcW w:type="dxa" w:w="2000"/>
            <w:tcMar>
              <w:top w:w="80" w:type="dxa"/>
              <w:start w:w="120" w:type="dxa"/>
              <w:bottom w:w="80" w:type="dxa"/>
              <w:end w:w="120" w:type="dxa"/>
            </w:tcMar>
            <w:vAlign w:val="center"/>
          </w:tcPr>
          <w:p>
            <w:pPr>
              <w:spacing w:before="0" w:after="0" w:line="252" w:lineRule="auto"/>
            </w:pPr>
            <w:r>
              <w:rPr>
                <w:rFonts w:ascii="Calibri" w:hAnsi="Calibri"/>
                <w:color w:val="000000"/>
                <w:sz w:val="16"/>
              </w:rPr>
              <w:t>Incentive/refund</w:t>
            </w:r>
          </w:p>
        </w:tc>
        <w:tc>
          <w:tcPr>
            <w:tcW w:type="dxa" w:w="7360"/>
            <w:tcMar>
              <w:top w:w="80" w:type="dxa"/>
              <w:start w:w="120" w:type="dxa"/>
              <w:bottom w:w="80" w:type="dxa"/>
              <w:end w:w="120" w:type="dxa"/>
            </w:tcMar>
            <w:vAlign w:val="center"/>
          </w:tcPr>
          <w:p>
            <w:pPr>
              <w:spacing w:before="0" w:after="0" w:line="252" w:lineRule="auto"/>
            </w:pPr>
            <w:r>
              <w:rPr>
                <w:rFonts w:ascii="Calibri" w:hAnsi="Calibri"/>
                <w:color w:val="000000"/>
                <w:sz w:val="16"/>
              </w:rPr>
              <w:t>scheme, shipping bill, eligibility basis, claimed/approved amount, scrip/refund status, evidence, dates and discrepancy.</w:t>
            </w:r>
          </w:p>
        </w:tc>
      </w:tr>
      <w:tr>
        <w:trPr>
          <w:cantSplit/>
        </w:trPr>
        <w:tc>
          <w:tcPr>
            <w:tcW w:type="dxa" w:w="2000"/>
            <w:tcMar>
              <w:top w:w="80" w:type="dxa"/>
              <w:start w:w="120" w:type="dxa"/>
              <w:bottom w:w="80" w:type="dxa"/>
              <w:end w:w="120" w:type="dxa"/>
            </w:tcMar>
            <w:vAlign w:val="center"/>
          </w:tcPr>
          <w:p>
            <w:pPr>
              <w:spacing w:before="0" w:after="0" w:line="252" w:lineRule="auto"/>
            </w:pPr>
            <w:r>
              <w:rPr>
                <w:rFonts w:ascii="Calibri" w:hAnsi="Calibri"/>
                <w:color w:val="000000"/>
                <w:sz w:val="16"/>
              </w:rPr>
              <w:t>Remittance/eBRC</w:t>
            </w:r>
          </w:p>
        </w:tc>
        <w:tc>
          <w:tcPr>
            <w:tcW w:type="dxa" w:w="7360"/>
            <w:tcMar>
              <w:top w:w="80" w:type="dxa"/>
              <w:start w:w="120" w:type="dxa"/>
              <w:bottom w:w="80" w:type="dxa"/>
              <w:end w:w="120" w:type="dxa"/>
            </w:tcMar>
            <w:vAlign w:val="center"/>
          </w:tcPr>
          <w:p>
            <w:pPr>
              <w:spacing w:before="0" w:after="0" w:line="252" w:lineRule="auto"/>
            </w:pPr>
            <w:r>
              <w:rPr>
                <w:rFonts w:ascii="Calibri" w:hAnsi="Calibri"/>
                <w:color w:val="000000"/>
                <w:sz w:val="16"/>
              </w:rPr>
              <w:t>invoice, bank IRM, realised currency/amount/date, deductions, eBRC ID/status, due date, variance and reconciliation.</w:t>
            </w:r>
          </w:p>
        </w:tc>
      </w:tr>
    </w:tbl>
    <w:p>
      <w:pPr>
        <w:spacing w:after="40"/>
      </w:pPr>
    </w:p>
    <w:p>
      <w:pPr>
        <w:pStyle w:val="Heading2"/>
        <w:keepNext/>
        <w:keepLines/>
      </w:pPr>
      <w:r>
        <w:t>Localisation and channel requirements</w:t>
      </w:r>
    </w:p>
    <w:p>
      <w:pPr>
        <w:pStyle w:val="ListBullet"/>
        <w:keepLines/>
      </w:pPr>
      <w:r>
        <w:t>Locale-aware currency and Indian number formatting; INR base with explicit FX source and timestamp.</w:t>
      </w:r>
    </w:p>
    <w:p>
      <w:pPr>
        <w:pStyle w:val="ListBullet"/>
        <w:keepLines/>
      </w:pPr>
      <w:r>
        <w:t>English-first content architecture with translatable labels and help; add Hindi/Tamil after customer testing rather than embedding text in components.</w:t>
      </w:r>
    </w:p>
    <w:p>
      <w:pPr>
        <w:pStyle w:val="ListBullet"/>
        <w:keepLines/>
      </w:pPr>
      <w:r>
        <w:t>Responsive design from 390 pixels upward, low-bandwidth behaviour, printable/PDF/Excel outputs and user-initiated WhatsApp sharing.</w:t>
      </w:r>
    </w:p>
    <w:p>
      <w:pPr>
        <w:pStyle w:val="ListBullet"/>
        <w:keepLines/>
      </w:pPr>
      <w:r>
        <w:t>Role-based dashboards for owner, sales, merchandising, compliance, finance and operations.</w:t>
      </w:r>
    </w:p>
    <w:p>
      <w:pPr>
        <w:pStyle w:val="ListBullet"/>
        <w:keepLines/>
      </w:pPr>
      <w:r>
        <w:t>India date/time/time-zone defaults, Indian ports and location codes, bank/AD workflow and local document terminology.</w:t>
      </w:r>
    </w:p>
    <w:p>
      <w:pPr>
        <w:pStyle w:val="ListBullet"/>
        <w:keepLines/>
      </w:pPr>
      <w:r>
        <w:t>Privacy-by-design for employee, exporter and overseas contact data under applicable Indian and destination-market law.</w:t>
      </w:r>
    </w:p>
    <w:p>
      <w:pPr>
        <w:pStyle w:val="Heading1"/>
        <w:keepNext/>
        <w:keepLines/>
      </w:pPr>
      <w:r>
        <w:t>12. Implementation stages and prioritised backlog</w:t>
      </w:r>
    </w:p>
    <w:tbl>
      <w:tblPr>
        <w:tblStyle w:val="TableGrid"/>
        <w:tblW w:type="dxa" w:w="9360"/>
        <w:jc w:val="left"/>
        <w:tblLayout w:type="fixed"/>
        <w:tblLook w:firstColumn="1" w:firstRow="1" w:lastColumn="0" w:lastRow="0" w:noHBand="0" w:noVBand="1" w:val="04A0"/>
        <w:tblInd w:w="120" w:type="dxa"/>
      </w:tblPr>
      <w:tblGrid>
        <w:gridCol w:w="1700"/>
        <w:gridCol w:w="3600"/>
        <w:gridCol w:w="4060"/>
      </w:tblGrid>
      <w:tr>
        <w:trPr>
          <w:tblHeader w:val="true"/>
          <w:cantSplit/>
        </w:trPr>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Stage</w:t>
            </w:r>
          </w:p>
        </w:tc>
        <w:tc>
          <w:tcPr>
            <w:tcW w:type="dxa" w:w="36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Scope</w:t>
            </w:r>
          </w:p>
        </w:tc>
        <w:tc>
          <w:tcPr>
            <w:tcW w:type="dxa" w:w="40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Engineering exit criteria</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6"/>
              </w:rPr>
              <w:t>0. Truth and scope freeze</w:t>
            </w:r>
          </w:p>
        </w:tc>
        <w:tc>
          <w:tcPr>
            <w:tcW w:type="dxa" w:w="3600"/>
            <w:tcMar>
              <w:top w:w="80" w:type="dxa"/>
              <w:start w:w="120" w:type="dxa"/>
              <w:bottom w:w="80" w:type="dxa"/>
              <w:end w:w="120" w:type="dxa"/>
            </w:tcMar>
            <w:vAlign w:val="center"/>
          </w:tcPr>
          <w:p>
            <w:pPr>
              <w:spacing w:before="0" w:after="0" w:line="252" w:lineRule="auto"/>
            </w:pPr>
            <w:r>
              <w:rPr>
                <w:rFonts w:ascii="Calibri" w:hAnsi="Calibri"/>
                <w:color w:val="000000"/>
                <w:sz w:val="16"/>
              </w:rPr>
              <w:t>Remove unsupported claims, separate demo data, EUDR update, source register, decision records</w:t>
            </w:r>
          </w:p>
        </w:tc>
        <w:tc>
          <w:tcPr>
            <w:tcW w:type="dxa" w:w="4060"/>
            <w:tcMar>
              <w:top w:w="80" w:type="dxa"/>
              <w:start w:w="120" w:type="dxa"/>
              <w:bottom w:w="80" w:type="dxa"/>
              <w:end w:w="120" w:type="dxa"/>
            </w:tcMar>
            <w:vAlign w:val="center"/>
          </w:tcPr>
          <w:p>
            <w:pPr>
              <w:spacing w:before="0" w:after="0" w:line="252" w:lineRule="auto"/>
            </w:pPr>
            <w:r>
              <w:rPr>
                <w:rFonts w:ascii="Calibri" w:hAnsi="Calibri"/>
                <w:color w:val="000000"/>
                <w:sz w:val="16"/>
              </w:rPr>
              <w:t>Claim inventory approved; synthetic data quarantined; every visible claim has type/status/date/source or is labelled demo.</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6"/>
              </w:rPr>
              <w:t>1. Secure pilot foundation</w:t>
            </w:r>
          </w:p>
        </w:tc>
        <w:tc>
          <w:tcPr>
            <w:tcW w:type="dxa" w:w="3600"/>
            <w:tcMar>
              <w:top w:w="80" w:type="dxa"/>
              <w:start w:w="120" w:type="dxa"/>
              <w:bottom w:w="80" w:type="dxa"/>
              <w:end w:w="120" w:type="dxa"/>
            </w:tcMar>
            <w:vAlign w:val="center"/>
          </w:tcPr>
          <w:p>
            <w:pPr>
              <w:spacing w:before="0" w:after="0" w:line="252" w:lineRule="auto"/>
            </w:pPr>
            <w:r>
              <w:rPr>
                <w:rFonts w:ascii="Calibri" w:hAnsi="Calibri"/>
                <w:color w:val="000000"/>
                <w:sz w:val="16"/>
              </w:rPr>
              <w:t>Auth, organisations, RBAC, tenant filter, secret rotation, migrations, environments, basic monitoring/backups</w:t>
            </w:r>
          </w:p>
        </w:tc>
        <w:tc>
          <w:tcPr>
            <w:tcW w:type="dxa" w:w="4060"/>
            <w:tcMar>
              <w:top w:w="80" w:type="dxa"/>
              <w:start w:w="120" w:type="dxa"/>
              <w:bottom w:w="80" w:type="dxa"/>
              <w:end w:w="120" w:type="dxa"/>
            </w:tcMar>
            <w:vAlign w:val="center"/>
          </w:tcPr>
          <w:p>
            <w:pPr>
              <w:spacing w:before="0" w:after="0" w:line="252" w:lineRule="auto"/>
            </w:pPr>
            <w:r>
              <w:rPr>
                <w:rFonts w:ascii="Calibri" w:hAnsi="Calibri"/>
                <w:color w:val="000000"/>
                <w:sz w:val="16"/>
              </w:rPr>
              <w:t>Second organisation cannot access first; fresh deploy/migrate works; restore tested; no client secret; security smoke passes.</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6"/>
              </w:rPr>
              <w:t>2. Trusted intelligence</w:t>
            </w:r>
          </w:p>
        </w:tc>
        <w:tc>
          <w:tcPr>
            <w:tcW w:type="dxa" w:w="3600"/>
            <w:tcMar>
              <w:top w:w="80" w:type="dxa"/>
              <w:start w:w="120" w:type="dxa"/>
              <w:bottom w:w="80" w:type="dxa"/>
              <w:end w:w="120" w:type="dxa"/>
            </w:tcMar>
            <w:vAlign w:val="center"/>
          </w:tcPr>
          <w:p>
            <w:pPr>
              <w:spacing w:before="0" w:after="0" w:line="252" w:lineRule="auto"/>
            </w:pPr>
            <w:r>
              <w:rPr>
                <w:rFonts w:ascii="Calibri" w:hAnsi="Calibri"/>
                <w:color w:val="000000"/>
                <w:sz w:val="16"/>
              </w:rPr>
              <w:t>Connectors, raw capture, evidence/assertions, entity review, verification, freshness and QA queue</w:t>
            </w:r>
          </w:p>
        </w:tc>
        <w:tc>
          <w:tcPr>
            <w:tcW w:type="dxa" w:w="4060"/>
            <w:tcMar>
              <w:top w:w="80" w:type="dxa"/>
              <w:start w:w="120" w:type="dxa"/>
              <w:bottom w:w="80" w:type="dxa"/>
              <w:end w:w="120" w:type="dxa"/>
            </w:tcMar>
            <w:vAlign w:val="center"/>
          </w:tcPr>
          <w:p>
            <w:pPr>
              <w:spacing w:before="0" w:after="0" w:line="252" w:lineRule="auto"/>
            </w:pPr>
            <w:r>
              <w:rPr>
                <w:rFonts w:ascii="Calibri" w:hAnsi="Calibri"/>
                <w:color w:val="000000"/>
                <w:sz w:val="16"/>
              </w:rPr>
              <w:t>At least one licensed/authorised live source; full lineage; reviewer decision; duplicate/freshness metrics; correction/opt-out.</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6"/>
              </w:rPr>
              <w:t>3. Evidence-based decisioning</w:t>
            </w:r>
          </w:p>
        </w:tc>
        <w:tc>
          <w:tcPr>
            <w:tcW w:type="dxa" w:w="3600"/>
            <w:tcMar>
              <w:top w:w="80" w:type="dxa"/>
              <w:start w:w="120" w:type="dxa"/>
              <w:bottom w:w="80" w:type="dxa"/>
              <w:end w:w="120" w:type="dxa"/>
            </w:tcMar>
            <w:vAlign w:val="center"/>
          </w:tcPr>
          <w:p>
            <w:pPr>
              <w:spacing w:before="0" w:after="0" w:line="252" w:lineRule="auto"/>
            </w:pPr>
            <w:r>
              <w:rPr>
                <w:rFonts w:ascii="Calibri" w:hAnsi="Calibri"/>
                <w:color w:val="000000"/>
                <w:sz w:val="16"/>
              </w:rPr>
              <w:t>Feature pipeline, scoring evaluation, regulatory applicability, effective-dated lanes, human publish gate</w:t>
            </w:r>
          </w:p>
        </w:tc>
        <w:tc>
          <w:tcPr>
            <w:tcW w:type="dxa" w:w="4060"/>
            <w:tcMar>
              <w:top w:w="80" w:type="dxa"/>
              <w:start w:w="120" w:type="dxa"/>
              <w:bottom w:w="80" w:type="dxa"/>
              <w:end w:w="120" w:type="dxa"/>
            </w:tcMar>
            <w:vAlign w:val="center"/>
          </w:tcPr>
          <w:p>
            <w:pPr>
              <w:spacing w:before="0" w:after="0" w:line="252" w:lineRule="auto"/>
            </w:pPr>
            <w:r>
              <w:rPr>
                <w:rFonts w:ascii="Calibri" w:hAnsi="Calibri"/>
                <w:color w:val="000000"/>
                <w:sz w:val="16"/>
              </w:rPr>
              <w:t>Scores reproducible from evidence; top-K evaluation accepted; no publication below confidence/evidence threshold.</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6"/>
              </w:rPr>
              <w:t>4. India revenue workflow</w:t>
            </w:r>
          </w:p>
        </w:tc>
        <w:tc>
          <w:tcPr>
            <w:tcW w:type="dxa" w:w="3600"/>
            <w:tcMar>
              <w:top w:w="80" w:type="dxa"/>
              <w:start w:w="120" w:type="dxa"/>
              <w:bottom w:w="80" w:type="dxa"/>
              <w:end w:w="120" w:type="dxa"/>
            </w:tcMar>
            <w:vAlign w:val="center"/>
          </w:tcPr>
          <w:p>
            <w:pPr>
              <w:spacing w:before="0" w:after="0" w:line="252" w:lineRule="auto"/>
            </w:pPr>
            <w:r>
              <w:rPr>
                <w:rFonts w:ascii="Calibri" w:hAnsi="Calibri"/>
                <w:color w:val="000000"/>
                <w:sz w:val="16"/>
              </w:rPr>
              <w:t>Onboarding, catalogue, opportunities, samples, quotes/margins, document/shipment/payment tasks</w:t>
            </w:r>
          </w:p>
        </w:tc>
        <w:tc>
          <w:tcPr>
            <w:tcW w:type="dxa" w:w="4060"/>
            <w:tcMar>
              <w:top w:w="80" w:type="dxa"/>
              <w:start w:w="120" w:type="dxa"/>
              <w:bottom w:w="80" w:type="dxa"/>
              <w:end w:w="120" w:type="dxa"/>
            </w:tcMar>
            <w:vAlign w:val="center"/>
          </w:tcPr>
          <w:p>
            <w:pPr>
              <w:spacing w:before="0" w:after="0" w:line="252" w:lineRule="auto"/>
            </w:pPr>
            <w:r>
              <w:rPr>
                <w:rFonts w:ascii="Calibri" w:hAnsi="Calibri"/>
                <w:color w:val="000000"/>
                <w:sz w:val="16"/>
              </w:rPr>
              <w:t>One pilot completes profile-to-outcome journey; INR margin and document/payment status reconcile with customer records.</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6"/>
              </w:rPr>
              <w:t>5. Reliable integrations</w:t>
            </w:r>
          </w:p>
        </w:tc>
        <w:tc>
          <w:tcPr>
            <w:tcW w:type="dxa" w:w="3600"/>
            <w:tcMar>
              <w:top w:w="80" w:type="dxa"/>
              <w:start w:w="120" w:type="dxa"/>
              <w:bottom w:w="80" w:type="dxa"/>
              <w:end w:w="120" w:type="dxa"/>
            </w:tcMar>
            <w:vAlign w:val="center"/>
          </w:tcPr>
          <w:p>
            <w:pPr>
              <w:spacing w:before="0" w:after="0" w:line="252" w:lineRule="auto"/>
            </w:pPr>
            <w:r>
              <w:rPr>
                <w:rFonts w:ascii="Calibri" w:hAnsi="Calibri"/>
                <w:color w:val="000000"/>
                <w:sz w:val="16"/>
              </w:rPr>
              <w:t>CRM/email/WhatsApp/accounting/freight and assisted government/bank workflows</w:t>
            </w:r>
          </w:p>
        </w:tc>
        <w:tc>
          <w:tcPr>
            <w:tcW w:type="dxa" w:w="4060"/>
            <w:tcMar>
              <w:top w:w="80" w:type="dxa"/>
              <w:start w:w="120" w:type="dxa"/>
              <w:bottom w:w="80" w:type="dxa"/>
              <w:end w:w="120" w:type="dxa"/>
            </w:tcMar>
            <w:vAlign w:val="center"/>
          </w:tcPr>
          <w:p>
            <w:pPr>
              <w:spacing w:before="0" w:after="0" w:line="252" w:lineRule="auto"/>
            </w:pPr>
            <w:r>
              <w:rPr>
                <w:rFonts w:ascii="Calibri" w:hAnsi="Calibri"/>
                <w:color w:val="000000"/>
                <w:sz w:val="16"/>
              </w:rPr>
              <w:t>OAuth/consent, idempotent sync, error/retry/dead-letter, audit, revocation and provider contract tests.</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6"/>
              </w:rPr>
              <w:t>6. Enterprise hardening</w:t>
            </w:r>
          </w:p>
        </w:tc>
        <w:tc>
          <w:tcPr>
            <w:tcW w:type="dxa" w:w="3600"/>
            <w:tcMar>
              <w:top w:w="80" w:type="dxa"/>
              <w:start w:w="120" w:type="dxa"/>
              <w:bottom w:w="80" w:type="dxa"/>
              <w:end w:w="120" w:type="dxa"/>
            </w:tcMar>
            <w:vAlign w:val="center"/>
          </w:tcPr>
          <w:p>
            <w:pPr>
              <w:spacing w:before="0" w:after="0" w:line="252" w:lineRule="auto"/>
            </w:pPr>
            <w:r>
              <w:rPr>
                <w:rFonts w:ascii="Calibri" w:hAnsi="Calibri"/>
                <w:color w:val="000000"/>
                <w:sz w:val="16"/>
              </w:rPr>
              <w:t>SSO, advanced RBAC, audit export, SLAs, DR, security test, DPA/subprocessors and support</w:t>
            </w:r>
          </w:p>
        </w:tc>
        <w:tc>
          <w:tcPr>
            <w:tcW w:type="dxa" w:w="4060"/>
            <w:tcMar>
              <w:top w:w="80" w:type="dxa"/>
              <w:start w:w="120" w:type="dxa"/>
              <w:bottom w:w="80" w:type="dxa"/>
              <w:end w:w="120" w:type="dxa"/>
            </w:tcMar>
            <w:vAlign w:val="center"/>
          </w:tcPr>
          <w:p>
            <w:pPr>
              <w:spacing w:before="0" w:after="0" w:line="252" w:lineRule="auto"/>
            </w:pPr>
            <w:r>
              <w:rPr>
                <w:rFonts w:ascii="Calibri" w:hAnsi="Calibri"/>
                <w:color w:val="000000"/>
                <w:sz w:val="16"/>
              </w:rPr>
              <w:t>Procurement checklist complete; independent critical findings closed; DR/SLA exercise passed; reference customer approved.</w:t>
            </w:r>
          </w:p>
        </w:tc>
      </w:tr>
    </w:tbl>
    <w:p>
      <w:pPr>
        <w:spacing w:after="40"/>
      </w:pPr>
    </w:p>
    <w:p>
      <w:pPr>
        <w:pStyle w:val="Heading2"/>
        <w:keepNext/>
        <w:keepLines/>
      </w:pPr>
      <w:r>
        <w:t>Prioritised backlog</w:t>
      </w:r>
    </w:p>
    <w:tbl>
      <w:tblPr>
        <w:tblStyle w:val="TableGrid"/>
        <w:tblW w:type="dxa" w:w="9360"/>
        <w:jc w:val="left"/>
        <w:tblLayout w:type="fixed"/>
        <w:tblLook w:firstColumn="1" w:firstRow="1" w:lastColumn="0" w:lastRow="0" w:noHBand="0" w:noVBand="1" w:val="04A0"/>
        <w:tblInd w:w="120" w:type="dxa"/>
      </w:tblPr>
      <w:tblGrid>
        <w:gridCol w:w="900"/>
        <w:gridCol w:w="4400"/>
        <w:gridCol w:w="4060"/>
      </w:tblGrid>
      <w:tr>
        <w:trPr>
          <w:tblHeader w:val="true"/>
          <w:cantSplit/>
        </w:trPr>
        <w:tc>
          <w:tcPr>
            <w:tcW w:type="dxa" w:w="9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Priority</w:t>
            </w:r>
          </w:p>
        </w:tc>
        <w:tc>
          <w:tcPr>
            <w:tcW w:type="dxa" w:w="44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Work item</w:t>
            </w:r>
          </w:p>
        </w:tc>
        <w:tc>
          <w:tcPr>
            <w:tcW w:type="dxa" w:w="40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Why first</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P0</w:t>
            </w:r>
          </w:p>
        </w:tc>
        <w:tc>
          <w:tcPr>
            <w:tcW w:type="dxa" w:w="4400"/>
            <w:tcMar>
              <w:top w:w="80" w:type="dxa"/>
              <w:start w:w="120" w:type="dxa"/>
              <w:bottom w:w="80" w:type="dxa"/>
              <w:end w:w="120" w:type="dxa"/>
            </w:tcMar>
            <w:vAlign w:val="center"/>
          </w:tcPr>
          <w:p>
            <w:pPr>
              <w:spacing w:before="0" w:after="0" w:line="252" w:lineRule="auto"/>
            </w:pPr>
            <w:r>
              <w:rPr>
                <w:rFonts w:ascii="Calibri" w:hAnsi="Calibri"/>
                <w:color w:val="000000"/>
                <w:sz w:val="16"/>
              </w:rPr>
              <w:t>Quarantine generated contacts/sample BOL; add DEMO/INFERRED/VERIFIED claim model</w:t>
            </w:r>
          </w:p>
        </w:tc>
        <w:tc>
          <w:tcPr>
            <w:tcW w:type="dxa" w:w="4060"/>
            <w:tcMar>
              <w:top w:w="80" w:type="dxa"/>
              <w:start w:w="120" w:type="dxa"/>
              <w:bottom w:w="80" w:type="dxa"/>
              <w:end w:w="120" w:type="dxa"/>
            </w:tcMar>
            <w:vAlign w:val="center"/>
          </w:tcPr>
          <w:p>
            <w:pPr>
              <w:spacing w:before="0" w:after="0" w:line="252" w:lineRule="auto"/>
            </w:pPr>
            <w:r>
              <w:rPr>
                <w:rFonts w:ascii="Calibri" w:hAnsi="Calibri"/>
                <w:color w:val="000000"/>
                <w:sz w:val="16"/>
              </w:rPr>
              <w:t>Prevents trust, privacy and misrepresentation damage.</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P0</w:t>
            </w:r>
          </w:p>
        </w:tc>
        <w:tc>
          <w:tcPr>
            <w:tcW w:type="dxa" w:w="4400"/>
            <w:tcMar>
              <w:top w:w="80" w:type="dxa"/>
              <w:start w:w="120" w:type="dxa"/>
              <w:bottom w:w="80" w:type="dxa"/>
              <w:end w:w="120" w:type="dxa"/>
            </w:tcMar>
            <w:vAlign w:val="center"/>
          </w:tcPr>
          <w:p>
            <w:pPr>
              <w:spacing w:before="0" w:after="0" w:line="252" w:lineRule="auto"/>
            </w:pPr>
            <w:r>
              <w:rPr>
                <w:rFonts w:ascii="Calibri" w:hAnsi="Calibri"/>
                <w:color w:val="000000"/>
                <w:sz w:val="16"/>
              </w:rPr>
              <w:t>Remove frontend API key; add user/org/RBAC/tenant enforcement; rotate secrets</w:t>
            </w:r>
          </w:p>
        </w:tc>
        <w:tc>
          <w:tcPr>
            <w:tcW w:type="dxa" w:w="4060"/>
            <w:tcMar>
              <w:top w:w="80" w:type="dxa"/>
              <w:start w:w="120" w:type="dxa"/>
              <w:bottom w:w="80" w:type="dxa"/>
              <w:end w:w="120" w:type="dxa"/>
            </w:tcMar>
            <w:vAlign w:val="center"/>
          </w:tcPr>
          <w:p>
            <w:pPr>
              <w:spacing w:before="0" w:after="0" w:line="252" w:lineRule="auto"/>
            </w:pPr>
            <w:r>
              <w:rPr>
                <w:rFonts w:ascii="Calibri" w:hAnsi="Calibri"/>
                <w:color w:val="000000"/>
                <w:sz w:val="16"/>
              </w:rPr>
              <w:t>Required before any external user or second customer.</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P0</w:t>
            </w:r>
          </w:p>
        </w:tc>
        <w:tc>
          <w:tcPr>
            <w:tcW w:type="dxa" w:w="4400"/>
            <w:tcMar>
              <w:top w:w="80" w:type="dxa"/>
              <w:start w:w="120" w:type="dxa"/>
              <w:bottom w:w="80" w:type="dxa"/>
              <w:end w:w="120" w:type="dxa"/>
            </w:tcMar>
            <w:vAlign w:val="center"/>
          </w:tcPr>
          <w:p>
            <w:pPr>
              <w:spacing w:before="0" w:after="0" w:line="252" w:lineRule="auto"/>
            </w:pPr>
            <w:r>
              <w:rPr>
                <w:rFonts w:ascii="Calibri" w:hAnsi="Calibri"/>
                <w:color w:val="000000"/>
                <w:sz w:val="16"/>
              </w:rPr>
              <w:t>Alembic migration baseline and schema-source decision</w:t>
            </w:r>
          </w:p>
        </w:tc>
        <w:tc>
          <w:tcPr>
            <w:tcW w:type="dxa" w:w="4060"/>
            <w:tcMar>
              <w:top w:w="80" w:type="dxa"/>
              <w:start w:w="120" w:type="dxa"/>
              <w:bottom w:w="80" w:type="dxa"/>
              <w:end w:w="120" w:type="dxa"/>
            </w:tcMar>
            <w:vAlign w:val="center"/>
          </w:tcPr>
          <w:p>
            <w:pPr>
              <w:spacing w:before="0" w:after="0" w:line="252" w:lineRule="auto"/>
            </w:pPr>
            <w:r>
              <w:rPr>
                <w:rFonts w:ascii="Calibri" w:hAnsi="Calibri"/>
                <w:color w:val="000000"/>
                <w:sz w:val="16"/>
              </w:rPr>
              <w:t>Prevents fresh-deploy and model/schema drift failures.</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P0</w:t>
            </w:r>
          </w:p>
        </w:tc>
        <w:tc>
          <w:tcPr>
            <w:tcW w:type="dxa" w:w="4400"/>
            <w:tcMar>
              <w:top w:w="80" w:type="dxa"/>
              <w:start w:w="120" w:type="dxa"/>
              <w:bottom w:w="80" w:type="dxa"/>
              <w:end w:w="120" w:type="dxa"/>
            </w:tcMar>
            <w:vAlign w:val="center"/>
          </w:tcPr>
          <w:p>
            <w:pPr>
              <w:spacing w:before="0" w:after="0" w:line="252" w:lineRule="auto"/>
            </w:pPr>
            <w:r>
              <w:rPr>
                <w:rFonts w:ascii="Calibri" w:hAnsi="Calibri"/>
                <w:color w:val="000000"/>
                <w:sz w:val="16"/>
              </w:rPr>
              <w:t>Update EUDR applicability and move regulatory facts to effective-dated source records</w:t>
            </w:r>
          </w:p>
        </w:tc>
        <w:tc>
          <w:tcPr>
            <w:tcW w:type="dxa" w:w="4060"/>
            <w:tcMar>
              <w:top w:w="80" w:type="dxa"/>
              <w:start w:w="120" w:type="dxa"/>
              <w:bottom w:w="80" w:type="dxa"/>
              <w:end w:w="120" w:type="dxa"/>
            </w:tcMar>
            <w:vAlign w:val="center"/>
          </w:tcPr>
          <w:p>
            <w:pPr>
              <w:spacing w:before="0" w:after="0" w:line="252" w:lineRule="auto"/>
            </w:pPr>
            <w:r>
              <w:rPr>
                <w:rFonts w:ascii="Calibri" w:hAnsi="Calibri"/>
                <w:color w:val="000000"/>
                <w:sz w:val="16"/>
              </w:rPr>
              <w:t>Avoids selling an outdated legal proposition.</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P0</w:t>
            </w:r>
          </w:p>
        </w:tc>
        <w:tc>
          <w:tcPr>
            <w:tcW w:type="dxa" w:w="4400"/>
            <w:tcMar>
              <w:top w:w="80" w:type="dxa"/>
              <w:start w:w="120" w:type="dxa"/>
              <w:bottom w:w="80" w:type="dxa"/>
              <w:end w:w="120" w:type="dxa"/>
            </w:tcMar>
            <w:vAlign w:val="center"/>
          </w:tcPr>
          <w:p>
            <w:pPr>
              <w:spacing w:before="0" w:after="0" w:line="252" w:lineRule="auto"/>
            </w:pPr>
            <w:r>
              <w:rPr>
                <w:rFonts w:ascii="Calibri" w:hAnsi="Calibri"/>
                <w:color w:val="000000"/>
                <w:sz w:val="16"/>
              </w:rPr>
              <w:t>Responsive shell and critical view redesign</w:t>
            </w:r>
          </w:p>
        </w:tc>
        <w:tc>
          <w:tcPr>
            <w:tcW w:type="dxa" w:w="4060"/>
            <w:tcMar>
              <w:top w:w="80" w:type="dxa"/>
              <w:start w:w="120" w:type="dxa"/>
              <w:bottom w:w="80" w:type="dxa"/>
              <w:end w:w="120" w:type="dxa"/>
            </w:tcMar>
            <w:vAlign w:val="center"/>
          </w:tcPr>
          <w:p>
            <w:pPr>
              <w:spacing w:before="0" w:after="0" w:line="252" w:lineRule="auto"/>
            </w:pPr>
            <w:r>
              <w:rPr>
                <w:rFonts w:ascii="Calibri" w:hAnsi="Calibri"/>
                <w:color w:val="000000"/>
                <w:sz w:val="16"/>
              </w:rPr>
              <w:t>Indian owner/mobile usability blocker.</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P1</w:t>
            </w:r>
          </w:p>
        </w:tc>
        <w:tc>
          <w:tcPr>
            <w:tcW w:type="dxa" w:w="4400"/>
            <w:tcMar>
              <w:top w:w="80" w:type="dxa"/>
              <w:start w:w="120" w:type="dxa"/>
              <w:bottom w:w="80" w:type="dxa"/>
              <w:end w:w="120" w:type="dxa"/>
            </w:tcMar>
            <w:vAlign w:val="center"/>
          </w:tcPr>
          <w:p>
            <w:pPr>
              <w:spacing w:before="0" w:after="0" w:line="252" w:lineRule="auto"/>
            </w:pPr>
            <w:r>
              <w:rPr>
                <w:rFonts w:ascii="Calibri" w:hAnsi="Calibri"/>
                <w:color w:val="000000"/>
                <w:sz w:val="16"/>
              </w:rPr>
              <w:t>Evidence/source/assertion model plus analyst verification queue</w:t>
            </w:r>
          </w:p>
        </w:tc>
        <w:tc>
          <w:tcPr>
            <w:tcW w:type="dxa" w:w="4060"/>
            <w:tcMar>
              <w:top w:w="80" w:type="dxa"/>
              <w:start w:w="120" w:type="dxa"/>
              <w:bottom w:w="80" w:type="dxa"/>
              <w:end w:w="120" w:type="dxa"/>
            </w:tcMar>
            <w:vAlign w:val="center"/>
          </w:tcPr>
          <w:p>
            <w:pPr>
              <w:spacing w:before="0" w:after="0" w:line="252" w:lineRule="auto"/>
            </w:pPr>
            <w:r>
              <w:rPr>
                <w:rFonts w:ascii="Calibri" w:hAnsi="Calibri"/>
                <w:color w:val="000000"/>
                <w:sz w:val="16"/>
              </w:rPr>
              <w:t>Turns claims into a sellable trust layer.</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P1</w:t>
            </w:r>
          </w:p>
        </w:tc>
        <w:tc>
          <w:tcPr>
            <w:tcW w:type="dxa" w:w="4400"/>
            <w:tcMar>
              <w:top w:w="80" w:type="dxa"/>
              <w:start w:w="120" w:type="dxa"/>
              <w:bottom w:w="80" w:type="dxa"/>
              <w:end w:w="120" w:type="dxa"/>
            </w:tcMar>
            <w:vAlign w:val="center"/>
          </w:tcPr>
          <w:p>
            <w:pPr>
              <w:spacing w:before="0" w:after="0" w:line="252" w:lineRule="auto"/>
            </w:pPr>
            <w:r>
              <w:rPr>
                <w:rFonts w:ascii="Calibri" w:hAnsi="Calibri"/>
                <w:color w:val="000000"/>
                <w:sz w:val="16"/>
              </w:rPr>
              <w:t>Evidence-based scoring and evaluation set</w:t>
            </w:r>
          </w:p>
        </w:tc>
        <w:tc>
          <w:tcPr>
            <w:tcW w:type="dxa" w:w="4060"/>
            <w:tcMar>
              <w:top w:w="80" w:type="dxa"/>
              <w:start w:w="120" w:type="dxa"/>
              <w:bottom w:w="80" w:type="dxa"/>
              <w:end w:w="120" w:type="dxa"/>
            </w:tcMar>
            <w:vAlign w:val="center"/>
          </w:tcPr>
          <w:p>
            <w:pPr>
              <w:spacing w:before="0" w:after="0" w:line="252" w:lineRule="auto"/>
            </w:pPr>
            <w:r>
              <w:rPr>
                <w:rFonts w:ascii="Calibri" w:hAnsi="Calibri"/>
                <w:color w:val="000000"/>
                <w:sz w:val="16"/>
              </w:rPr>
              <w:t>Core product differentiation must be real and measurable.</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P1</w:t>
            </w:r>
          </w:p>
        </w:tc>
        <w:tc>
          <w:tcPr>
            <w:tcW w:type="dxa" w:w="4400"/>
            <w:tcMar>
              <w:top w:w="80" w:type="dxa"/>
              <w:start w:w="120" w:type="dxa"/>
              <w:bottom w:w="80" w:type="dxa"/>
              <w:end w:w="120" w:type="dxa"/>
            </w:tcMar>
            <w:vAlign w:val="center"/>
          </w:tcPr>
          <w:p>
            <w:pPr>
              <w:spacing w:before="0" w:after="0" w:line="252" w:lineRule="auto"/>
            </w:pPr>
            <w:r>
              <w:rPr>
                <w:rFonts w:ascii="Calibri" w:hAnsi="Calibri"/>
                <w:color w:val="000000"/>
                <w:sz w:val="16"/>
              </w:rPr>
              <w:t>Queue/scheduler/job status, idempotency and transactions</w:t>
            </w:r>
          </w:p>
        </w:tc>
        <w:tc>
          <w:tcPr>
            <w:tcW w:type="dxa" w:w="4060"/>
            <w:tcMar>
              <w:top w:w="80" w:type="dxa"/>
              <w:start w:w="120" w:type="dxa"/>
              <w:bottom w:w="80" w:type="dxa"/>
              <w:end w:w="120" w:type="dxa"/>
            </w:tcMar>
            <w:vAlign w:val="center"/>
          </w:tcPr>
          <w:p>
            <w:pPr>
              <w:spacing w:before="0" w:after="0" w:line="252" w:lineRule="auto"/>
            </w:pPr>
            <w:r>
              <w:rPr>
                <w:rFonts w:ascii="Calibri" w:hAnsi="Calibri"/>
                <w:color w:val="000000"/>
                <w:sz w:val="16"/>
              </w:rPr>
              <w:t>Makes refresh/ingestion/integration reliable.</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P1</w:t>
            </w:r>
          </w:p>
        </w:tc>
        <w:tc>
          <w:tcPr>
            <w:tcW w:type="dxa" w:w="4400"/>
            <w:tcMar>
              <w:top w:w="80" w:type="dxa"/>
              <w:start w:w="120" w:type="dxa"/>
              <w:bottom w:w="80" w:type="dxa"/>
              <w:end w:w="120" w:type="dxa"/>
            </w:tcMar>
            <w:vAlign w:val="center"/>
          </w:tcPr>
          <w:p>
            <w:pPr>
              <w:spacing w:before="0" w:after="0" w:line="252" w:lineRule="auto"/>
            </w:pPr>
            <w:r>
              <w:rPr>
                <w:rFonts w:ascii="Calibri" w:hAnsi="Calibri"/>
                <w:color w:val="000000"/>
                <w:sz w:val="16"/>
              </w:rPr>
              <w:t>Exporter onboarding and India registrations/documents</w:t>
            </w:r>
          </w:p>
        </w:tc>
        <w:tc>
          <w:tcPr>
            <w:tcW w:type="dxa" w:w="4060"/>
            <w:tcMar>
              <w:top w:w="80" w:type="dxa"/>
              <w:start w:w="120" w:type="dxa"/>
              <w:bottom w:w="80" w:type="dxa"/>
              <w:end w:w="120" w:type="dxa"/>
            </w:tcMar>
            <w:vAlign w:val="center"/>
          </w:tcPr>
          <w:p>
            <w:pPr>
              <w:spacing w:before="0" w:after="0" w:line="252" w:lineRule="auto"/>
            </w:pPr>
            <w:r>
              <w:rPr>
                <w:rFonts w:ascii="Calibri" w:hAnsi="Calibri"/>
                <w:color w:val="000000"/>
                <w:sz w:val="16"/>
              </w:rPr>
              <w:t>Makes the product operable by more than Butler's Leather.</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P1</w:t>
            </w:r>
          </w:p>
        </w:tc>
        <w:tc>
          <w:tcPr>
            <w:tcW w:type="dxa" w:w="4400"/>
            <w:tcMar>
              <w:top w:w="80" w:type="dxa"/>
              <w:start w:w="120" w:type="dxa"/>
              <w:bottom w:w="80" w:type="dxa"/>
              <w:end w:w="120" w:type="dxa"/>
            </w:tcMar>
            <w:vAlign w:val="center"/>
          </w:tcPr>
          <w:p>
            <w:pPr>
              <w:spacing w:before="0" w:after="0" w:line="252" w:lineRule="auto"/>
            </w:pPr>
            <w:r>
              <w:rPr>
                <w:rFonts w:ascii="Calibri" w:hAnsi="Calibri"/>
                <w:color w:val="000000"/>
                <w:sz w:val="16"/>
              </w:rPr>
              <w:t>Opportunity/sample/quote/outcome pipeline</w:t>
            </w:r>
          </w:p>
        </w:tc>
        <w:tc>
          <w:tcPr>
            <w:tcW w:type="dxa" w:w="4060"/>
            <w:tcMar>
              <w:top w:w="80" w:type="dxa"/>
              <w:start w:w="120" w:type="dxa"/>
              <w:bottom w:w="80" w:type="dxa"/>
              <w:end w:w="120" w:type="dxa"/>
            </w:tcMar>
            <w:vAlign w:val="center"/>
          </w:tcPr>
          <w:p>
            <w:pPr>
              <w:spacing w:before="0" w:after="0" w:line="252" w:lineRule="auto"/>
            </w:pPr>
            <w:r>
              <w:rPr>
                <w:rFonts w:ascii="Calibri" w:hAnsi="Calibri"/>
                <w:color w:val="000000"/>
                <w:sz w:val="16"/>
              </w:rPr>
              <w:t>Creates measurable ROI and recurring workflow.</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P1</w:t>
            </w:r>
          </w:p>
        </w:tc>
        <w:tc>
          <w:tcPr>
            <w:tcW w:type="dxa" w:w="4400"/>
            <w:tcMar>
              <w:top w:w="80" w:type="dxa"/>
              <w:start w:w="120" w:type="dxa"/>
              <w:bottom w:w="80" w:type="dxa"/>
              <w:end w:w="120" w:type="dxa"/>
            </w:tcMar>
            <w:vAlign w:val="center"/>
          </w:tcPr>
          <w:p>
            <w:pPr>
              <w:spacing w:before="0" w:after="0" w:line="252" w:lineRule="auto"/>
            </w:pPr>
            <w:r>
              <w:rPr>
                <w:rFonts w:ascii="Calibri" w:hAnsi="Calibri"/>
                <w:color w:val="000000"/>
                <w:sz w:val="16"/>
              </w:rPr>
              <w:t>Observability, backup/restore, CI/CD and runbooks</w:t>
            </w:r>
          </w:p>
        </w:tc>
        <w:tc>
          <w:tcPr>
            <w:tcW w:type="dxa" w:w="4060"/>
            <w:tcMar>
              <w:top w:w="80" w:type="dxa"/>
              <w:start w:w="120" w:type="dxa"/>
              <w:bottom w:w="80" w:type="dxa"/>
              <w:end w:w="120" w:type="dxa"/>
            </w:tcMar>
            <w:vAlign w:val="center"/>
          </w:tcPr>
          <w:p>
            <w:pPr>
              <w:spacing w:before="0" w:after="0" w:line="252" w:lineRule="auto"/>
            </w:pPr>
            <w:r>
              <w:rPr>
                <w:rFonts w:ascii="Calibri" w:hAnsi="Calibri"/>
                <w:color w:val="000000"/>
                <w:sz w:val="16"/>
              </w:rPr>
              <w:t>Minimum dependable SaaS operation.</w:t>
            </w:r>
          </w:p>
        </w:tc>
      </w:tr>
      <w:tr>
        <w:trPr>
          <w:cantSplit/>
        </w:trPr>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6"/>
              </w:rPr>
              <w:t>P2</w:t>
            </w:r>
          </w:p>
        </w:tc>
        <w:tc>
          <w:tcPr>
            <w:tcW w:type="dxa" w:w="4400"/>
            <w:tcMar>
              <w:top w:w="80" w:type="dxa"/>
              <w:start w:w="120" w:type="dxa"/>
              <w:bottom w:w="80" w:type="dxa"/>
              <w:end w:w="120" w:type="dxa"/>
            </w:tcMar>
            <w:vAlign w:val="center"/>
          </w:tcPr>
          <w:p>
            <w:pPr>
              <w:spacing w:before="0" w:after="0" w:line="252" w:lineRule="auto"/>
            </w:pPr>
            <w:r>
              <w:rPr>
                <w:rFonts w:ascii="Calibri" w:hAnsi="Calibri"/>
                <w:color w:val="000000"/>
                <w:sz w:val="16"/>
              </w:rPr>
              <w:t>Real CRM/webhook/connectors and optional vector/agent runtime</w:t>
            </w:r>
          </w:p>
        </w:tc>
        <w:tc>
          <w:tcPr>
            <w:tcW w:type="dxa" w:w="4060"/>
            <w:tcMar>
              <w:top w:w="80" w:type="dxa"/>
              <w:start w:w="120" w:type="dxa"/>
              <w:bottom w:w="80" w:type="dxa"/>
              <w:end w:w="120" w:type="dxa"/>
            </w:tcMar>
            <w:vAlign w:val="center"/>
          </w:tcPr>
          <w:p>
            <w:pPr>
              <w:spacing w:before="0" w:after="0" w:line="252" w:lineRule="auto"/>
            </w:pPr>
            <w:r>
              <w:rPr>
                <w:rFonts w:ascii="Calibri" w:hAnsi="Calibri"/>
                <w:color w:val="000000"/>
                <w:sz w:val="16"/>
              </w:rPr>
              <w:t>Add only after trust, workflow and controls are proven.</w:t>
            </w:r>
          </w:p>
        </w:tc>
      </w:tr>
    </w:tbl>
    <w:p>
      <w:pPr>
        <w:spacing w:after="40"/>
      </w:pPr>
    </w:p>
    <w:p>
      <w:pPr>
        <w:pStyle w:val="Heading1"/>
        <w:keepNext/>
        <w:keepLines/>
      </w:pPr>
      <w:r>
        <w:t>13. Prototype and production release gates</w:t>
      </w:r>
    </w:p>
    <w:p>
      <w:pPr>
        <w:pStyle w:val="Heading2"/>
        <w:keepNext/>
        <w:keepLines/>
      </w:pPr>
      <w:r>
        <w:t>Working prototype gate</w:t>
      </w:r>
    </w:p>
    <w:p>
      <w:pPr>
        <w:pStyle w:val="ListBullet"/>
        <w:keepLines/>
      </w:pPr>
      <w:r>
        <w:t>Desktop and mobile flows work; all synthetic data is visibly marked; no invented personal data is exposed as verified.</w:t>
      </w:r>
    </w:p>
    <w:p>
      <w:pPr>
        <w:pStyle w:val="ListBullet"/>
        <w:keepLines/>
      </w:pPr>
      <w:r>
        <w:t>At least ten buyer accounts have traceable source evidence, checked dates, confidence and reviewer decisions.</w:t>
      </w:r>
    </w:p>
    <w:p>
      <w:pPr>
        <w:pStyle w:val="ListBullet"/>
        <w:keepLines/>
      </w:pPr>
      <w:r>
        <w:t>Scoring is derived from facts and can explain missing evidence; fixed rank constants are removed.</w:t>
      </w:r>
    </w:p>
    <w:p>
      <w:pPr>
        <w:pStyle w:val="ListBullet"/>
        <w:keepLines/>
      </w:pPr>
      <w:r>
        <w:t>One exporter can complete onboarding, shortlist, sample/outreach, quote and outcome tracking.</w:t>
      </w:r>
    </w:p>
    <w:p>
      <w:pPr>
        <w:pStyle w:val="ListBullet"/>
        <w:keepLines/>
      </w:pPr>
      <w:r>
        <w:t>Automated tests run against disposable data; frontend interaction/responsive/accessibility tests cover the critical journey.</w:t>
      </w:r>
    </w:p>
    <w:p>
      <w:pPr>
        <w:pStyle w:val="Heading2"/>
        <w:keepNext/>
        <w:keepLines/>
      </w:pPr>
      <w:r>
        <w:t>Paid pilot gate</w:t>
      </w:r>
    </w:p>
    <w:p>
      <w:pPr>
        <w:pStyle w:val="ListBullet"/>
        <w:keepLines/>
      </w:pPr>
      <w:r>
        <w:t>Real authentication and tenant isolation; production secrets; private database; backups and restore test.</w:t>
      </w:r>
    </w:p>
    <w:p>
      <w:pPr>
        <w:pStyle w:val="ListBullet"/>
        <w:keepLines/>
      </w:pPr>
      <w:r>
        <w:t>Customer contract, privacy notice/DPA, source rights, disclaimers, correction/opt-out and support contact.</w:t>
      </w:r>
    </w:p>
    <w:p>
      <w:pPr>
        <w:pStyle w:val="ListBullet"/>
        <w:keepLines/>
      </w:pPr>
      <w:r>
        <w:t>Monitoring and incident runbook; job status/retries; customer-visible data freshness and limitations.</w:t>
      </w:r>
    </w:p>
    <w:p>
      <w:pPr>
        <w:pStyle w:val="ListBullet"/>
        <w:keepLines/>
      </w:pPr>
      <w:r>
        <w:t>Customer-defined success metric and weekly outcome review; no promise of a purchase order.</w:t>
      </w:r>
    </w:p>
    <w:p>
      <w:pPr>
        <w:pStyle w:val="Heading2"/>
        <w:keepNext/>
        <w:keepLines/>
      </w:pPr>
      <w:r>
        <w:t>Production SaaS gate</w:t>
      </w:r>
    </w:p>
    <w:p>
      <w:pPr>
        <w:pStyle w:val="ListBullet"/>
        <w:keepLines/>
      </w:pPr>
      <w:r>
        <w:t>Staging/prod CI/CD with migrations/rollback, security scans, SBOM, load tests and release approval.</w:t>
      </w:r>
    </w:p>
    <w:p>
      <w:pPr>
        <w:pStyle w:val="ListBullet"/>
        <w:keepLines/>
      </w:pPr>
      <w:r>
        <w:t>Multiple tenant isolation tests, RBAC matrix, audit export, support/admin controls and entitlement/billing.</w:t>
      </w:r>
    </w:p>
    <w:p>
      <w:pPr>
        <w:pStyle w:val="ListBullet"/>
        <w:keepLines/>
      </w:pPr>
      <w:r>
        <w:t>Licensed/authorised live sources and integration contract tests; quality/freshness SLAs; dead-letter operations.</w:t>
      </w:r>
    </w:p>
    <w:p>
      <w:pPr>
        <w:pStyle w:val="ListBullet"/>
        <w:keepLines/>
      </w:pPr>
      <w:r>
        <w:t>SLOs, alerting, on-call, backup/PITR, DR exercise, incident response and customer communication process.</w:t>
      </w:r>
    </w:p>
    <w:p>
      <w:pPr>
        <w:pStyle w:val="Heading2"/>
        <w:keepNext/>
        <w:keepLines/>
      </w:pPr>
      <w:r>
        <w:t>Enterprise gate</w:t>
      </w:r>
    </w:p>
    <w:p>
      <w:pPr>
        <w:pStyle w:val="ListBullet"/>
        <w:keepLines/>
      </w:pPr>
      <w:r>
        <w:t>SSO/SAML/OIDC, SCIM if required, fine-grained roles, support access controls and customer-managed retention/export.</w:t>
      </w:r>
    </w:p>
    <w:p>
      <w:pPr>
        <w:pStyle w:val="ListBullet"/>
        <w:keepLines/>
      </w:pPr>
      <w:r>
        <w:t>Independent penetration test, risk register, vulnerability remediation SLA, subprocessors and DPA/SLA.</w:t>
      </w:r>
    </w:p>
    <w:p>
      <w:pPr>
        <w:pStyle w:val="ListBullet"/>
        <w:keepLines/>
      </w:pPr>
      <w:r>
        <w:t>Documented RTO/RPO with passed restore/DR exercise, capacity plan and high-availability design.</w:t>
      </w:r>
    </w:p>
    <w:p>
      <w:pPr>
        <w:pStyle w:val="ListBullet"/>
        <w:keepLines/>
      </w:pPr>
      <w:r>
        <w:t>Evidence of real integrations, reference customer, data licence, product/security architecture pack and procurement responses.</w:t>
      </w:r>
    </w:p>
    <w:p>
      <w:pPr>
        <w:pStyle w:val="Heading1"/>
        <w:keepNext/>
        <w:keepLines/>
      </w:pPr>
      <w:r>
        <w:t>Sources and assessment limitations</w:t>
      </w:r>
    </w:p>
    <w:p>
      <w:pPr/>
      <w:r>
        <w:t>Repository evidence included the current source tree, database schemas, seed scripts, test suite, build configuration, production compose file, internal plans, and a live browser review of all five product views. No claim in this report should be treated as legal, tax, customs, or regulatory advice.</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cantSplit/>
        </w:trPr>
        <w:tc>
          <w:tcPr>
            <w:tcW w:type="dxa" w:w="18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Source</w:t>
            </w:r>
          </w:p>
        </w:tc>
        <w:tc>
          <w:tcPr>
            <w:tcW w:type="dxa" w:w="33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Why it matters</w:t>
            </w:r>
          </w:p>
        </w:tc>
        <w:tc>
          <w:tcPr>
            <w:tcW w:type="dxa" w:w="42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Official URL</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DGFT - IEC</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000000"/>
                <w:sz w:val="16"/>
              </w:rPr>
              <w:t>IEC is mandatory for most export/import activity and requires online maintenance.</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6"/>
              </w:rPr>
              <w:t>https://content.dgft.gov.in/Website/dgftprod/c5ccbcbf-d61e-4279-abe7-ce2c6c99d62d/FTP%20Chapter%202%20updated%20as%20on%2031032021.pdf</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ICEGATE - AD code</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000000"/>
                <w:sz w:val="16"/>
              </w:rPr>
              <w:t>Bank and AD code registration workflow for foreign remittance and export incentives.</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6"/>
              </w:rPr>
              <w:t>https://www.icegate.gov.in/guidelines/ad-code-bank-account-registration-advisory</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CBIC GST</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000000"/>
                <w:sz w:val="16"/>
              </w:rPr>
              <w:t>Exports are zero-rated; invoice, LUT/bond, refund, and shipping-bill processes matter.</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6"/>
              </w:rPr>
              <w:t>https://cbic-gst.gov.in/hindi/sectoral-faq.html</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DGFT - eBRC</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000000"/>
                <w:sz w:val="16"/>
              </w:rPr>
              <w:t>Enhanced eBRC uses bank IRMs and exporter self-certification workflows.</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6"/>
              </w:rPr>
              <w:t>https://content.dgft.gov.in/Website/Self_Certification_of_eBRC.pdf</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Council for Leather Exports</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000000"/>
                <w:sz w:val="16"/>
              </w:rPr>
              <w:t>CLE membership/RCMC and sector services are relevant to leather exporters.</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6"/>
              </w:rPr>
              <w:t>https://leatherindia.org/online-issuance-of-rcmc-2/</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MeitY - DPDP Rules 2025</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000000"/>
                <w:sz w:val="16"/>
              </w:rPr>
              <w:t>India's data protection rules are phased and relevant to personal/contact data handling.</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6"/>
              </w:rPr>
              <w:t>https://www.meity.gov.in/static/uploads/2025/11/53450e6e5dc0bfa85ebd78686cadad39.pdf</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European Commission - EUDR update</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000000"/>
                <w:sz w:val="16"/>
              </w:rPr>
              <w:t>13 July 2026 measure removes cattle hides, skins, and leather from scope, subject to EU scrutiny.</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6"/>
              </w:rPr>
              <w:t>https://environment.ec.europa.eu/news/commission-updates-product-scope-and-tools-support-eudr-2026-07-13_en</w:t>
            </w:r>
          </w:p>
        </w:tc>
      </w:tr>
    </w:tbl>
    <w:p>
      <w:pPr>
        <w:spacing w:after="40"/>
      </w:pPr>
    </w:p>
    <w:p>
      <w:pPr>
        <w:spacing w:before="120" w:after="200" w:line="264" w:lineRule="auto"/>
        <w:ind w:left="115" w:right="115"/>
        <w:shd w:fill="EAF7F1"/>
        <w:keepLines/>
        <w:pBdr>
          <w:top w:val="single" w:sz="6" w:space="5" w:color="B7E0CD"/>
          <w:left w:val="single" w:sz="6" w:space="5" w:color="B7E0CD"/>
          <w:bottom w:val="single" w:sz="6" w:space="5" w:color="B7E0CD"/>
          <w:right w:val="single" w:sz="6" w:space="5" w:color="B7E0CD"/>
        </w:pBdr>
      </w:pPr>
      <w:r>
        <w:rPr>
          <w:rFonts w:ascii="Calibri" w:hAnsi="Calibri"/>
          <w:b/>
          <w:color w:val="1F6D4A"/>
          <w:sz w:val="21"/>
        </w:rPr>
        <w:t xml:space="preserve">Final technical verdict: </w:t>
      </w:r>
      <w:r>
        <w:rPr>
          <w:rFonts w:ascii="Calibri" w:hAnsi="Calibri"/>
          <w:color w:val="000000"/>
          <w:sz w:val="21"/>
        </w:rPr>
        <w:t>Do not rewrite the platform into microservices. Refactor the existing modular monolith around trustworthy evidence, secure tenancy, durable jobs and the India export order journey. Once those foundations work for several paying pilots, vector search and agent orchestration can be reintroduced where measured outcomes justify them.</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7085"/>
        <w:sz w:val="17"/>
      </w:rPr>
      <w:t xml:space="preserve">Trade OS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Technical Readiness and Architecture Assessment</w:t>
    </w:r>
    <w:r>
      <w:rPr>
        <w:rFonts w:ascii="Calibri" w:hAnsi="Calibri"/>
        <w:color w:val="667085"/>
        <w:sz w:val="17"/>
      </w:rPr>
      <w:t xml:space="preserve">  |  Independent assessment  |  28 August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40" w:lineRule="auto"/>
    </w:pPr>
    <w:rPr>
      <w:rFonts w:ascii="Calibri" w:hAnsi="Calibr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