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60"/>
        <w:jc w:val="center"/>
      </w:pPr>
      <w:r>
        <w:rPr>
          <w:rFonts w:ascii="Calibri" w:hAnsi="Calibri"/>
          <w:b/>
          <w:color w:val="7A5A00"/>
          <w:sz w:val="20"/>
        </w:rPr>
        <w:t>TRADE OS COMMERCIAL ASSESSMENT</w:t>
      </w:r>
    </w:p>
    <w:p>
      <w:pPr>
        <w:keepNext/>
        <w:keepLines/>
        <w:spacing w:after="200"/>
        <w:jc w:val="center"/>
      </w:pPr>
      <w:r>
        <w:rPr>
          <w:rFonts w:ascii="Calibri" w:hAnsi="Calibri"/>
          <w:b/>
          <w:color w:val="0B2545"/>
          <w:sz w:val="58"/>
        </w:rPr>
        <w:t>Business Readiness, India Fit, and Sale Strategy</w:t>
      </w:r>
    </w:p>
    <w:p>
      <w:pPr>
        <w:spacing w:after="560"/>
        <w:jc w:val="center"/>
      </w:pPr>
      <w:r>
        <w:rPr>
          <w:rFonts w:ascii="Calibri" w:hAnsi="Calibri"/>
          <w:color w:val="1F4D78"/>
          <w:sz w:val="28"/>
        </w:rPr>
        <w:t>What is built, what is missing, how Indian exporters will use it, and the path from prototype to a sellable platform</w:t>
      </w:r>
    </w:p>
    <w:p>
      <w:pPr>
        <w:spacing w:after="80"/>
        <w:jc w:val="center"/>
      </w:pPr>
      <w:r>
        <w:rPr>
          <w:rFonts w:ascii="Calibri" w:hAnsi="Calibri"/>
          <w:b/>
          <w:color w:val="667085"/>
          <w:sz w:val="21"/>
        </w:rPr>
        <w:t>Assessment date: 28 August 2026</w:t>
      </w:r>
    </w:p>
    <w:p>
      <w:pPr>
        <w:spacing w:after="800"/>
        <w:jc w:val="center"/>
      </w:pPr>
      <w:r>
        <w:rPr>
          <w:rFonts w:ascii="Calibri" w:hAnsi="Calibri"/>
          <w:i/>
          <w:color w:val="667085"/>
          <w:sz w:val="21"/>
        </w:rPr>
        <w:t>For the founder, commercial partners, pilot customers, and potential investors or acquirers</w:t>
      </w:r>
    </w:p>
    <w:p>
      <w:pPr>
        <w:spacing w:before="120" w:after="200" w:line="264" w:lineRule="auto"/>
        <w:ind w:left="115" w:right="115"/>
        <w:shd w:fill="FFF7E0"/>
        <w:keepLines/>
        <w:pBdr>
          <w:top w:val="single" w:sz="6" w:space="5" w:color="E6CE7A"/>
          <w:left w:val="single" w:sz="6" w:space="5" w:color="E6CE7A"/>
          <w:bottom w:val="single" w:sz="6" w:space="5" w:color="E6CE7A"/>
          <w:right w:val="single" w:sz="6" w:space="5" w:color="E6CE7A"/>
        </w:pBdr>
      </w:pPr>
      <w:r>
        <w:rPr>
          <w:rFonts w:ascii="Calibri" w:hAnsi="Calibri"/>
          <w:b/>
          <w:color w:val="7A5A00"/>
          <w:sz w:val="21"/>
        </w:rPr>
        <w:t xml:space="preserve">Bottom line: </w:t>
      </w:r>
      <w:r>
        <w:rPr>
          <w:rFonts w:ascii="Calibri" w:hAnsi="Calibri"/>
          <w:color w:val="000000"/>
          <w:sz w:val="21"/>
        </w:rPr>
        <w:t>Trade OS is a credible desktop demonstration and can be sold as a founder-led, managed pilot. It is not ready to be sold as a self-service SaaS or enterprise platform. The fastest path is to reduce claims, verify the data, simplify the workflow, and build India-specific export execution before adding more AI features.</w:t>
      </w:r>
    </w:p>
    <w:p>
      <w:pPr>
        <w:spacing w:before="840"/>
        <w:jc w:val="center"/>
      </w:pPr>
      <w:r>
        <w:rPr>
          <w:rFonts w:ascii="Calibri" w:hAnsi="Calibri"/>
          <w:color w:val="667085"/>
          <w:sz w:val="18"/>
        </w:rPr>
        <w:t>Prepared from repository inspection, automated checks, live UI review, and current official guidance.</w:t>
      </w:r>
    </w:p>
    <w:p>
      <w:r>
        <w:br w:type="page"/>
      </w:r>
    </w:p>
    <w:p>
      <w:pPr>
        <w:pStyle w:val="Heading1"/>
        <w:keepNext/>
        <w:keepLines/>
      </w:pPr>
      <w:r>
        <w:t>Contents and reading path</w:t>
      </w:r>
    </w:p>
    <w:p>
      <w:pPr/>
      <w:r>
        <w:t>The report is structured for decision-making. Start with the verdict and readiness scores, then use the architecture, roadmap, and release gates as an action plan.</w:t>
      </w:r>
    </w:p>
    <w:p>
      <w:pPr>
        <w:pStyle w:val="ListNumber"/>
        <w:keepLines/>
        <w:numPr>
          <w:ilvl w:val="0"/>
          <w:numId w:val="10"/>
        </w:numPr>
      </w:pPr>
      <w:r>
        <w:t>Executive verdict and readiness scores</w:t>
      </w:r>
    </w:p>
    <w:p>
      <w:pPr>
        <w:pStyle w:val="ListNumber"/>
        <w:keepLines/>
        <w:numPr>
          <w:ilvl w:val="0"/>
          <w:numId w:val="10"/>
        </w:numPr>
      </w:pPr>
      <w:r>
        <w:t>What Trade OS is today</w:t>
      </w:r>
    </w:p>
    <w:p>
      <w:pPr>
        <w:pStyle w:val="ListNumber"/>
        <w:keepLines/>
        <w:numPr>
          <w:ilvl w:val="0"/>
          <w:numId w:val="10"/>
        </w:numPr>
      </w:pPr>
      <w:r>
        <w:t>How much is genuinely complete</w:t>
      </w:r>
    </w:p>
    <w:p>
      <w:pPr>
        <w:pStyle w:val="ListNumber"/>
        <w:keepLines/>
        <w:numPr>
          <w:ilvl w:val="0"/>
          <w:numId w:val="10"/>
        </w:numPr>
      </w:pPr>
      <w:r>
        <w:t>Business architecture and operating model</w:t>
      </w:r>
    </w:p>
    <w:p>
      <w:pPr>
        <w:pStyle w:val="ListNumber"/>
        <w:keepLines/>
        <w:numPr>
          <w:ilvl w:val="0"/>
          <w:numId w:val="10"/>
        </w:numPr>
      </w:pPr>
      <w:r>
        <w:t>End-to-end export process for Indian businesses</w:t>
      </w:r>
    </w:p>
    <w:p>
      <w:pPr>
        <w:pStyle w:val="ListNumber"/>
        <w:keepLines/>
        <w:numPr>
          <w:ilvl w:val="0"/>
          <w:numId w:val="10"/>
        </w:numPr>
      </w:pPr>
      <w:r>
        <w:t>Usability for an Indian business owner</w:t>
      </w:r>
    </w:p>
    <w:p>
      <w:pPr>
        <w:pStyle w:val="ListNumber"/>
        <w:keepLines/>
        <w:numPr>
          <w:ilvl w:val="0"/>
          <w:numId w:val="10"/>
        </w:numPr>
      </w:pPr>
      <w:r>
        <w:t>India-market product requirements</w:t>
      </w:r>
    </w:p>
    <w:p>
      <w:pPr>
        <w:pStyle w:val="ListNumber"/>
        <w:keepLines/>
        <w:numPr>
          <w:ilvl w:val="0"/>
          <w:numId w:val="10"/>
        </w:numPr>
      </w:pPr>
      <w:r>
        <w:t>Feasibility and business risks</w:t>
      </w:r>
    </w:p>
    <w:p>
      <w:pPr>
        <w:pStyle w:val="ListNumber"/>
        <w:keepLines/>
        <w:numPr>
          <w:ilvl w:val="0"/>
          <w:numId w:val="10"/>
        </w:numPr>
      </w:pPr>
      <w:r>
        <w:t>Commercial offer and sales positioning</w:t>
      </w:r>
    </w:p>
    <w:p>
      <w:pPr>
        <w:pStyle w:val="ListNumber"/>
        <w:keepLines/>
        <w:numPr>
          <w:ilvl w:val="0"/>
          <w:numId w:val="10"/>
        </w:numPr>
      </w:pPr>
      <w:r>
        <w:t>Roadmap, stages, and release gates</w:t>
      </w:r>
    </w:p>
    <w:p>
      <w:pPr>
        <w:pStyle w:val="ListNumber"/>
        <w:keepLines/>
        <w:numPr>
          <w:ilvl w:val="0"/>
          <w:numId w:val="10"/>
        </w:numPr>
      </w:pPr>
      <w:r>
        <w:t>KPIs, diligence, and founder checklist</w:t>
      </w:r>
    </w:p>
    <w:p>
      <w:pPr>
        <w:pStyle w:val="Heading1"/>
        <w:keepNext/>
        <w:keepLines/>
      </w:pPr>
      <w:r>
        <w:t>1. Executive verdict and readiness scores</w:t>
      </w:r>
    </w:p>
    <w:p>
      <w:pPr>
        <w:spacing w:before="120" w:after="200" w:line="264" w:lineRule="auto"/>
        <w:ind w:left="115" w:right="115"/>
        <w:shd w:fill="EAF7F1"/>
        <w:keepLines/>
        <w:pBdr>
          <w:top w:val="single" w:sz="6" w:space="5" w:color="B7E0CD"/>
          <w:left w:val="single" w:sz="6" w:space="5" w:color="B7E0CD"/>
          <w:bottom w:val="single" w:sz="6" w:space="5" w:color="B7E0CD"/>
          <w:right w:val="single" w:sz="6" w:space="5" w:color="B7E0CD"/>
        </w:pBdr>
      </w:pPr>
      <w:r>
        <w:rPr>
          <w:rFonts w:ascii="Calibri" w:hAnsi="Calibri"/>
          <w:b/>
          <w:color w:val="1F6D4A"/>
          <w:sz w:val="21"/>
        </w:rPr>
        <w:t xml:space="preserve">Recommended decision: </w:t>
      </w:r>
      <w:r>
        <w:rPr>
          <w:rFonts w:ascii="Calibri" w:hAnsi="Calibri"/>
          <w:color w:val="000000"/>
          <w:sz w:val="21"/>
        </w:rPr>
        <w:t>Sell a 30-day concierge pilot with manually verified deliverables. Do not sell unlimited software access, 'real-time customs intelligence,' or 'verified AI buyer data' yet.</w:t>
      </w:r>
    </w:p>
    <w:p>
      <w:pPr/>
      <w:r>
        <w:t>The current product looks polished and demonstrates a compelling idea: match an Indian exporter to likely European buyers, explain the fit, surface compliance and freight context, and prepare outreach. The value proposition is commercially understandable. The implementation underneath it, however, is still mostly seeded, deterministic, and single-customer.</w:t>
      </w:r>
    </w:p>
    <w:tbl>
      <w:tblPr>
        <w:tblStyle w:val="TableGrid"/>
        <w:tblW w:type="dxa" w:w="9360"/>
        <w:jc w:val="left"/>
        <w:tblLayout w:type="fixed"/>
        <w:tblLook w:firstColumn="1" w:firstRow="1" w:lastColumn="0" w:lastRow="0" w:noHBand="0" w:noVBand="1" w:val="04A0"/>
        <w:tblInd w:w="120" w:type="dxa"/>
      </w:tblPr>
      <w:tblGrid>
        <w:gridCol w:w="2200"/>
        <w:gridCol w:w="1200"/>
        <w:gridCol w:w="5960"/>
      </w:tblGrid>
      <w:tr>
        <w:trPr>
          <w:tblHeader w:val="true"/>
          <w:cantSplit/>
        </w:trPr>
        <w:tc>
          <w:tcPr>
            <w:tcW w:type="dxa" w:w="2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Readiness lens</w:t>
            </w:r>
          </w:p>
        </w:tc>
        <w:tc>
          <w:tcPr>
            <w:tcW w:type="dxa" w:w="1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Estimate</w:t>
            </w:r>
          </w:p>
        </w:tc>
        <w:tc>
          <w:tcPr>
            <w:tcW w:type="dxa" w:w="59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What it means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Desktop demo prototype</w:t>
            </w:r>
          </w:p>
        </w:tc>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72/100</w:t>
            </w:r>
          </w:p>
        </w:tc>
        <w:tc>
          <w:tcPr>
            <w:tcW w:type="dxa" w:w="5960"/>
            <w:tcMar>
              <w:top w:w="80" w:type="dxa"/>
              <w:start w:w="120" w:type="dxa"/>
              <w:bottom w:w="80" w:type="dxa"/>
              <w:end w:w="120" w:type="dxa"/>
            </w:tcMar>
            <w:vAlign w:val="center"/>
          </w:tcPr>
          <w:p>
            <w:pPr>
              <w:spacing w:before="0" w:after="0" w:line="252" w:lineRule="auto"/>
            </w:pPr>
            <w:r>
              <w:rPr>
                <w:rFonts w:ascii="Calibri" w:hAnsi="Calibri"/>
                <w:color w:val="000000"/>
                <w:sz w:val="18"/>
              </w:rPr>
              <w:t>Five coherent screens, working APIs, a production frontend build, and a populated local database. Claims and evidence need correction.</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Paid managed pilot</w:t>
            </w:r>
          </w:p>
        </w:tc>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45/100</w:t>
            </w:r>
          </w:p>
        </w:tc>
        <w:tc>
          <w:tcPr>
            <w:tcW w:type="dxa" w:w="5960"/>
            <w:tcMar>
              <w:top w:w="80" w:type="dxa"/>
              <w:start w:w="120" w:type="dxa"/>
              <w:bottom w:w="80" w:type="dxa"/>
              <w:end w:w="120" w:type="dxa"/>
            </w:tcMar>
            <w:vAlign w:val="center"/>
          </w:tcPr>
          <w:p>
            <w:pPr>
              <w:spacing w:before="0" w:after="0" w:line="252" w:lineRule="auto"/>
            </w:pPr>
            <w:r>
              <w:rPr>
                <w:rFonts w:ascii="Calibri" w:hAnsi="Calibri"/>
                <w:color w:val="000000"/>
                <w:sz w:val="18"/>
              </w:rPr>
              <w:t>Feasible if the founder/analyst verifies buyers, contacts, sources, pricing, and outputs before the customer sees them.</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Self-serve SaaS</w:t>
            </w:r>
          </w:p>
        </w:tc>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28/100</w:t>
            </w:r>
          </w:p>
        </w:tc>
        <w:tc>
          <w:tcPr>
            <w:tcW w:type="dxa" w:w="5960"/>
            <w:tcMar>
              <w:top w:w="80" w:type="dxa"/>
              <w:start w:w="120" w:type="dxa"/>
              <w:bottom w:w="80" w:type="dxa"/>
              <w:end w:w="120" w:type="dxa"/>
            </w:tcMar>
            <w:vAlign w:val="center"/>
          </w:tcPr>
          <w:p>
            <w:pPr>
              <w:spacing w:before="0" w:after="0" w:line="252" w:lineRule="auto"/>
            </w:pPr>
            <w:r>
              <w:rPr>
                <w:rFonts w:ascii="Calibri" w:hAnsi="Calibri"/>
                <w:color w:val="000000"/>
                <w:sz w:val="18"/>
              </w:rPr>
              <w:t>Missing secure accounts, tenant isolation, real connectors, onboarding, billing, mobile UX, support, and reliable job automation.</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Enterprise sale</w:t>
            </w:r>
          </w:p>
        </w:tc>
        <w:tc>
          <w:tcPr>
            <w:tcW w:type="dxa" w:w="1200"/>
            <w:tcMar>
              <w:top w:w="80" w:type="dxa"/>
              <w:start w:w="120" w:type="dxa"/>
              <w:bottom w:w="80" w:type="dxa"/>
              <w:end w:w="120" w:type="dxa"/>
            </w:tcMar>
            <w:vAlign w:val="center"/>
          </w:tcPr>
          <w:p>
            <w:pPr>
              <w:spacing w:before="0" w:after="0" w:line="252" w:lineRule="auto"/>
            </w:pPr>
            <w:r>
              <w:rPr>
                <w:rFonts w:ascii="Calibri" w:hAnsi="Calibri"/>
                <w:color w:val="000000"/>
                <w:sz w:val="18"/>
              </w:rPr>
              <w:t>15/100</w:t>
            </w:r>
          </w:p>
        </w:tc>
        <w:tc>
          <w:tcPr>
            <w:tcW w:type="dxa" w:w="5960"/>
            <w:tcMar>
              <w:top w:w="80" w:type="dxa"/>
              <w:start w:w="120" w:type="dxa"/>
              <w:bottom w:w="80" w:type="dxa"/>
              <w:end w:w="120" w:type="dxa"/>
            </w:tcMar>
            <w:vAlign w:val="center"/>
          </w:tcPr>
          <w:p>
            <w:pPr>
              <w:spacing w:before="0" w:after="0" w:line="252" w:lineRule="auto"/>
            </w:pPr>
            <w:r>
              <w:rPr>
                <w:rFonts w:ascii="Calibri" w:hAnsi="Calibri"/>
                <w:color w:val="000000"/>
                <w:sz w:val="18"/>
              </w:rPr>
              <w:t>Missing SSO/RBAC, security assurance, SLAs, DPA, audit controls, backups/DR, licensed data, integration proof, and procurement materials.</w:t>
            </w:r>
          </w:p>
        </w:tc>
      </w:tr>
    </w:tbl>
    <w:p>
      <w:pPr>
        <w:spacing w:after="40"/>
      </w:pPr>
    </w:p>
    <w:p>
      <w:pPr>
        <w:pStyle w:val="SmallNote"/>
      </w:pPr>
      <w:r>
        <w:t>These percentages are directional readiness estimates, not engineering completion claims. The repository's 'DONE' labels measure whether a named module exists, not whether the module meets a commercial definition of done.</w:t>
      </w:r>
    </w:p>
    <w:p>
      <w:pPr>
        <w:pStyle w:val="Heading2"/>
        <w:keepNext/>
        <w:keepLines/>
      </w:pPr>
      <w:r>
        <w:t>Critical findings</w:t>
      </w:r>
    </w:p>
    <w:p>
      <w:pPr>
        <w:pStyle w:val="ListBullet"/>
        <w:keepLines/>
      </w:pPr>
      <w:r>
        <w:t>Trust is the number-one blocker. Generated contacts are marked 'verified,' sample bills of lading are presented as verified customs records, and fixed values are labelled live or real-time.</w:t>
      </w:r>
    </w:p>
    <w:p>
      <w:pPr>
        <w:pStyle w:val="ListBullet"/>
        <w:keepLines/>
      </w:pPr>
      <w:r>
        <w:t>The core EUDR leather promise is strategically unstable. On 13 July 2026 the European Commission adopted a product-scope measure removing cattle hides, skins, and leather, subject to EU scrutiny. The current interface still presents EUDR as the primary commercial clearance gate.</w:t>
      </w:r>
    </w:p>
    <w:p>
      <w:pPr>
        <w:pStyle w:val="ListBullet"/>
        <w:keepLines/>
      </w:pPr>
      <w:r>
        <w:t>The app is single-exporter and desktop-only. It has no organisation onboarding, user accounts, role permissions, subscription controls, or tenant-separated data.</w:t>
      </w:r>
    </w:p>
    <w:p>
      <w:pPr>
        <w:pStyle w:val="ListBullet"/>
        <w:keepLines/>
      </w:pPr>
      <w:r>
        <w:t>The Indian exporter workflow is incomplete. IEC, GSTIN, ICEGATE, AD code, RCMC, LUT, shipping bill, eBRC, RoDTEP/drawback, documents, payment collection, and bank/CHA collaboration are not managed.</w:t>
      </w:r>
    </w:p>
    <w:p>
      <w:pPr>
        <w:pStyle w:val="ListBullet"/>
        <w:keepLines/>
      </w:pPr>
      <w:r>
        <w:t>The user experience is visually good on desktop but too technical for an SME owner. A 390-pixel mobile review showed severe horizontal overflow and an unusable layout.</w:t>
      </w:r>
    </w:p>
    <w:p>
      <w:pPr>
        <w:pStyle w:val="ListBullet"/>
        <w:keepLines/>
      </w:pPr>
      <w:r>
        <w:t>The product has no proven outcome loop. It does not measure replies, sample requests, quotations, orders, shipment value, margin, or renewal value.</w:t>
      </w:r>
    </w:p>
    <w:p>
      <w:pPr>
        <w:pStyle w:val="Heading1"/>
        <w:keepNext/>
        <w:keepLines/>
      </w:pPr>
      <w:r>
        <w:t>2. What Trade OS is today</w:t>
      </w:r>
    </w:p>
    <w:p>
      <w:pPr/>
      <w:r>
        <w:t>Trade OS is best described as a vertical market-intelligence demonstration for an Indian leather exporter. It combines a buyer list, a five-driver match score, compliance cards, route economics, seeded customs records, outreach templates, and management KPIs.</w:t>
      </w:r>
    </w:p>
    <w:p>
      <w:pPr>
        <w:pStyle w:val="Heading2"/>
        <w:keepNext/>
        <w:keepLines/>
      </w:pPr>
      <w:r>
        <w:t>Current user-facing product</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trPr>
        <w:tc>
          <w:tcPr>
            <w:tcW w:type="dxa" w:w="1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View</w:t>
            </w:r>
          </w:p>
        </w:tc>
        <w:tc>
          <w:tcPr>
            <w:tcW w:type="dxa" w:w="25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Customer promise</w:t>
            </w:r>
          </w:p>
        </w:tc>
        <w:tc>
          <w:tcPr>
            <w:tcW w:type="dxa" w:w="49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Current reality</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Buyer Match Portal</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8"/>
              </w:rPr>
              <w:t>Rank the best European buyers</w:t>
            </w:r>
          </w:p>
        </w:tc>
        <w:tc>
          <w:tcPr>
            <w:tcW w:type="dxa" w:w="4960"/>
            <w:tcMar>
              <w:top w:w="80" w:type="dxa"/>
              <w:start w:w="120" w:type="dxa"/>
              <w:bottom w:w="80" w:type="dxa"/>
              <w:end w:w="120" w:type="dxa"/>
            </w:tcMar>
            <w:vAlign w:val="center"/>
          </w:tcPr>
          <w:p>
            <w:pPr>
              <w:spacing w:before="0" w:after="0" w:line="252" w:lineRule="auto"/>
            </w:pPr>
            <w:r>
              <w:rPr>
                <w:rFonts w:ascii="Calibri" w:hAnsi="Calibri"/>
                <w:color w:val="000000"/>
                <w:sz w:val="18"/>
              </w:rPr>
              <w:t>Working UI and API, but scores are mostly fixed by rank and repeated after the fifth buyer.</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Live Market Signals</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8"/>
              </w:rPr>
              <w:t>Show fresh buying and regulatory events</w:t>
            </w:r>
          </w:p>
        </w:tc>
        <w:tc>
          <w:tcPr>
            <w:tcW w:type="dxa" w:w="4960"/>
            <w:tcMar>
              <w:top w:w="80" w:type="dxa"/>
              <w:start w:w="120" w:type="dxa"/>
              <w:bottom w:w="80" w:type="dxa"/>
              <w:end w:w="120" w:type="dxa"/>
            </w:tcMar>
            <w:vAlign w:val="center"/>
          </w:tcPr>
          <w:p>
            <w:pPr>
              <w:spacing w:before="0" w:after="0" w:line="252" w:lineRule="auto"/>
            </w:pPr>
            <w:r>
              <w:rPr>
                <w:rFonts w:ascii="Calibri" w:hAnsi="Calibri"/>
                <w:color w:val="000000"/>
                <w:sz w:val="18"/>
              </w:rPr>
              <w:t>Signals are generated seed records with repeated text and current timestamps, not independently sourced live evidence.</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Buyer Dossier and AI Sales</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8"/>
              </w:rPr>
              <w:t>Explain the buyer and draft outreach</w:t>
            </w:r>
          </w:p>
        </w:tc>
        <w:tc>
          <w:tcPr>
            <w:tcW w:type="dxa" w:w="4960"/>
            <w:tcMar>
              <w:top w:w="80" w:type="dxa"/>
              <w:start w:w="120" w:type="dxa"/>
              <w:bottom w:w="80" w:type="dxa"/>
              <w:end w:w="120" w:type="dxa"/>
            </w:tcMar>
            <w:vAlign w:val="center"/>
          </w:tcPr>
          <w:p>
            <w:pPr>
              <w:spacing w:before="0" w:after="0" w:line="252" w:lineRule="auto"/>
            </w:pPr>
            <w:r>
              <w:rPr>
                <w:rFonts w:ascii="Calibri" w:hAnsi="Calibri"/>
                <w:color w:val="000000"/>
                <w:sz w:val="18"/>
              </w:rPr>
              <w:t>Working dossier and deterministic templates; some direct contact data is seeded and labelled verified without proof.</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Ocean Shipment Radar</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8"/>
              </w:rPr>
              <w:t>Reveal purchase history and displacement opportunities</w:t>
            </w:r>
          </w:p>
        </w:tc>
        <w:tc>
          <w:tcPr>
            <w:tcW w:type="dxa" w:w="4960"/>
            <w:tcMar>
              <w:top w:w="80" w:type="dxa"/>
              <w:start w:w="120" w:type="dxa"/>
              <w:bottom w:w="80" w:type="dxa"/>
              <w:end w:w="120" w:type="dxa"/>
            </w:tcMar>
            <w:vAlign w:val="center"/>
          </w:tcPr>
          <w:p>
            <w:pPr>
              <w:spacing w:before="0" w:after="0" w:line="252" w:lineRule="auto"/>
            </w:pPr>
            <w:r>
              <w:rPr>
                <w:rFonts w:ascii="Calibri" w:hAnsi="Calibri"/>
                <w:color w:val="000000"/>
                <w:sz w:val="18"/>
              </w:rPr>
              <w:t>Five explicit sample BOL records. The UI calls them real-time and verified, which is not supportable.</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Revenue and KPI Cockpit</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8"/>
              </w:rPr>
              <w:t>Track pipeline and platform health</w:t>
            </w:r>
          </w:p>
        </w:tc>
        <w:tc>
          <w:tcPr>
            <w:tcW w:type="dxa" w:w="4960"/>
            <w:tcMar>
              <w:top w:w="80" w:type="dxa"/>
              <w:start w:w="120" w:type="dxa"/>
              <w:bottom w:w="80" w:type="dxa"/>
              <w:end w:w="120" w:type="dxa"/>
            </w:tcMar>
            <w:vAlign w:val="center"/>
          </w:tcPr>
          <w:p>
            <w:pPr>
              <w:spacing w:before="0" w:after="0" w:line="252" w:lineRule="auto"/>
            </w:pPr>
            <w:r>
              <w:rPr>
                <w:rFonts w:ascii="Calibri" w:hAnsi="Calibri"/>
                <w:color w:val="000000"/>
                <w:sz w:val="18"/>
              </w:rPr>
              <w:t>Counts database rows. 'Enterprise pipeline' is calculated as buyer count times USD 50 rather than actual deals.</w:t>
            </w:r>
          </w:p>
        </w:tc>
      </w:tr>
    </w:tbl>
    <w:p>
      <w:pPr>
        <w:spacing w:after="40"/>
      </w:pPr>
    </w:p>
    <w:p>
      <w:pPr>
        <w:pStyle w:val="Heading2"/>
        <w:keepNext/>
        <w:keepLines/>
      </w:pPr>
      <w:r>
        <w:t>What is genuinely strong</w:t>
      </w:r>
    </w:p>
    <w:p>
      <w:pPr>
        <w:pStyle w:val="ListBullet"/>
        <w:keepLines/>
      </w:pPr>
      <w:r>
        <w:t>A focused wedge: Indian leather and materials exporters selling into Europe.</w:t>
      </w:r>
    </w:p>
    <w:p>
      <w:pPr>
        <w:pStyle w:val="ListBullet"/>
        <w:keepLines/>
      </w:pPr>
      <w:r>
        <w:t>A clear action-oriented concept: buyer fit, trust evidence, next action, and outreach in one place.</w:t>
      </w:r>
    </w:p>
    <w:p>
      <w:pPr>
        <w:pStyle w:val="ListBullet"/>
        <w:keepLines/>
      </w:pPr>
      <w:r>
        <w:t>A polished desktop visual system that is much stronger than a generic scraper dashboard.</w:t>
      </w:r>
    </w:p>
    <w:p>
      <w:pPr>
        <w:pStyle w:val="ListBullet"/>
        <w:keepLines/>
      </w:pPr>
      <w:r>
        <w:t>An explainability-first intent: every match is supposed to carry drivers and evidence.</w:t>
      </w:r>
    </w:p>
    <w:p>
      <w:pPr>
        <w:pStyle w:val="ListBullet"/>
        <w:keepLines/>
      </w:pPr>
      <w:r>
        <w:t>A sensible modular-monolith foundation: React, FastAPI, repository/service separation, PostgreSQL, and structured schemas.</w:t>
      </w:r>
    </w:p>
    <w:p>
      <w:pPr>
        <w:pStyle w:val="ListBullet"/>
        <w:keepLines/>
      </w:pPr>
      <w:r>
        <w:t>A founder-led pilot can deliver value before full automation if verification is honest and manual work is priced into the offer.</w:t>
      </w:r>
    </w:p>
    <w:p>
      <w:pPr>
        <w:pStyle w:val="Heading1"/>
        <w:keepNext/>
        <w:keepLines/>
      </w:pPr>
      <w:r>
        <w:t>3. How much is genuinely complete</w:t>
      </w:r>
    </w:p>
    <w:tbl>
      <w:tblPr>
        <w:tblStyle w:val="TableGrid"/>
        <w:tblW w:type="dxa" w:w="9360"/>
        <w:jc w:val="left"/>
        <w:tblLayout w:type="fixed"/>
        <w:tblLook w:firstColumn="1" w:firstRow="1" w:lastColumn="0" w:lastRow="0" w:noHBand="0" w:noVBand="1" w:val="04A0"/>
        <w:tblInd w:w="120" w:type="dxa"/>
      </w:tblPr>
      <w:tblGrid>
        <w:gridCol w:w="2400"/>
        <w:gridCol w:w="1300"/>
        <w:gridCol w:w="1000"/>
        <w:gridCol w:w="4660"/>
      </w:tblGrid>
      <w:tr>
        <w:trPr>
          <w:tblHeader w:val="true"/>
          <w:cantSplit/>
        </w:trPr>
        <w:tc>
          <w:tcPr>
            <w:tcW w:type="dxa" w:w="24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Business capability</w:t>
            </w:r>
          </w:p>
        </w:tc>
        <w:tc>
          <w:tcPr>
            <w:tcW w:type="dxa" w:w="1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Status</w:t>
            </w:r>
          </w:p>
        </w:tc>
        <w:tc>
          <w:tcPr>
            <w:tcW w:type="dxa" w:w="10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Readiness</w:t>
            </w:r>
          </w:p>
        </w:tc>
        <w:tc>
          <w:tcPr>
            <w:tcW w:type="dxa" w:w="46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Gap to paid use</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Exporter profile</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Prototype</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70%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Single hard-coded exporter; needs onboarding, document upload, verification, and edits.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Buyer discovery</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Demo data</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30%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licensed/current source connector or analyst verification queue.</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Contact intelligence</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High risk</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15%</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Generated addresses/names are treated as verified. Add proof, freshness, bounce status, opt-out, and correction.</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Match scoring</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Stub logic</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25%</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Scores use rank-specific constants instead of product, certification, intent, and lane data.</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Compliance</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Static guidance</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30%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Useful presentation, but fixed values and outdated EUDR-led positioning.</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Freight economics</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Static benchmark</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30%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carrier quote, timestamped source, duty/tax, FX, insurance, margin, or quote validity.</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Outreach</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Working template</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55%</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Drafts are usable as a starting point; no approval-to-send, reply tracking, or channel integration.</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CRM/export</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Payload generation</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20%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Creates a JSON/CSV payload; does not create a HubSpot/Salesforce record.</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Customs intelligence</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Sample only</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10%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provider licence, ingestion connector, verification, or coverage statement.</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Multi-tenant SaaS</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Missing</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10%</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organisation, user, role, plan, tenant key, row-level isolation, or billing.</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India export execution</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Mostly missing</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15%</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IEC/GST/ICEGATE/AD/eBRC/RCMC or shipment/payment workflow.</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Operations and support</w:t>
            </w:r>
          </w:p>
        </w:tc>
        <w:tc>
          <w:tcPr>
            <w:tcW w:type="dxa" w:w="1300"/>
            <w:tcMar>
              <w:top w:w="80" w:type="dxa"/>
              <w:start w:w="120" w:type="dxa"/>
              <w:bottom w:w="80" w:type="dxa"/>
              <w:end w:w="120" w:type="dxa"/>
            </w:tcMar>
            <w:vAlign w:val="center"/>
          </w:tcPr>
          <w:p>
            <w:pPr>
              <w:spacing w:before="0" w:after="0" w:line="252" w:lineRule="auto"/>
            </w:pPr>
            <w:r>
              <w:rPr>
                <w:rFonts w:ascii="Calibri" w:hAnsi="Calibri"/>
                <w:color w:val="000000"/>
                <w:sz w:val="17"/>
              </w:rPr>
              <w:t>Early</w:t>
            </w:r>
          </w:p>
        </w:tc>
        <w:tc>
          <w:tcPr>
            <w:tcW w:type="dxa" w:w="1000"/>
            <w:tcMar>
              <w:top w:w="80" w:type="dxa"/>
              <w:start w:w="120" w:type="dxa"/>
              <w:bottom w:w="80" w:type="dxa"/>
              <w:end w:w="120" w:type="dxa"/>
            </w:tcMar>
            <w:vAlign w:val="center"/>
          </w:tcPr>
          <w:p>
            <w:pPr>
              <w:spacing w:before="0" w:after="0" w:line="252" w:lineRule="auto"/>
            </w:pPr>
            <w:r>
              <w:rPr>
                <w:rFonts w:ascii="Calibri" w:hAnsi="Calibri"/>
                <w:color w:val="000000"/>
                <w:sz w:val="17"/>
              </w:rPr>
              <w:t>25%</w:t>
            </w:r>
          </w:p>
        </w:tc>
        <w:tc>
          <w:tcPr>
            <w:tcW w:type="dxa" w:w="4660"/>
            <w:tcMar>
              <w:top w:w="80" w:type="dxa"/>
              <w:start w:w="120" w:type="dxa"/>
              <w:bottom w:w="80" w:type="dxa"/>
              <w:end w:w="120" w:type="dxa"/>
            </w:tcMar>
            <w:vAlign w:val="center"/>
          </w:tcPr>
          <w:p>
            <w:pPr>
              <w:spacing w:before="0" w:after="0" w:line="252" w:lineRule="auto"/>
            </w:pPr>
            <w:r>
              <w:rPr>
                <w:rFonts w:ascii="Calibri" w:hAnsi="Calibri"/>
                <w:color w:val="000000"/>
                <w:sz w:val="17"/>
              </w:rPr>
              <w:t>No production runbook, alerting, backups, DR, SLA, support desk, or customer admin.</w:t>
            </w:r>
          </w:p>
        </w:tc>
      </w:tr>
    </w:tbl>
    <w:p>
      <w:pPr>
        <w:spacing w:after="40"/>
      </w:pPr>
    </w:p>
    <w:p>
      <w:pPr>
        <w:spacing w:before="120" w:after="200" w:line="264" w:lineRule="auto"/>
        <w:ind w:left="115" w:right="115"/>
        <w:shd w:fill="F4F6F9"/>
        <w:keepLines/>
        <w:pBdr>
          <w:top w:val="single" w:sz="6" w:space="5" w:color="E8EEF5"/>
          <w:left w:val="single" w:sz="6" w:space="5" w:color="E8EEF5"/>
          <w:bottom w:val="single" w:sz="6" w:space="5" w:color="E8EEF5"/>
          <w:right w:val="single" w:sz="6" w:space="5" w:color="E8EEF5"/>
        </w:pBdr>
      </w:pPr>
      <w:r>
        <w:rPr>
          <w:rFonts w:ascii="Calibri" w:hAnsi="Calibri"/>
          <w:b/>
          <w:color w:val="0B2545"/>
          <w:sz w:val="21"/>
        </w:rPr>
        <w:t xml:space="preserve">Interpretation: </w:t>
      </w:r>
      <w:r>
        <w:rPr>
          <w:rFonts w:ascii="Calibri" w:hAnsi="Calibri"/>
          <w:color w:val="000000"/>
          <w:sz w:val="21"/>
        </w:rPr>
        <w:t>The visible product is ahead of the data and operating system underneath it. The next investment should go into truth, workflow, and secure delivery - not more dashboard features.</w:t>
      </w:r>
    </w:p>
    <w:p>
      <w:r>
        <w:br w:type="page"/>
      </w:r>
    </w:p>
    <w:p>
      <w:pPr>
        <w:pStyle w:val="Heading1"/>
        <w:keepNext/>
        <w:keepLines/>
      </w:pPr>
      <w:r>
        <w:t>4. Business architecture and operating model</w:t>
      </w:r>
    </w:p>
    <w:p>
      <w:pPr>
        <w:pStyle w:val="Heading2"/>
        <w:keepNext/>
        <w:keepLines/>
      </w:pPr>
      <w:r>
        <w:t>Primary customer and buying committee</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Role</w:t>
            </w:r>
          </w:p>
        </w:tc>
        <w:tc>
          <w:tcPr>
            <w:tcW w:type="dxa" w:w="30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Job to be done</w:t>
            </w:r>
          </w:p>
        </w:tc>
        <w:tc>
          <w:tcPr>
            <w:tcW w:type="dxa" w:w="44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What the product should show</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Owner / Managing Director</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Find orders and protect cash</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Today view: top opportunities, expected contribution margin, risks, and decisions.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Export Sales Manager</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Qualify buyers and win sample requests</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Buyer pipeline, decision-maker proof, outreach, follow-up, and reply tracking.</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Merchandiser / Product Manager</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Match specifications and prepare samples</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Article, tannage, thickness, finish, MOQ, lead time, swatch and test pack.</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Compliance / Quality</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Prepare evidence and prevent rejection</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Document checklist, expiry alerts, lab evidence, buyer requirements, and exceptions.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Finance / Accounts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Quote profitably and collect funds</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INR/FX, FOB/CIF margin, invoice, GST/LUT, incentives, eBRC, and overdue receipts.</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8"/>
              </w:rPr>
              <w:t>CHA / Freight Forwarder</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8"/>
              </w:rPr>
              <w:t>Move cargo and file documents</w:t>
            </w:r>
          </w:p>
        </w:tc>
        <w:tc>
          <w:tcPr>
            <w:tcW w:type="dxa" w:w="4460"/>
            <w:tcMar>
              <w:top w:w="80" w:type="dxa"/>
              <w:start w:w="120" w:type="dxa"/>
              <w:bottom w:w="80" w:type="dxa"/>
              <w:end w:w="120" w:type="dxa"/>
            </w:tcMar>
            <w:vAlign w:val="center"/>
          </w:tcPr>
          <w:p>
            <w:pPr>
              <w:spacing w:before="0" w:after="0" w:line="252" w:lineRule="auto"/>
            </w:pPr>
            <w:r>
              <w:rPr>
                <w:rFonts w:ascii="Calibri" w:hAnsi="Calibri"/>
                <w:color w:val="000000"/>
                <w:sz w:val="18"/>
              </w:rPr>
              <w:t>Shipment workspace, port/AD data, document handoff, milestones, and exceptions.</w:t>
            </w:r>
          </w:p>
        </w:tc>
      </w:tr>
    </w:tbl>
    <w:p>
      <w:pPr>
        <w:spacing w:after="40"/>
      </w:pPr>
    </w:p>
    <w:p>
      <w:pPr>
        <w:pStyle w:val="Heading2"/>
        <w:keepNext/>
        <w:keepLines/>
      </w:pPr>
      <w:r>
        <w:t>Business capability map</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Layer</w:t>
            </w:r>
          </w:p>
        </w:tc>
        <w:tc>
          <w:tcPr>
            <w:tcW w:type="dxa" w:w="71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Capabilities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Customer and commercial</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Organisation onboarding; product catalogue; target market; buyer pipeline; quote; order; renewal; customer support.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Market intelligence</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Source acquisition; licensing; entity resolution; contact verification; customs/trade evidence; events; freshness; analyst review.</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Decisioning</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Eligibility rules; product fit; compliance fit; lane economics; buying intent; confidence; next-best action; human approval.</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Export execution</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Samples; RFQ; proforma; Incoterms; document pack; shipping; incentives; payment realisation; claims; post-order learning.</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Trust and governance</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Evidence lineage; verification status; corrections; consent/opt-out; audit trail; source rights; retention; customer disclaimers.</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000000"/>
                <w:sz w:val="18"/>
              </w:rPr>
              <w:t>Platform operations</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000000"/>
                <w:sz w:val="18"/>
              </w:rPr>
              <w:t>Identity; tenancy; billing; entitlements; jobs; monitoring; backups; incident response; analytics; admin and support.</w:t>
            </w:r>
          </w:p>
        </w:tc>
      </w:tr>
    </w:tbl>
    <w:p>
      <w:pPr>
        <w:spacing w:after="40"/>
      </w:pPr>
    </w:p>
    <w:p>
      <w:pPr>
        <w:pStyle w:val="Heading2"/>
        <w:keepNext/>
        <w:keepLines/>
      </w:pPr>
      <w:r>
        <w:t>Value streams</w:t>
      </w:r>
    </w:p>
    <w:p>
      <w:pPr>
        <w:pStyle w:val="ListNumber"/>
        <w:keepLines/>
        <w:numPr>
          <w:ilvl w:val="0"/>
          <w:numId w:val="11"/>
        </w:numPr>
      </w:pPr>
      <w:r>
        <w:t>Activate the exporter: prove identity, registrations, capacity, products, certificates, markets, and commercial constraints.</w:t>
      </w:r>
    </w:p>
    <w:p>
      <w:pPr>
        <w:pStyle w:val="ListNumber"/>
        <w:keepLines/>
        <w:numPr>
          <w:ilvl w:val="0"/>
          <w:numId w:val="11"/>
        </w:numPr>
      </w:pPr>
      <w:r>
        <w:t>Build a trusted market: acquire buyer candidates, resolve entities, attach sources, verify contacts, and score freshness/confidence.</w:t>
      </w:r>
    </w:p>
    <w:p>
      <w:pPr>
        <w:pStyle w:val="ListNumber"/>
        <w:keepLines/>
        <w:numPr>
          <w:ilvl w:val="0"/>
          <w:numId w:val="11"/>
        </w:numPr>
      </w:pPr>
      <w:r>
        <w:t>Prioritise revenue: match products to buyers, estimate margin and risk, and obtain human approval for a shortlist.</w:t>
      </w:r>
    </w:p>
    <w:p>
      <w:pPr>
        <w:pStyle w:val="ListNumber"/>
        <w:keepLines/>
        <w:numPr>
          <w:ilvl w:val="0"/>
          <w:numId w:val="11"/>
        </w:numPr>
      </w:pPr>
      <w:r>
        <w:t>Create a buyer response: prepare samples, tailored outreach, RFQ/quote, follow-up, and task ownership.</w:t>
      </w:r>
    </w:p>
    <w:p>
      <w:pPr>
        <w:pStyle w:val="ListNumber"/>
        <w:keepLines/>
        <w:numPr>
          <w:ilvl w:val="0"/>
          <w:numId w:val="11"/>
        </w:numPr>
      </w:pPr>
      <w:r>
        <w:t>Execute the export: manage documentation, shipping, incentives, payment realisation, and exceptions.</w:t>
      </w:r>
    </w:p>
    <w:p>
      <w:pPr>
        <w:pStyle w:val="ListNumber"/>
        <w:keepLines/>
        <w:numPr>
          <w:ilvl w:val="0"/>
          <w:numId w:val="11"/>
        </w:numPr>
      </w:pPr>
      <w:r>
        <w:t>Learn and retain: capture replies, sample requests, orders, losses, data corrections, and weekly intelligence so the subscription remains valuable.</w:t>
      </w:r>
    </w:p>
    <w:p>
      <w:pPr>
        <w:pStyle w:val="Heading1"/>
        <w:keepNext/>
        <w:keepLines/>
      </w:pPr>
      <w:r>
        <w:t>5. End-to-end export process for Indian businesses</w:t>
      </w:r>
    </w:p>
    <w:p>
      <w:pPr/>
      <w:r>
        <w:t>The product should be organised around one order journey, not around technology modules. Each stage needs a clear owner, customer-facing status, and exit gate.</w:t>
      </w:r>
    </w:p>
    <w:tbl>
      <w:tblPr>
        <w:tblStyle w:val="TableGrid"/>
        <w:tblW w:type="dxa" w:w="9360"/>
        <w:jc w:val="left"/>
        <w:tblLayout w:type="fixed"/>
        <w:tblLook w:firstColumn="1" w:firstRow="1" w:lastColumn="0" w:lastRow="0" w:noHBand="0" w:noVBand="1" w:val="04A0"/>
        <w:tblInd w:w="120" w:type="dxa"/>
      </w:tblPr>
      <w:tblGrid>
        <w:gridCol w:w="1400"/>
        <w:gridCol w:w="2400"/>
        <w:gridCol w:w="3800"/>
        <w:gridCol w:w="1760"/>
      </w:tblGrid>
      <w:tr>
        <w:trPr>
          <w:tblHeader w:val="true"/>
          <w:cantSplit/>
        </w:trPr>
        <w:tc>
          <w:tcPr>
            <w:tcW w:type="dxa" w:w="14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Stage</w:t>
            </w:r>
          </w:p>
        </w:tc>
        <w:tc>
          <w:tcPr>
            <w:tcW w:type="dxa" w:w="24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Business outcome</w:t>
            </w:r>
          </w:p>
        </w:tc>
        <w:tc>
          <w:tcPr>
            <w:tcW w:type="dxa" w:w="3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Required gate</w:t>
            </w:r>
          </w:p>
        </w:tc>
        <w:tc>
          <w:tcPr>
            <w:tcW w:type="dxa" w:w="17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Primary owner</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0. Company readiness</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Exporter can legally and operationally sell</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IEC/GSTIN, ICEGATE, AD bank/port, RCMC as applicable, profile and documents verified</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Owner + Finance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1. Product passport</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Sellable articles are structured</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HS/ITC(HS), material/specs, MOQ, capacity, lead time, test reports, price basis</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Merchandising</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2. Market discovery</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Candidate buyers with evidence</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Company exists, target segment fits, source rights and freshness captured</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Analyst</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3. Buyer verification</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Decision-maker and demand are credible</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Contact proof, source, last checked, role relevance, opt-out/correction path</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Analyst + Sales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4. Qualification</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Shortlist worth contacting</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Fit score calculated from data, confidence threshold met, human approval recorded</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Sales Manager</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5. Commercial clearance</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Opportunity can be quoted profitably</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FOB/CIF margin, FX, freight validity, compliance/doc gaps, payment terms</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Finance + Compliance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6. Sample and outreach</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Buyer is asked for a concrete next step</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Approved message, swatch/test pack, courier address, task and follow-up date</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Sales + Merchandising</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7. Order and shipment</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PO moves to export</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Proforma/commercial invoice, packing list, COO/test docs, shipping bill, logistics milestones</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Export Operations</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8. Incentive and payment</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Cash and benefits are realised</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Bank receipt/IRM, eBRC, GST refund, RoDTEP/drawback status, exception closure</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Finance</w:t>
            </w:r>
          </w:p>
        </w:tc>
      </w:tr>
      <w:tr>
        <w:trPr>
          <w:cantSplit/>
        </w:trPr>
        <w:tc>
          <w:tcPr>
            <w:tcW w:type="dxa" w:w="1400"/>
            <w:tcMar>
              <w:top w:w="80" w:type="dxa"/>
              <w:start w:w="120" w:type="dxa"/>
              <w:bottom w:w="80" w:type="dxa"/>
              <w:end w:w="120" w:type="dxa"/>
            </w:tcMar>
            <w:vAlign w:val="center"/>
          </w:tcPr>
          <w:p>
            <w:pPr>
              <w:spacing w:before="0" w:after="0" w:line="252" w:lineRule="auto"/>
            </w:pPr>
            <w:r>
              <w:rPr>
                <w:rFonts w:ascii="Calibri" w:hAnsi="Calibri"/>
                <w:color w:val="000000"/>
                <w:sz w:val="16"/>
              </w:rPr>
              <w:t>9. Learning</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6"/>
              </w:rPr>
              <w:t>The next recommendation improves</w:t>
            </w:r>
          </w:p>
        </w:tc>
        <w:tc>
          <w:tcPr>
            <w:tcW w:type="dxa" w:w="3800"/>
            <w:tcMar>
              <w:top w:w="80" w:type="dxa"/>
              <w:start w:w="120" w:type="dxa"/>
              <w:bottom w:w="80" w:type="dxa"/>
              <w:end w:w="120" w:type="dxa"/>
            </w:tcMar>
            <w:vAlign w:val="center"/>
          </w:tcPr>
          <w:p>
            <w:pPr>
              <w:spacing w:before="0" w:after="0" w:line="252" w:lineRule="auto"/>
            </w:pPr>
            <w:r>
              <w:rPr>
                <w:rFonts w:ascii="Calibri" w:hAnsi="Calibri"/>
                <w:color w:val="000000"/>
                <w:sz w:val="16"/>
              </w:rPr>
              <w:t>Outcome captured: reply, sample, quote, PO, loss reason, margin, source correction</w:t>
            </w:r>
          </w:p>
        </w:tc>
        <w:tc>
          <w:tcPr>
            <w:tcW w:type="dxa" w:w="1760"/>
            <w:tcMar>
              <w:top w:w="80" w:type="dxa"/>
              <w:start w:w="120" w:type="dxa"/>
              <w:bottom w:w="80" w:type="dxa"/>
              <w:end w:w="120" w:type="dxa"/>
            </w:tcMar>
            <w:vAlign w:val="center"/>
          </w:tcPr>
          <w:p>
            <w:pPr>
              <w:spacing w:before="0" w:after="0" w:line="252" w:lineRule="auto"/>
            </w:pPr>
            <w:r>
              <w:rPr>
                <w:rFonts w:ascii="Calibri" w:hAnsi="Calibri"/>
                <w:color w:val="000000"/>
                <w:sz w:val="16"/>
              </w:rPr>
              <w:t>Customer Success</w:t>
            </w:r>
          </w:p>
        </w:tc>
      </w:tr>
    </w:tbl>
    <w:p>
      <w:pPr>
        <w:spacing w:after="40"/>
      </w:pPr>
    </w:p>
    <w:p>
      <w:pPr>
        <w:pStyle w:val="Heading2"/>
        <w:keepNext/>
        <w:keepLines/>
      </w:pPr>
      <w:r>
        <w:t>Recommended customer navigation</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Navigation</w:t>
            </w:r>
          </w:p>
        </w:tc>
        <w:tc>
          <w:tcPr>
            <w:tcW w:type="dxa" w:w="70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Plain-language purpose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Today</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What needs attention now: best buyer, overdue follow-up, missing document, shipment exception, payment due.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Buyers</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Find and verify companies, understand why they fit, and see the next action.</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Deals</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Move from shortlist to sample, quote, negotiation, PO, and win/loss.</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Products</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Maintain sellable articles, specifications, capacity, MOQ, tests, and pricing.</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Documents and Compliance</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Store registrations, certificates, buyer requirements, expiry dates, and export documents.</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Shipments and Payments</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Track logistics, shipping bill, incentives, remittance, eBRC, and exceptions.</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Insights</w:t>
            </w:r>
          </w:p>
        </w:tc>
        <w:tc>
          <w:tcPr>
            <w:tcW w:type="dxa" w:w="7060"/>
            <w:tcMar>
              <w:top w:w="80" w:type="dxa"/>
              <w:start w:w="120" w:type="dxa"/>
              <w:bottom w:w="80" w:type="dxa"/>
              <w:end w:w="120" w:type="dxa"/>
            </w:tcMar>
            <w:vAlign w:val="center"/>
          </w:tcPr>
          <w:p>
            <w:pPr>
              <w:spacing w:before="0" w:after="0" w:line="252" w:lineRule="auto"/>
            </w:pPr>
            <w:r>
              <w:rPr>
                <w:rFonts w:ascii="Calibri" w:hAnsi="Calibri"/>
                <w:color w:val="000000"/>
                <w:sz w:val="18"/>
              </w:rPr>
              <w:t>Weekly market brief, buyer changes, margin trends, and management KPIs.</w:t>
            </w:r>
          </w:p>
        </w:tc>
      </w:tr>
    </w:tbl>
    <w:p>
      <w:pPr>
        <w:spacing w:after="40"/>
      </w:pPr>
    </w:p>
    <w:p>
      <w:pPr>
        <w:pStyle w:val="Heading1"/>
        <w:keepNext/>
        <w:keepLines/>
      </w:pPr>
      <w:r>
        <w:t>6. Usability for an Indian business owner</w:t>
      </w:r>
    </w:p>
    <w:p>
      <w:pPr>
        <w:spacing w:before="120" w:after="200" w:line="264" w:lineRule="auto"/>
        <w:ind w:left="115" w:right="115"/>
        <w:shd w:fill="FFF7E0"/>
        <w:keepLines/>
        <w:pBdr>
          <w:top w:val="single" w:sz="6" w:space="5" w:color="E6CE7A"/>
          <w:left w:val="single" w:sz="6" w:space="5" w:color="E6CE7A"/>
          <w:bottom w:val="single" w:sz="6" w:space="5" w:color="E6CE7A"/>
          <w:right w:val="single" w:sz="6" w:space="5" w:color="E6CE7A"/>
        </w:pBdr>
      </w:pPr>
      <w:r>
        <w:rPr>
          <w:rFonts w:ascii="Calibri" w:hAnsi="Calibri"/>
          <w:b/>
          <w:color w:val="7A5A00"/>
          <w:sz w:val="21"/>
        </w:rPr>
        <w:t xml:space="preserve">Answer: </w:t>
      </w:r>
      <w:r>
        <w:rPr>
          <w:rFonts w:ascii="Calibri" w:hAnsi="Calibri"/>
          <w:color w:val="000000"/>
          <w:sz w:val="21"/>
        </w:rPr>
        <w:t>Yes - the current product is too complex for many non-technical business owners. The design is attractive, but the language, density, and workflow assume an export analyst rather than an owner checking the app between calls.</w:t>
      </w:r>
    </w:p>
    <w:p>
      <w:pPr>
        <w:pStyle w:val="Heading2"/>
        <w:keepNext/>
        <w:keepLines/>
      </w:pPr>
      <w:r>
        <w:t>Observed friction</w:t>
      </w:r>
    </w:p>
    <w:p>
      <w:pPr>
        <w:pStyle w:val="ListBullet"/>
        <w:keepLines/>
      </w:pPr>
      <w:r>
        <w:t>Terms such as LangGraph Agents, FEU, SVHC, DDS, match drivers, multi-tenant, governance cockpit, and real-time manifest data are exposed without a simple business translation.</w:t>
      </w:r>
    </w:p>
    <w:p>
      <w:pPr>
        <w:pStyle w:val="ListBullet"/>
        <w:keepLines/>
      </w:pPr>
      <w:r>
        <w:t>The match page shows five score dimensions at once but does not lead with expected order, margin, confidence, evidence age, and the one recommended action.</w:t>
      </w:r>
    </w:p>
    <w:p>
      <w:pPr>
        <w:pStyle w:val="ListBullet"/>
        <w:keepLines/>
      </w:pPr>
      <w:r>
        <w:t>The signals feed is a long stream with repeated language; there is no 'what changed for me' summary or owner/task assignment.</w:t>
      </w:r>
    </w:p>
    <w:p>
      <w:pPr>
        <w:pStyle w:val="ListBullet"/>
        <w:keepLines/>
      </w:pPr>
      <w:r>
        <w:t>Currency is mainly USD/EUR. Indian owners also need INR, lakh/crore notation, FX rate and expiry, bank charges, incentive value, and contribution margin.</w:t>
      </w:r>
    </w:p>
    <w:p>
      <w:pPr>
        <w:pStyle w:val="ListBullet"/>
        <w:keepLines/>
      </w:pPr>
      <w:r>
        <w:t>The product is fixed-width. The mobile review showed horizontal overflow and partial screens, which is unacceptable for WhatsApp- and phone-first usage.</w:t>
      </w:r>
    </w:p>
    <w:p>
      <w:pPr>
        <w:pStyle w:val="ListBullet"/>
        <w:keepLines/>
      </w:pPr>
      <w:r>
        <w:t>There is no first-run setup, guided demo mode, in-product help, Hindi/Tamil option, or role-based simplification.</w:t>
      </w:r>
    </w:p>
    <w:p>
      <w:r>
        <w:br w:type="page"/>
      </w:r>
    </w:p>
    <w:p>
      <w:pPr>
        <w:pStyle w:val="Heading2"/>
        <w:keepNext/>
        <w:keepLines/>
      </w:pPr>
      <w:r>
        <w:t>Simple mode design</w:t>
      </w:r>
    </w:p>
    <w:tbl>
      <w:tblPr>
        <w:tblStyle w:val="TableGrid"/>
        <w:tblW w:type="dxa" w:w="9360"/>
        <w:jc w:val="left"/>
        <w:tblLayout w:type="fixed"/>
        <w:tblLook w:firstColumn="1" w:firstRow="1" w:lastColumn="0" w:lastRow="0" w:noHBand="0" w:noVBand="1" w:val="04A0"/>
        <w:tblInd w:w="120" w:type="dxa"/>
      </w:tblPr>
      <w:tblGrid>
        <w:gridCol w:w="2300"/>
        <w:gridCol w:w="2700"/>
        <w:gridCol w:w="4360"/>
      </w:tblGrid>
      <w:tr>
        <w:trPr>
          <w:tblHeader w:val="true"/>
          <w:cantSplit/>
        </w:trPr>
        <w:tc>
          <w:tcPr>
            <w:tcW w:type="dxa" w:w="2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Current term</w:t>
            </w:r>
          </w:p>
        </w:tc>
        <w:tc>
          <w:tcPr>
            <w:tcW w:type="dxa" w:w="27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Plain-language term</w:t>
            </w:r>
          </w:p>
        </w:tc>
        <w:tc>
          <w:tcPr>
            <w:tcW w:type="dxa" w:w="43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Action-first interpretation</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Match Confidence</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Chance this buyer is worth contacting</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High / Medium / Low with reasons and source age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EUDR Compliance Gate</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EU buyer document readiness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Documents ready, missing, not applicable, or needs legal review</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Multi-Corridor Ocean Freight Matrix</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Best route and profit</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Recommended port/route, quote age, landed margin, and risk</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LangGraph Agents</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AI Export Assistant</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Research buyer, prepare document list, draft message, build 30-day plan</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Customs BOL Radar</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Buyer purchase history</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Source, coverage, licence, verification, last shipment and confidence</w:t>
            </w:r>
          </w:p>
        </w:tc>
      </w:tr>
      <w:tr>
        <w:trPr>
          <w:cantSplit/>
        </w:trPr>
        <w:tc>
          <w:tcPr>
            <w:tcW w:type="dxa" w:w="2300"/>
            <w:tcMar>
              <w:top w:w="80" w:type="dxa"/>
              <w:start w:w="120" w:type="dxa"/>
              <w:bottom w:w="80" w:type="dxa"/>
              <w:end w:w="120" w:type="dxa"/>
            </w:tcMar>
            <w:vAlign w:val="center"/>
          </w:tcPr>
          <w:p>
            <w:pPr>
              <w:spacing w:before="0" w:after="0" w:line="252" w:lineRule="auto"/>
            </w:pPr>
            <w:r>
              <w:rPr>
                <w:rFonts w:ascii="Calibri" w:hAnsi="Calibri"/>
                <w:color w:val="000000"/>
                <w:sz w:val="18"/>
              </w:rPr>
              <w:t>Executive Governance Cockpit</w:t>
            </w:r>
          </w:p>
        </w:tc>
        <w:tc>
          <w:tcPr>
            <w:tcW w:type="dxa" w:w="2700"/>
            <w:tcMar>
              <w:top w:w="80" w:type="dxa"/>
              <w:start w:w="120" w:type="dxa"/>
              <w:bottom w:w="80" w:type="dxa"/>
              <w:end w:w="120" w:type="dxa"/>
            </w:tcMar>
            <w:vAlign w:val="center"/>
          </w:tcPr>
          <w:p>
            <w:pPr>
              <w:spacing w:before="0" w:after="0" w:line="252" w:lineRule="auto"/>
            </w:pPr>
            <w:r>
              <w:rPr>
                <w:rFonts w:ascii="Calibri" w:hAnsi="Calibri"/>
                <w:color w:val="000000"/>
                <w:sz w:val="18"/>
              </w:rPr>
              <w:t>Orders and cash dashboard</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000000"/>
                <w:sz w:val="18"/>
              </w:rPr>
              <w:t>Samples, quotes, orders, margin, overdue receipts, and risks</w:t>
            </w:r>
          </w:p>
        </w:tc>
      </w:tr>
    </w:tbl>
    <w:p>
      <w:pPr>
        <w:spacing w:after="40"/>
      </w:pPr>
    </w:p>
    <w:p>
      <w:pPr>
        <w:pStyle w:val="Heading2"/>
        <w:keepNext/>
        <w:keepLines/>
      </w:pPr>
      <w:r>
        <w:t>Minimum usability acceptance criteria</w:t>
      </w:r>
    </w:p>
    <w:p>
      <w:pPr>
        <w:pStyle w:val="ListBullet"/>
        <w:keepLines/>
      </w:pPr>
      <w:r>
        <w:t>The first screen answers: who to contact, why, expected value, biggest risk, and what to do today.</w:t>
      </w:r>
    </w:p>
    <w:p>
      <w:pPr>
        <w:pStyle w:val="ListBullet"/>
        <w:keepLines/>
      </w:pPr>
      <w:r>
        <w:t>Every claim shows status: verified, inferred, demo, stale, or unavailable - plus source and checked date.</w:t>
      </w:r>
    </w:p>
    <w:p>
      <w:pPr>
        <w:pStyle w:val="ListBullet"/>
        <w:keepLines/>
      </w:pPr>
      <w:r>
        <w:t>Every workflow can be completed on a 390-pixel phone without horizontal scrolling.</w:t>
      </w:r>
    </w:p>
    <w:p>
      <w:pPr>
        <w:pStyle w:val="ListBullet"/>
        <w:keepLines/>
      </w:pPr>
      <w:r>
        <w:t>The owner can switch between Simple and Analyst views.</w:t>
      </w:r>
    </w:p>
    <w:p>
      <w:pPr>
        <w:pStyle w:val="ListBullet"/>
        <w:keepLines/>
      </w:pPr>
      <w:r>
        <w:t>INR and Indian number formatting are available; English is first, with Hindi/Tamil support prioritised after pilot validation.</w:t>
      </w:r>
    </w:p>
    <w:p>
      <w:pPr>
        <w:pStyle w:val="ListBullet"/>
        <w:keepLines/>
      </w:pPr>
      <w:r>
        <w:t>Primary actions support WhatsApp/share, email, PDF/Excel export, and assignment to a team member.</w:t>
      </w:r>
    </w:p>
    <w:p>
      <w:pPr>
        <w:pStyle w:val="Heading1"/>
        <w:keepNext/>
        <w:keepLines/>
      </w:pPr>
      <w:r>
        <w:t>7. India-market product requirements</w:t>
      </w:r>
    </w:p>
    <w:p>
      <w:pPr>
        <w:pStyle w:val="Heading2"/>
        <w:keepNext/>
        <w:keepLines/>
      </w:pPr>
      <w:r>
        <w:t>Exporter onboarding and master data</w:t>
      </w:r>
    </w:p>
    <w:p>
      <w:pPr>
        <w:pStyle w:val="ListBullet"/>
        <w:keepLines/>
      </w:pPr>
      <w:r>
        <w:t>Organisation: legal name, PAN, GSTIN, IEC, Udyam/MSME where applicable, registered and factory addresses, directors/authorised signatory.</w:t>
      </w:r>
    </w:p>
    <w:p>
      <w:pPr>
        <w:pStyle w:val="ListBullet"/>
        <w:keepLines/>
      </w:pPr>
      <w:r>
        <w:t>Trade registrations: ICEGATE status, AD code and bank/branch, registered port/location, RCMC/CLE membership, EPC details, LUT status and expiry.</w:t>
      </w:r>
    </w:p>
    <w:p>
      <w:pPr>
        <w:pStyle w:val="ListBullet"/>
        <w:keepLines/>
      </w:pPr>
      <w:r>
        <w:t>Products: ITC(HS)/HS code, article, material/specification, finish, thickness, capacity, MOQ, lead time, price basis, Incoterms, restricted-product checks.</w:t>
      </w:r>
    </w:p>
    <w:p>
      <w:pPr>
        <w:pStyle w:val="ListBullet"/>
        <w:keepLines/>
      </w:pPr>
      <w:r>
        <w:t>Quality/compliance: LWG/ISO/lab evidence, pollution-control approvals where applicable, certificate issuer, validity, scope, and source file.</w:t>
      </w:r>
    </w:p>
    <w:p>
      <w:pPr>
        <w:pStyle w:val="ListBullet"/>
        <w:keepLines/>
      </w:pPr>
      <w:r>
        <w:t>Finance: default currency, FX policy, bank charges, insurance, credit terms, ECGC coverage, incentive eligibility, GST/refund status.</w:t>
      </w:r>
    </w:p>
    <w:p>
      <w:pPr>
        <w:pStyle w:val="ListBullet"/>
        <w:keepLines/>
      </w:pPr>
      <w:r>
        <w:t>Operations: CHA, freight forwarder, ports, warehouses, preferred carriers, document templates, sample courier providers, escalation contacts.</w:t>
      </w:r>
    </w:p>
    <w:p>
      <w:pPr>
        <w:pStyle w:val="Heading2"/>
        <w:keepNext/>
        <w:keepLines/>
      </w:pPr>
      <w:r>
        <w:t>India integrations - prioritise workflow before deep API integration</w:t>
      </w:r>
    </w:p>
    <w:tbl>
      <w:tblPr>
        <w:tblStyle w:val="TableGrid"/>
        <w:tblW w:type="dxa" w:w="9360"/>
        <w:jc w:val="left"/>
        <w:tblLayout w:type="fixed"/>
        <w:tblLook w:firstColumn="1" w:firstRow="1" w:lastColumn="0" w:lastRow="0" w:noHBand="0" w:noVBand="1" w:val="04A0"/>
        <w:tblInd w:w="120" w:type="dxa"/>
      </w:tblPr>
      <w:tblGrid>
        <w:gridCol w:w="1600"/>
        <w:gridCol w:w="3860"/>
        <w:gridCol w:w="3900"/>
      </w:tblGrid>
      <w:tr>
        <w:trPr>
          <w:tblHeader w:val="true"/>
          <w:cantSplit/>
        </w:trPr>
        <w:tc>
          <w:tcPr>
            <w:tcW w:type="dxa" w:w="16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System</w:t>
            </w:r>
          </w:p>
        </w:tc>
        <w:tc>
          <w:tcPr>
            <w:tcW w:type="dxa" w:w="38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First useful capability</w:t>
            </w:r>
          </w:p>
        </w:tc>
        <w:tc>
          <w:tcPr>
            <w:tcW w:type="dxa" w:w="39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Later capability</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DGFT</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Store IEC, RCMC, eBRC and benefit references with reminders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Authorised connector/assisted reconciliation where official access permits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ICEGATE</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AD code/port checklist, shipping bill and incentive status capture</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Status integration or secure import from authorised records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GST</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LUT, export invoice, refund checklist, reconciliation file</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GSP/ASP or accounting integration subject to compliance and consent</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CLE / sector bodies</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Membership, circulars, fairs, certification and market notices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Curated sector feed with source rights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Tally / Zoho Books</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CSV import/export for customers, invoices and receipts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Two-way authenticated accounting integration</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WhatsApp / Email</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User-initiated share and approved templates</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Opt-in, auditable messaging workflow with consent and templates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Banks / eBRC</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IRM/eBRC task tracker and receipt upload</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Reconciliation integration where bank/DGFT access permits</w:t>
            </w:r>
          </w:p>
        </w:tc>
      </w:tr>
      <w:tr>
        <w:trPr>
          <w:cantSplit/>
        </w:trPr>
        <w:tc>
          <w:tcPr>
            <w:tcW w:type="dxa" w:w="1600"/>
            <w:tcMar>
              <w:top w:w="80" w:type="dxa"/>
              <w:start w:w="120" w:type="dxa"/>
              <w:bottom w:w="80" w:type="dxa"/>
              <w:end w:w="120" w:type="dxa"/>
            </w:tcMar>
            <w:vAlign w:val="center"/>
          </w:tcPr>
          <w:p>
            <w:pPr>
              <w:spacing w:before="0" w:after="0" w:line="252" w:lineRule="auto"/>
            </w:pPr>
            <w:r>
              <w:rPr>
                <w:rFonts w:ascii="Calibri" w:hAnsi="Calibri"/>
                <w:color w:val="000000"/>
                <w:sz w:val="16"/>
              </w:rPr>
              <w:t>Freight / CHA</w:t>
            </w:r>
          </w:p>
        </w:tc>
        <w:tc>
          <w:tcPr>
            <w:tcW w:type="dxa" w:w="3860"/>
            <w:tcMar>
              <w:top w:w="80" w:type="dxa"/>
              <w:start w:w="120" w:type="dxa"/>
              <w:bottom w:w="80" w:type="dxa"/>
              <w:end w:w="120" w:type="dxa"/>
            </w:tcMar>
            <w:vAlign w:val="center"/>
          </w:tcPr>
          <w:p>
            <w:pPr>
              <w:spacing w:before="0" w:after="0" w:line="252" w:lineRule="auto"/>
            </w:pPr>
            <w:r>
              <w:rPr>
                <w:rFonts w:ascii="Calibri" w:hAnsi="Calibri"/>
                <w:color w:val="000000"/>
                <w:sz w:val="16"/>
              </w:rPr>
              <w:t>Quote upload, validity, route and milestone workspace</w:t>
            </w:r>
          </w:p>
        </w:tc>
        <w:tc>
          <w:tcPr>
            <w:tcW w:type="dxa" w:w="3900"/>
            <w:tcMar>
              <w:top w:w="80" w:type="dxa"/>
              <w:start w:w="120" w:type="dxa"/>
              <w:bottom w:w="80" w:type="dxa"/>
              <w:end w:w="120" w:type="dxa"/>
            </w:tcMar>
            <w:vAlign w:val="center"/>
          </w:tcPr>
          <w:p>
            <w:pPr>
              <w:spacing w:before="0" w:after="0" w:line="252" w:lineRule="auto"/>
            </w:pPr>
            <w:r>
              <w:rPr>
                <w:rFonts w:ascii="Calibri" w:hAnsi="Calibri"/>
                <w:color w:val="000000"/>
                <w:sz w:val="16"/>
              </w:rPr>
              <w:t>Partner APIs, rate comparison and exception events</w:t>
            </w:r>
          </w:p>
        </w:tc>
      </w:tr>
    </w:tbl>
    <w:p>
      <w:pPr>
        <w:spacing w:after="40"/>
      </w:pPr>
    </w:p>
    <w:p>
      <w:pPr>
        <w:spacing w:before="120" w:after="200" w:line="264" w:lineRule="auto"/>
        <w:ind w:left="115" w:right="115"/>
        <w:shd w:fill="FFF7E0"/>
        <w:keepLines/>
        <w:pBdr>
          <w:top w:val="single" w:sz="6" w:space="5" w:color="E6CE7A"/>
          <w:left w:val="single" w:sz="6" w:space="5" w:color="E6CE7A"/>
          <w:bottom w:val="single" w:sz="6" w:space="5" w:color="E6CE7A"/>
          <w:right w:val="single" w:sz="6" w:space="5" w:color="E6CE7A"/>
        </w:pBdr>
      </w:pPr>
      <w:r>
        <w:rPr>
          <w:rFonts w:ascii="Calibri" w:hAnsi="Calibri"/>
          <w:b/>
          <w:color w:val="7A5A00"/>
          <w:sz w:val="21"/>
        </w:rPr>
        <w:t xml:space="preserve">Regulatory caution: </w:t>
      </w:r>
      <w:r>
        <w:rPr>
          <w:rFonts w:ascii="Calibri" w:hAnsi="Calibri"/>
          <w:color w:val="000000"/>
          <w:sz w:val="21"/>
        </w:rPr>
        <w:t>Do not build automated government filing or tax advice until a qualified customs/GST practitioner validates the workflow and the platform has an authorised integration path. Start with document management, reminders, structured checklists, and assisted reconciliation.</w:t>
      </w:r>
    </w:p>
    <w:p>
      <w:pPr>
        <w:pStyle w:val="Heading1"/>
        <w:keepNext/>
        <w:keepLines/>
      </w:pPr>
      <w:r>
        <w:t>8. Feasibility and business risks</w:t>
      </w:r>
    </w:p>
    <w:tbl>
      <w:tblPr>
        <w:tblStyle w:val="TableGrid"/>
        <w:tblW w:type="dxa" w:w="9360"/>
        <w:jc w:val="left"/>
        <w:tblLayout w:type="fixed"/>
        <w:tblLook w:firstColumn="1" w:firstRow="1" w:lastColumn="0" w:lastRow="0" w:noHBand="0" w:noVBand="1" w:val="04A0"/>
        <w:tblInd w:w="120" w:type="dxa"/>
      </w:tblPr>
      <w:tblGrid>
        <w:gridCol w:w="1800"/>
        <w:gridCol w:w="2800"/>
        <w:gridCol w:w="4760"/>
      </w:tblGrid>
      <w:tr>
        <w:trPr>
          <w:tblHeader w:val="true"/>
          <w:cantSplit/>
        </w:trPr>
        <w:tc>
          <w:tcPr>
            <w:tcW w:type="dxa" w:w="1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Dimension</w:t>
            </w:r>
          </w:p>
        </w:tc>
        <w:tc>
          <w:tcPr>
            <w:tcW w:type="dxa" w:w="2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Feasibility</w:t>
            </w:r>
          </w:p>
        </w:tc>
        <w:tc>
          <w:tcPr>
            <w:tcW w:type="dxa" w:w="47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Decision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Technical</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High for a secure managed pilot; medium for SaaS</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Keep a modular monolith. Rebuild trust and tenancy before scaling architecture.</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Data</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Medium-low until licensed/verified sources exist</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Use fewer, verified buyers with source evidence. Do not chase row count.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User adoption</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Medium if simplified and assisted</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Design owner, sales, compliance, and finance views; mobile-first and WhatsApp-compatible.</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Commercial</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Medium for concierge service</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Charge for verified opportunity packs and workflow outcomes, not access to a static directory.</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Regulatory/privacy</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Manageable with professional review</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Implement source rights, notices, opt-out/correction, retention, security, DPA, and legal review.</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EUDR wedge</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Low as the primary moat</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Move to broader buyer readiness, REACH/product safety, supply proof, quality, due diligence, and export execution.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Operational</w:t>
            </w:r>
          </w:p>
        </w:tc>
        <w:tc>
          <w:tcPr>
            <w:tcW w:type="dxa" w:w="2800"/>
            <w:tcMar>
              <w:top w:w="80" w:type="dxa"/>
              <w:start w:w="120" w:type="dxa"/>
              <w:bottom w:w="80" w:type="dxa"/>
              <w:end w:w="120" w:type="dxa"/>
            </w:tcMar>
            <w:vAlign w:val="center"/>
          </w:tcPr>
          <w:p>
            <w:pPr>
              <w:spacing w:before="0" w:after="0" w:line="252" w:lineRule="auto"/>
            </w:pPr>
            <w:r>
              <w:rPr>
                <w:rFonts w:ascii="Calibri" w:hAnsi="Calibri"/>
                <w:color w:val="000000"/>
                <w:sz w:val="18"/>
              </w:rPr>
              <w:t>Medium with 3-5 person team</w:t>
            </w:r>
          </w:p>
        </w:tc>
        <w:tc>
          <w:tcPr>
            <w:tcW w:type="dxa" w:w="4760"/>
            <w:tcMar>
              <w:top w:w="80" w:type="dxa"/>
              <w:start w:w="120" w:type="dxa"/>
              <w:bottom w:w="80" w:type="dxa"/>
              <w:end w:w="120" w:type="dxa"/>
            </w:tcMar>
            <w:vAlign w:val="center"/>
          </w:tcPr>
          <w:p>
            <w:pPr>
              <w:spacing w:before="0" w:after="0" w:line="252" w:lineRule="auto"/>
            </w:pPr>
            <w:r>
              <w:rPr>
                <w:rFonts w:ascii="Calibri" w:hAnsi="Calibri"/>
                <w:color w:val="000000"/>
                <w:sz w:val="18"/>
              </w:rPr>
              <w:t>Founder plus product/engineering, data analyst, export-domain SME, and part-time security/legal support.</w:t>
            </w:r>
          </w:p>
        </w:tc>
      </w:tr>
    </w:tbl>
    <w:p>
      <w:pPr>
        <w:spacing w:after="40"/>
      </w:pPr>
    </w:p>
    <w:p>
      <w:pPr>
        <w:pStyle w:val="Heading2"/>
        <w:keepNext/>
        <w:keepLines/>
      </w:pPr>
      <w:r>
        <w:t>Top business risks and mitigations</w:t>
      </w:r>
    </w:p>
    <w:tbl>
      <w:tblPr>
        <w:tblStyle w:val="TableGrid"/>
        <w:tblW w:type="dxa" w:w="9360"/>
        <w:jc w:val="left"/>
        <w:tblLayout w:type="fixed"/>
        <w:tblLook w:firstColumn="1" w:firstRow="1" w:lastColumn="0" w:lastRow="0" w:noHBand="0" w:noVBand="1" w:val="04A0"/>
        <w:tblInd w:w="120" w:type="dxa"/>
      </w:tblPr>
      <w:tblGrid>
        <w:gridCol w:w="2500"/>
        <w:gridCol w:w="2600"/>
        <w:gridCol w:w="4260"/>
      </w:tblGrid>
      <w:tr>
        <w:trPr>
          <w:tblHeader w:val="true"/>
          <w:cantSplit/>
        </w:trPr>
        <w:tc>
          <w:tcPr>
            <w:tcW w:type="dxa" w:w="25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Risk</w:t>
            </w:r>
          </w:p>
        </w:tc>
        <w:tc>
          <w:tcPr>
            <w:tcW w:type="dxa" w:w="26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Impact</w:t>
            </w:r>
          </w:p>
        </w:tc>
        <w:tc>
          <w:tcPr>
            <w:tcW w:type="dxa" w:w="42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7"/>
              </w:rPr>
              <w:t>Mitigation</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False or stale buyer/contact data</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Trust collapse and possible complaints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Evidence URL, checked date, verification workflow, corrections, bounce tracking, analyst sign-off.</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Misleading live/verified claims</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Sales, legal and reputational exposure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Demo watermark, claim taxonomy, legal review, do-not-claim list, evidence on every card.</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Static directory churn</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Customer cancels after export</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Weekly changes, tasks, outcomes, document/payment tracking, and continuous market monitoring.</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Wrong regulatory promise</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Product strategy becomes obsolete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Regulatory owner, source register, effective dates, applicability logic, external counsel review.</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No measured ROI</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Renewal and pricing fail</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Track reply, meeting, sample, quote, PO, margin and time saved from day one.</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Data licensing gap</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Cannot sell or scale intelligence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Source-rights register, provider contracts, usage limits, provenance and customer terms.</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Founder-dependent service</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7"/>
              </w:rPr>
              <w:t>Delivery cannot scale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7"/>
              </w:rPr>
              <w:t>Standard operating procedures, QA checklists, analyst queue, templates and customer success cadence.</w:t>
            </w:r>
          </w:p>
        </w:tc>
      </w:tr>
    </w:tbl>
    <w:p>
      <w:pPr>
        <w:spacing w:after="40"/>
      </w:pPr>
    </w:p>
    <w:p>
      <w:pPr>
        <w:pStyle w:val="Heading1"/>
        <w:keepNext/>
        <w:keepLines/>
      </w:pPr>
      <w:r>
        <w:t>9. Commercial offer and sales positioning</w:t>
      </w:r>
    </w:p>
    <w:p>
      <w:pPr>
        <w:pStyle w:val="Heading2"/>
        <w:keepNext/>
        <w:keepLines/>
      </w:pPr>
      <w:r>
        <w:t>Positioning</w:t>
      </w:r>
    </w:p>
    <w:p>
      <w:pPr>
        <w:spacing w:before="120" w:after="200" w:line="264" w:lineRule="auto"/>
        <w:ind w:left="115" w:right="115"/>
        <w:shd w:fill="EAF7F1"/>
        <w:keepLines/>
        <w:pBdr>
          <w:top w:val="single" w:sz="6" w:space="5" w:color="B7E0CD"/>
          <w:left w:val="single" w:sz="6" w:space="5" w:color="B7E0CD"/>
          <w:bottom w:val="single" w:sz="6" w:space="5" w:color="B7E0CD"/>
          <w:right w:val="single" w:sz="6" w:space="5" w:color="B7E0CD"/>
        </w:pBdr>
      </w:pPr>
      <w:r>
        <w:rPr>
          <w:rFonts w:ascii="Calibri" w:hAnsi="Calibri"/>
          <w:b/>
          <w:color w:val="1F6D4A"/>
          <w:sz w:val="21"/>
        </w:rPr>
        <w:t xml:space="preserve">One-sentence offer: </w:t>
      </w:r>
      <w:r>
        <w:rPr>
          <w:rFonts w:ascii="Calibri" w:hAnsi="Calibri"/>
          <w:color w:val="000000"/>
          <w:sz w:val="21"/>
        </w:rPr>
        <w:t>Trade OS helps Indian leather exporters identify credible overseas buyer opportunities, verify why they fit, prepare the right commercial and compliance pack, and move each opportunity from contact to payment.</w:t>
      </w:r>
    </w:p>
    <w:p>
      <w:pPr>
        <w:pStyle w:val="Heading2"/>
        <w:keepNext/>
        <w:keepLines/>
      </w:pPr>
      <w:r>
        <w:t>What to sell now</w:t>
      </w:r>
    </w:p>
    <w:p>
      <w:pPr/>
      <w:r>
        <w:t>Offer a 30-day managed pilot, not a software licence. A reasonable test range is INR 50,000 to INR 1,25,000 depending on the amount of manual verification, analyst work, and domain support. Validate willingness to pay through at least five customer interviews before standardising price.</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Pilot deliverable</w:t>
            </w:r>
          </w:p>
        </w:tc>
        <w:tc>
          <w:tcPr>
            <w:tcW w:type="dxa" w:w="61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Acceptance rule</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Exporter readiness profile</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Customer confirms product, capacity, MOQ, markets, registrations, documents, and commercial constraints.</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10 verified buyer accounts</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Each has company proof, source, last checked date, relevance, and confidence; no invented personal data.</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3-5 decision-maker paths</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Verified role/channel or a transparent statement that only a company route is available.</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5 opportunity briefs</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Why fit, gaps, evidence, likely product, next action, and human approval.</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2 sample/quote playbooks</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Ready-to-use product/spec pack and commercial calculation with assumptions.</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Weekly intelligence brief</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Only new or changed evidence; dated sources; recommended tasks.</w:t>
            </w:r>
          </w:p>
        </w:tc>
      </w:tr>
      <w:tr>
        <w:trPr>
          <w:cantSplit/>
        </w:trPr>
        <w:tc>
          <w:tcPr>
            <w:tcW w:type="dxa" w:w="3200"/>
            <w:tcMar>
              <w:top w:w="80" w:type="dxa"/>
              <w:start w:w="120" w:type="dxa"/>
              <w:bottom w:w="80" w:type="dxa"/>
              <w:end w:w="120" w:type="dxa"/>
            </w:tcMar>
            <w:vAlign w:val="center"/>
          </w:tcPr>
          <w:p>
            <w:pPr>
              <w:spacing w:before="0" w:after="0" w:line="252" w:lineRule="auto"/>
            </w:pPr>
            <w:r>
              <w:rPr>
                <w:rFonts w:ascii="Calibri" w:hAnsi="Calibri"/>
                <w:color w:val="000000"/>
                <w:sz w:val="18"/>
              </w:rPr>
              <w:t>Outcome review</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Replies, sample requests, quotations, buyer feedback, losses and data corrections recorded.</w:t>
            </w:r>
          </w:p>
        </w:tc>
      </w:tr>
    </w:tbl>
    <w:p>
      <w:pPr>
        <w:spacing w:after="40"/>
      </w:pPr>
    </w:p>
    <w:p>
      <w:pPr>
        <w:pStyle w:val="Heading2"/>
        <w:keepNext/>
        <w:keepLines/>
      </w:pPr>
      <w:r>
        <w:t>Do and do not claim</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Safe claim</w:t>
            </w:r>
          </w:p>
        </w:tc>
        <w:tc>
          <w:tcPr>
            <w:tcW w:type="dxa" w:w="468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Avoid until proven</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'Ranked opportunities reviewed by our analyst and explained with evidence.'</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'50+ verified buyers' when records were generated or not recently checked.</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'Indicative route economics with source date and assumptions.'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'Live freight rate' without a current carrier/forwarder quote.</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'Draft outreach for your approval.'</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'AI autonomously finds and contacts buyers.'</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'Sample data is clearly marked in the demo.'</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'Verified customs clearance' or 'real-time BOL' for seeded records.</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'Compliance workflow support; professional advice may be required.'</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'100% certified' or 'will clear EU customs.'</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'Secure managed pilot for one exporter.'</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'Multi-tenant active' without tenant isolation and user controls.</w:t>
            </w:r>
          </w:p>
        </w:tc>
      </w:tr>
    </w:tbl>
    <w:p>
      <w:pPr>
        <w:spacing w:after="40"/>
      </w:pPr>
    </w:p>
    <w:p>
      <w:pPr>
        <w:pStyle w:val="Heading1"/>
        <w:keepNext/>
        <w:keepLines/>
      </w:pPr>
      <w:r>
        <w:t>10. Roadmap, stages, and release gates</w:t>
      </w:r>
    </w:p>
    <w:tbl>
      <w:tblPr>
        <w:tblStyle w:val="TableGrid"/>
        <w:tblW w:type="dxa" w:w="9360"/>
        <w:jc w:val="left"/>
        <w:tblLayout w:type="fixed"/>
        <w:tblLook w:firstColumn="1" w:firstRow="1" w:lastColumn="0" w:lastRow="0" w:noHBand="0" w:noVBand="1" w:val="04A0"/>
        <w:tblInd w:w="120" w:type="dxa"/>
      </w:tblPr>
      <w:tblGrid>
        <w:gridCol w:w="1750"/>
        <w:gridCol w:w="1150"/>
        <w:gridCol w:w="3000"/>
        <w:gridCol w:w="3460"/>
      </w:tblGrid>
      <w:tr>
        <w:trPr>
          <w:tblHeader w:val="true"/>
          <w:cantSplit/>
        </w:trPr>
        <w:tc>
          <w:tcPr>
            <w:tcW w:type="dxa" w:w="175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Stage</w:t>
            </w:r>
          </w:p>
        </w:tc>
        <w:tc>
          <w:tcPr>
            <w:tcW w:type="dxa" w:w="115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Timebox</w:t>
            </w:r>
          </w:p>
        </w:tc>
        <w:tc>
          <w:tcPr>
            <w:tcW w:type="dxa" w:w="30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Outcome</w:t>
            </w:r>
          </w:p>
        </w:tc>
        <w:tc>
          <w:tcPr>
            <w:tcW w:type="dxa" w:w="34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Exit gate</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6"/>
              </w:rPr>
              <w:t>P0 - Truth reset</w:t>
            </w:r>
          </w:p>
        </w:tc>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6"/>
              </w:rPr>
              <w:t>1-2 weeks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6"/>
              </w:rPr>
              <w:t>Safe demo and credible story</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6"/>
              </w:rPr>
              <w:t>All sample/inferred claims labelled; EUDR updated; risky contacts removed; mobile critical fixes; data-source register.</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6"/>
              </w:rPr>
              <w:t>P1 - Concierge pilot</w:t>
            </w:r>
          </w:p>
        </w:tc>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6"/>
              </w:rPr>
              <w:t>3-6 weeks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6"/>
              </w:rPr>
              <w:t>Founder-led paid delivery</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6"/>
              </w:rPr>
              <w:t>Exporter onboarding, verified account pack, deals/tasks, simple INR margin, document checklist, outcome tracking.</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6"/>
              </w:rPr>
              <w:t>P2 - Secure self-serve MVP</w:t>
            </w:r>
          </w:p>
        </w:tc>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6"/>
              </w:rPr>
              <w:t>7-14 weeks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6"/>
              </w:rPr>
              <w:t>Multiple pilot customers can use the system</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6"/>
              </w:rPr>
              <w:t>Organisation/user/RBAC, tenant isolation, secure secrets, jobs, backups, monitoring, responsive UI, admin and support.</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6"/>
              </w:rPr>
              <w:t>P3 - Live data and execution</w:t>
            </w:r>
          </w:p>
        </w:tc>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6"/>
              </w:rPr>
              <w:t>3-6 months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6"/>
              </w:rPr>
              <w:t>Recurring value and lower manual effort</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6"/>
              </w:rPr>
              <w:t>Licensed connectors, verification queue, freight quotes, government/accounting-assisted workflows, alerts, audit and SLAs.</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000000"/>
                <w:sz w:val="16"/>
              </w:rPr>
              <w:t>P4 - Enterprise readiness</w:t>
            </w:r>
          </w:p>
        </w:tc>
        <w:tc>
          <w:tcPr>
            <w:tcW w:type="dxa" w:w="1150"/>
            <w:tcMar>
              <w:top w:w="80" w:type="dxa"/>
              <w:start w:w="120" w:type="dxa"/>
              <w:bottom w:w="80" w:type="dxa"/>
              <w:end w:w="120" w:type="dxa"/>
            </w:tcMar>
            <w:vAlign w:val="center"/>
          </w:tcPr>
          <w:p>
            <w:pPr>
              <w:spacing w:before="0" w:after="0" w:line="252" w:lineRule="auto"/>
            </w:pPr>
            <w:r>
              <w:rPr>
                <w:rFonts w:ascii="Calibri" w:hAnsi="Calibri"/>
                <w:color w:val="000000"/>
                <w:sz w:val="16"/>
              </w:rPr>
              <w:t>6-9+ months</w:t>
            </w:r>
          </w:p>
        </w:tc>
        <w:tc>
          <w:tcPr>
            <w:tcW w:type="dxa" w:w="3000"/>
            <w:tcMar>
              <w:top w:w="80" w:type="dxa"/>
              <w:start w:w="120" w:type="dxa"/>
              <w:bottom w:w="80" w:type="dxa"/>
              <w:end w:w="120" w:type="dxa"/>
            </w:tcMar>
            <w:vAlign w:val="center"/>
          </w:tcPr>
          <w:p>
            <w:pPr>
              <w:spacing w:before="0" w:after="0" w:line="252" w:lineRule="auto"/>
            </w:pPr>
            <w:r>
              <w:rPr>
                <w:rFonts w:ascii="Calibri" w:hAnsi="Calibri"/>
                <w:color w:val="000000"/>
                <w:sz w:val="16"/>
              </w:rPr>
              <w:t>Procurement-ready offering</w:t>
            </w:r>
          </w:p>
        </w:tc>
        <w:tc>
          <w:tcPr>
            <w:tcW w:type="dxa" w:w="3460"/>
            <w:tcMar>
              <w:top w:w="80" w:type="dxa"/>
              <w:start w:w="120" w:type="dxa"/>
              <w:bottom w:w="80" w:type="dxa"/>
              <w:end w:w="120" w:type="dxa"/>
            </w:tcMar>
            <w:vAlign w:val="center"/>
          </w:tcPr>
          <w:p>
            <w:pPr>
              <w:spacing w:before="0" w:after="0" w:line="252" w:lineRule="auto"/>
            </w:pPr>
            <w:r>
              <w:rPr>
                <w:rFonts w:ascii="Calibri" w:hAnsi="Calibri"/>
                <w:color w:val="000000"/>
                <w:sz w:val="16"/>
              </w:rPr>
              <w:t>SSO, enterprise RBAC, DPA, penetration test, DR exercise, data contracts, audit evidence, integration references and support SLA.</w:t>
            </w:r>
          </w:p>
        </w:tc>
      </w:tr>
    </w:tbl>
    <w:p>
      <w:pPr>
        <w:spacing w:after="40"/>
      </w:pPr>
    </w:p>
    <w:p>
      <w:pPr>
        <w:pStyle w:val="SmallNote"/>
      </w:pPr>
      <w:r>
        <w:t>Timing assumes a focused team and available domain/data partners. It is not a delivery guarantee. Data licensing and government/bank integration access can dominate the schedule.</w:t>
      </w:r>
    </w:p>
    <w:p>
      <w:pPr>
        <w:pStyle w:val="Heading2"/>
        <w:keepNext/>
        <w:keepLines/>
      </w:pPr>
      <w:r>
        <w:t>Release gates that matter</w:t>
      </w:r>
    </w:p>
    <w:p>
      <w:pPr>
        <w:pStyle w:val="ListBullet"/>
        <w:keepLines/>
      </w:pPr>
      <w:r>
        <w:t>Trust gate: zero unlabeled demo records and 100% of commercial claims linked to evidence/status/date.</w:t>
      </w:r>
    </w:p>
    <w:p>
      <w:pPr>
        <w:pStyle w:val="ListBullet"/>
        <w:keepLines/>
      </w:pPr>
      <w:r>
        <w:t>Pilot gate: 10 customer-approved opportunities, at least one reply/sample/quote outcome, and no critical security issue.</w:t>
      </w:r>
    </w:p>
    <w:p>
      <w:pPr>
        <w:pStyle w:val="ListBullet"/>
        <w:keepLines/>
      </w:pPr>
      <w:r>
        <w:t>SaaS gate: tenant isolation tests, role controls, backups/restore test, monitoring, support/admin, data-processing terms, and mobile acceptance.</w:t>
      </w:r>
    </w:p>
    <w:p>
      <w:pPr>
        <w:pStyle w:val="ListBullet"/>
        <w:keepLines/>
      </w:pPr>
      <w:r>
        <w:t>Enterprise gate: independent security test, incident/DR exercise, signed data licences, DPA/SLA, SSO/RBAC, audit export, and reference customer.</w:t>
      </w:r>
    </w:p>
    <w:p>
      <w:pPr>
        <w:pStyle w:val="Heading1"/>
        <w:keepNext/>
        <w:keepLines/>
      </w:pPr>
      <w:r>
        <w:t>11. KPIs, diligence, and founder checklist</w:t>
      </w:r>
    </w:p>
    <w:p>
      <w:pPr>
        <w:pStyle w:val="Heading2"/>
        <w:keepNext/>
        <w:keepLines/>
      </w:pPr>
      <w:r>
        <w:t>North-star and operating KPIs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Category</w:t>
            </w:r>
          </w:p>
        </w:tc>
        <w:tc>
          <w:tcPr>
            <w:tcW w:type="dxa" w:w="75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8"/>
              </w:rPr>
              <w:t>Metrics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Activation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Time to verified profile; products completed; documents verified; target market approved.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Trust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Percent evidence-backed; percent verified; average source age; corrections; bounce rate; unresolved disputes.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Commercial</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Qualified opportunities; outreach approved; reply rate; meetings; sample requests; quotes; POs; contribution margin.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Execution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Document readiness; shipment exceptions; GST/incentive tasks; days to eBRC; overdue receivables.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Retention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Weekly active exporters; new/changed signals; tasks completed; renewal; expansion; analyst hours per customer.</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8"/>
              </w:rPr>
              <w:t>Platform</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000000"/>
                <w:sz w:val="18"/>
              </w:rPr>
              <w:t>Availability; job success; API latency/error; restore time; security incidents; support response/resolution.</w:t>
            </w:r>
          </w:p>
        </w:tc>
      </w:tr>
    </w:tbl>
    <w:p>
      <w:pPr>
        <w:spacing w:after="40"/>
      </w:pPr>
    </w:p>
    <w:p>
      <w:pPr>
        <w:pStyle w:val="Heading2"/>
        <w:keepNext/>
        <w:keepLines/>
      </w:pPr>
      <w:r>
        <w:t>Sale/investment diligence pack</w:t>
      </w:r>
    </w:p>
    <w:p>
      <w:pPr>
        <w:pStyle w:val="ListBullet"/>
        <w:keepLines/>
      </w:pPr>
      <w:r>
        <w:t>Product: honest demo, roadmap, pricing, customer interviews, pilot contract, outcome evidence and case-study consent.</w:t>
      </w:r>
    </w:p>
    <w:p>
      <w:pPr>
        <w:pStyle w:val="ListBullet"/>
        <w:keepLines/>
      </w:pPr>
      <w:r>
        <w:t>Data: source catalogue, licence/terms, provenance, verification SOP, quality metrics, corrections and retention.</w:t>
      </w:r>
    </w:p>
    <w:p>
      <w:pPr>
        <w:pStyle w:val="ListBullet"/>
        <w:keepLines/>
      </w:pPr>
      <w:r>
        <w:t>Legal: company ownership, IP assignments, trademarks/domains, privacy notice, DPA, customer terms, disclaimers and subprocessors.</w:t>
      </w:r>
    </w:p>
    <w:p>
      <w:pPr>
        <w:pStyle w:val="ListBullet"/>
        <w:keepLines/>
      </w:pPr>
      <w:r>
        <w:t>Technology: architecture, dependency list, SBOM/scans, test evidence, deployment/runbook, backup/DR, security review and incident plan.</w:t>
      </w:r>
    </w:p>
    <w:p>
      <w:pPr>
        <w:pStyle w:val="ListBullet"/>
        <w:keepLines/>
      </w:pPr>
      <w:r>
        <w:t>Commercial: pipeline evidence, unit economics, analyst cost, churn hypothesis, renewal motion and partner/channel strategy.</w:t>
      </w:r>
    </w:p>
    <w:p>
      <w:pPr>
        <w:pStyle w:val="ListBullet"/>
        <w:keepLines/>
      </w:pPr>
      <w:r>
        <w:t>Operations: onboarding SOP, support model, data QA, regulatory owner, release governance and customer success cadence.</w:t>
      </w:r>
    </w:p>
    <w:p>
      <w:pPr>
        <w:pStyle w:val="Heading2"/>
        <w:keepNext/>
        <w:keepLines/>
      </w:pPr>
      <w:r>
        <w:t>Founder decisions to make now</w:t>
      </w:r>
    </w:p>
    <w:p>
      <w:pPr>
        <w:pStyle w:val="ListNumber"/>
        <w:keepLines/>
        <w:numPr>
          <w:ilvl w:val="0"/>
          <w:numId w:val="12"/>
        </w:numPr>
      </w:pPr>
      <w:r>
        <w:t>Choose the product category: verified export opportunity and execution platform, not an AI dashboard.</w:t>
      </w:r>
    </w:p>
    <w:p>
      <w:pPr>
        <w:pStyle w:val="ListNumber"/>
        <w:keepLines/>
        <w:numPr>
          <w:ilvl w:val="0"/>
          <w:numId w:val="12"/>
        </w:numPr>
      </w:pPr>
      <w:r>
        <w:t>Choose the first paying segment: one leather cluster and one corridor, with 3-5 design partners.</w:t>
      </w:r>
    </w:p>
    <w:p>
      <w:pPr>
        <w:pStyle w:val="ListNumber"/>
        <w:keepLines/>
        <w:numPr>
          <w:ilvl w:val="0"/>
          <w:numId w:val="12"/>
        </w:numPr>
      </w:pPr>
      <w:r>
        <w:t>Choose the evidence standard: what counts as verified, inferred, stale, demo, or unavailable.</w:t>
      </w:r>
    </w:p>
    <w:p>
      <w:pPr>
        <w:pStyle w:val="ListNumber"/>
        <w:keepLines/>
        <w:numPr>
          <w:ilvl w:val="0"/>
          <w:numId w:val="12"/>
        </w:numPr>
      </w:pPr>
      <w:r>
        <w:t>Choose the pilot outcome: sample request, qualified reply, quote, PO, or time saved - and price around it.</w:t>
      </w:r>
    </w:p>
    <w:p>
      <w:pPr>
        <w:pStyle w:val="ListNumber"/>
        <w:keepLines/>
        <w:numPr>
          <w:ilvl w:val="0"/>
          <w:numId w:val="12"/>
        </w:numPr>
      </w:pPr>
      <w:r>
        <w:t>Choose the India workflow depth: start with checklists/documents and assisted reconciliation; add authorised integrations later.</w:t>
      </w:r>
    </w:p>
    <w:p>
      <w:pPr>
        <w:pStyle w:val="ListNumber"/>
        <w:keepLines/>
        <w:numPr>
          <w:ilvl w:val="0"/>
          <w:numId w:val="12"/>
        </w:numPr>
      </w:pPr>
      <w:r>
        <w:t>Choose the security bar before a second customer: organisation accounts, roles, tenant isolation, secrets, backups and monitoring.</w:t>
      </w:r>
    </w:p>
    <w:p>
      <w:pPr>
        <w:pStyle w:val="ListNumber"/>
        <w:keepLines/>
        <w:numPr>
          <w:ilvl w:val="0"/>
          <w:numId w:val="12"/>
        </w:numPr>
      </w:pPr>
      <w:r>
        <w:t>Choose what to stop: remove fake scale, unsupported 'live' claims, and AI features that do not change a business outcome.</w:t>
      </w:r>
    </w:p>
    <w:p>
      <w:pPr>
        <w:pStyle w:val="Heading1"/>
        <w:keepNext/>
        <w:keepLines/>
      </w:pPr>
      <w:r>
        <w:t>Sources and assessment limitations</w:t>
      </w:r>
    </w:p>
    <w:p>
      <w:pPr/>
      <w:r>
        <w:t>Repository evidence included the current source tree, database schemas, seed scripts, test suite, build configuration, production compose file, internal plans, and a live browser review of all five product views. No claim in this report should be treated as legal, tax, customs, or regulatory advice.</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Source</w:t>
            </w:r>
          </w:p>
        </w:tc>
        <w:tc>
          <w:tcPr>
            <w:tcW w:type="dxa" w:w="330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Why it matters</w:t>
            </w:r>
          </w:p>
        </w:tc>
        <w:tc>
          <w:tcPr>
            <w:tcW w:type="dxa" w:w="4260"/>
            <w:shd w:fill="F2F4F7"/>
            <w:tcMar>
              <w:top w:w="80" w:type="dxa"/>
              <w:start w:w="120" w:type="dxa"/>
              <w:bottom w:w="80" w:type="dxa"/>
              <w:end w:w="120" w:type="dxa"/>
            </w:tcMar>
            <w:vAlign w:val="center"/>
          </w:tcPr>
          <w:p>
            <w:pPr>
              <w:spacing w:before="0" w:after="0" w:line="240" w:lineRule="auto"/>
              <w:jc w:val="left"/>
            </w:pPr>
            <w:r>
              <w:rPr>
                <w:rFonts w:ascii="Calibri" w:hAnsi="Calibri"/>
                <w:b/>
                <w:color w:val="0B2545"/>
                <w:sz w:val="16"/>
              </w:rPr>
              <w:t>Official URL</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DGFT - IEC</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IEC is mandatory for most export/import activity and requires online maintenance.</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https://content.dgft.gov.in/Website/dgftprod/c5ccbcbf-d61e-4279-abe7-ce2c6c99d62d/FTP%20Chapter%202%20updated%20as%20on%2031032021.pdf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ICEGATE - AD code</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Bank and AD code registration workflow for foreign remittance and export incentives.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https://www.icegate.gov.in/guidelines/ad-code-bank-account-registration-advisory</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CBIC GST</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Exports are zero-rated; invoice, LUT/bond, refund, and shipping-bill processes matter.</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https://cbic-gst.gov.in/hindi/sectoral-faq.html</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DGFT - eBRC</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Enhanced eBRC uses bank IRMs and exporter self-certification workflows.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https://content.dgft.gov.in/Website/Self_Certification_of_eBRC.pdf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Council for Leather Exports</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CLE membership/RCMC and sector services are relevant to leather exporters.</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https://leatherindia.org/online-issuance-of-rcmc-2/</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MeitY - DPDP Rules 2025</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India's data protection rules are phased and relevant to personal/contact data handling.</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https://www.meity.gov.in/static/uploads/2025/11/53450e6e5dc0bfa85ebd78686cadad39.pdf</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000000"/>
                <w:sz w:val="16"/>
              </w:rPr>
              <w:t>European Commission - EUDR update</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000000"/>
                <w:sz w:val="16"/>
              </w:rPr>
              <w:t>13 July 2026 measure removes cattle hides, skins, and leather from scope, subject to EU scrutiny.</w:t>
            </w:r>
          </w:p>
        </w:tc>
        <w:tc>
          <w:tcPr>
            <w:tcW w:type="dxa" w:w="4260"/>
            <w:tcMar>
              <w:top w:w="80" w:type="dxa"/>
              <w:start w:w="120" w:type="dxa"/>
              <w:bottom w:w="80" w:type="dxa"/>
              <w:end w:w="120" w:type="dxa"/>
            </w:tcMar>
            <w:vAlign w:val="center"/>
          </w:tcPr>
          <w:p>
            <w:pPr>
              <w:spacing w:before="0" w:after="0" w:line="252" w:lineRule="auto"/>
            </w:pPr>
            <w:r>
              <w:rPr>
                <w:rFonts w:ascii="Calibri" w:hAnsi="Calibri"/>
                <w:color w:val="000000"/>
                <w:sz w:val="16"/>
              </w:rPr>
              <w:t>https://environment.ec.europa.eu/news/commission-updates-product-scope-and-tools-support-eudr-2026-07-13_en</w:t>
            </w:r>
          </w:p>
        </w:tc>
      </w:tr>
    </w:tbl>
    <w:p>
      <w:pPr>
        <w:spacing w:after="40"/>
      </w:pPr>
    </w:p>
    <w:p>
      <w:pPr>
        <w:spacing w:before="120" w:after="200" w:line="264" w:lineRule="auto"/>
        <w:ind w:left="115" w:right="115"/>
        <w:shd w:fill="EAF7F1"/>
        <w:keepLines/>
        <w:pBdr>
          <w:top w:val="single" w:sz="6" w:space="5" w:color="B7E0CD"/>
          <w:left w:val="single" w:sz="6" w:space="5" w:color="B7E0CD"/>
          <w:bottom w:val="single" w:sz="6" w:space="5" w:color="B7E0CD"/>
          <w:right w:val="single" w:sz="6" w:space="5" w:color="B7E0CD"/>
        </w:pBdr>
      </w:pPr>
      <w:r>
        <w:rPr>
          <w:rFonts w:ascii="Calibri" w:hAnsi="Calibri"/>
          <w:b/>
          <w:color w:val="1F6D4A"/>
          <w:sz w:val="21"/>
        </w:rPr>
        <w:t xml:space="preserve">Final business verdict: </w:t>
      </w:r>
      <w:r>
        <w:rPr>
          <w:rFonts w:ascii="Calibri" w:hAnsi="Calibri"/>
          <w:color w:val="000000"/>
          <w:sz w:val="21"/>
        </w:rPr>
        <w:t>Trade OS is worth continuing. Its differentiator is not pgvector, agents, or dashboards; it is a trustworthy, vertical workflow that turns verified evidence into export action and cash. Build that operating system, prove it with managed pilots, and only then scale the software story.</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Trade OS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Business Readiness and India Market Fit</w:t>
    </w:r>
    <w:r>
      <w:rPr>
        <w:rFonts w:ascii="Calibri" w:hAnsi="Calibri"/>
        <w:color w:val="667085"/>
        <w:sz w:val="17"/>
      </w:rPr>
      <w:t xml:space="preserve">  |  Independent assessment  |  28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